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D3A" w:rsidRPr="000D4D3A" w:rsidRDefault="000D4D3A" w:rsidP="000D4D3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ANEXO X – INSTRUMENTO DE MEDIÇÃO DE RESULTADOS – IMR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ANEXO X</w:t>
      </w:r>
      <w:r w:rsidRPr="000D4D3A">
        <w:rPr>
          <w:rFonts w:eastAsia="Times New Roman" w:cstheme="minorHAnsi"/>
          <w:sz w:val="24"/>
          <w:szCs w:val="24"/>
          <w:lang w:eastAsia="pt-BR"/>
        </w:rPr>
        <w:br/>
      </w: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INSTRUMENTO DE MEDIÇÃO DE RESULTADOS – IMR</w:t>
      </w:r>
      <w:r w:rsidRPr="000D4D3A">
        <w:rPr>
          <w:rFonts w:eastAsia="Times New Roman" w:cstheme="minorHAnsi"/>
          <w:sz w:val="24"/>
          <w:szCs w:val="24"/>
          <w:lang w:eastAsia="pt-BR"/>
        </w:rPr>
        <w:br/>
      </w: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SERVIÇOS DE LIMPEZA E CONSERVAÇÃO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1. Definição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 xml:space="preserve">O Instrumento de Medição de Resultados – IMR constitui mecanismo de avaliação da qualidade da prestação dos serviços de limpeza e conservação, com critérios objetivos, mensuráveis e verificáveis, destinado a subsidiar o acompanhamento contratual, a fiscalização da execução e, quando cabível, o redimensionamento do pagamento em razão do nível de desempenho apurado. 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2. Finalidade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 xml:space="preserve">O presente IMR tem por finalidade aferir, de forma simples e transparente, a qualidade da execução dos serviços prestados </w:t>
      </w:r>
      <w:r>
        <w:rPr>
          <w:rFonts w:eastAsia="Times New Roman" w:cstheme="minorHAnsi"/>
          <w:sz w:val="24"/>
          <w:szCs w:val="24"/>
          <w:lang w:eastAsia="pt-BR"/>
        </w:rPr>
        <w:t xml:space="preserve">na Sede da Coordenação da Frente de Proteção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Awá</w:t>
      </w:r>
      <w:proofErr w:type="spellEnd"/>
      <w:r w:rsidRPr="000D4D3A">
        <w:rPr>
          <w:rFonts w:eastAsia="Times New Roman" w:cstheme="minorHAnsi"/>
          <w:sz w:val="24"/>
          <w:szCs w:val="24"/>
          <w:lang w:eastAsia="pt-BR"/>
        </w:rPr>
        <w:t xml:space="preserve">, considerando parâmetros mínimos de assiduidade, pontualidade, qualidade da limpeza e atendimento às orientações da fiscalização. 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3. Periodicidade da avaliação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 xml:space="preserve">A avaliação será realizada </w:t>
      </w: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mensalmente</w:t>
      </w:r>
      <w:r w:rsidRPr="000D4D3A">
        <w:rPr>
          <w:rFonts w:eastAsia="Times New Roman" w:cstheme="minorHAnsi"/>
          <w:sz w:val="24"/>
          <w:szCs w:val="24"/>
          <w:lang w:eastAsia="pt-BR"/>
        </w:rPr>
        <w:t xml:space="preserve">, mediante registro das ocorrências verificadas no período e conferência da execução dos serviços pela fiscalização do contrato. 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4. Responsável pela aferição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 xml:space="preserve">A aferição do IMR competirá ao fiscal do contrato, ou a servidor formalmente designado para essa finalidade, que registrará as ocorrências observadas e atribuirá a pontuação correspondente a cada indicador. 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5. Indicadores de desempenho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>A avaliação observará os seguintes indicadores: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5.1 Assiduidade e pontualidade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Pr="000D4D3A">
        <w:rPr>
          <w:rFonts w:eastAsia="Times New Roman" w:cstheme="minorHAnsi"/>
          <w:sz w:val="24"/>
          <w:szCs w:val="24"/>
          <w:lang w:eastAsia="pt-BR"/>
        </w:rPr>
        <w:t>Verifica o cumprimento do horário de início e término da jornada, bem como a permanência contínua do posto durante o expediente contratual.</w:t>
      </w:r>
    </w:p>
    <w:p w:rsidR="000D4D3A" w:rsidRPr="000D4D3A" w:rsidRDefault="000D4D3A" w:rsidP="000D4D3A">
      <w:pPr>
        <w:rPr>
          <w:sz w:val="24"/>
          <w:szCs w:val="24"/>
        </w:rPr>
      </w:pPr>
      <w:r w:rsidRPr="000D4D3A">
        <w:rPr>
          <w:b/>
          <w:sz w:val="24"/>
          <w:szCs w:val="24"/>
        </w:rPr>
        <w:t>5.2 Qualidade da limpeza e conservação:</w:t>
      </w:r>
      <w:r w:rsidRPr="000D4D3A">
        <w:t xml:space="preserve"> Verifica se os ambientes sob responsabilidade da Contratada permanecem limpos, higienizados e organizados, sem acúmulo visível de poeira, </w:t>
      </w:r>
      <w:r w:rsidRPr="000D4D3A">
        <w:rPr>
          <w:sz w:val="24"/>
          <w:szCs w:val="24"/>
        </w:rPr>
        <w:t>resíduos, manchas, lixo ou outras falhas de execução.</w:t>
      </w:r>
    </w:p>
    <w:p w:rsidR="000D4D3A" w:rsidRPr="000D4D3A" w:rsidRDefault="000D4D3A" w:rsidP="000D4D3A">
      <w:pPr>
        <w:rPr>
          <w:sz w:val="24"/>
          <w:szCs w:val="24"/>
        </w:rPr>
      </w:pPr>
      <w:r w:rsidRPr="000D4D3A">
        <w:rPr>
          <w:b/>
          <w:sz w:val="24"/>
          <w:szCs w:val="24"/>
        </w:rPr>
        <w:t xml:space="preserve">5.3 Atendimento às orientações da fiscalização: </w:t>
      </w:r>
      <w:r w:rsidRPr="000D4D3A">
        <w:rPr>
          <w:sz w:val="24"/>
          <w:szCs w:val="24"/>
        </w:rPr>
        <w:t>Verifica se as determinações e ajustes solicitados pela fiscalização são atendidos dentro do prazo estabelecido, sem necessidade de reiteradas cobranças.</w:t>
      </w:r>
    </w:p>
    <w:p w:rsidR="000D4D3A" w:rsidRPr="000D4D3A" w:rsidRDefault="000D4D3A" w:rsidP="000D4D3A">
      <w:pPr>
        <w:rPr>
          <w:sz w:val="24"/>
          <w:szCs w:val="24"/>
        </w:rPr>
      </w:pPr>
      <w:r w:rsidRPr="000D4D3A">
        <w:rPr>
          <w:b/>
          <w:sz w:val="24"/>
          <w:szCs w:val="24"/>
        </w:rPr>
        <w:lastRenderedPageBreak/>
        <w:t>5</w:t>
      </w:r>
      <w:bookmarkStart w:id="0" w:name="_GoBack"/>
      <w:bookmarkEnd w:id="0"/>
      <w:r w:rsidRPr="000D4D3A">
        <w:rPr>
          <w:b/>
          <w:sz w:val="24"/>
          <w:szCs w:val="24"/>
        </w:rPr>
        <w:t>.4 Apresentação e postura profissional:</w:t>
      </w:r>
      <w:r w:rsidRPr="000D4D3A">
        <w:rPr>
          <w:sz w:val="24"/>
          <w:szCs w:val="24"/>
        </w:rPr>
        <w:t xml:space="preserve"> Verifica o uso adequado do uniforme, a apresentação pessoal, a cordialidade e o comportamento compatível com a execução do serviço.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6. Sistema de pontuação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 xml:space="preserve">Cada indicador receberá pontuação de </w:t>
      </w: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0 a 5</w:t>
      </w:r>
      <w:r w:rsidRPr="000D4D3A">
        <w:rPr>
          <w:rFonts w:eastAsia="Times New Roman" w:cstheme="minorHAnsi"/>
          <w:sz w:val="24"/>
          <w:szCs w:val="24"/>
          <w:lang w:eastAsia="pt-BR"/>
        </w:rPr>
        <w:t>, conforme a seguinte lógica:</w:t>
      </w:r>
    </w:p>
    <w:p w:rsidR="000D4D3A" w:rsidRPr="000D4D3A" w:rsidRDefault="000D4D3A" w:rsidP="000D4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5 pontos</w:t>
      </w:r>
      <w:r w:rsidRPr="000D4D3A">
        <w:rPr>
          <w:rFonts w:eastAsia="Times New Roman" w:cstheme="minorHAnsi"/>
          <w:sz w:val="24"/>
          <w:szCs w:val="24"/>
          <w:lang w:eastAsia="pt-BR"/>
        </w:rPr>
        <w:t xml:space="preserve"> – atendimento integral ao requisito.</w:t>
      </w:r>
    </w:p>
    <w:p w:rsidR="000D4D3A" w:rsidRPr="000D4D3A" w:rsidRDefault="000D4D3A" w:rsidP="000D4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4 pontos</w:t>
      </w:r>
      <w:r w:rsidRPr="000D4D3A">
        <w:rPr>
          <w:rFonts w:eastAsia="Times New Roman" w:cstheme="minorHAnsi"/>
          <w:sz w:val="24"/>
          <w:szCs w:val="24"/>
          <w:lang w:eastAsia="pt-BR"/>
        </w:rPr>
        <w:t xml:space="preserve"> – atendimento com falhas leves e pontuais, sem prejuízo relevante.</w:t>
      </w:r>
    </w:p>
    <w:p w:rsidR="000D4D3A" w:rsidRPr="000D4D3A" w:rsidRDefault="000D4D3A" w:rsidP="000D4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3 pontos</w:t>
      </w:r>
      <w:r w:rsidRPr="000D4D3A">
        <w:rPr>
          <w:rFonts w:eastAsia="Times New Roman" w:cstheme="minorHAnsi"/>
          <w:sz w:val="24"/>
          <w:szCs w:val="24"/>
          <w:lang w:eastAsia="pt-BR"/>
        </w:rPr>
        <w:t xml:space="preserve"> – atendimento parcial, com falhas moderadas.</w:t>
      </w:r>
    </w:p>
    <w:p w:rsidR="000D4D3A" w:rsidRPr="000D4D3A" w:rsidRDefault="000D4D3A" w:rsidP="000D4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2 pontos</w:t>
      </w:r>
      <w:r w:rsidRPr="000D4D3A">
        <w:rPr>
          <w:rFonts w:eastAsia="Times New Roman" w:cstheme="minorHAnsi"/>
          <w:sz w:val="24"/>
          <w:szCs w:val="24"/>
          <w:lang w:eastAsia="pt-BR"/>
        </w:rPr>
        <w:t xml:space="preserve"> – atendimento insuficiente, com falhas frequentes.</w:t>
      </w:r>
    </w:p>
    <w:p w:rsidR="000D4D3A" w:rsidRPr="000D4D3A" w:rsidRDefault="000D4D3A" w:rsidP="000D4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1 ponto</w:t>
      </w:r>
      <w:r w:rsidRPr="000D4D3A">
        <w:rPr>
          <w:rFonts w:eastAsia="Times New Roman" w:cstheme="minorHAnsi"/>
          <w:sz w:val="24"/>
          <w:szCs w:val="24"/>
          <w:lang w:eastAsia="pt-BR"/>
        </w:rPr>
        <w:t xml:space="preserve"> – atendimento muito abaixo do esperado.</w:t>
      </w:r>
    </w:p>
    <w:p w:rsidR="000D4D3A" w:rsidRPr="000D4D3A" w:rsidRDefault="000D4D3A" w:rsidP="000D4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0 ponto</w:t>
      </w:r>
      <w:proofErr w:type="gramEnd"/>
      <w:r w:rsidRPr="000D4D3A">
        <w:rPr>
          <w:rFonts w:eastAsia="Times New Roman" w:cstheme="minorHAnsi"/>
          <w:sz w:val="24"/>
          <w:szCs w:val="24"/>
          <w:lang w:eastAsia="pt-BR"/>
        </w:rPr>
        <w:t xml:space="preserve"> – descumprimento total do requisito.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 xml:space="preserve">A pontuação mensal máxima será de </w:t>
      </w: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20 pontos</w:t>
      </w:r>
      <w:r w:rsidRPr="000D4D3A">
        <w:rPr>
          <w:rFonts w:eastAsia="Times New Roman" w:cstheme="minorHAnsi"/>
          <w:sz w:val="24"/>
          <w:szCs w:val="24"/>
          <w:lang w:eastAsia="pt-BR"/>
        </w:rPr>
        <w:t>.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7. Tabela de aferição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7"/>
        <w:gridCol w:w="3655"/>
        <w:gridCol w:w="1672"/>
      </w:tblGrid>
      <w:tr w:rsidR="000D4D3A" w:rsidRPr="000D4D3A" w:rsidTr="000D4D3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Indicador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Critério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Pontuação máxima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Assiduidade e pontualidade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Cumprimento da jornada e permanência no posto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5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Qualidade da limpeza e conservação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Condição geral de limpeza dos ambientes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5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Atendimento às orientações da fiscalização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Cumprimento tempestivo das determinações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5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Apresentação e postura profissional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Uniforme, aparência e comportamento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5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20</w:t>
            </w:r>
          </w:p>
        </w:tc>
      </w:tr>
    </w:tbl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8. Faixas de desempenho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>O resultado mensal será classificado conforme a pontuação total obtida: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1217"/>
        <w:gridCol w:w="5698"/>
      </w:tblGrid>
      <w:tr w:rsidR="000D4D3A" w:rsidRPr="000D4D3A" w:rsidTr="000D4D3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Pontuação total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Conceito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Consequência administrativa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18 a 20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Excelente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Sem desconto, com registro de desempenho satisfatório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14 a 17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Bom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Sem desconto, com eventual recomendação de ajuste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10 a 13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Regular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Registro de ocorrência e notificação para correção</w:t>
            </w:r>
          </w:p>
        </w:tc>
      </w:tr>
      <w:tr w:rsidR="000D4D3A" w:rsidRPr="000D4D3A" w:rsidTr="000D4D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0 a 9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Insuficiente</w:t>
            </w:r>
          </w:p>
        </w:tc>
        <w:tc>
          <w:tcPr>
            <w:tcW w:w="0" w:type="auto"/>
            <w:vAlign w:val="center"/>
            <w:hideMark/>
          </w:tcPr>
          <w:p w:rsidR="000D4D3A" w:rsidRPr="000D4D3A" w:rsidRDefault="000D4D3A" w:rsidP="000D4D3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4D3A">
              <w:rPr>
                <w:rFonts w:eastAsia="Times New Roman" w:cstheme="minorHAnsi"/>
                <w:sz w:val="24"/>
                <w:szCs w:val="24"/>
                <w:lang w:eastAsia="pt-BR"/>
              </w:rPr>
              <w:t>Adoção das medidas contratuais cabíveis, inclusive glosa, se prevista</w:t>
            </w:r>
          </w:p>
        </w:tc>
      </w:tr>
    </w:tbl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9. Regras para registro de ocorrências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lastRenderedPageBreak/>
        <w:t xml:space="preserve">Sempre que houver irregularidade constatada, a fiscalização deverá registrar a ocorrência em documento próprio, com indicação da data, do fato observado, da providência solicitada e do prazo para correção, quando aplicável. Persistindo a irregularidade, a pontuação correspondente poderá ser reduzida na avaliação mensal. 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10. Metodologia de apuração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 xml:space="preserve">Ao final de cada mês, a fiscalização atribuirá a pontuação de cada indicador com base nas evidências coletadas durante o período. O somatório resultará na nota mensal do IMR, que servirá para fins de acompanhamento da execução contratual e eventual adoção das providências previstas no contrato e no Termo de Referência. 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11. Efeitos da avaliação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>A pontuação obtida no IMR poderá ensejar:</w:t>
      </w:r>
    </w:p>
    <w:p w:rsidR="000D4D3A" w:rsidRPr="000D4D3A" w:rsidRDefault="000D4D3A" w:rsidP="000D4D3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 w:rsidRPr="000D4D3A">
        <w:rPr>
          <w:rFonts w:eastAsia="Times New Roman" w:cstheme="minorHAnsi"/>
          <w:sz w:val="24"/>
          <w:szCs w:val="24"/>
          <w:lang w:eastAsia="pt-BR"/>
        </w:rPr>
        <w:t>registro</w:t>
      </w:r>
      <w:proofErr w:type="gramEnd"/>
      <w:r w:rsidRPr="000D4D3A">
        <w:rPr>
          <w:rFonts w:eastAsia="Times New Roman" w:cstheme="minorHAnsi"/>
          <w:sz w:val="24"/>
          <w:szCs w:val="24"/>
          <w:lang w:eastAsia="pt-BR"/>
        </w:rPr>
        <w:t xml:space="preserve"> formal de ocorrência;</w:t>
      </w:r>
    </w:p>
    <w:p w:rsidR="000D4D3A" w:rsidRPr="000D4D3A" w:rsidRDefault="000D4D3A" w:rsidP="000D4D3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 w:rsidRPr="000D4D3A">
        <w:rPr>
          <w:rFonts w:eastAsia="Times New Roman" w:cstheme="minorHAnsi"/>
          <w:sz w:val="24"/>
          <w:szCs w:val="24"/>
          <w:lang w:eastAsia="pt-BR"/>
        </w:rPr>
        <w:t>solicitação</w:t>
      </w:r>
      <w:proofErr w:type="gramEnd"/>
      <w:r w:rsidRPr="000D4D3A">
        <w:rPr>
          <w:rFonts w:eastAsia="Times New Roman" w:cstheme="minorHAnsi"/>
          <w:sz w:val="24"/>
          <w:szCs w:val="24"/>
          <w:lang w:eastAsia="pt-BR"/>
        </w:rPr>
        <w:t xml:space="preserve"> de providências corretivas;</w:t>
      </w:r>
    </w:p>
    <w:p w:rsidR="000D4D3A" w:rsidRPr="000D4D3A" w:rsidRDefault="000D4D3A" w:rsidP="000D4D3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 w:rsidRPr="000D4D3A">
        <w:rPr>
          <w:rFonts w:eastAsia="Times New Roman" w:cstheme="minorHAnsi"/>
          <w:sz w:val="24"/>
          <w:szCs w:val="24"/>
          <w:lang w:eastAsia="pt-BR"/>
        </w:rPr>
        <w:t>advertência</w:t>
      </w:r>
      <w:proofErr w:type="gramEnd"/>
      <w:r w:rsidRPr="000D4D3A">
        <w:rPr>
          <w:rFonts w:eastAsia="Times New Roman" w:cstheme="minorHAnsi"/>
          <w:sz w:val="24"/>
          <w:szCs w:val="24"/>
          <w:lang w:eastAsia="pt-BR"/>
        </w:rPr>
        <w:t>, quando cabível;</w:t>
      </w:r>
    </w:p>
    <w:p w:rsidR="000D4D3A" w:rsidRPr="000D4D3A" w:rsidRDefault="000D4D3A" w:rsidP="000D4D3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 w:rsidRPr="000D4D3A">
        <w:rPr>
          <w:rFonts w:eastAsia="Times New Roman" w:cstheme="minorHAnsi"/>
          <w:sz w:val="24"/>
          <w:szCs w:val="24"/>
          <w:lang w:eastAsia="pt-BR"/>
        </w:rPr>
        <w:t>glosa</w:t>
      </w:r>
      <w:proofErr w:type="gramEnd"/>
      <w:r w:rsidRPr="000D4D3A">
        <w:rPr>
          <w:rFonts w:eastAsia="Times New Roman" w:cstheme="minorHAnsi"/>
          <w:sz w:val="24"/>
          <w:szCs w:val="24"/>
          <w:lang w:eastAsia="pt-BR"/>
        </w:rPr>
        <w:t xml:space="preserve"> ou redimensionamento do pagamento, se assim previsto contratualmente;</w:t>
      </w:r>
    </w:p>
    <w:p w:rsidR="000D4D3A" w:rsidRPr="000D4D3A" w:rsidRDefault="000D4D3A" w:rsidP="000D4D3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 w:rsidRPr="000D4D3A">
        <w:rPr>
          <w:rFonts w:eastAsia="Times New Roman" w:cstheme="minorHAnsi"/>
          <w:sz w:val="24"/>
          <w:szCs w:val="24"/>
          <w:lang w:eastAsia="pt-BR"/>
        </w:rPr>
        <w:t>adoção</w:t>
      </w:r>
      <w:proofErr w:type="gramEnd"/>
      <w:r w:rsidRPr="000D4D3A">
        <w:rPr>
          <w:rFonts w:eastAsia="Times New Roman" w:cstheme="minorHAnsi"/>
          <w:sz w:val="24"/>
          <w:szCs w:val="24"/>
          <w:lang w:eastAsia="pt-BR"/>
        </w:rPr>
        <w:t xml:space="preserve"> das demais medidas administrativas e contratuais aplicáveis.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D4D3A">
        <w:rPr>
          <w:rFonts w:eastAsia="Times New Roman" w:cstheme="minorHAnsi"/>
          <w:b/>
          <w:bCs/>
          <w:sz w:val="24"/>
          <w:szCs w:val="24"/>
          <w:lang w:eastAsia="pt-BR"/>
        </w:rPr>
        <w:t>12. Disposição geral</w:t>
      </w:r>
    </w:p>
    <w:p w:rsidR="000D4D3A" w:rsidRPr="000D4D3A" w:rsidRDefault="000D4D3A" w:rsidP="000D4D3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4D3A">
        <w:rPr>
          <w:rFonts w:eastAsia="Times New Roman" w:cstheme="minorHAnsi"/>
          <w:sz w:val="24"/>
          <w:szCs w:val="24"/>
          <w:lang w:eastAsia="pt-BR"/>
        </w:rPr>
        <w:t>O IMR ora estabelecido possui caráter objetivo e simplificado, adequado à contratação de apenas um posto de serviço, devendo ser aplicado de modo proporcional à complexidade da contratação, sem prejuízo da exigência de qualidade mínima na prestação dos serviços.</w:t>
      </w:r>
    </w:p>
    <w:p w:rsidR="00492C50" w:rsidRDefault="00492C50"/>
    <w:sectPr w:rsidR="00492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C3189"/>
    <w:multiLevelType w:val="multilevel"/>
    <w:tmpl w:val="254E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837B42"/>
    <w:multiLevelType w:val="multilevel"/>
    <w:tmpl w:val="BE045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D3A"/>
    <w:rsid w:val="000D4D3A"/>
    <w:rsid w:val="0049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952FD-3192-4A4D-A9E5-E4275ECE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0D4D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0D4D3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my-2">
    <w:name w:val="my-2"/>
    <w:basedOn w:val="Normal"/>
    <w:rsid w:val="000D4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D4D3A"/>
    <w:rPr>
      <w:b/>
      <w:bCs/>
    </w:rPr>
  </w:style>
  <w:style w:type="character" w:customStyle="1" w:styleId="inline-block">
    <w:name w:val="inline-block"/>
    <w:basedOn w:val="Fontepargpadro"/>
    <w:rsid w:val="000D4D3A"/>
  </w:style>
  <w:style w:type="character" w:customStyle="1" w:styleId="opacity-50">
    <w:name w:val="opacity-50"/>
    <w:basedOn w:val="Fontepargpadro"/>
    <w:rsid w:val="000D4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739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2026-08-17T13:17:00Z</dcterms:created>
  <dcterms:modified xsi:type="dcterms:W3CDTF">2026-08-17T13:23:00Z</dcterms:modified>
</cp:coreProperties>
</file>