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egenda1"/>
        <w:spacing w:before="120" w:after="120"/>
        <w:rPr/>
      </w:pPr>
      <w:r>
        <w:rPr/>
      </w:r>
    </w:p>
    <w:p>
      <w:pPr>
        <w:pStyle w:val="Caption"/>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bCs/>
          <w:sz w:val="22"/>
          <w:szCs w:val="22"/>
        </w:rPr>
      </w:pPr>
      <w:r>
        <w:rPr>
          <w:rFonts w:ascii="Times New Roman" w:hAnsi="Times New Roman"/>
          <w:b/>
          <w:bCs/>
          <w:sz w:val="22"/>
          <w:szCs w:val="22"/>
        </w:rPr>
        <w:drawing>
          <wp:anchor behindDoc="1" distT="0" distB="0" distL="0" distR="0" simplePos="0" locked="0" layoutInCell="1" allowOverlap="1" relativeHeight="2">
            <wp:simplePos x="0" y="0"/>
            <wp:positionH relativeFrom="column">
              <wp:posOffset>2385060</wp:posOffset>
            </wp:positionH>
            <wp:positionV relativeFrom="paragraph">
              <wp:posOffset>-4445</wp:posOffset>
            </wp:positionV>
            <wp:extent cx="660400" cy="6826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60400" cy="682625"/>
                    </a:xfrm>
                    <a:prstGeom prst="rect">
                      <a:avLst/>
                    </a:prstGeom>
                  </pic:spPr>
                </pic:pic>
              </a:graphicData>
            </a:graphic>
          </wp:anchor>
        </w:drawing>
      </w:r>
    </w:p>
    <w:p>
      <w:pPr>
        <w:pStyle w:val="Caption"/>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bCs/>
          <w:sz w:val="22"/>
          <w:szCs w:val="22"/>
        </w:rPr>
      </w:pPr>
      <w:r>
        <w:rPr>
          <w:rFonts w:ascii="Times New Roman" w:hAnsi="Times New Roman"/>
          <w:b/>
          <w:bCs/>
          <w:sz w:val="22"/>
          <w:szCs w:val="22"/>
        </w:rPr>
      </w:r>
    </w:p>
    <w:p>
      <w:pPr>
        <w:pStyle w:val="Caption"/>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sz w:val="8"/>
          <w:szCs w:val="8"/>
        </w:rPr>
      </w:pPr>
      <w:r>
        <w:rPr>
          <w:sz w:val="8"/>
          <w:szCs w:val="8"/>
        </w:rPr>
      </w:r>
    </w:p>
    <w:p>
      <w:pPr>
        <w:pStyle w:val="Caption"/>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bCs/>
          <w:sz w:val="22"/>
          <w:szCs w:val="22"/>
        </w:rPr>
      </w:pPr>
      <w:r>
        <w:rPr>
          <w:rFonts w:ascii="Times New Roman" w:hAnsi="Times New Roman"/>
          <w:b/>
          <w:bCs/>
          <w:sz w:val="22"/>
          <w:szCs w:val="22"/>
        </w:rPr>
        <w:t>MINISTÉRIO DA DEFESA</w:t>
      </w:r>
    </w:p>
    <w:p>
      <w:pPr>
        <w:pStyle w:val="Normal"/>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sz w:val="22"/>
          <w:szCs w:val="22"/>
        </w:rPr>
      </w:pPr>
      <w:r>
        <w:rPr>
          <w:rFonts w:ascii="Times New Roman" w:hAnsi="Times New Roman"/>
          <w:b/>
          <w:sz w:val="22"/>
          <w:szCs w:val="22"/>
        </w:rPr>
        <w:t>EXÉRCITO BRASILEIRO</w:t>
      </w:r>
    </w:p>
    <w:p>
      <w:pPr>
        <w:pStyle w:val="Normal"/>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sz w:val="22"/>
          <w:szCs w:val="22"/>
        </w:rPr>
      </w:pPr>
      <w:r>
        <w:rPr>
          <w:rFonts w:ascii="Times New Roman" w:hAnsi="Times New Roman"/>
          <w:b/>
          <w:sz w:val="22"/>
          <w:szCs w:val="22"/>
        </w:rPr>
        <w:t>C M O – 4ª Bda C Mec</w:t>
      </w:r>
    </w:p>
    <w:p>
      <w:pPr>
        <w:pStyle w:val="Normal"/>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sz w:val="22"/>
          <w:szCs w:val="22"/>
        </w:rPr>
      </w:pPr>
      <w:r>
        <w:rPr>
          <w:rFonts w:ascii="Times New Roman" w:hAnsi="Times New Roman"/>
          <w:b/>
          <w:sz w:val="22"/>
          <w:szCs w:val="22"/>
        </w:rPr>
        <w:t>10º REGIMENTO DE CAVALARIA MECANIZADO</w:t>
      </w:r>
    </w:p>
    <w:p>
      <w:pPr>
        <w:pStyle w:val="Normal"/>
        <w:pBdr>
          <w:top w:val="single" w:sz="4" w:space="0" w:color="1F497D"/>
          <w:left w:val="single" w:sz="4" w:space="4" w:color="1F497D"/>
          <w:bottom w:val="single" w:sz="4" w:space="1" w:color="1F497D"/>
          <w:right w:val="single" w:sz="4" w:space="4" w:color="1F497D"/>
        </w:pBdr>
        <w:tabs>
          <w:tab w:val="left" w:pos="0" w:leader="none"/>
        </w:tabs>
        <w:spacing w:lineRule="auto" w:line="276"/>
        <w:ind w:left="360" w:hanging="0"/>
        <w:jc w:val="center"/>
        <w:rPr>
          <w:rFonts w:ascii="Times New Roman" w:hAnsi="Times New Roman"/>
          <w:b/>
          <w:b/>
          <w:sz w:val="22"/>
          <w:szCs w:val="22"/>
        </w:rPr>
      </w:pPr>
      <w:r>
        <w:rPr>
          <w:rFonts w:ascii="Times New Roman" w:hAnsi="Times New Roman"/>
          <w:b/>
          <w:sz w:val="22"/>
          <w:szCs w:val="22"/>
        </w:rPr>
        <w:t>(Companhia de Cavalaria de Mato Grosso – 1839)</w:t>
      </w:r>
    </w:p>
    <w:p>
      <w:pPr>
        <w:pStyle w:val="Normal"/>
        <w:pBdr>
          <w:top w:val="single" w:sz="4" w:space="0" w:color="1F497D"/>
          <w:left w:val="single" w:sz="4" w:space="4" w:color="1F497D"/>
          <w:bottom w:val="single" w:sz="4" w:space="1" w:color="1F497D"/>
          <w:right w:val="single" w:sz="4" w:space="4" w:color="1F497D"/>
        </w:pBdr>
        <w:tabs>
          <w:tab w:val="left" w:pos="0" w:leader="none"/>
          <w:tab w:val="left" w:pos="4820" w:leader="none"/>
          <w:tab w:val="left" w:pos="5954" w:leader="none"/>
        </w:tabs>
        <w:spacing w:lineRule="auto" w:line="276"/>
        <w:ind w:left="360" w:hanging="0"/>
        <w:jc w:val="center"/>
        <w:rPr>
          <w:rFonts w:ascii="Times New Roman" w:hAnsi="Times New Roman"/>
          <w:b/>
          <w:b/>
          <w:sz w:val="22"/>
          <w:szCs w:val="22"/>
        </w:rPr>
      </w:pPr>
      <w:r>
        <w:rPr>
          <w:rFonts w:ascii="Times New Roman" w:hAnsi="Times New Roman"/>
          <w:b/>
          <w:sz w:val="22"/>
          <w:szCs w:val="22"/>
        </w:rPr>
        <w:t>REGIMENTO ANTÔNIO JOÃO</w:t>
      </w:r>
    </w:p>
    <w:p>
      <w:pPr>
        <w:pStyle w:val="Legenda1"/>
        <w:rPr/>
      </w:pPr>
      <w:r>
        <w:rPr/>
      </w:r>
    </w:p>
    <w:p>
      <w:pPr>
        <w:pStyle w:val="Normal"/>
        <w:spacing w:lineRule="auto" w:line="276"/>
        <w:jc w:val="center"/>
        <w:rPr/>
      </w:pPr>
      <w:r>
        <w:rPr>
          <w:rFonts w:cs="Arial"/>
          <w:b/>
          <w:bCs/>
          <w:color w:val="000000"/>
          <w:szCs w:val="20"/>
        </w:rPr>
        <w:t xml:space="preserve">AVISO DE DISPENSA ELETRÔNICA Nº </w:t>
      </w:r>
      <w:r>
        <w:rPr>
          <w:rFonts w:cs="Arial"/>
          <w:b/>
          <w:bCs/>
          <w:color w:val="000000"/>
          <w:szCs w:val="20"/>
        </w:rPr>
        <w:t>77</w:t>
      </w:r>
      <w:r>
        <w:rPr>
          <w:rFonts w:cs="Arial"/>
          <w:b/>
          <w:bCs/>
          <w:color w:val="000000"/>
          <w:szCs w:val="20"/>
        </w:rPr>
        <w:t>/2021</w:t>
      </w:r>
    </w:p>
    <w:p>
      <w:pPr>
        <w:pStyle w:val="Normal"/>
        <w:spacing w:lineRule="auto" w:line="276" w:before="0" w:after="120"/>
        <w:ind w:right="-15" w:hanging="0"/>
        <w:jc w:val="center"/>
        <w:rPr/>
      </w:pPr>
      <w:r>
        <w:rPr>
          <w:rFonts w:cs="Arial"/>
          <w:b/>
          <w:bCs/>
          <w:color w:val="000000"/>
          <w:szCs w:val="20"/>
        </w:rPr>
        <w:t>(Processo Administrativo n.° 64679.007247/2021-08)</w:t>
      </w:r>
    </w:p>
    <w:p>
      <w:pPr>
        <w:pStyle w:val="Normal"/>
        <w:rPr>
          <w:rFonts w:cs="Arial"/>
        </w:rPr>
      </w:pPr>
      <w:r>
        <w:rPr>
          <w:rFonts w:cs="Arial"/>
        </w:rPr>
      </w:r>
    </w:p>
    <w:p>
      <w:pPr>
        <w:pStyle w:val="Normal"/>
        <w:snapToGrid w:val="false"/>
        <w:spacing w:lineRule="auto" w:line="276" w:before="0" w:after="120"/>
        <w:ind w:right="-30" w:firstLine="540"/>
        <w:rPr/>
      </w:pPr>
      <w:r>
        <w:rPr>
          <w:rFonts w:cs="Arial"/>
          <w:color w:val="000000"/>
          <w:szCs w:val="20"/>
        </w:rPr>
        <w:t xml:space="preserve">Torna-se público que o 10º Regimento de Cavalaria Mecanizado, por meio da Seção de Aquisições, Licitações e Contratos, realizará Dispensa Eletrônica, </w:t>
      </w:r>
      <w:r>
        <w:rPr>
          <w:rFonts w:cs="Arial"/>
          <w:bCs/>
          <w:color w:val="000000"/>
          <w:szCs w:val="20"/>
        </w:rPr>
        <w:t xml:space="preserve">com critério de julgamento </w:t>
      </w:r>
      <w:r>
        <w:rPr>
          <w:rFonts w:cs="Arial"/>
          <w:i/>
          <w:color w:val="FF0000"/>
          <w:szCs w:val="20"/>
        </w:rPr>
        <w:t>menor preço</w:t>
      </w:r>
      <w:r>
        <w:rPr>
          <w:rFonts w:cs="Arial"/>
          <w:b/>
          <w:bCs/>
          <w:i/>
          <w:color w:val="FF0000"/>
          <w:szCs w:val="20"/>
        </w:rPr>
        <w:t xml:space="preserve">, </w:t>
      </w:r>
      <w:r>
        <w:rPr>
          <w:rFonts w:cs="Arial"/>
          <w:color w:val="000000"/>
          <w:szCs w:val="20"/>
        </w:rPr>
        <w:t>na hipótese do art. 75</w:t>
      </w:r>
      <w:r>
        <w:rPr>
          <w:rFonts w:cs="Arial"/>
          <w:i/>
          <w:iCs/>
          <w:color w:val="000000"/>
          <w:szCs w:val="20"/>
        </w:rPr>
        <w:t xml:space="preserve">, </w:t>
      </w:r>
      <w:r>
        <w:rPr>
          <w:rFonts w:cs="Arial"/>
          <w:i/>
          <w:iCs/>
          <w:color w:val="FF0000"/>
          <w:szCs w:val="20"/>
        </w:rPr>
        <w:t xml:space="preserve">inciso </w:t>
      </w:r>
      <w:r>
        <w:rPr>
          <w:rFonts w:cs="Arial"/>
          <w:b/>
          <w:i/>
          <w:iCs/>
          <w:color w:val="FF0000"/>
          <w:szCs w:val="20"/>
        </w:rPr>
        <w:t>II</w:t>
      </w:r>
      <w:r>
        <w:rPr>
          <w:rFonts w:cs="Arial"/>
          <w:i/>
          <w:iCs/>
          <w:color w:val="FF0000"/>
          <w:szCs w:val="20"/>
        </w:rPr>
        <w:t>,</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rPr/>
      </w:pPr>
      <w:r>
        <w:rPr>
          <w:rFonts w:cs="Arial"/>
          <w:color w:val="000000"/>
          <w:szCs w:val="20"/>
        </w:rPr>
        <w:t xml:space="preserve">Data da sessão: </w:t>
      </w:r>
      <w:r>
        <w:rPr>
          <w:rFonts w:cs="Arial"/>
          <w:color w:val="000000"/>
          <w:szCs w:val="20"/>
        </w:rPr>
        <w:t>10</w:t>
      </w:r>
      <w:r>
        <w:rPr>
          <w:rFonts w:cs="Arial"/>
          <w:color w:val="000000"/>
          <w:szCs w:val="20"/>
        </w:rPr>
        <w:t xml:space="preserve"> de novembro de 2021</w:t>
      </w:r>
    </w:p>
    <w:p>
      <w:pPr>
        <w:pStyle w:val="Normal"/>
        <w:rPr/>
      </w:pPr>
      <w:r>
        <w:rPr>
          <w:rFonts w:cs="Arial"/>
          <w:color w:val="000000"/>
          <w:szCs w:val="20"/>
        </w:rPr>
        <w:t xml:space="preserve">Link: </w:t>
      </w:r>
      <w:r>
        <w:rPr>
          <w:rFonts w:cs="Arial"/>
          <w:b/>
          <w:bCs/>
          <w:color w:val="000000"/>
          <w:szCs w:val="20"/>
          <w:u w:val="single"/>
        </w:rPr>
        <w:t>https://www.gov.br/compras/pt-br/</w:t>
      </w:r>
    </w:p>
    <w:p>
      <w:pPr>
        <w:pStyle w:val="Normal"/>
        <w:rPr/>
      </w:pPr>
      <w:r>
        <w:rPr>
          <w:rFonts w:cs="Arial"/>
          <w:color w:val="000000"/>
          <w:szCs w:val="20"/>
        </w:rPr>
        <w:t>Horário da Fase de Lances: 8:00 às 16:00</w:t>
      </w:r>
      <w:r>
        <w:rPr>
          <w:rFonts w:cs="Arial"/>
          <w:b/>
        </w:rPr>
        <w:tab/>
      </w:r>
    </w:p>
    <w:p>
      <w:pPr>
        <w:pStyle w:val="PADRO"/>
        <w:widowControl/>
        <w:numPr>
          <w:ilvl w:val="0"/>
          <w:numId w:val="1"/>
        </w:numPr>
        <w:shd w:fill="FFFFFF" w:val="clear"/>
        <w:spacing w:before="120" w:after="120"/>
        <w:jc w:val="left"/>
        <w:rPr>
          <w:rFonts w:ascii="Arial" w:hAnsi="Arial" w:cs="Arial"/>
          <w:b/>
          <w:b/>
        </w:rPr>
      </w:pPr>
      <w:r>
        <w:rPr>
          <w:rFonts w:cs="Arial" w:ascii="Arial" w:hAnsi="Arial"/>
          <w:b/>
        </w:rPr>
        <w:t>OBJETO DA CONTRATAÇÃO DIRETA</w:t>
      </w:r>
    </w:p>
    <w:p>
      <w:pPr>
        <w:pStyle w:val="PADRO"/>
        <w:widowControl/>
        <w:numPr>
          <w:ilvl w:val="1"/>
          <w:numId w:val="1"/>
        </w:numPr>
        <w:shd w:fill="FFFFFF" w:val="clear"/>
        <w:spacing w:before="120" w:after="120"/>
        <w:ind w:left="792" w:hanging="650"/>
        <w:jc w:val="left"/>
        <w:rPr/>
      </w:pPr>
      <w:r>
        <w:rPr>
          <w:rFonts w:cs="Arial" w:ascii="Arial" w:hAnsi="Arial"/>
          <w:color w:val="000000"/>
          <w:szCs w:val="20"/>
        </w:rPr>
        <w:t xml:space="preserve">O objeto da presente dispensa é a escolha da proposta mais vantajosa para a </w:t>
      </w:r>
      <w:r>
        <w:rPr>
          <w:rFonts w:cs="Arial" w:ascii="Arial" w:hAnsi="Arial"/>
          <w:color w:val="FF0000"/>
          <w:szCs w:val="20"/>
        </w:rPr>
        <w:t>contratação</w:t>
      </w:r>
      <w:r>
        <w:rPr>
          <w:rFonts w:cs="Arial" w:ascii="Arial" w:hAnsi="Arial"/>
          <w:color w:val="000000"/>
          <w:szCs w:val="20"/>
        </w:rPr>
        <w:t xml:space="preserve"> por dispensa de licitação de </w:t>
      </w:r>
      <w:r>
        <w:rPr>
          <w:rFonts w:cs="Arial" w:ascii="Arial" w:hAnsi="Arial"/>
          <w:b/>
          <w:bCs/>
          <w:i/>
          <w:iCs/>
          <w:color w:val="000000"/>
          <w:szCs w:val="20"/>
          <w:u w:val="single"/>
        </w:rPr>
        <w:t>AQUISIÇÃO DE VENTILADOR DE COLUNA E ASPIRADOR DE PÓ/LIQUIDO PARA A FORMAÇÃO SANITÁRIA 10º RCMEC</w:t>
      </w:r>
      <w:r>
        <w:rPr>
          <w:rFonts w:cs="Arial" w:ascii="Arial" w:hAnsi="Arial"/>
          <w:b/>
          <w:bCs/>
          <w:color w:val="000000"/>
          <w:szCs w:val="20"/>
        </w:rPr>
        <w:t>,</w:t>
      </w:r>
      <w:r>
        <w:rPr>
          <w:rFonts w:cs="Arial" w:ascii="Arial" w:hAnsi="Arial"/>
          <w:color w:val="000000"/>
          <w:szCs w:val="20"/>
        </w:rPr>
        <w:t xml:space="preserve"> conforme condições, quantidades e exigências estabelecidas neste Aviso de Contratação Direta e seus anexos.</w:t>
      </w:r>
    </w:p>
    <w:p>
      <w:pPr>
        <w:pStyle w:val="PADRO"/>
        <w:widowControl/>
        <w:numPr>
          <w:ilvl w:val="1"/>
          <w:numId w:val="1"/>
        </w:numPr>
        <w:shd w:fill="FFFFFF" w:val="clear"/>
        <w:spacing w:before="120" w:after="120"/>
        <w:ind w:left="792" w:hanging="650"/>
        <w:jc w:val="left"/>
        <w:rPr/>
      </w:pPr>
      <w:r>
        <w:rPr>
          <w:rFonts w:cs="Arial" w:ascii="Arial" w:hAnsi="Arial"/>
          <w:i/>
          <w:iCs/>
          <w:color w:val="FF0000"/>
          <w:szCs w:val="20"/>
        </w:rPr>
        <w:t>A contratação será dividida em 10 (dez) itens</w:t>
      </w:r>
      <w:r>
        <w:rPr>
          <w:rFonts w:cs="Arial" w:ascii="Arial" w:hAnsi="Arial"/>
          <w:b/>
          <w:bCs/>
          <w:i/>
          <w:iCs/>
          <w:color w:val="FF0000"/>
          <w:szCs w:val="20"/>
        </w:rPr>
        <w:t>,</w:t>
      </w:r>
      <w:r>
        <w:rPr>
          <w:rFonts w:cs="Arial" w:ascii="Arial" w:hAnsi="Arial"/>
          <w:i/>
          <w:iCs/>
          <w:color w:val="FF0000"/>
          <w:szCs w:val="20"/>
        </w:rPr>
        <w:t xml:space="preserve"> conforme tabela constante abaixo.</w:t>
      </w:r>
    </w:p>
    <w:tbl>
      <w:tblPr>
        <w:tblW w:w="9870" w:type="dxa"/>
        <w:jc w:val="left"/>
        <w:tblInd w:w="-52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3" w:type="dxa"/>
          <w:bottom w:w="0" w:type="dxa"/>
          <w:right w:w="108" w:type="dxa"/>
        </w:tblCellMar>
        <w:tblLook w:val="0000"/>
      </w:tblPr>
      <w:tblGrid>
        <w:gridCol w:w="709"/>
        <w:gridCol w:w="2256"/>
        <w:gridCol w:w="1084"/>
        <w:gridCol w:w="1206"/>
        <w:gridCol w:w="655"/>
        <w:gridCol w:w="1283"/>
        <w:gridCol w:w="1340"/>
        <w:gridCol w:w="1335"/>
      </w:tblGrid>
      <w:tr>
        <w:trPr/>
        <w:tc>
          <w:tcPr>
            <w:tcW w:w="7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ITEM</w:t>
            </w:r>
          </w:p>
          <w:p>
            <w:pPr>
              <w:pStyle w:val="Normal"/>
              <w:widowControl w:val="false"/>
              <w:suppressAutoHyphens w:val="true"/>
              <w:rPr>
                <w:rFonts w:cs="Arial"/>
                <w:b/>
                <w:b/>
                <w:bCs/>
                <w:color w:val="000000"/>
                <w:szCs w:val="20"/>
              </w:rPr>
            </w:pPr>
            <w:r>
              <w:rPr>
                <w:rFonts w:cs="Arial"/>
                <w:b/>
                <w:bCs/>
                <w:color w:val="000000"/>
                <w:szCs w:val="20"/>
              </w:rPr>
            </w:r>
          </w:p>
        </w:tc>
        <w:tc>
          <w:tcPr>
            <w:tcW w:w="2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rPr>
                <w:rFonts w:cs="Arial"/>
                <w:b/>
                <w:b/>
                <w:bCs/>
                <w:color w:val="000000"/>
                <w:szCs w:val="20"/>
              </w:rPr>
            </w:pPr>
            <w:r>
              <w:rPr>
                <w:rFonts w:cs="Arial"/>
                <w:b/>
                <w:bCs/>
                <w:color w:val="000000"/>
                <w:szCs w:val="20"/>
              </w:rPr>
              <w:t>DESCRIÇÃO/</w:t>
            </w:r>
          </w:p>
          <w:p>
            <w:pPr>
              <w:pStyle w:val="Normal"/>
              <w:widowControl w:val="false"/>
              <w:suppressAutoHyphens w:val="true"/>
              <w:rPr>
                <w:rFonts w:cs="Arial"/>
                <w:b/>
                <w:b/>
                <w:bCs/>
                <w:color w:val="000000"/>
                <w:szCs w:val="20"/>
              </w:rPr>
            </w:pPr>
            <w:r>
              <w:rPr>
                <w:rFonts w:cs="Arial"/>
                <w:b/>
                <w:bCs/>
                <w:color w:val="000000"/>
                <w:szCs w:val="20"/>
              </w:rPr>
              <w:t>ESPECIFICAÇÃO</w:t>
            </w:r>
          </w:p>
        </w:tc>
        <w:tc>
          <w:tcPr>
            <w:tcW w:w="10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CATSER/</w:t>
            </w:r>
          </w:p>
          <w:p>
            <w:pPr>
              <w:pStyle w:val="Normal"/>
              <w:widowControl w:val="false"/>
              <w:suppressAutoHyphens w:val="true"/>
              <w:rPr>
                <w:rFonts w:cs="Arial"/>
                <w:b/>
                <w:b/>
                <w:bCs/>
                <w:color w:val="000000"/>
                <w:szCs w:val="20"/>
              </w:rPr>
            </w:pPr>
            <w:r>
              <w:rPr>
                <w:rFonts w:cs="Arial"/>
                <w:b/>
                <w:bCs/>
                <w:color w:val="000000"/>
                <w:szCs w:val="20"/>
              </w:rPr>
              <w:t>CATMAT</w:t>
            </w:r>
          </w:p>
        </w:tc>
        <w:tc>
          <w:tcPr>
            <w:tcW w:w="12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UNIDADE DE MEDIDA</w:t>
            </w:r>
          </w:p>
        </w:tc>
        <w:tc>
          <w:tcPr>
            <w:tcW w:w="6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QTD</w:t>
            </w:r>
          </w:p>
        </w:tc>
        <w:tc>
          <w:tcPr>
            <w:tcW w:w="12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PREÇO ESTIMADO</w:t>
            </w:r>
          </w:p>
        </w:tc>
        <w:tc>
          <w:tcPr>
            <w:tcW w:w="134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LOCAL DE EXECUÇÃO</w:t>
            </w:r>
          </w:p>
        </w:tc>
        <w:tc>
          <w:tcPr>
            <w:tcW w:w="13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rPr>
                <w:rFonts w:cs="Arial"/>
                <w:b/>
                <w:b/>
                <w:bCs/>
                <w:color w:val="000000"/>
                <w:szCs w:val="20"/>
              </w:rPr>
            </w:pPr>
            <w:r>
              <w:rPr>
                <w:rFonts w:cs="Arial"/>
                <w:b/>
                <w:bCs/>
                <w:color w:val="000000"/>
                <w:szCs w:val="20"/>
              </w:rPr>
              <w:t>PRAZO DE EXECUÇÃO</w:t>
            </w:r>
          </w:p>
        </w:tc>
      </w:tr>
      <w:tr>
        <w:trPr/>
        <w:tc>
          <w:tcPr>
            <w:tcW w:w="7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1</w:t>
            </w:r>
          </w:p>
        </w:tc>
        <w:tc>
          <w:tcPr>
            <w:tcW w:w="2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jc w:val="both"/>
              <w:rPr>
                <w:rFonts w:ascii="Times New Roman" w:hAnsi="Times New Roman" w:cs="Times New Roman"/>
                <w:sz w:val="24"/>
              </w:rPr>
            </w:pPr>
            <w:r>
              <w:rPr>
                <w:rFonts w:cs="Times New Roman" w:ascii="Times New Roman" w:hAnsi="Times New Roman"/>
                <w:sz w:val="24"/>
              </w:rPr>
              <w:t>Ventilador tipo: coluna, diâmetro: 40cm, 3 velocidades, tensão: 220V</w:t>
            </w:r>
          </w:p>
        </w:tc>
        <w:tc>
          <w:tcPr>
            <w:tcW w:w="10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338216</w:t>
            </w:r>
          </w:p>
        </w:tc>
        <w:tc>
          <w:tcPr>
            <w:tcW w:w="12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jc w:val="center"/>
              <w:rPr>
                <w:rFonts w:ascii="Times New Roman" w:hAnsi="Times New Roman" w:cs="Times New Roman"/>
                <w:sz w:val="24"/>
              </w:rPr>
            </w:pPr>
            <w:r>
              <w:rPr>
                <w:rFonts w:cs="Times New Roman" w:ascii="Times New Roman" w:hAnsi="Times New Roman"/>
                <w:color w:val="000000"/>
                <w:sz w:val="24"/>
                <w:lang w:val="en-US"/>
              </w:rPr>
              <w:t xml:space="preserve"> </w:t>
            </w:r>
            <w:r>
              <w:rPr>
                <w:rFonts w:cs="Times New Roman" w:ascii="Times New Roman" w:hAnsi="Times New Roman"/>
                <w:color w:val="000000"/>
                <w:sz w:val="24"/>
                <w:lang w:val="en-US"/>
              </w:rPr>
              <w:t>Unidade</w:t>
            </w:r>
          </w:p>
        </w:tc>
        <w:tc>
          <w:tcPr>
            <w:tcW w:w="6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01</w:t>
            </w:r>
          </w:p>
        </w:tc>
        <w:tc>
          <w:tcPr>
            <w:tcW w:w="12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color w:val="000000"/>
                <w:sz w:val="24"/>
              </w:rPr>
              <w:t>R$ 385,90</w:t>
            </w:r>
          </w:p>
        </w:tc>
        <w:tc>
          <w:tcPr>
            <w:tcW w:w="134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color w:val="000000"/>
                <w:sz w:val="24"/>
              </w:rPr>
            </w:pPr>
            <w:r>
              <w:rPr>
                <w:rFonts w:cs="Times New Roman" w:ascii="Times New Roman" w:hAnsi="Times New Roman"/>
                <w:color w:val="000000"/>
                <w:sz w:val="24"/>
              </w:rPr>
              <w:t>10º RCMec</w:t>
            </w:r>
          </w:p>
        </w:tc>
        <w:tc>
          <w:tcPr>
            <w:tcW w:w="13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color w:val="000000"/>
                <w:sz w:val="24"/>
              </w:rPr>
            </w:pPr>
            <w:r>
              <w:rPr>
                <w:rFonts w:cs="Times New Roman" w:ascii="Times New Roman" w:hAnsi="Times New Roman"/>
                <w:color w:val="000000"/>
                <w:sz w:val="24"/>
              </w:rPr>
              <w:t>20 dias</w:t>
            </w:r>
          </w:p>
        </w:tc>
      </w:tr>
      <w:tr>
        <w:trPr/>
        <w:tc>
          <w:tcPr>
            <w:tcW w:w="70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2</w:t>
            </w:r>
          </w:p>
        </w:tc>
        <w:tc>
          <w:tcPr>
            <w:tcW w:w="2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jc w:val="both"/>
              <w:rPr>
                <w:rFonts w:ascii="Times New Roman" w:hAnsi="Times New Roman" w:cs="Times New Roman"/>
                <w:sz w:val="24"/>
              </w:rPr>
            </w:pPr>
            <w:r>
              <w:rPr>
                <w:rFonts w:cs="Times New Roman" w:ascii="Times New Roman" w:hAnsi="Times New Roman"/>
                <w:sz w:val="24"/>
              </w:rPr>
              <w:t>Aspirador de pó/liquido, potência: 1.400W, capacidade: 20L, tensão: 127/220V.</w:t>
            </w:r>
          </w:p>
        </w:tc>
        <w:tc>
          <w:tcPr>
            <w:tcW w:w="10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305367</w:t>
            </w:r>
          </w:p>
        </w:tc>
        <w:tc>
          <w:tcPr>
            <w:tcW w:w="12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jc w:val="center"/>
              <w:rPr>
                <w:rFonts w:ascii="Times New Roman" w:hAnsi="Times New Roman" w:cs="Times New Roman"/>
                <w:color w:val="000000"/>
                <w:sz w:val="24"/>
              </w:rPr>
            </w:pPr>
            <w:r>
              <w:rPr>
                <w:rFonts w:cs="Times New Roman" w:ascii="Times New Roman" w:hAnsi="Times New Roman"/>
                <w:color w:val="000000"/>
                <w:sz w:val="24"/>
              </w:rPr>
              <w:t>Unidade</w:t>
            </w:r>
          </w:p>
        </w:tc>
        <w:tc>
          <w:tcPr>
            <w:tcW w:w="6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sz w:val="24"/>
              </w:rPr>
            </w:pPr>
            <w:r>
              <w:rPr>
                <w:rFonts w:cs="Times New Roman" w:ascii="Times New Roman" w:hAnsi="Times New Roman"/>
                <w:sz w:val="24"/>
              </w:rPr>
              <w:t>01</w:t>
            </w:r>
          </w:p>
        </w:tc>
        <w:tc>
          <w:tcPr>
            <w:tcW w:w="12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color w:val="000000"/>
                <w:sz w:val="24"/>
              </w:rPr>
            </w:pPr>
            <w:r>
              <w:rPr>
                <w:rFonts w:cs="Times New Roman" w:ascii="Times New Roman" w:hAnsi="Times New Roman"/>
                <w:color w:val="000000"/>
                <w:sz w:val="24"/>
              </w:rPr>
              <w:t>R$ 545,90</w:t>
            </w:r>
          </w:p>
        </w:tc>
        <w:tc>
          <w:tcPr>
            <w:tcW w:w="134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color w:val="000000"/>
                <w:sz w:val="24"/>
              </w:rPr>
            </w:pPr>
            <w:r>
              <w:rPr>
                <w:rFonts w:cs="Times New Roman" w:ascii="Times New Roman" w:hAnsi="Times New Roman"/>
                <w:color w:val="000000"/>
                <w:sz w:val="24"/>
              </w:rPr>
              <w:t>10º RCMec</w:t>
            </w:r>
          </w:p>
        </w:tc>
        <w:tc>
          <w:tcPr>
            <w:tcW w:w="13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83" w:type="dxa"/>
            </w:tcMar>
            <w:vAlign w:val="center"/>
          </w:tcPr>
          <w:p>
            <w:pPr>
              <w:pStyle w:val="Normal"/>
              <w:widowControl w:val="false"/>
              <w:suppressAutoHyphens w:val="true"/>
              <w:spacing w:lineRule="auto" w:line="276" w:before="0" w:after="120"/>
              <w:rPr>
                <w:rFonts w:ascii="Times New Roman" w:hAnsi="Times New Roman" w:cs="Times New Roman"/>
                <w:color w:val="000000"/>
                <w:sz w:val="24"/>
              </w:rPr>
            </w:pPr>
            <w:r>
              <w:rPr>
                <w:rFonts w:cs="Times New Roman" w:ascii="Times New Roman" w:hAnsi="Times New Roman"/>
                <w:color w:val="000000"/>
                <w:sz w:val="24"/>
              </w:rPr>
              <w:t>20 dias</w:t>
            </w:r>
          </w:p>
        </w:tc>
      </w:tr>
    </w:tbl>
    <w:p>
      <w:pPr>
        <w:pStyle w:val="Legenda1"/>
        <w:rPr/>
      </w:pPr>
      <w:r>
        <w:rPr/>
      </w:r>
    </w:p>
    <w:p>
      <w:pPr>
        <w:pStyle w:val="PADRO"/>
        <w:widowControl/>
        <w:numPr>
          <w:ilvl w:val="2"/>
          <w:numId w:val="1"/>
        </w:numPr>
        <w:shd w:fill="FFFFFF" w:val="clear"/>
        <w:spacing w:before="120" w:after="120"/>
        <w:ind w:left="426" w:hanging="0"/>
        <w:jc w:val="left"/>
        <w:rPr>
          <w:rFonts w:ascii="Arial" w:hAnsi="Arial" w:cs="Arial"/>
          <w:szCs w:val="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hd w:fill="FFFFFF" w:val="clear"/>
        <w:spacing w:before="120" w:after="120"/>
        <w:ind w:left="426" w:hanging="0"/>
        <w:jc w:val="left"/>
        <w:rPr/>
      </w:pPr>
      <w:r>
        <w:rPr>
          <w:rFonts w:cs="Arial" w:ascii="Arial" w:hAnsi="Arial"/>
          <w:szCs w:val="20"/>
        </w:rPr>
        <w:t xml:space="preserve">O critério de julgamento adotado será o </w:t>
      </w:r>
      <w:r>
        <w:rPr>
          <w:rFonts w:cs="Arial" w:ascii="Arial" w:hAnsi="Arial"/>
          <w:i/>
          <w:iCs/>
          <w:color w:val="FF0000"/>
          <w:szCs w:val="20"/>
        </w:rPr>
        <w:t>menor preço,</w:t>
      </w:r>
      <w:r>
        <w:rPr>
          <w:rFonts w:cs="Arial" w:ascii="Arial" w:hAnsi="Arial"/>
          <w:szCs w:val="20"/>
        </w:rPr>
        <w:t>observadas as exigências contidas neste Aviso de Contratação Direta conforme item 1.2 quanto às especificações do objeto.</w:t>
      </w:r>
    </w:p>
    <w:p>
      <w:pPr>
        <w:pStyle w:val="PADRO"/>
        <w:widowControl/>
        <w:numPr>
          <w:ilvl w:val="0"/>
          <w:numId w:val="1"/>
        </w:numPr>
        <w:shd w:fill="FFFFFF" w:val="clear"/>
        <w:spacing w:before="120" w:after="120"/>
        <w:ind w:left="426" w:hanging="0"/>
        <w:jc w:val="left"/>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6" w:hanging="0"/>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b/>
          <w:bCs/>
          <w:szCs w:val="20"/>
          <w:u w:val="single"/>
        </w:rPr>
        <w:t>https://pncp.gov.br/</w:t>
      </w:r>
    </w:p>
    <w:p>
      <w:pPr>
        <w:pStyle w:val="Normal"/>
        <w:numPr>
          <w:ilvl w:val="2"/>
          <w:numId w:val="1"/>
        </w:numPr>
        <w:snapToGrid w:val="false"/>
        <w:spacing w:lineRule="auto" w:line="276" w:before="120" w:after="120"/>
        <w:ind w:left="426" w:hanging="0"/>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ind w:left="426" w:hanging="0"/>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6" w:hanging="0"/>
        <w:rPr>
          <w:rFonts w:cs="Arial"/>
          <w:color w:val="000000"/>
          <w:szCs w:val="20"/>
        </w:rPr>
      </w:pPr>
      <w:r>
        <w:rPr>
          <w:rFonts w:cs="Arial"/>
          <w:color w:val="000000"/>
          <w:szCs w:val="20"/>
        </w:rPr>
        <w:t>Não poderão participar desta dispensa os fornecedores:</w:t>
      </w:r>
    </w:p>
    <w:p>
      <w:pPr>
        <w:pStyle w:val="Normal"/>
        <w:numPr>
          <w:ilvl w:val="2"/>
          <w:numId w:val="1"/>
        </w:numPr>
        <w:spacing w:lineRule="auto" w:line="276" w:before="120" w:after="120"/>
        <w:ind w:left="426" w:hanging="0"/>
        <w:rPr>
          <w:rFonts w:cs="Arial"/>
          <w:color w:val="000000"/>
          <w:szCs w:val="20"/>
        </w:rPr>
      </w:pPr>
      <w:r>
        <w:rPr>
          <w:rFonts w:cs="Arial"/>
          <w:color w:val="000000"/>
          <w:szCs w:val="20"/>
        </w:rPr>
        <w:t>que não atendam às condições deste Aviso de Contratação Direta;</w:t>
      </w:r>
    </w:p>
    <w:p>
      <w:pPr>
        <w:pStyle w:val="Normal"/>
        <w:numPr>
          <w:ilvl w:val="2"/>
          <w:numId w:val="1"/>
        </w:numPr>
        <w:spacing w:lineRule="auto" w:line="276" w:before="120" w:after="120"/>
        <w:ind w:left="426" w:hanging="0"/>
        <w:rPr>
          <w:rFonts w:cs="Arial"/>
          <w:color w:val="000000"/>
          <w:szCs w:val="20"/>
        </w:rPr>
      </w:pPr>
      <w:r>
        <w:rPr>
          <w:rFonts w:cs="Arial"/>
          <w:color w:val="000000"/>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ind w:left="426" w:hanging="0"/>
        <w:rPr>
          <w:rFonts w:cs="Arial"/>
          <w:color w:val="000000"/>
          <w:szCs w:val="20"/>
        </w:rPr>
      </w:pPr>
      <w:r>
        <w:rPr>
          <w:rFonts w:cs="Arial"/>
          <w:color w:val="000000"/>
          <w:szCs w:val="20"/>
        </w:rPr>
        <w:t>que se enquadrem nas seguintes vedações:</w:t>
      </w:r>
    </w:p>
    <w:p>
      <w:pPr>
        <w:pStyle w:val="Normal"/>
        <w:numPr>
          <w:ilvl w:val="3"/>
          <w:numId w:val="4"/>
        </w:numPr>
        <w:spacing w:lineRule="auto" w:line="276" w:before="120" w:after="120"/>
        <w:ind w:left="426" w:hanging="0"/>
        <w:rPr>
          <w:rFonts w:cs="Arial"/>
          <w:color w:val="000000"/>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ind w:left="426" w:hanging="0"/>
        <w:rPr>
          <w:rFonts w:cs="Arial"/>
          <w:color w:val="000000"/>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ind w:left="426" w:hanging="0"/>
        <w:rPr>
          <w:rFonts w:cs="Arial"/>
          <w:color w:val="000000"/>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ind w:left="709" w:hanging="364"/>
        <w:rPr>
          <w:rFonts w:cs="Arial"/>
          <w:color w:val="000000"/>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ind w:left="709" w:hanging="364"/>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ind w:left="709" w:hanging="364"/>
        <w:rPr>
          <w:rFonts w:cs="Arial"/>
          <w:color w:val="000000"/>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ind w:left="709" w:hanging="364"/>
        <w:rPr>
          <w:rFonts w:cs="Arial"/>
          <w:color w:val="000000"/>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ind w:left="709" w:hanging="364"/>
        <w:rPr>
          <w:rFonts w:cs="Arial"/>
          <w:color w:val="000000"/>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ind w:left="709" w:hanging="364"/>
        <w:rPr/>
      </w:pPr>
      <w:bookmarkStart w:id="0" w:name="_Hlk519667815"/>
      <w:bookmarkEnd w:id="0"/>
      <w:r>
        <w:rPr>
          <w:rFonts w:cs="Arial"/>
          <w:color w:val="000000"/>
          <w:szCs w:val="20"/>
        </w:rPr>
        <w:t>sociedades cooperativas.</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709" w:hanging="364"/>
        <w:rPr>
          <w:rFonts w:cs="Arial"/>
          <w:color w:val="000000"/>
          <w:szCs w:val="20"/>
        </w:rPr>
      </w:pPr>
      <w:r>
        <w:rPr>
          <w:rFonts w:cs="Arial"/>
          <w:color w:val="000000"/>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709" w:hanging="364"/>
        <w:rPr>
          <w:rFonts w:cs="Arial"/>
          <w:color w:val="000000"/>
          <w:szCs w:val="20"/>
        </w:rPr>
      </w:pPr>
      <w:r>
        <w:rPr>
          <w:rFonts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ind w:left="709" w:hanging="364"/>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709" w:hanging="364"/>
        <w:rPr/>
      </w:pPr>
      <w:r>
        <w:rPr>
          <w:rFonts w:cs="Arial"/>
          <w:szCs w:val="20"/>
        </w:rPr>
        <w:t xml:space="preserve">Todas as especificações do </w:t>
      </w:r>
      <w:r>
        <w:rPr>
          <w:rFonts w:cs="Arial"/>
          <w:color w:val="000000"/>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709" w:hanging="364"/>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ind w:left="709" w:hanging="364"/>
        <w:rPr>
          <w:rFonts w:cs="Arial"/>
          <w:b/>
          <w:b/>
          <w:bCs/>
          <w:szCs w:val="20"/>
          <w:u w:val="single"/>
        </w:rPr>
      </w:pPr>
      <w:r>
        <w:rPr>
          <w:rFonts w:cs="Arial"/>
          <w:b/>
          <w:bCs/>
          <w:szCs w:val="20"/>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709" w:hanging="364"/>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709" w:hanging="364"/>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709" w:hanging="364"/>
        <w:rPr/>
      </w:pPr>
      <w:r>
        <w:rPr>
          <w:rFonts w:cs="Arial"/>
          <w:szCs w:val="20"/>
        </w:rPr>
        <w:t xml:space="preserve">A apresentação das propostas implica obrigatoriedade do cumprimento das disposições nelas contidas, em conformidade com o que dispõe o neste </w:t>
      </w:r>
      <w:r>
        <w:rPr>
          <w:rFonts w:cs="Arial"/>
          <w:color w:val="000000"/>
          <w:szCs w:val="20"/>
        </w:rPr>
        <w:t>documento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709" w:hanging="364"/>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709" w:hanging="364"/>
        <w:rPr/>
      </w:pPr>
      <w:r>
        <w:rPr>
          <w:rFonts w:cs="Arial"/>
          <w:b/>
          <w:bCs/>
          <w:color w:val="000000"/>
          <w:szCs w:val="20"/>
        </w:rPr>
        <w:t xml:space="preserve">No cadastramento da proposta inicial, o fornecedor deverá, também, assinalar “sim” ou “não” em campo </w:t>
      </w:r>
      <w:r>
        <w:rPr>
          <w:rFonts w:cs="Arial"/>
          <w:b/>
          <w:bCs/>
          <w:szCs w:val="20"/>
        </w:rPr>
        <w:t>próprio</w:t>
      </w:r>
      <w:r>
        <w:rPr>
          <w:rFonts w:cs="Arial"/>
          <w:b/>
          <w:bCs/>
          <w:color w:val="000000"/>
          <w:szCs w:val="20"/>
        </w:rPr>
        <w:t xml:space="preserve"> do sistema eletrônico, às seguintes declarações:</w:t>
      </w:r>
    </w:p>
    <w:p>
      <w:pPr>
        <w:pStyle w:val="ListParagraph"/>
        <w:numPr>
          <w:ilvl w:val="0"/>
          <w:numId w:val="2"/>
        </w:numPr>
        <w:tabs>
          <w:tab w:val="left" w:pos="1440" w:leader="none"/>
        </w:tabs>
        <w:snapToGrid w:val="false"/>
        <w:spacing w:lineRule="auto" w:line="276" w:before="120" w:after="120"/>
        <w:ind w:left="709" w:hanging="364"/>
        <w:contextualSpacing/>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ind w:left="709" w:hanging="364"/>
        <w:contextualSpacing/>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ind w:left="709" w:hanging="364"/>
        <w:contextualSpacing/>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ind w:left="709" w:hanging="364"/>
        <w:contextualSpacing/>
        <w:rPr>
          <w:rFonts w:cs="Arial"/>
          <w:b/>
          <w:b/>
          <w:bCs/>
          <w:vanish/>
          <w:color w:val="000000"/>
          <w:szCs w:val="20"/>
        </w:rPr>
      </w:pPr>
      <w:r>
        <w:rPr>
          <w:rFonts w:cs="Arial"/>
          <w:b/>
          <w:bCs/>
          <w:vanish/>
          <w:color w:val="000000"/>
          <w:szCs w:val="20"/>
        </w:rPr>
      </w:r>
    </w:p>
    <w:p>
      <w:pPr>
        <w:pStyle w:val="Normal"/>
        <w:numPr>
          <w:ilvl w:val="2"/>
          <w:numId w:val="1"/>
        </w:numPr>
        <w:spacing w:lineRule="auto" w:line="276" w:before="120" w:after="120"/>
        <w:ind w:left="709" w:hanging="364"/>
        <w:rPr>
          <w:rFonts w:cs="Arial"/>
          <w:color w:val="000000"/>
          <w:szCs w:val="20"/>
        </w:rPr>
      </w:pPr>
      <w:r>
        <w:rPr>
          <w:rFonts w:cs="Arial"/>
          <w:color w:val="000000"/>
          <w:szCs w:val="20"/>
        </w:rPr>
        <w:t>que inexistem fatos impeditivos para sua habilitação no certame, ciente da obrigatoriedade de declarar ocorrências posteriores;</w:t>
      </w:r>
    </w:p>
    <w:p>
      <w:pPr>
        <w:pStyle w:val="Normal"/>
        <w:numPr>
          <w:ilvl w:val="2"/>
          <w:numId w:val="1"/>
        </w:numPr>
        <w:spacing w:lineRule="auto" w:line="276" w:before="120" w:after="120"/>
        <w:ind w:left="709" w:hanging="364"/>
        <w:rPr/>
      </w:pPr>
      <w:r>
        <w:rPr>
          <w:rFonts w:cs="Arial"/>
          <w:color w:val="000000"/>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que está ciente e concorda com as condições contidas no Aviso de Contratação Direta e seus anexos;</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que assume a responsabilidade pelas transações que forem efetuadas no sistema, assumindo como firmes e verdadeiras;</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ind w:left="709" w:hanging="364"/>
        <w:rPr>
          <w:rFonts w:cs="Arial"/>
          <w:i/>
          <w:i/>
          <w:color w:val="000000"/>
          <w:szCs w:val="20"/>
        </w:rPr>
      </w:pPr>
      <w:r>
        <w:rPr>
          <w:rFonts w:cs="Arial"/>
          <w:i/>
          <w:color w:val="000000"/>
          <w:szCs w:val="20"/>
        </w:rPr>
        <w:t>Fica facultado ao fornecedor, ao cadastrar sua proposta inicial, a parametrização de valor final mínimo, com o registro do seu lance final aceitável menor preço.</w:t>
      </w:r>
    </w:p>
    <w:p>
      <w:pPr>
        <w:pStyle w:val="Normal"/>
        <w:numPr>
          <w:ilvl w:val="2"/>
          <w:numId w:val="1"/>
        </w:numPr>
        <w:spacing w:lineRule="auto" w:line="276" w:before="120" w:after="120"/>
        <w:ind w:left="709" w:hanging="364"/>
        <w:rPr>
          <w:rFonts w:cs="Arial"/>
          <w:i/>
          <w:i/>
          <w:color w:val="00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ind w:left="709" w:hanging="364"/>
        <w:rPr>
          <w:rFonts w:cs="Arial"/>
          <w:i/>
          <w:i/>
          <w:color w:val="00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ind w:left="709" w:hanging="364"/>
        <w:rPr>
          <w:rFonts w:cs="Arial"/>
          <w:i/>
          <w:i/>
          <w:color w:val="00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ind w:left="709" w:hanging="364"/>
        <w:rPr>
          <w:rFonts w:cs="Arial"/>
          <w:i/>
          <w:i/>
          <w:color w:val="000000"/>
          <w:szCs w:val="2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FASE DE LANCES</w:t>
      </w:r>
    </w:p>
    <w:p>
      <w:pPr>
        <w:pStyle w:val="ListParagraph"/>
        <w:numPr>
          <w:ilvl w:val="1"/>
          <w:numId w:val="1"/>
        </w:numPr>
        <w:spacing w:lineRule="auto" w:line="276" w:before="120" w:after="120"/>
        <w:ind w:left="709" w:hanging="364"/>
        <w:contextualSpacing/>
        <w:rPr/>
      </w:pPr>
      <w:r>
        <w:rPr>
          <w:rFonts w:cs="Arial"/>
          <w:color w:val="000000"/>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szCs w:val="20"/>
          <w:lang w:eastAsia="en-US"/>
        </w:rPr>
        <w:t>sendo encerrado no horário de finalização de lances também já previsto neste aviso.</w:t>
      </w:r>
    </w:p>
    <w:p>
      <w:pPr>
        <w:pStyle w:val="ListParagraph"/>
        <w:numPr>
          <w:ilvl w:val="1"/>
          <w:numId w:val="1"/>
        </w:numPr>
        <w:spacing w:lineRule="auto" w:line="276" w:before="120" w:after="120"/>
        <w:ind w:left="709" w:hanging="364"/>
        <w:contextualSpacing/>
        <w:rPr>
          <w:rFonts w:cs="Arial"/>
          <w:color w:val="000000"/>
          <w:szCs w:val="20"/>
        </w:rPr>
      </w:pPr>
      <w:r>
        <w:rPr>
          <w:rFonts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ind w:left="709" w:hanging="364"/>
        <w:contextualSpacing/>
        <w:rPr>
          <w:rFonts w:cs="Arial"/>
          <w:b/>
          <w:b/>
          <w:bCs/>
          <w:i/>
          <w:i/>
          <w:iCs/>
          <w:color w:val="FF0000"/>
          <w:szCs w:val="20"/>
        </w:rPr>
      </w:pPr>
      <w:r>
        <w:rPr>
          <w:rFonts w:cs="Arial"/>
          <w:b/>
          <w:bCs/>
          <w:i/>
          <w:iCs/>
          <w:color w:val="FF0000"/>
          <w:szCs w:val="20"/>
        </w:rPr>
        <w:t>O lance deverá ser ofertado pelo VALOR TOTAL DO ITEM, SEMPRE ATENTANDO PARA DUAS CASAS DECIMAIS.</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ind w:left="709" w:hanging="364"/>
        <w:contextualSpacing/>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R$ 0,01 (um centavo)</w:t>
      </w:r>
      <w:r>
        <w:rPr>
          <w:rFonts w:cs="Arial"/>
          <w:i/>
          <w:iCs/>
          <w:color w:val="FF0000"/>
          <w:szCs w:val="20"/>
        </w:rPr>
        <w:t>.</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Caso o fornecedor não apresente lances, concorrerá com o valor de sua proposta.</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ind w:left="709" w:hanging="364"/>
        <w:contextualSpacing/>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ind w:left="709" w:hanging="364"/>
        <w:contextualSpacing/>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ind w:left="709" w:hanging="364"/>
        <w:contextualSpacing/>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ind w:left="709" w:hanging="364"/>
        <w:contextualSpacing/>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ind w:left="709" w:hanging="364"/>
        <w:contextualSpacing/>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ind w:left="709" w:hanging="364"/>
        <w:rPr/>
      </w:pPr>
      <w:r>
        <w:rPr>
          <w:rFonts w:cs="Arial"/>
          <w:color w:val="000000"/>
          <w:szCs w:val="20"/>
        </w:rPr>
        <w:t xml:space="preserve">O prazo de validade </w:t>
      </w:r>
      <w:r>
        <w:rPr>
          <w:rFonts w:cs="Arial"/>
          <w:szCs w:val="20"/>
        </w:rPr>
        <w:t>da</w:t>
      </w:r>
      <w:r>
        <w:rPr>
          <w:rFonts w:cs="Arial"/>
          <w:color w:val="000000"/>
          <w:szCs w:val="20"/>
        </w:rPr>
        <w:t xml:space="preserve"> proposta não será inferior a 60 </w:t>
      </w:r>
      <w:r>
        <w:rPr>
          <w:rFonts w:cs="Arial"/>
          <w:color w:val="FF0000"/>
          <w:szCs w:val="20"/>
        </w:rPr>
        <w:t>(sessenta)</w:t>
      </w:r>
      <w:r>
        <w:rPr>
          <w:rFonts w:cs="Arial"/>
          <w:color w:val="000000"/>
          <w:szCs w:val="20"/>
        </w:rPr>
        <w:t xml:space="preserve"> dias</w:t>
      </w:r>
      <w:r>
        <w:rPr>
          <w:rFonts w:cs="Arial"/>
          <w:b/>
          <w:bCs/>
          <w:color w:val="000000"/>
          <w:szCs w:val="20"/>
        </w:rPr>
        <w:t>,</w:t>
      </w:r>
      <w:r>
        <w:rPr>
          <w:rFonts w:cs="Arial"/>
          <w:color w:val="000000"/>
          <w:szCs w:val="20"/>
        </w:rPr>
        <w:t xml:space="preserve"> a contar da data de sua apresentação.</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 xml:space="preserve">Será desclassificada a proposta vencedora que: </w:t>
      </w:r>
    </w:p>
    <w:p>
      <w:pPr>
        <w:pStyle w:val="ListParagraph"/>
        <w:numPr>
          <w:ilvl w:val="2"/>
          <w:numId w:val="1"/>
        </w:numPr>
        <w:spacing w:lineRule="auto" w:line="276" w:before="120" w:after="120"/>
        <w:ind w:left="709" w:hanging="364"/>
        <w:contextualSpacing/>
        <w:rPr/>
      </w:pPr>
      <w:r>
        <w:rPr>
          <w:rFonts w:cs="Arial"/>
          <w:color w:val="000000"/>
          <w:szCs w:val="20"/>
        </w:rPr>
        <w:t>contiver vícios insanáveis</w:t>
      </w:r>
      <w:r>
        <w:rPr>
          <w:rFonts w:cs="Arial"/>
          <w:iCs/>
          <w:color w:val="000000"/>
          <w:szCs w:val="20"/>
        </w:rPr>
        <w:t>;</w:t>
      </w:r>
    </w:p>
    <w:p>
      <w:pPr>
        <w:pStyle w:val="ListParagraph"/>
        <w:numPr>
          <w:ilvl w:val="2"/>
          <w:numId w:val="1"/>
        </w:numPr>
        <w:spacing w:lineRule="auto" w:line="276" w:before="120" w:after="120"/>
        <w:ind w:left="709" w:hanging="364"/>
        <w:contextualSpacing/>
        <w:rPr/>
      </w:pPr>
      <w:r>
        <w:rPr>
          <w:rFonts w:cs="Arial"/>
          <w:color w:val="000000"/>
          <w:szCs w:val="20"/>
        </w:rPr>
        <w:t>não obedecer às especificações técnicas pormenorizadas neste aviso</w:t>
      </w:r>
      <w:r>
        <w:rPr>
          <w:rFonts w:cs="Arial"/>
          <w:iCs/>
          <w:color w:val="000000"/>
          <w:szCs w:val="20"/>
        </w:rPr>
        <w:t>;</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ind w:left="709" w:hanging="364"/>
        <w:contextualSpacing/>
        <w:rPr/>
      </w:pPr>
      <w:r>
        <w:rPr>
          <w:rFonts w:cs="Arial"/>
          <w:color w:val="000000"/>
          <w:szCs w:val="20"/>
        </w:rPr>
        <w:t>não tiverem sua exequibilidade demonstrada, quando exigido pela Administração</w:t>
      </w:r>
      <w:r>
        <w:rPr>
          <w:rFonts w:cs="Arial"/>
          <w:iCs/>
          <w:color w:val="000000"/>
          <w:szCs w:val="20"/>
        </w:rPr>
        <w:t>;</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ind w:left="709" w:hanging="364"/>
        <w:contextualSpacing/>
        <w:rPr/>
      </w:pPr>
      <w:r>
        <w:rPr>
          <w:rFonts w:cs="Arial"/>
          <w:color w:val="000000"/>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ind w:left="709" w:hanging="364"/>
        <w:contextualSpacing/>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ind w:left="709" w:hanging="364"/>
        <w:contextualSpacing/>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09" w:right="-15" w:hanging="364"/>
        <w:contextualSpacing/>
        <w:rPr/>
      </w:pPr>
      <w:r>
        <w:rPr>
          <w:rFonts w:cs="Arial"/>
          <w:color w:val="000000"/>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ind w:left="709" w:hanging="364"/>
        <w:contextualSpacing/>
        <w:rPr/>
      </w:pPr>
      <w:r>
        <w:rPr>
          <w:rFonts w:cs="Arial"/>
          <w:color w:val="000000"/>
          <w:szCs w:val="20"/>
          <w:lang w:eastAsia="en-US"/>
        </w:rPr>
        <w:t xml:space="preserve">Erros no preenchimento da planilha não constituem motivo para a desclassificação da proposta. A planilha </w:t>
      </w:r>
      <w:r>
        <w:rPr>
          <w:rFonts w:cs="Arial"/>
          <w:szCs w:val="20"/>
        </w:rPr>
        <w:t>poderá</w:t>
      </w:r>
      <w:r>
        <w:rPr>
          <w:rFonts w:cs="Arial"/>
          <w:color w:val="000000"/>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ind w:left="709" w:hanging="364"/>
        <w:contextualSpacing/>
        <w:rPr>
          <w:rFonts w:cs="Arial"/>
          <w:color w:val="000000"/>
          <w:szCs w:val="20"/>
          <w:lang w:eastAsia="en-US"/>
        </w:rPr>
      </w:pPr>
      <w:r>
        <w:rPr>
          <w:rFonts w:cs="Arial"/>
          <w:color w:val="000000"/>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09" w:hanging="364"/>
        <w:contextualSpacing/>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709" w:hanging="364"/>
        <w:contextualSpacing/>
        <w:rPr>
          <w:rFonts w:cs="Arial"/>
          <w:szCs w:val="20"/>
          <w:lang w:eastAsia="ar-SA"/>
        </w:rPr>
      </w:pPr>
      <w:r>
        <w:rPr>
          <w:rFonts w:cs="Arial"/>
          <w:szCs w:val="20"/>
          <w:lang w:eastAsia="ar-SA"/>
        </w:rPr>
        <w:t>a) SICAF;</w:t>
      </w:r>
    </w:p>
    <w:p>
      <w:pPr>
        <w:pStyle w:val="ListParagraph"/>
        <w:spacing w:lineRule="auto" w:line="276" w:before="120" w:after="120"/>
        <w:ind w:left="709" w:hanging="364"/>
        <w:contextualSpacing/>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w:t>
      </w:r>
    </w:p>
    <w:p>
      <w:pPr>
        <w:pStyle w:val="ListParagraph"/>
        <w:spacing w:lineRule="auto" w:line="276" w:before="120" w:after="120"/>
        <w:ind w:left="709" w:hanging="364"/>
        <w:contextualSpacing/>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709" w:hanging="364"/>
        <w:contextualSpacing/>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ind w:left="709" w:hanging="364"/>
        <w:contextualSpacing/>
        <w:rPr/>
      </w:pPr>
      <w:r>
        <w:rPr>
          <w:rFonts w:cs="Arial"/>
          <w:szCs w:val="20"/>
          <w:lang w:eastAsia="ar-SA"/>
        </w:rPr>
        <w:t xml:space="preserve">Para a consulta de </w:t>
      </w:r>
      <w:r>
        <w:rPr>
          <w:rFonts w:cs="Arial"/>
          <w:color w:val="000000"/>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ind w:left="709" w:hanging="364"/>
        <w:contextualSpacing/>
        <w:rPr/>
      </w:pPr>
      <w:r>
        <w:rPr>
          <w:rFonts w:cs="Arial"/>
          <w:color w:val="000000"/>
          <w:szCs w:val="20"/>
        </w:rPr>
        <w:t xml:space="preserve">A consulta aos </w:t>
      </w:r>
      <w:r>
        <w:rPr>
          <w:rFonts w:cs="Arial"/>
          <w:szCs w:val="20"/>
          <w:lang w:eastAsia="ar-SA"/>
        </w:rPr>
        <w:t>cadastros</w:t>
      </w:r>
      <w:r>
        <w:rPr>
          <w:rFonts w:cs="Arial"/>
          <w:color w:val="00000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ind w:left="709" w:hanging="364"/>
        <w:contextualSpacing/>
        <w:rPr>
          <w:rFonts w:cs="Arial"/>
          <w:color w:val="000000"/>
          <w:szCs w:val="20"/>
        </w:rPr>
      </w:pPr>
      <w:r>
        <w:rPr>
          <w:rFonts w:cs="Arial"/>
          <w:color w:val="000000"/>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ind w:left="709" w:hanging="364"/>
        <w:contextualSpacing/>
        <w:rPr>
          <w:rFonts w:cs="Arial"/>
          <w:color w:val="000000"/>
          <w:szCs w:val="20"/>
        </w:rPr>
      </w:pPr>
      <w:r>
        <w:rPr>
          <w:rFonts w:cs="Arial"/>
          <w:color w:val="000000"/>
          <w:szCs w:val="20"/>
        </w:rPr>
        <w:t>A tentativa de burla será verificada por meio dos vínculos societários, linhas de fornecimento similares, dentre outros.</w:t>
      </w:r>
    </w:p>
    <w:p>
      <w:pPr>
        <w:pStyle w:val="ListParagraph"/>
        <w:numPr>
          <w:ilvl w:val="4"/>
          <w:numId w:val="1"/>
        </w:numPr>
        <w:spacing w:lineRule="auto" w:line="276" w:before="120" w:after="120"/>
        <w:ind w:left="709" w:hanging="364"/>
        <w:contextualSpacing/>
        <w:rPr>
          <w:rFonts w:cs="Arial"/>
          <w:color w:val="000000"/>
          <w:szCs w:val="20"/>
        </w:rPr>
      </w:pPr>
      <w:r>
        <w:rPr>
          <w:rFonts w:cs="Arial"/>
          <w:color w:val="000000"/>
          <w:szCs w:val="20"/>
        </w:rPr>
        <w:t>O fornecedor será convocado para manifestação previamente à sua desclassificação</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09" w:hanging="364"/>
        <w:contextualSpacing/>
        <w:rPr/>
      </w:pPr>
      <w:r>
        <w:rPr>
          <w:rFonts w:cs="Arial"/>
          <w:color w:val="000000"/>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szCs w:val="20"/>
        </w:rPr>
        <w:t>.</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09" w:hanging="364"/>
        <w:contextualSpacing/>
        <w:rPr/>
      </w:pPr>
      <w:r>
        <w:rPr>
          <w:rFonts w:cs="Arial"/>
          <w:color w:val="000000"/>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para endereço </w:t>
      </w:r>
      <w:hyperlink r:id="rId6">
        <w:r>
          <w:rPr>
            <w:rStyle w:val="LinkdaInternet"/>
            <w:rFonts w:cs="Arial" w:ascii="Times New Roman" w:hAnsi="Times New Roman"/>
            <w:b/>
            <w:bCs/>
            <w:color w:val="0000FF"/>
            <w:szCs w:val="20"/>
            <w:u w:val="none"/>
          </w:rPr>
          <w:t>salc.raj@hotmail.com</w:t>
        </w:r>
      </w:hyperlink>
      <w:r>
        <w:rPr>
          <w:rFonts w:cs="Arial"/>
          <w:color w:val="000000"/>
          <w:szCs w:val="20"/>
        </w:rPr>
        <w:t>, sob pena de inabilitação.</w:t>
      </w:r>
    </w:p>
    <w:p>
      <w:pPr>
        <w:pStyle w:val="ListParagraph"/>
        <w:numPr>
          <w:ilvl w:val="1"/>
          <w:numId w:val="1"/>
        </w:numPr>
        <w:spacing w:lineRule="auto" w:line="276" w:before="120" w:after="120"/>
        <w:ind w:left="709" w:hanging="364"/>
        <w:contextualSpacing/>
        <w:rPr>
          <w:rFonts w:cs="Arial"/>
          <w:color w:val="000000"/>
          <w:szCs w:val="20"/>
        </w:rPr>
      </w:pPr>
      <w:r>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09" w:hanging="364"/>
        <w:contextualSpacing/>
        <w:rPr>
          <w:rFonts w:cs="Arial"/>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09" w:hanging="364"/>
        <w:contextualSpacing/>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09" w:hanging="364"/>
        <w:contextualSpacing/>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ind w:left="709" w:hanging="364"/>
        <w:contextualSpacing/>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09" w:hanging="364"/>
        <w:contextualSpacing/>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CONTRATAÇÃO</w:t>
      </w:r>
    </w:p>
    <w:p>
      <w:pPr>
        <w:pStyle w:val="Normal"/>
        <w:numPr>
          <w:ilvl w:val="1"/>
          <w:numId w:val="1"/>
        </w:numPr>
        <w:spacing w:lineRule="auto" w:line="276" w:before="120" w:after="120"/>
        <w:ind w:left="709" w:hanging="364"/>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709" w:hanging="364"/>
        <w:rPr/>
      </w:pPr>
      <w:r>
        <w:rPr>
          <w:rFonts w:eastAsia="Arial" w:cs="Arial"/>
          <w:color w:val="000000"/>
          <w:szCs w:val="20"/>
        </w:rPr>
        <w:t xml:space="preserve">O adjudicatário terá o prazo de 02 </w:t>
      </w:r>
      <w:r>
        <w:rPr>
          <w:rFonts w:eastAsia="Arial" w:cs="Arial"/>
          <w:color w:val="FF0000"/>
          <w:szCs w:val="20"/>
        </w:rPr>
        <w:t>(dois)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do direito à contratação, sem prejuízo das sanções previstas neste Aviso de Contratação Direta. </w:t>
      </w:r>
    </w:p>
    <w:p>
      <w:pPr>
        <w:pStyle w:val="Normal"/>
        <w:numPr>
          <w:ilvl w:val="2"/>
          <w:numId w:val="1"/>
        </w:numPr>
        <w:spacing w:lineRule="auto" w:line="276" w:before="120" w:after="120"/>
        <w:ind w:left="709" w:hanging="364"/>
        <w:rPr>
          <w:rFonts w:eastAsia="Arial" w:cs="Arial"/>
          <w:i/>
          <w:i/>
          <w:color w:val="FF0000"/>
          <w:szCs w:val="20"/>
        </w:rPr>
      </w:pPr>
      <w:r>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utéis, a contar da data de seu recebimento. </w:t>
      </w:r>
    </w:p>
    <w:p>
      <w:pPr>
        <w:pStyle w:val="Normal"/>
        <w:numPr>
          <w:ilvl w:val="2"/>
          <w:numId w:val="1"/>
        </w:numPr>
        <w:spacing w:lineRule="auto" w:line="276" w:before="120" w:after="120"/>
        <w:ind w:left="709" w:hanging="364"/>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709" w:hanging="364"/>
        <w:rPr>
          <w:rFonts w:eastAsia="Arial" w:cs="Arial"/>
          <w:i/>
          <w:i/>
          <w:color w:val="FF0000"/>
          <w:szCs w:val="20"/>
        </w:rPr>
      </w:pPr>
      <w:r>
        <w:rPr>
          <w:rFonts w:eastAsia="Arial" w:cs="Arial"/>
          <w:i/>
          <w:color w:val="FF0000"/>
          <w:szCs w:val="20"/>
        </w:rPr>
        <w:t>O Aceite da Nota de Empenho ou do instrumento equivalente, emitida à empresa adjudicada, implica no reconhecimento de que:</w:t>
      </w:r>
    </w:p>
    <w:p>
      <w:pPr>
        <w:pStyle w:val="Normal"/>
        <w:numPr>
          <w:ilvl w:val="2"/>
          <w:numId w:val="1"/>
        </w:numPr>
        <w:spacing w:lineRule="auto" w:line="276" w:before="120" w:after="120"/>
        <w:ind w:left="709" w:hanging="364"/>
        <w:rPr>
          <w:rFonts w:eastAsia="Arial" w:cs="Arial"/>
          <w:i/>
          <w:i/>
          <w:color w:val="FF0000"/>
          <w:szCs w:val="20"/>
        </w:rPr>
      </w:pPr>
      <w:r>
        <w:rPr>
          <w:rFonts w:eastAsia="Arial" w:cs="Arial"/>
          <w:i/>
          <w:color w:val="FF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ind w:left="709" w:hanging="364"/>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1"/>
        </w:numPr>
        <w:spacing w:lineRule="auto" w:line="276" w:before="120" w:after="120"/>
        <w:ind w:left="709" w:hanging="364"/>
        <w:rPr>
          <w:rFonts w:eastAsia="Arial" w:cs="Arial"/>
          <w:i/>
          <w:i/>
          <w:color w:val="FF0000"/>
          <w:szCs w:val="20"/>
        </w:rPr>
      </w:pPr>
      <w:r>
        <w:rPr>
          <w:rFonts w:eastAsia="Arial" w:cs="Arial"/>
          <w:i/>
          <w:color w:val="FF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709" w:hanging="364"/>
        <w:rPr>
          <w:rFonts w:eastAsia="Arial" w:cs="Arial"/>
          <w:color w:val="000000"/>
          <w:szCs w:val="20"/>
        </w:rPr>
      </w:pPr>
      <w:r>
        <w:rPr>
          <w:rFonts w:eastAsia="Arial" w:cs="Arial"/>
          <w:color w:val="000000"/>
          <w:szCs w:val="20"/>
        </w:rPr>
        <w:t xml:space="preserve">O prazo de vigência da contratação é de 90 (noventa) dias prorrogável conforme previsão nos anexos a este Aviso de Contratação Direta. </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SANÇÕES</w:t>
      </w:r>
    </w:p>
    <w:p>
      <w:pPr>
        <w:pStyle w:val="Normal"/>
        <w:numPr>
          <w:ilvl w:val="1"/>
          <w:numId w:val="1"/>
        </w:numPr>
        <w:spacing w:lineRule="auto" w:line="276" w:before="120" w:after="120"/>
        <w:ind w:left="709" w:hanging="364"/>
        <w:rPr>
          <w:rFonts w:cs="Arial"/>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ind w:left="709" w:hanging="364"/>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dar causa à inexecução total do contrato;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deixar de entregar a documentação exigida para o certame;</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ind w:left="709" w:hanging="364"/>
        <w:contextualSpacing/>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ind w:left="709" w:hanging="364"/>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709" w:hanging="364"/>
        <w:rPr>
          <w:rFonts w:cs="Arial"/>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ind w:left="709" w:hanging="364"/>
        <w:rPr>
          <w:rFonts w:cs="Arial"/>
        </w:rPr>
      </w:pPr>
      <w:r>
        <w:rPr>
          <w:rFonts w:cs="Arial"/>
        </w:rPr>
        <w:t>Advertência pela falta do subitem 8.1.1 deste Aviso de Contratação Direta,quando não se justificar a imposição de penalidade mais grave;</w:t>
      </w:r>
    </w:p>
    <w:p>
      <w:pPr>
        <w:pStyle w:val="Normal"/>
        <w:numPr>
          <w:ilvl w:val="2"/>
          <w:numId w:val="5"/>
        </w:numPr>
        <w:spacing w:lineRule="auto" w:line="276" w:before="120" w:after="120"/>
        <w:ind w:left="709" w:hanging="364"/>
        <w:rPr/>
      </w:pPr>
      <w:r>
        <w:rPr>
          <w:rFonts w:cs="Arial"/>
        </w:rPr>
        <w:t xml:space="preserve">Multa de </w:t>
      </w:r>
      <w:r>
        <w:rPr>
          <w:rFonts w:cs="Arial"/>
          <w:color w:val="FF0000"/>
        </w:rPr>
        <w:t xml:space="preserve">10% ( dez por cento)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ind w:left="709" w:hanging="364"/>
        <w:rPr/>
      </w:pPr>
      <w:r>
        <w:rPr>
          <w:rFonts w:cs="Arial"/>
          <w:color w:val="00000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ind w:left="709" w:hanging="364"/>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ind w:left="709" w:hanging="364"/>
        <w:rPr>
          <w:rFonts w:cs="Arial"/>
          <w:bCs/>
        </w:rPr>
      </w:pPr>
      <w:r>
        <w:rPr>
          <w:rFonts w:cs="Arial"/>
          <w:bCs/>
        </w:rPr>
        <w:t>Na aplicação das sanções serão considerados:</w:t>
      </w:r>
    </w:p>
    <w:p>
      <w:pPr>
        <w:pStyle w:val="Normal"/>
        <w:numPr>
          <w:ilvl w:val="2"/>
          <w:numId w:val="1"/>
        </w:numPr>
        <w:spacing w:lineRule="auto" w:line="276" w:before="120" w:after="120"/>
        <w:ind w:left="709" w:hanging="364"/>
        <w:rPr>
          <w:rFonts w:cs="Arial"/>
          <w:bCs/>
        </w:rPr>
      </w:pPr>
      <w:r>
        <w:rPr>
          <w:rFonts w:cs="Arial"/>
          <w:bCs/>
        </w:rPr>
        <w:t>a natureza e a gravidade da infração cometida;</w:t>
      </w:r>
    </w:p>
    <w:p>
      <w:pPr>
        <w:pStyle w:val="Normal"/>
        <w:numPr>
          <w:ilvl w:val="2"/>
          <w:numId w:val="1"/>
        </w:numPr>
        <w:spacing w:lineRule="auto" w:line="276" w:before="120" w:after="120"/>
        <w:ind w:left="709" w:hanging="364"/>
        <w:rPr>
          <w:rFonts w:cs="Arial"/>
          <w:bCs/>
        </w:rPr>
      </w:pPr>
      <w:r>
        <w:rPr>
          <w:rFonts w:cs="Arial"/>
          <w:bCs/>
        </w:rPr>
        <w:t>as peculiaridades do caso concreto;</w:t>
      </w:r>
    </w:p>
    <w:p>
      <w:pPr>
        <w:pStyle w:val="Normal"/>
        <w:numPr>
          <w:ilvl w:val="2"/>
          <w:numId w:val="1"/>
        </w:numPr>
        <w:spacing w:lineRule="auto" w:line="276" w:before="120" w:after="120"/>
        <w:ind w:left="709" w:hanging="364"/>
        <w:rPr>
          <w:rFonts w:cs="Arial"/>
          <w:bCs/>
        </w:rPr>
      </w:pPr>
      <w:r>
        <w:rPr>
          <w:rFonts w:cs="Arial"/>
          <w:bCs/>
        </w:rPr>
        <w:t>as circunstâncias agravantes ou atenuantes;</w:t>
      </w:r>
    </w:p>
    <w:p>
      <w:pPr>
        <w:pStyle w:val="Normal"/>
        <w:numPr>
          <w:ilvl w:val="2"/>
          <w:numId w:val="1"/>
        </w:numPr>
        <w:spacing w:lineRule="auto" w:line="276" w:before="120" w:after="120"/>
        <w:ind w:left="709" w:hanging="364"/>
        <w:rPr>
          <w:rFonts w:cs="Arial"/>
          <w:bCs/>
        </w:rPr>
      </w:pPr>
      <w:r>
        <w:rPr>
          <w:rFonts w:cs="Arial"/>
          <w:bCs/>
        </w:rPr>
        <w:t>os danos que dela provierem para a Administração Pública;</w:t>
      </w:r>
    </w:p>
    <w:p>
      <w:pPr>
        <w:pStyle w:val="Normal"/>
        <w:numPr>
          <w:ilvl w:val="2"/>
          <w:numId w:val="1"/>
        </w:numPr>
        <w:spacing w:lineRule="auto" w:line="276" w:before="120" w:after="120"/>
        <w:ind w:left="709" w:hanging="364"/>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709" w:hanging="364"/>
        <w:rPr>
          <w:rFonts w:cs="Arial"/>
        </w:rPr>
      </w:pPr>
      <w:bookmarkStart w:id="1" w:name="art156§7"/>
      <w:bookmarkStart w:id="2" w:name="art156§8"/>
      <w:bookmarkStart w:id="3" w:name="art156§6"/>
      <w:bookmarkEnd w:id="1"/>
      <w:bookmarkEnd w:id="2"/>
      <w:bookmarkEnd w:id="3"/>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709" w:hanging="364"/>
        <w:rPr>
          <w:rFonts w:cs="Arial"/>
        </w:rPr>
      </w:pPr>
      <w:bookmarkStart w:id="4" w:name="art156§9"/>
      <w:bookmarkEnd w:id="4"/>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709" w:hanging="364"/>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709" w:hanging="364"/>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709" w:hanging="364"/>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709" w:hanging="364"/>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709" w:hanging="364"/>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709" w:hanging="364"/>
        <w:rPr>
          <w:rFonts w:cs="Arial"/>
        </w:rPr>
      </w:pPr>
      <w:r>
        <w:rPr>
          <w:rFonts w:cs="Arial"/>
        </w:rPr>
        <w:t>As sanções por atos praticados no decorrer da contratação estão previstas nos anexos a este Aviso.</w:t>
      </w:r>
    </w:p>
    <w:p>
      <w:pPr>
        <w:pStyle w:val="ListParagraph"/>
        <w:keepNext/>
        <w:numPr>
          <w:ilvl w:val="0"/>
          <w:numId w:val="1"/>
        </w:numPr>
        <w:tabs>
          <w:tab w:val="left" w:pos="959" w:leader="none"/>
        </w:tabs>
        <w:spacing w:before="120" w:after="120"/>
        <w:ind w:left="709" w:hanging="364"/>
        <w:contextualSpacing/>
        <w:rPr>
          <w:rFonts w:cs="Arial"/>
          <w:b/>
          <w:b/>
        </w:rPr>
      </w:pPr>
      <w:r>
        <w:rPr>
          <w:rFonts w:cs="Arial"/>
          <w:b/>
        </w:rPr>
        <w:t>DO LOCAL E PRAZO PARA ENTREGA DO OBJETO</w:t>
      </w:r>
    </w:p>
    <w:p>
      <w:pPr>
        <w:pStyle w:val="ListParagraph"/>
        <w:tabs>
          <w:tab w:val="left" w:pos="959" w:leader="none"/>
        </w:tabs>
        <w:spacing w:before="120" w:after="120"/>
        <w:ind w:left="709" w:hanging="364"/>
        <w:contextualSpacing/>
        <w:rPr/>
      </w:pPr>
      <w:r>
        <w:rPr>
          <w:rFonts w:cs="Arial"/>
          <w:b/>
          <w:bCs/>
        </w:rPr>
        <w:t>9.1</w:t>
        <w:tab/>
      </w:r>
      <w:r>
        <w:rPr>
          <w:rFonts w:cs="Arial"/>
        </w:rPr>
        <w:t xml:space="preserve">Rua Alcebiades Bobadilha da Cunha, 627 – Centro –79260-000 – Bela Vista – MS Fone/Fax (67) 3439 1241 – </w:t>
      </w:r>
      <w:hyperlink r:id="rId7">
        <w:r>
          <w:rPr>
            <w:rStyle w:val="LinkdaInternet"/>
            <w:rFonts w:cs="Arial"/>
          </w:rPr>
          <w:t>salc.raj@hotmail.com</w:t>
        </w:r>
      </w:hyperlink>
      <w:r>
        <w:rPr>
          <w:rStyle w:val="LinkdaInternet"/>
          <w:rFonts w:cs="Arial"/>
          <w:u w:val="none"/>
        </w:rPr>
        <w:t>.</w:t>
      </w:r>
      <w:r>
        <w:rPr>
          <w:rFonts w:cs="Arial"/>
        </w:rPr>
        <w:t xml:space="preserve"> O prazo de entrega não poderá ser superior a 30 (trinta) dias corridos, a partir do recebimento da NOTA DE EMPENHO pela CONTRATADA.</w:t>
      </w:r>
    </w:p>
    <w:p>
      <w:pPr>
        <w:pStyle w:val="PADRO"/>
        <w:widowControl/>
        <w:numPr>
          <w:ilvl w:val="0"/>
          <w:numId w:val="1"/>
        </w:numPr>
        <w:shd w:fill="FFFFFF" w:val="clear"/>
        <w:spacing w:before="120" w:after="120"/>
        <w:ind w:left="709" w:hanging="364"/>
        <w:jc w:val="left"/>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709" w:hanging="364"/>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ind w:left="709" w:hanging="364"/>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ind w:left="709" w:hanging="364"/>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709" w:hanging="364"/>
        <w:rPr>
          <w:rFonts w:cs="Arial"/>
          <w:color w:val="000000"/>
          <w:szCs w:val="20"/>
        </w:rPr>
      </w:pPr>
      <w:r>
        <w:rPr>
          <w:rFonts w:cs="Arial"/>
          <w:color w:val="000000"/>
          <w:szCs w:val="20"/>
        </w:rPr>
        <w:t>Da sessão pública será divulgada Ata no sistema eletrônico.</w:t>
      </w:r>
    </w:p>
    <w:p>
      <w:pPr>
        <w:pStyle w:val="ListParagraph"/>
        <w:numPr>
          <w:ilvl w:val="1"/>
          <w:numId w:val="1"/>
        </w:numPr>
        <w:tabs>
          <w:tab w:val="left" w:pos="1067" w:leader="none"/>
        </w:tabs>
        <w:spacing w:lineRule="auto" w:line="276" w:before="1" w:after="0"/>
        <w:ind w:left="709" w:hanging="364"/>
        <w:contextualSpacing/>
        <w:rPr/>
      </w:pPr>
      <w:r>
        <w:rPr>
          <w:rFonts w:cs="Arial"/>
          <w:color w:val="000000"/>
          <w:szCs w:val="20"/>
        </w:rPr>
        <w:t>Os esclarecimentos poderão ser dirigidos à SALC do 10º R C Mec através de e- mail (</w:t>
      </w:r>
      <w:hyperlink r:id="rId8">
        <w:r>
          <w:rPr>
            <w:rStyle w:val="LinkdaInternet"/>
            <w:rFonts w:cs="Arial"/>
            <w:color w:val="007FFF"/>
            <w:szCs w:val="20"/>
            <w:u w:val="none"/>
          </w:rPr>
          <w:t>salc.raj@hotmail.com</w:t>
        </w:r>
      </w:hyperlink>
      <w:r>
        <w:rPr>
          <w:rFonts w:cs="Arial"/>
          <w:color w:val="000000"/>
          <w:szCs w:val="20"/>
        </w:rPr>
        <w:t>) ou contato telefônico(67-3439-1241).</w:t>
      </w:r>
    </w:p>
    <w:p>
      <w:pPr>
        <w:pStyle w:val="Normal"/>
        <w:spacing w:lineRule="auto" w:line="276" w:before="120" w:after="120"/>
        <w:ind w:left="709" w:hanging="364"/>
        <w:rPr>
          <w:rFonts w:cs="Arial"/>
          <w:b/>
          <w:b/>
          <w:bCs/>
          <w:color w:val="000000"/>
          <w:szCs w:val="20"/>
        </w:rPr>
      </w:pPr>
      <w:r>
        <w:rPr>
          <w:rFonts w:cs="Arial"/>
          <w:b/>
          <w:bCs/>
          <w:color w:val="000000"/>
          <w:szCs w:val="20"/>
        </w:rPr>
        <w:t>ANEXO I – Documentação exigida para Habilitação</w:t>
      </w:r>
    </w:p>
    <w:p>
      <w:pPr>
        <w:pStyle w:val="Normal"/>
        <w:ind w:left="709" w:hanging="364"/>
        <w:rPr>
          <w:rFonts w:ascii="Times New Roman" w:hAnsi="Times New Roman"/>
        </w:rPr>
      </w:pPr>
      <w:r>
        <w:rPr>
          <w:rFonts w:ascii="Times New Roman" w:hAnsi="Times New Roman"/>
        </w:rPr>
      </w:r>
    </w:p>
    <w:p>
      <w:pPr>
        <w:pStyle w:val="Normal"/>
        <w:ind w:left="709" w:hanging="364"/>
        <w:rPr/>
      </w:pPr>
      <w:r>
        <w:rPr/>
      </w:r>
    </w:p>
    <w:p>
      <w:pPr>
        <w:pStyle w:val="Normal"/>
        <w:ind w:left="709" w:hanging="364"/>
        <w:jc w:val="center"/>
        <w:rPr/>
      </w:pPr>
      <w:r>
        <w:rPr/>
        <w:t>Bela Vista - MS, 04 de novembro de 2021.</w:t>
      </w:r>
    </w:p>
    <w:p>
      <w:pPr>
        <w:pStyle w:val="Normal"/>
        <w:ind w:left="709" w:hanging="364"/>
        <w:jc w:val="center"/>
        <w:rPr>
          <w:b/>
          <w:b/>
          <w:bCs/>
        </w:rPr>
      </w:pPr>
      <w:r>
        <w:rPr>
          <w:b/>
          <w:bCs/>
        </w:rPr>
      </w:r>
    </w:p>
    <w:p>
      <w:pPr>
        <w:pStyle w:val="Normal"/>
        <w:ind w:left="709" w:hanging="364"/>
        <w:jc w:val="center"/>
        <w:rPr>
          <w:b/>
          <w:b/>
          <w:bCs/>
        </w:rPr>
      </w:pPr>
      <w:r>
        <w:rPr>
          <w:b/>
          <w:bCs/>
        </w:rPr>
      </w:r>
    </w:p>
    <w:p>
      <w:pPr>
        <w:pStyle w:val="Normal"/>
        <w:ind w:left="709" w:hanging="364"/>
        <w:jc w:val="center"/>
        <w:rPr/>
      </w:pPr>
      <w:r>
        <w:rPr>
          <w:b/>
          <w:bCs/>
        </w:rPr>
        <w:t>RAFAEL ROSSINI DE LIMA</w:t>
      </w:r>
      <w:r>
        <w:rPr>
          <w:b/>
          <w:bCs/>
          <w:color w:val="000000"/>
        </w:rPr>
        <w:t xml:space="preserve"> – 1º Ten</w:t>
      </w:r>
    </w:p>
    <w:p>
      <w:pPr>
        <w:pStyle w:val="Normal"/>
        <w:ind w:left="709" w:hanging="364"/>
        <w:jc w:val="center"/>
        <w:rPr/>
      </w:pPr>
      <w:r>
        <w:rPr>
          <w:rFonts w:cs="Arial"/>
          <w:color w:val="000000"/>
          <w:szCs w:val="20"/>
        </w:rPr>
        <w:t>Chefe da Formação Sanitária do 10º R C Mec</w:t>
      </w:r>
    </w:p>
    <w:p>
      <w:pPr>
        <w:pStyle w:val="Normal"/>
        <w:ind w:left="709" w:hanging="364"/>
        <w:jc w:val="center"/>
        <w:rPr>
          <w:rFonts w:cs="Arial"/>
          <w:color w:val="000000"/>
          <w:szCs w:val="20"/>
        </w:rPr>
      </w:pPr>
      <w:r>
        <w:rPr>
          <w:rFonts w:cs="Arial"/>
          <w:color w:val="000000"/>
          <w:szCs w:val="20"/>
        </w:rPr>
      </w:r>
    </w:p>
    <w:p>
      <w:pPr>
        <w:pStyle w:val="Normal"/>
        <w:ind w:left="709" w:hanging="364"/>
        <w:rPr>
          <w:rFonts w:cs="Arial"/>
          <w:b/>
          <w:b/>
          <w:bCs/>
          <w:lang w:eastAsia="en-US"/>
        </w:rPr>
      </w:pPr>
      <w:r>
        <w:rPr>
          <w:rFonts w:cs="Arial"/>
          <w:b/>
          <w:bCs/>
          <w:lang w:eastAsia="en-US"/>
        </w:rPr>
        <w:t>ANEXO I – DOCUMENTAÇÃO EXIGIDA PARA HABILITAÇÃO</w:t>
      </w:r>
    </w:p>
    <w:p>
      <w:pPr>
        <w:pStyle w:val="PADRO"/>
        <w:widowControl/>
        <w:numPr>
          <w:ilvl w:val="0"/>
          <w:numId w:val="3"/>
        </w:numPr>
        <w:shd w:fill="FFFFFF" w:val="clear"/>
        <w:spacing w:before="120" w:after="120"/>
        <w:ind w:left="709" w:hanging="364"/>
        <w:jc w:val="left"/>
        <w:rPr>
          <w:rFonts w:ascii="Arial" w:hAnsi="Arial" w:cs="Arial"/>
          <w:b/>
          <w:b/>
          <w:bCs/>
          <w:color w:val="000000"/>
          <w:szCs w:val="20"/>
        </w:rPr>
      </w:pP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ind w:left="709" w:hanging="364"/>
        <w:rPr>
          <w:rFonts w:cs="Arial"/>
          <w:szCs w:val="20"/>
          <w:lang w:eastAsia="en-US"/>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ind w:left="709" w:hanging="364"/>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ind w:left="709" w:hanging="364"/>
        <w:rPr>
          <w:rFonts w:cs="Arial"/>
          <w:color w:val="000000"/>
          <w:szCs w:val="20"/>
          <w:lang w:eastAsia="en-US"/>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ind w:left="709" w:hanging="364"/>
        <w:rPr>
          <w:rFonts w:cs="Arial"/>
          <w:szCs w:val="20"/>
          <w:lang w:eastAsia="en-US"/>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ind w:left="709" w:hanging="364"/>
        <w:rPr/>
      </w:pPr>
      <w:r>
        <w:rPr>
          <w:rFonts w:cs="Arial"/>
          <w:bCs/>
          <w:szCs w:val="20"/>
        </w:rPr>
        <w:t xml:space="preserve">prova de </w:t>
      </w:r>
      <w:r>
        <w:rPr>
          <w:rFonts w:cs="Arial"/>
          <w:color w:val="000000"/>
          <w:szCs w:val="20"/>
        </w:rPr>
        <w:t xml:space="preserve">inscrição no cadastro de contribuintes </w:t>
      </w:r>
      <w:r>
        <w:rPr>
          <w:rFonts w:cs="Arial"/>
          <w:i/>
          <w:iCs/>
          <w:color w:val="FF0000"/>
          <w:szCs w:val="20"/>
        </w:rPr>
        <w:t>estadual e/ou municipal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ind w:left="709" w:hanging="364"/>
        <w:rPr/>
      </w:pPr>
      <w:r>
        <w:rPr>
          <w:rFonts w:cs="Arial"/>
          <w:szCs w:val="20"/>
        </w:rPr>
        <w:t xml:space="preserve">prova de regularidade com a Fazenda </w:t>
      </w:r>
      <w:r>
        <w:rPr>
          <w:rFonts w:cs="Arial"/>
          <w:i/>
          <w:iCs/>
          <w:color w:val="FF0000"/>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ind w:left="709" w:hanging="364"/>
        <w:rPr/>
      </w:pPr>
      <w:r>
        <w:rPr>
          <w:rFonts w:cs="Arial"/>
          <w:szCs w:val="20"/>
        </w:rPr>
        <w:t xml:space="preserve">caso o fornecedor seja considerado isento dos tributos </w:t>
      </w:r>
      <w:r>
        <w:rPr>
          <w:rFonts w:cs="Arial"/>
          <w:i/>
          <w:color w:val="FF0000"/>
          <w:szCs w:val="20"/>
        </w:rPr>
        <w:t xml:space="preserve">estaduais </w:t>
      </w:r>
      <w:r>
        <w:rPr>
          <w:rFonts w:cs="Arial"/>
          <w:b/>
          <w:i/>
          <w:color w:val="FF0000"/>
          <w:szCs w:val="20"/>
          <w:u w:val="single"/>
        </w:rPr>
        <w:t>ou</w:t>
      </w:r>
      <w:r>
        <w:rPr>
          <w:rFonts w:cs="Arial"/>
          <w:i/>
          <w:color w:val="FF0000"/>
          <w:szCs w:val="20"/>
        </w:rPr>
        <w:t xml:space="preserve"> municipais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Normal"/>
        <w:tabs>
          <w:tab w:val="left" w:pos="1440" w:leader="none"/>
        </w:tabs>
        <w:snapToGrid w:val="false"/>
        <w:spacing w:lineRule="auto" w:line="276" w:before="120" w:after="120"/>
        <w:ind w:left="1272" w:hanging="0"/>
        <w:rPr>
          <w:rFonts w:cs="Arial"/>
          <w:szCs w:val="20"/>
        </w:rPr>
      </w:pPr>
      <w:r>
        <w:rPr>
          <w:rFonts w:cs="Arial"/>
          <w:szCs w:val="20"/>
        </w:rPr>
      </w:r>
    </w:p>
    <w:p>
      <w:pPr>
        <w:pStyle w:val="Normal"/>
        <w:ind w:left="709" w:hanging="364"/>
        <w:jc w:val="center"/>
        <w:rPr/>
      </w:pPr>
      <w:r>
        <w:rPr/>
        <w:t>Bela Vista - MS, 04 de novembro de 2021.</w:t>
      </w:r>
    </w:p>
    <w:p>
      <w:pPr>
        <w:pStyle w:val="Normal"/>
        <w:ind w:left="709" w:hanging="364"/>
        <w:jc w:val="center"/>
        <w:rPr/>
      </w:pPr>
      <w:r>
        <w:rPr/>
      </w:r>
    </w:p>
    <w:p>
      <w:pPr>
        <w:pStyle w:val="Normal"/>
        <w:ind w:left="709" w:hanging="364"/>
        <w:jc w:val="center"/>
        <w:rPr>
          <w:b/>
          <w:b/>
          <w:bCs/>
        </w:rPr>
      </w:pPr>
      <w:r>
        <w:rPr>
          <w:b/>
          <w:bCs/>
        </w:rPr>
      </w:r>
    </w:p>
    <w:p>
      <w:pPr>
        <w:pStyle w:val="Normal"/>
        <w:ind w:left="709" w:hanging="364"/>
        <w:jc w:val="center"/>
        <w:rPr>
          <w:b/>
          <w:b/>
          <w:bCs/>
        </w:rPr>
      </w:pPr>
      <w:r>
        <w:rPr>
          <w:b/>
          <w:bCs/>
        </w:rPr>
        <w:t>BERNARDO ROMÃO CORRÊA NETTO – CEL</w:t>
      </w:r>
    </w:p>
    <w:p>
      <w:pPr>
        <w:pStyle w:val="Normal"/>
        <w:ind w:left="709" w:hanging="364"/>
        <w:jc w:val="center"/>
        <w:rPr/>
      </w:pPr>
      <w:r>
        <w:rPr>
          <w:rFonts w:cs="Arial"/>
          <w:color w:val="000000"/>
          <w:szCs w:val="20"/>
        </w:rPr>
        <w:t>Ordenador de Despesas do 10º RC Mec</w:t>
      </w:r>
    </w:p>
    <w:sectPr>
      <w:footerReference w:type="default" r:id="rId9"/>
      <w:type w:val="nextPage"/>
      <w:pgSz w:w="11906" w:h="16838"/>
      <w:pgMar w:left="1701" w:right="1701" w:header="0" w:top="1417" w:footer="708" w:bottom="141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1"/>
      <w:rPr>
        <w:sz w:val="12"/>
        <w:szCs w:val="12"/>
      </w:rPr>
    </w:pPr>
    <w:r>
      <w:rPr>
        <w:sz w:val="12"/>
        <w:szCs w:val="12"/>
      </w:rPr>
      <w:t>Câmara Nacional de Modelos de Licitações e Contratos – CNMLC/CGU/AGU</w:t>
    </w:r>
  </w:p>
  <w:p>
    <w:pPr>
      <w:pStyle w:val="Rodap1"/>
      <w:rPr>
        <w:sz w:val="12"/>
        <w:szCs w:val="12"/>
      </w:rPr>
    </w:pPr>
    <w:r>
      <w:rPr>
        <w:sz w:val="12"/>
        <w:szCs w:val="12"/>
      </w:rPr>
      <w:t>Aviso de Dispensa Eletrônica – Lei nº 14.133/21 e IN SEGES/ME nº 67/2021</w:t>
    </w:r>
  </w:p>
  <w:p>
    <w:pPr>
      <w:pStyle w:val="Rodap1"/>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930" w:hanging="504"/>
      </w:pPr>
      <w:rPr>
        <w:i w:val="false"/>
        <w:b/>
        <w:iCs/>
        <w:rFonts w:ascii="Arial" w:hAnsi="Arial"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7407a"/>
    <w:pPr>
      <w:widowControl/>
      <w:bidi w:val="0"/>
      <w:jc w:val="left"/>
    </w:pPr>
    <w:rPr>
      <w:rFonts w:ascii="Arial" w:hAnsi="Arial" w:eastAsia="Times New Roman" w:cs="Tahoma"/>
      <w:color w:val="00000A"/>
      <w:sz w:val="20"/>
      <w:szCs w:val="24"/>
      <w:lang w:eastAsia="pt-BR" w:val="pt-BR" w:bidi="ar-SA"/>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77407a"/>
    <w:rPr>
      <w:rFonts w:ascii="Arial" w:hAnsi="Arial" w:eastAsia="Calibri" w:cs="Tahoma"/>
      <w:i/>
      <w:iCs/>
      <w:color w:val="000000"/>
      <w:sz w:val="20"/>
      <w:szCs w:val="24"/>
      <w:highlight w:val="yellow"/>
    </w:rPr>
  </w:style>
  <w:style w:type="character" w:styleId="Nivel01Char" w:customStyle="1">
    <w:name w:val="Nivel 01 Char"/>
    <w:qFormat/>
    <w:rsid w:val="0077407a"/>
    <w:rPr>
      <w:rFonts w:ascii="Arial" w:hAnsi="Arial" w:eastAsia="Calibri" w:cs="Times New Roman"/>
      <w:b/>
      <w:bCs/>
      <w:color w:val="000000"/>
      <w:sz w:val="20"/>
      <w:szCs w:val="20"/>
      <w:lang w:eastAsia="pt-BR"/>
    </w:rPr>
  </w:style>
  <w:style w:type="character" w:styleId="Ttulo1Char" w:customStyle="1">
    <w:name w:val="Título 1 Char"/>
    <w:basedOn w:val="DefaultParagraphFont"/>
    <w:qFormat/>
    <w:rsid w:val="0077407a"/>
    <w:rPr>
      <w:rFonts w:ascii="Calibri Light" w:hAnsi="Calibri Light" w:eastAsia="Calibri" w:cs="DejaVu Sans"/>
      <w:color w:val="2F5496"/>
      <w:sz w:val="32"/>
      <w:szCs w:val="32"/>
      <w:lang w:eastAsia="pt-BR"/>
    </w:rPr>
  </w:style>
  <w:style w:type="character" w:styleId="Citao2Char" w:customStyle="1">
    <w:name w:val="citação 2 Char"/>
    <w:basedOn w:val="CitaoChar"/>
    <w:qFormat/>
    <w:rsid w:val="0077407a"/>
    <w:rPr>
      <w:rFonts w:ascii="Arial" w:hAnsi="Arial" w:eastAsia="Calibri" w:cs="Tahoma"/>
      <w:i/>
      <w:iCs/>
      <w:color w:val="000000"/>
      <w:sz w:val="20"/>
      <w:szCs w:val="20"/>
      <w:highlight w:val="yellow"/>
    </w:rPr>
  </w:style>
  <w:style w:type="character" w:styleId="QuoteChar" w:customStyle="1">
    <w:name w:val="Quote Char"/>
    <w:basedOn w:val="DefaultParagraphFont"/>
    <w:qFormat/>
    <w:rsid w:val="0077407a"/>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sid w:val="0077407a"/>
    <w:rPr>
      <w:sz w:val="16"/>
      <w:szCs w:val="16"/>
    </w:rPr>
  </w:style>
  <w:style w:type="character" w:styleId="TextodecomentrioChar" w:customStyle="1">
    <w:name w:val="Texto de comentário Char"/>
    <w:basedOn w:val="DefaultParagraphFont"/>
    <w:qFormat/>
    <w:rsid w:val="0077407a"/>
    <w:rPr>
      <w:rFonts w:ascii="Arial" w:hAnsi="Arial" w:eastAsia="Times New Roman" w:cs="Tahoma"/>
      <w:sz w:val="20"/>
      <w:szCs w:val="20"/>
      <w:lang w:eastAsia="pt-BR"/>
    </w:rPr>
  </w:style>
  <w:style w:type="character" w:styleId="AssuntodocomentrioChar" w:customStyle="1">
    <w:name w:val="Assunto do comentário Char"/>
    <w:basedOn w:val="TextodecomentrioChar"/>
    <w:qFormat/>
    <w:rsid w:val="0077407a"/>
    <w:rPr>
      <w:rFonts w:ascii="Arial" w:hAnsi="Arial" w:eastAsia="Times New Roman" w:cs="Tahoma"/>
      <w:b/>
      <w:bCs/>
      <w:sz w:val="20"/>
      <w:szCs w:val="20"/>
      <w:lang w:eastAsia="pt-BR"/>
    </w:rPr>
  </w:style>
  <w:style w:type="character" w:styleId="LinkdaInternet" w:customStyle="1">
    <w:name w:val="Link da Internet"/>
    <w:qFormat/>
    <w:rsid w:val="0077407a"/>
    <w:rPr>
      <w:color w:val="000080"/>
      <w:u w:val="single"/>
    </w:rPr>
  </w:style>
  <w:style w:type="character" w:styleId="Nivel4Char" w:customStyle="1">
    <w:name w:val="Nivel 4 Char"/>
    <w:basedOn w:val="DefaultParagraphFont"/>
    <w:qFormat/>
    <w:rsid w:val="0077407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sid w:val="0077407a"/>
    <w:rPr>
      <w:rFonts w:ascii="Segoe UI" w:hAnsi="Segoe UI" w:eastAsia="Times New Roman" w:cs="Segoe UI"/>
      <w:sz w:val="18"/>
      <w:szCs w:val="18"/>
      <w:lang w:eastAsia="pt-BR"/>
    </w:rPr>
  </w:style>
  <w:style w:type="character" w:styleId="CabealhoChar" w:customStyle="1">
    <w:name w:val="Cabeçalho Char"/>
    <w:basedOn w:val="DefaultParagraphFont"/>
    <w:qFormat/>
    <w:rsid w:val="0077407a"/>
    <w:rPr>
      <w:rFonts w:ascii="Arial" w:hAnsi="Arial" w:eastAsia="Times New Roman" w:cs="Tahoma"/>
      <w:sz w:val="20"/>
      <w:szCs w:val="24"/>
      <w:lang w:eastAsia="pt-BR"/>
    </w:rPr>
  </w:style>
  <w:style w:type="character" w:styleId="RodapChar" w:customStyle="1">
    <w:name w:val="Rodapé Char"/>
    <w:basedOn w:val="DefaultParagraphFont"/>
    <w:qFormat/>
    <w:rsid w:val="0077407a"/>
    <w:rPr>
      <w:rFonts w:ascii="Arial" w:hAnsi="Arial" w:eastAsia="Times New Roman" w:cs="Tahoma"/>
      <w:sz w:val="20"/>
      <w:szCs w:val="24"/>
      <w:lang w:eastAsia="pt-BR"/>
    </w:rPr>
  </w:style>
  <w:style w:type="character" w:styleId="InternetLink" w:customStyle="1">
    <w:name w:val="Internet Link"/>
    <w:qFormat/>
    <w:rsid w:val="0077407a"/>
    <w:rPr>
      <w:color w:val="000080"/>
      <w:u w:val="single"/>
    </w:rPr>
  </w:style>
  <w:style w:type="character" w:styleId="ListLabel1" w:customStyle="1">
    <w:name w:val="ListLabel 1"/>
    <w:qFormat/>
    <w:rsid w:val="0077407a"/>
    <w:rPr>
      <w:rFonts w:ascii="Arial" w:hAnsi="Arial"/>
      <w:b/>
    </w:rPr>
  </w:style>
  <w:style w:type="character" w:styleId="ListLabel2" w:customStyle="1">
    <w:name w:val="ListLabel 2"/>
    <w:qFormat/>
    <w:rsid w:val="0077407a"/>
    <w:rPr>
      <w:b/>
      <w:i w:val="false"/>
      <w:iCs/>
    </w:rPr>
  </w:style>
  <w:style w:type="character" w:styleId="ListLabel3" w:customStyle="1">
    <w:name w:val="ListLabel 3"/>
    <w:qFormat/>
    <w:rsid w:val="0077407a"/>
    <w:rPr>
      <w:rFonts w:cs="Arial"/>
      <w:b/>
      <w:i w:val="false"/>
      <w:iCs/>
      <w:color w:val="00000A"/>
    </w:rPr>
  </w:style>
  <w:style w:type="character" w:styleId="ListLabel4" w:customStyle="1">
    <w:name w:val="ListLabel 4"/>
    <w:qFormat/>
    <w:rsid w:val="0077407a"/>
    <w:rPr>
      <w:b/>
    </w:rPr>
  </w:style>
  <w:style w:type="character" w:styleId="ListLabel5" w:customStyle="1">
    <w:name w:val="ListLabel 5"/>
    <w:qFormat/>
    <w:rsid w:val="0077407a"/>
    <w:rPr>
      <w:b/>
    </w:rPr>
  </w:style>
  <w:style w:type="character" w:styleId="ListLabel6" w:customStyle="1">
    <w:name w:val="ListLabel 6"/>
    <w:qFormat/>
    <w:rsid w:val="0077407a"/>
    <w:rPr>
      <w:b/>
    </w:rPr>
  </w:style>
  <w:style w:type="character" w:styleId="ListLabel7" w:customStyle="1">
    <w:name w:val="ListLabel 7"/>
    <w:qFormat/>
    <w:rsid w:val="0077407a"/>
    <w:rPr>
      <w:b w:val="false"/>
      <w:i w:val="false"/>
      <w:iCs/>
    </w:rPr>
  </w:style>
  <w:style w:type="character" w:styleId="ListLabel8" w:customStyle="1">
    <w:name w:val="ListLabel 8"/>
    <w:qFormat/>
    <w:rsid w:val="0077407a"/>
    <w:rPr>
      <w:rFonts w:cs="Arial"/>
      <w:b w:val="false"/>
      <w:i w:val="false"/>
      <w:iCs/>
      <w:color w:val="00000A"/>
    </w:rPr>
  </w:style>
  <w:style w:type="character" w:styleId="ListLabel9" w:customStyle="1">
    <w:name w:val="ListLabel 9"/>
    <w:qFormat/>
    <w:rsid w:val="0077407a"/>
    <w:rPr>
      <w:b/>
    </w:rPr>
  </w:style>
  <w:style w:type="character" w:styleId="ListLabel10" w:customStyle="1">
    <w:name w:val="ListLabel 10"/>
    <w:qFormat/>
    <w:rsid w:val="0077407a"/>
    <w:rPr>
      <w:b w:val="false"/>
      <w:i w:val="false"/>
      <w:iCs/>
    </w:rPr>
  </w:style>
  <w:style w:type="character" w:styleId="ListLabel11" w:customStyle="1">
    <w:name w:val="ListLabel 11"/>
    <w:qFormat/>
    <w:rsid w:val="0077407a"/>
    <w:rPr>
      <w:b w:val="false"/>
      <w:i w:val="false"/>
      <w:iCs/>
      <w:color w:val="00000A"/>
    </w:rPr>
  </w:style>
  <w:style w:type="character" w:styleId="ListLabel12" w:customStyle="1">
    <w:name w:val="ListLabel 12"/>
    <w:qFormat/>
    <w:rsid w:val="00032e7c"/>
    <w:rPr>
      <w:rFonts w:ascii="Arial" w:hAnsi="Arial"/>
      <w:b/>
    </w:rPr>
  </w:style>
  <w:style w:type="character" w:styleId="ListLabel13" w:customStyle="1">
    <w:name w:val="ListLabel 13"/>
    <w:qFormat/>
    <w:rsid w:val="00032e7c"/>
    <w:rPr>
      <w:b/>
      <w:i w:val="false"/>
      <w:iCs/>
    </w:rPr>
  </w:style>
  <w:style w:type="character" w:styleId="ListLabel14" w:customStyle="1">
    <w:name w:val="ListLabel 14"/>
    <w:qFormat/>
    <w:rsid w:val="00032e7c"/>
    <w:rPr>
      <w:rFonts w:ascii="Arial" w:hAnsi="Arial" w:cs="Arial"/>
      <w:b/>
      <w:i w:val="false"/>
      <w:iCs/>
      <w:color w:val="00000A"/>
    </w:rPr>
  </w:style>
  <w:style w:type="character" w:styleId="ListLabel15" w:customStyle="1">
    <w:name w:val="ListLabel 15"/>
    <w:qFormat/>
    <w:rsid w:val="00032e7c"/>
    <w:rPr>
      <w:b/>
    </w:rPr>
  </w:style>
  <w:style w:type="character" w:styleId="ListLabel16" w:customStyle="1">
    <w:name w:val="ListLabel 16"/>
    <w:qFormat/>
    <w:rsid w:val="00032e7c"/>
    <w:rPr>
      <w:b/>
    </w:rPr>
  </w:style>
  <w:style w:type="character" w:styleId="ListLabel17" w:customStyle="1">
    <w:name w:val="ListLabel 17"/>
    <w:qFormat/>
    <w:rsid w:val="00032e7c"/>
    <w:rPr>
      <w:b/>
    </w:rPr>
  </w:style>
  <w:style w:type="character" w:styleId="ListLabel18" w:customStyle="1">
    <w:name w:val="ListLabel 18"/>
    <w:qFormat/>
    <w:rsid w:val="00032e7c"/>
    <w:rPr>
      <w:b w:val="false"/>
      <w:i w:val="false"/>
      <w:iCs/>
    </w:rPr>
  </w:style>
  <w:style w:type="character" w:styleId="ListLabel19" w:customStyle="1">
    <w:name w:val="ListLabel 19"/>
    <w:qFormat/>
    <w:rsid w:val="00032e7c"/>
    <w:rPr>
      <w:rFonts w:cs="Arial"/>
      <w:b w:val="false"/>
      <w:i w:val="false"/>
      <w:iCs/>
      <w:color w:val="00000A"/>
    </w:rPr>
  </w:style>
  <w:style w:type="character" w:styleId="ListLabel20" w:customStyle="1">
    <w:name w:val="ListLabel 20"/>
    <w:qFormat/>
    <w:rsid w:val="00032e7c"/>
    <w:rPr>
      <w:b/>
    </w:rPr>
  </w:style>
  <w:style w:type="character" w:styleId="ListLabel21" w:customStyle="1">
    <w:name w:val="ListLabel 21"/>
    <w:qFormat/>
    <w:rsid w:val="00032e7c"/>
    <w:rPr>
      <w:b w:val="false"/>
      <w:i w:val="false"/>
      <w:iCs/>
    </w:rPr>
  </w:style>
  <w:style w:type="character" w:styleId="ListLabel22" w:customStyle="1">
    <w:name w:val="ListLabel 22"/>
    <w:qFormat/>
    <w:rsid w:val="00032e7c"/>
    <w:rPr>
      <w:b w:val="false"/>
      <w:i w:val="false"/>
      <w:iCs/>
      <w:color w:val="00000A"/>
    </w:rPr>
  </w:style>
  <w:style w:type="character" w:styleId="ListLabel23">
    <w:name w:val="ListLabel 23"/>
    <w:qFormat/>
    <w:rPr>
      <w:rFonts w:ascii="Arial" w:hAnsi="Arial"/>
      <w:b/>
    </w:rPr>
  </w:style>
  <w:style w:type="character" w:styleId="ListLabel24">
    <w:name w:val="ListLabel 24"/>
    <w:qFormat/>
    <w:rPr>
      <w:b/>
      <w:i w:val="false"/>
      <w:iCs/>
    </w:rPr>
  </w:style>
  <w:style w:type="character" w:styleId="ListLabel25">
    <w:name w:val="ListLabel 25"/>
    <w:qFormat/>
    <w:rPr>
      <w:rFonts w:ascii="Arial" w:hAnsi="Arial" w:cs="Arial"/>
      <w:b/>
      <w:i w:val="false"/>
      <w:iCs/>
      <w:color w:val="00000A"/>
    </w:rPr>
  </w:style>
  <w:style w:type="character" w:styleId="ListLabel26">
    <w:name w:val="ListLabel 26"/>
    <w:qFormat/>
    <w:rPr>
      <w:b/>
    </w:rPr>
  </w:style>
  <w:style w:type="character" w:styleId="ListLabel27">
    <w:name w:val="ListLabel 27"/>
    <w:qFormat/>
    <w:rPr>
      <w:b/>
    </w:rPr>
  </w:style>
  <w:style w:type="character" w:styleId="ListLabel28">
    <w:name w:val="ListLabel 28"/>
    <w:qFormat/>
    <w:rPr>
      <w:b/>
    </w:rPr>
  </w:style>
  <w:style w:type="character" w:styleId="ListLabel29">
    <w:name w:val="ListLabel 29"/>
    <w:qFormat/>
    <w:rPr>
      <w:b w:val="false"/>
      <w:i w:val="false"/>
      <w:iCs/>
    </w:rPr>
  </w:style>
  <w:style w:type="character" w:styleId="ListLabel30">
    <w:name w:val="ListLabel 30"/>
    <w:qFormat/>
    <w:rPr>
      <w:rFonts w:cs="Arial"/>
      <w:b w:val="false"/>
      <w:i w:val="false"/>
      <w:iCs/>
      <w:color w:val="00000A"/>
    </w:rPr>
  </w:style>
  <w:style w:type="character" w:styleId="ListLabel31">
    <w:name w:val="ListLabel 31"/>
    <w:qFormat/>
    <w:rPr>
      <w:b/>
    </w:rPr>
  </w:style>
  <w:style w:type="character" w:styleId="ListLabel32">
    <w:name w:val="ListLabel 32"/>
    <w:qFormat/>
    <w:rPr>
      <w:b w:val="false"/>
      <w:i w:val="false"/>
      <w:iCs/>
    </w:rPr>
  </w:style>
  <w:style w:type="character" w:styleId="ListLabel33">
    <w:name w:val="ListLabel 33"/>
    <w:qFormat/>
    <w:rPr>
      <w:b w:val="false"/>
      <w:i w:val="false"/>
      <w:iCs/>
      <w:color w:val="00000A"/>
    </w:rPr>
  </w:style>
  <w:style w:type="paragraph" w:styleId="Ttulo" w:customStyle="1">
    <w:name w:val="Título"/>
    <w:basedOn w:val="Normal"/>
    <w:next w:val="Corpodetexto"/>
    <w:qFormat/>
    <w:rsid w:val="0077407a"/>
    <w:pPr>
      <w:keepNext/>
      <w:spacing w:before="240" w:after="120"/>
    </w:pPr>
    <w:rPr>
      <w:rFonts w:ascii="Liberation Sans" w:hAnsi="Liberation Sans" w:eastAsia="WenQuanYi Micro Hei" w:cs="Lohit Devanagari"/>
      <w:sz w:val="28"/>
      <w:szCs w:val="28"/>
    </w:rPr>
  </w:style>
  <w:style w:type="paragraph" w:styleId="Corpodetexto">
    <w:name w:val="Body Text"/>
    <w:basedOn w:val="Normal"/>
    <w:rsid w:val="0077407a"/>
    <w:pPr>
      <w:spacing w:lineRule="auto" w:line="288" w:before="0" w:after="140"/>
    </w:pPr>
    <w:rPr/>
  </w:style>
  <w:style w:type="paragraph" w:styleId="Lista">
    <w:name w:val="List"/>
    <w:basedOn w:val="Corpodetexto"/>
    <w:rsid w:val="0077407a"/>
    <w:pPr/>
    <w:rPr>
      <w:rFonts w:cs="Arial"/>
    </w:rPr>
  </w:style>
  <w:style w:type="paragraph" w:styleId="Legenda" w:customStyle="1">
    <w:name w:val="Caption"/>
    <w:basedOn w:val="Normal"/>
    <w:qFormat/>
    <w:rsid w:val="00032e7c"/>
    <w:pPr>
      <w:suppressLineNumbers/>
      <w:spacing w:before="120" w:after="120"/>
    </w:pPr>
    <w:rPr>
      <w:rFonts w:cs="Lohit Devanagari"/>
      <w:i/>
      <w:iCs/>
      <w:sz w:val="24"/>
    </w:rPr>
  </w:style>
  <w:style w:type="paragraph" w:styleId="Ndice" w:customStyle="1">
    <w:name w:val="Índice"/>
    <w:basedOn w:val="Normal"/>
    <w:qFormat/>
    <w:rsid w:val="0077407a"/>
    <w:pPr>
      <w:suppressLineNumbers/>
    </w:pPr>
    <w:rPr>
      <w:rFonts w:cs="Arial"/>
    </w:rPr>
  </w:style>
  <w:style w:type="paragraph" w:styleId="Ttulo11" w:customStyle="1">
    <w:name w:val="Título 11"/>
    <w:basedOn w:val="Normal"/>
    <w:next w:val="Normal"/>
    <w:qFormat/>
    <w:rsid w:val="0077407a"/>
    <w:pPr>
      <w:keepNext/>
      <w:keepLines/>
      <w:spacing w:before="240" w:after="0"/>
      <w:outlineLvl w:val="0"/>
    </w:pPr>
    <w:rPr>
      <w:rFonts w:ascii="Calibri Light" w:hAnsi="Calibri Light" w:eastAsia="Calibri" w:cs="DejaVu Sans"/>
      <w:color w:val="2F5496"/>
      <w:sz w:val="32"/>
      <w:szCs w:val="32"/>
    </w:rPr>
  </w:style>
  <w:style w:type="paragraph" w:styleId="Legenda1" w:customStyle="1">
    <w:name w:val="Legenda1"/>
    <w:basedOn w:val="Normal"/>
    <w:qFormat/>
    <w:rsid w:val="0077407a"/>
    <w:pPr>
      <w:suppressLineNumbers/>
      <w:spacing w:before="120" w:after="120"/>
    </w:pPr>
    <w:rPr>
      <w:rFonts w:cs="Arial"/>
      <w:i/>
      <w:iCs/>
      <w:sz w:val="24"/>
    </w:rPr>
  </w:style>
  <w:style w:type="paragraph" w:styleId="Ttulo1" w:customStyle="1">
    <w:name w:val="Título1"/>
    <w:basedOn w:val="Normal"/>
    <w:qFormat/>
    <w:rsid w:val="0077407a"/>
    <w:pPr>
      <w:keepNext/>
      <w:spacing w:before="240" w:after="120"/>
    </w:pPr>
    <w:rPr>
      <w:rFonts w:ascii="Liberation Sans" w:hAnsi="Liberation Sans" w:eastAsia="WenQuanYi Micro Hei" w:cs="Lohit Devanagari"/>
      <w:sz w:val="28"/>
      <w:szCs w:val="28"/>
    </w:rPr>
  </w:style>
  <w:style w:type="paragraph" w:styleId="Ttulododocumento">
    <w:name w:val="Title"/>
    <w:basedOn w:val="Normal"/>
    <w:qFormat/>
    <w:rsid w:val="0077407a"/>
    <w:pPr>
      <w:keepNext/>
      <w:spacing w:before="240" w:after="120"/>
    </w:pPr>
    <w:rPr>
      <w:rFonts w:ascii="Liberation Sans" w:hAnsi="Liberation Sans" w:eastAsia="Microsoft YaHei" w:cs="Arial"/>
      <w:sz w:val="28"/>
      <w:szCs w:val="28"/>
    </w:rPr>
  </w:style>
  <w:style w:type="paragraph" w:styleId="Quote">
    <w:name w:val="Quote"/>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1"/>
    <w:next w:val="Normal"/>
    <w:qFormat/>
    <w:rsid w:val="0077407a"/>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77407a"/>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eastAsia="zh-CN" w:bidi="hi-IN" w:val="pt-BR"/>
    </w:rPr>
  </w:style>
  <w:style w:type="paragraph" w:styleId="ListParagraph">
    <w:name w:val="List Paragraph"/>
    <w:basedOn w:val="Normal"/>
    <w:qFormat/>
    <w:rsid w:val="0077407a"/>
    <w:pPr>
      <w:spacing w:before="0" w:after="0"/>
      <w:ind w:left="720" w:hanging="0"/>
      <w:contextualSpacing/>
    </w:pPr>
    <w:rPr/>
  </w:style>
  <w:style w:type="paragraph" w:styleId="Citao2" w:customStyle="1">
    <w:name w:val="citação 2"/>
    <w:basedOn w:val="Quote"/>
    <w:qFormat/>
    <w:rsid w:val="0077407a"/>
    <w:pPr>
      <w:shd w:fill="FFFFCC" w:val="clear"/>
    </w:pPr>
    <w:rPr>
      <w:szCs w:val="20"/>
    </w:rPr>
  </w:style>
  <w:style w:type="paragraph" w:styleId="Citao1" w:customStyle="1">
    <w:name w:val="Citação1"/>
    <w:basedOn w:val="Normal"/>
    <w:next w:val="Normal"/>
    <w:qFormat/>
    <w:rsid w:val="0077407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rsid w:val="0077407a"/>
    <w:pPr/>
    <w:rPr>
      <w:szCs w:val="20"/>
    </w:rPr>
  </w:style>
  <w:style w:type="paragraph" w:styleId="Annotationsubject">
    <w:name w:val="annotation subject"/>
    <w:basedOn w:val="Annotationtext"/>
    <w:qFormat/>
    <w:rsid w:val="0077407a"/>
    <w:pPr/>
    <w:rPr>
      <w:b/>
      <w:bCs/>
    </w:rPr>
  </w:style>
  <w:style w:type="paragraph" w:styleId="Nivel1" w:customStyle="1">
    <w:name w:val="Nivel1"/>
    <w:basedOn w:val="Ttulo11"/>
    <w:qFormat/>
    <w:rsid w:val="0077407a"/>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77407a"/>
    <w:pPr>
      <w:widowControl/>
      <w:bidi w:val="0"/>
      <w:spacing w:lineRule="auto" w:line="276" w:before="120" w:after="120"/>
      <w:jc w:val="both"/>
    </w:pPr>
    <w:rPr>
      <w:rFonts w:ascii="Ecofont_Spranq_eco_Sans" w:hAnsi="Ecofont_Spranq_eco_Sans" w:eastAsia="Arial Unicode MS" w:cs="Times New Roman"/>
      <w:color w:val="00000A"/>
      <w:sz w:val="20"/>
      <w:szCs w:val="20"/>
      <w:lang w:eastAsia="pt-BR" w:val="pt-BR" w:bidi="ar-SA"/>
    </w:rPr>
  </w:style>
  <w:style w:type="paragraph" w:styleId="Nivel11" w:customStyle="1">
    <w:name w:val="Nivel 1"/>
    <w:basedOn w:val="Nivel2"/>
    <w:qFormat/>
    <w:rsid w:val="0077407a"/>
    <w:pPr/>
    <w:rPr>
      <w:rFonts w:cs="Arial"/>
      <w:b/>
    </w:rPr>
  </w:style>
  <w:style w:type="paragraph" w:styleId="Nivel3" w:customStyle="1">
    <w:name w:val="Nivel 3"/>
    <w:basedOn w:val="Nivel2"/>
    <w:qFormat/>
    <w:rsid w:val="0077407a"/>
    <w:pPr/>
    <w:rPr>
      <w:rFonts w:cs="Arial"/>
      <w:color w:val="000000"/>
    </w:rPr>
  </w:style>
  <w:style w:type="paragraph" w:styleId="Nivel4" w:customStyle="1">
    <w:name w:val="Nivel 4"/>
    <w:basedOn w:val="Nivel3"/>
    <w:qFormat/>
    <w:rsid w:val="0077407a"/>
    <w:pPr/>
    <w:rPr>
      <w:color w:val="00000A"/>
    </w:rPr>
  </w:style>
  <w:style w:type="paragraph" w:styleId="Nivel5" w:customStyle="1">
    <w:name w:val="Nivel 5"/>
    <w:basedOn w:val="Nivel4"/>
    <w:qFormat/>
    <w:rsid w:val="0077407a"/>
    <w:pPr>
      <w:tabs>
        <w:tab w:val="left" w:pos="360" w:leader="none"/>
      </w:tabs>
    </w:pPr>
    <w:rPr/>
  </w:style>
  <w:style w:type="paragraph" w:styleId="BalloonText">
    <w:name w:val="Balloon Text"/>
    <w:basedOn w:val="Normal"/>
    <w:qFormat/>
    <w:rsid w:val="0077407a"/>
    <w:pPr/>
    <w:rPr>
      <w:rFonts w:ascii="Segoe UI" w:hAnsi="Segoe UI" w:cs="Segoe UI"/>
      <w:sz w:val="18"/>
      <w:szCs w:val="18"/>
    </w:rPr>
  </w:style>
  <w:style w:type="paragraph" w:styleId="CabealhoeRodap" w:customStyle="1">
    <w:name w:val="Cabeçalho e Rodapé"/>
    <w:basedOn w:val="Normal"/>
    <w:qFormat/>
    <w:rsid w:val="0077407a"/>
    <w:pPr/>
    <w:rPr/>
  </w:style>
  <w:style w:type="paragraph" w:styleId="Cabealho1" w:customStyle="1">
    <w:name w:val="Cabeçalho1"/>
    <w:basedOn w:val="Normal"/>
    <w:qFormat/>
    <w:rsid w:val="0077407a"/>
    <w:pPr>
      <w:tabs>
        <w:tab w:val="center" w:pos="4252" w:leader="none"/>
        <w:tab w:val="right" w:pos="8504" w:leader="none"/>
      </w:tabs>
    </w:pPr>
    <w:rPr/>
  </w:style>
  <w:style w:type="paragraph" w:styleId="Rodap1" w:customStyle="1">
    <w:name w:val="Rodapé1"/>
    <w:basedOn w:val="Normal"/>
    <w:qFormat/>
    <w:rsid w:val="0077407a"/>
    <w:pPr>
      <w:tabs>
        <w:tab w:val="center" w:pos="4252" w:leader="none"/>
        <w:tab w:val="right" w:pos="8504" w:leader="none"/>
      </w:tabs>
    </w:pPr>
    <w:rPr/>
  </w:style>
  <w:style w:type="paragraph" w:styleId="Caption">
    <w:name w:val="caption"/>
    <w:basedOn w:val="Normal"/>
    <w:qFormat/>
    <w:rsid w:val="0077407a"/>
    <w:pPr>
      <w:suppressLineNumbers/>
      <w:spacing w:before="120" w:after="120"/>
    </w:pPr>
    <w:rPr>
      <w:rFonts w:cs="Arial"/>
      <w:i/>
      <w:iCs/>
      <w:sz w:val="24"/>
    </w:rPr>
  </w:style>
  <w:style w:type="paragraph" w:styleId="Contedodatabela" w:customStyle="1">
    <w:name w:val="Conteúdo da tabela"/>
    <w:basedOn w:val="Normal"/>
    <w:qFormat/>
    <w:rsid w:val="0077407a"/>
    <w:pPr/>
    <w:rPr/>
  </w:style>
  <w:style w:type="paragraph" w:styleId="Rodap" w:customStyle="1">
    <w:name w:val="Footer"/>
    <w:basedOn w:val="Normal"/>
    <w:rsid w:val="00032e7c"/>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mailto:salc.raj@hotmai.com" TargetMode="External"/><Relationship Id="rId7" Type="http://schemas.openxmlformats.org/officeDocument/2006/relationships/hyperlink" Target="mailto:salc.raj@hotmail.com" TargetMode="External"/><Relationship Id="rId8" Type="http://schemas.openxmlformats.org/officeDocument/2006/relationships/hyperlink" Target="mailto:salc.raj@hotmai.com"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Application>LibreOffice/5.3.0.3$Windows_X86_64 LibreOffice_project/7074905676c47b82bbcfbea1aeefc84afe1c50e1</Application>
  <Pages>11</Pages>
  <Words>4890</Words>
  <Characters>28087</Characters>
  <CharactersWithSpaces>32617</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User</dc:creator>
  <dc:description/>
  <dc:language>pt-BR</dc:language>
  <cp:lastModifiedBy/>
  <cp:lastPrinted>2021-11-03T14:20:00Z</cp:lastPrinted>
  <dcterms:modified xsi:type="dcterms:W3CDTF">2021-11-04T12:06:15Z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