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Quote"/>
        <w:pBdr>
          <w:top w:val="single" w:sz="4" w:space="0" w:color="1F497D"/>
          <w:left w:val="single" w:sz="4" w:space="4" w:color="1F497D"/>
          <w:bottom w:val="single" w:sz="4" w:space="1" w:color="1F497D"/>
          <w:right w:val="single" w:sz="4" w:space="4" w:color="1F497D"/>
        </w:pBdr>
        <w:shd w:val="clear" w:fill="FFFFCC"/>
        <w:spacing w:lineRule="auto" w:line="276" w:before="120" w:after="0"/>
        <w:rPr>
          <w:rFonts w:ascii="Times New Roman" w:hAnsi="Times New Roman"/>
          <w:b/>
          <w:b/>
          <w:bCs/>
          <w:sz w:val="22"/>
          <w:szCs w:val="22"/>
        </w:rPr>
      </w:pPr>
      <w:r>
        <w:rPr>
          <w:rFonts w:ascii="Times New Roman" w:hAnsi="Times New Roman"/>
          <w:b/>
          <w:bCs/>
          <w:sz w:val="22"/>
          <w:szCs w:val="22"/>
        </w:rPr>
        <w:drawing>
          <wp:anchor behindDoc="1" distT="0" distB="0" distL="0" distR="0" simplePos="0" locked="0" layoutInCell="1" allowOverlap="1" relativeHeight="2">
            <wp:simplePos x="0" y="0"/>
            <wp:positionH relativeFrom="column">
              <wp:posOffset>2385060</wp:posOffset>
            </wp:positionH>
            <wp:positionV relativeFrom="paragraph">
              <wp:posOffset>-4445</wp:posOffset>
            </wp:positionV>
            <wp:extent cx="660400" cy="682625"/>
            <wp:effectExtent l="0" t="0" r="0" b="0"/>
            <wp:wrapNone/>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tretch>
                      <a:fillRect/>
                    </a:stretch>
                  </pic:blipFill>
                  <pic:spPr bwMode="auto">
                    <a:xfrm>
                      <a:off x="0" y="0"/>
                      <a:ext cx="660400" cy="682625"/>
                    </a:xfrm>
                    <a:prstGeom prst="rect">
                      <a:avLst/>
                    </a:prstGeom>
                  </pic:spPr>
                </pic:pic>
              </a:graphicData>
            </a:graphic>
          </wp:anchor>
        </w:drawing>
      </w:r>
    </w:p>
    <w:p>
      <w:pPr>
        <w:pStyle w:val="Caption"/>
        <w:numPr>
          <w:ilvl w:val="0"/>
          <w:numId w:val="0"/>
        </w:numPr>
        <w:pBdr>
          <w:top w:val="single" w:sz="4" w:space="0" w:color="1F497D"/>
          <w:left w:val="single" w:sz="4" w:space="4" w:color="1F497D"/>
          <w:bottom w:val="single" w:sz="4" w:space="1" w:color="1F497D"/>
          <w:right w:val="single" w:sz="4" w:space="4" w:color="1F497D"/>
        </w:pBdr>
        <w:tabs>
          <w:tab w:val="left" w:pos="0" w:leader="none"/>
        </w:tabs>
        <w:spacing w:lineRule="auto" w:line="276"/>
        <w:ind w:right="0" w:hanging="0"/>
        <w:jc w:val="center"/>
        <w:rPr>
          <w:rFonts w:ascii="Times New Roman" w:hAnsi="Times New Roman"/>
          <w:b/>
          <w:b/>
          <w:bCs/>
          <w:sz w:val="22"/>
          <w:szCs w:val="22"/>
        </w:rPr>
      </w:pPr>
      <w:r>
        <w:rPr>
          <w:rFonts w:ascii="Times New Roman" w:hAnsi="Times New Roman"/>
          <w:b/>
          <w:bCs/>
          <w:sz w:val="22"/>
          <w:szCs w:val="22"/>
        </w:rPr>
      </w:r>
    </w:p>
    <w:p>
      <w:pPr>
        <w:pStyle w:val="Caption"/>
        <w:numPr>
          <w:ilvl w:val="0"/>
          <w:numId w:val="0"/>
        </w:numPr>
        <w:pBdr>
          <w:top w:val="single" w:sz="4" w:space="0" w:color="1F497D"/>
          <w:left w:val="single" w:sz="4" w:space="4" w:color="1F497D"/>
          <w:bottom w:val="single" w:sz="4" w:space="1" w:color="1F497D"/>
          <w:right w:val="single" w:sz="4" w:space="4" w:color="1F497D"/>
        </w:pBdr>
        <w:tabs>
          <w:tab w:val="left" w:pos="0" w:leader="none"/>
        </w:tabs>
        <w:spacing w:lineRule="auto" w:line="276"/>
        <w:ind w:left="360" w:right="0" w:hanging="0"/>
        <w:jc w:val="center"/>
        <w:rPr>
          <w:sz w:val="8"/>
          <w:szCs w:val="8"/>
        </w:rPr>
      </w:pPr>
      <w:r>
        <w:rPr>
          <w:sz w:val="8"/>
          <w:szCs w:val="8"/>
        </w:rPr>
      </w:r>
    </w:p>
    <w:p>
      <w:pPr>
        <w:pStyle w:val="Caption"/>
        <w:numPr>
          <w:ilvl w:val="0"/>
          <w:numId w:val="0"/>
        </w:numPr>
        <w:pBdr>
          <w:top w:val="single" w:sz="4" w:space="0" w:color="1F497D"/>
          <w:left w:val="single" w:sz="4" w:space="4" w:color="1F497D"/>
          <w:bottom w:val="single" w:sz="4" w:space="1" w:color="1F497D"/>
          <w:right w:val="single" w:sz="4" w:space="4" w:color="1F497D"/>
        </w:pBdr>
        <w:tabs>
          <w:tab w:val="left" w:pos="0" w:leader="none"/>
        </w:tabs>
        <w:spacing w:lineRule="auto" w:line="276"/>
        <w:ind w:left="360" w:right="0" w:hanging="0"/>
        <w:jc w:val="center"/>
        <w:rPr/>
      </w:pPr>
      <w:r>
        <w:rPr>
          <w:rFonts w:ascii="Times New Roman" w:hAnsi="Times New Roman"/>
          <w:b/>
          <w:bCs/>
          <w:sz w:val="22"/>
          <w:szCs w:val="22"/>
        </w:rPr>
        <w:t>MINISTÉRIO DA DEFESA</w:t>
      </w:r>
    </w:p>
    <w:p>
      <w:pPr>
        <w:pStyle w:val="Normal"/>
        <w:widowControl/>
        <w:numPr>
          <w:ilvl w:val="0"/>
          <w:numId w:val="0"/>
        </w:numPr>
        <w:pBdr>
          <w:top w:val="single" w:sz="4" w:space="0" w:color="1F497D"/>
          <w:left w:val="single" w:sz="4" w:space="4" w:color="1F497D"/>
          <w:bottom w:val="single" w:sz="4" w:space="1" w:color="1F497D"/>
          <w:right w:val="single" w:sz="4" w:space="4" w:color="1F497D"/>
        </w:pBdr>
        <w:tabs>
          <w:tab w:val="left" w:pos="0" w:leader="none"/>
        </w:tabs>
        <w:spacing w:lineRule="auto" w:line="276"/>
        <w:ind w:left="360" w:right="0" w:hanging="0"/>
        <w:jc w:val="center"/>
        <w:rPr/>
      </w:pPr>
      <w:r>
        <w:rPr>
          <w:rFonts w:ascii="Times New Roman" w:hAnsi="Times New Roman"/>
          <w:b/>
          <w:sz w:val="22"/>
          <w:szCs w:val="22"/>
        </w:rPr>
        <w:t>EXÉRCITO BRASILEIRO</w:t>
      </w:r>
    </w:p>
    <w:p>
      <w:pPr>
        <w:pStyle w:val="Normal"/>
        <w:widowControl/>
        <w:numPr>
          <w:ilvl w:val="0"/>
          <w:numId w:val="0"/>
        </w:numPr>
        <w:pBdr>
          <w:top w:val="single" w:sz="4" w:space="0" w:color="1F497D"/>
          <w:left w:val="single" w:sz="4" w:space="4" w:color="1F497D"/>
          <w:bottom w:val="single" w:sz="4" w:space="1" w:color="1F497D"/>
          <w:right w:val="single" w:sz="4" w:space="4" w:color="1F497D"/>
        </w:pBdr>
        <w:tabs>
          <w:tab w:val="left" w:pos="0" w:leader="none"/>
        </w:tabs>
        <w:spacing w:lineRule="auto" w:line="276"/>
        <w:ind w:left="360" w:right="0" w:hanging="0"/>
        <w:jc w:val="center"/>
        <w:rPr/>
      </w:pPr>
      <w:r>
        <w:rPr>
          <w:rFonts w:ascii="Times New Roman" w:hAnsi="Times New Roman"/>
          <w:b/>
          <w:sz w:val="22"/>
          <w:szCs w:val="22"/>
        </w:rPr>
        <w:t>C M O – 4ª Bda C Mec</w:t>
      </w:r>
    </w:p>
    <w:p>
      <w:pPr>
        <w:pStyle w:val="Normal"/>
        <w:widowControl/>
        <w:numPr>
          <w:ilvl w:val="0"/>
          <w:numId w:val="0"/>
        </w:numPr>
        <w:pBdr>
          <w:top w:val="single" w:sz="4" w:space="0" w:color="1F497D"/>
          <w:left w:val="single" w:sz="4" w:space="4" w:color="1F497D"/>
          <w:bottom w:val="single" w:sz="4" w:space="1" w:color="1F497D"/>
          <w:right w:val="single" w:sz="4" w:space="4" w:color="1F497D"/>
        </w:pBdr>
        <w:tabs>
          <w:tab w:val="left" w:pos="0" w:leader="none"/>
        </w:tabs>
        <w:spacing w:lineRule="auto" w:line="276"/>
        <w:ind w:left="360" w:right="0" w:hanging="0"/>
        <w:jc w:val="center"/>
        <w:rPr/>
      </w:pPr>
      <w:r>
        <w:rPr>
          <w:rFonts w:ascii="Times New Roman" w:hAnsi="Times New Roman"/>
          <w:b/>
          <w:sz w:val="22"/>
          <w:szCs w:val="22"/>
        </w:rPr>
        <w:t>10º REGIMENTO DE CAVALARIA MECANIZADO</w:t>
      </w:r>
    </w:p>
    <w:p>
      <w:pPr>
        <w:pStyle w:val="Normal"/>
        <w:widowControl/>
        <w:numPr>
          <w:ilvl w:val="0"/>
          <w:numId w:val="0"/>
        </w:numPr>
        <w:pBdr>
          <w:top w:val="single" w:sz="4" w:space="0" w:color="1F497D"/>
          <w:left w:val="single" w:sz="4" w:space="4" w:color="1F497D"/>
          <w:bottom w:val="single" w:sz="4" w:space="1" w:color="1F497D"/>
          <w:right w:val="single" w:sz="4" w:space="4" w:color="1F497D"/>
        </w:pBdr>
        <w:tabs>
          <w:tab w:val="left" w:pos="0" w:leader="none"/>
        </w:tabs>
        <w:spacing w:lineRule="auto" w:line="276"/>
        <w:ind w:left="360" w:right="0" w:hanging="0"/>
        <w:jc w:val="center"/>
        <w:rPr/>
      </w:pPr>
      <w:r>
        <w:rPr>
          <w:rFonts w:ascii="Times New Roman" w:hAnsi="Times New Roman"/>
          <w:b/>
          <w:sz w:val="22"/>
          <w:szCs w:val="22"/>
        </w:rPr>
        <w:t>(Companhia de Cavalaria de Mato Grosso – 1839)</w:t>
      </w:r>
    </w:p>
    <w:p>
      <w:pPr>
        <w:pStyle w:val="Normal"/>
        <w:widowControl/>
        <w:numPr>
          <w:ilvl w:val="0"/>
          <w:numId w:val="0"/>
        </w:numPr>
        <w:pBdr>
          <w:top w:val="single" w:sz="4" w:space="0" w:color="1F497D"/>
          <w:left w:val="single" w:sz="4" w:space="4" w:color="1F497D"/>
          <w:bottom w:val="single" w:sz="4" w:space="1" w:color="1F497D"/>
          <w:right w:val="single" w:sz="4" w:space="4" w:color="1F497D"/>
        </w:pBdr>
        <w:tabs>
          <w:tab w:val="left" w:pos="0" w:leader="none"/>
          <w:tab w:val="left" w:pos="4820" w:leader="none"/>
          <w:tab w:val="left" w:pos="5954" w:leader="none"/>
        </w:tabs>
        <w:spacing w:lineRule="auto" w:line="276"/>
        <w:ind w:left="360" w:right="0" w:hanging="0"/>
        <w:jc w:val="center"/>
        <w:rPr/>
      </w:pPr>
      <w:r>
        <w:rPr>
          <w:rFonts w:ascii="Times New Roman" w:hAnsi="Times New Roman"/>
          <w:b/>
          <w:sz w:val="22"/>
          <w:szCs w:val="22"/>
        </w:rPr>
        <w:t>REGIMENTO ANTÔNIO JOÃO</w:t>
      </w:r>
    </w:p>
    <w:p>
      <w:pPr>
        <w:pStyle w:val="Normal"/>
        <w:spacing w:lineRule="auto" w:line="276"/>
        <w:jc w:val="center"/>
        <w:rPr/>
      </w:pPr>
      <w:r>
        <w:rPr/>
      </w:r>
    </w:p>
    <w:p>
      <w:pPr>
        <w:pStyle w:val="Normal"/>
        <w:spacing w:lineRule="auto" w:line="276"/>
        <w:jc w:val="center"/>
        <w:rPr/>
      </w:pPr>
      <w:r>
        <w:rPr>
          <w:rFonts w:cs="Arial"/>
          <w:b/>
          <w:bCs/>
          <w:color w:val="000000" w:themeColor="text1"/>
          <w:szCs w:val="20"/>
        </w:rPr>
        <w:t xml:space="preserve">AVISO DE DISPENSA ELETRÔNICA Nº </w:t>
      </w:r>
      <w:r>
        <w:rPr>
          <w:rFonts w:cs="Arial"/>
          <w:b/>
          <w:bCs/>
          <w:color w:val="000000" w:themeColor="text1"/>
          <w:szCs w:val="20"/>
        </w:rPr>
        <w:t>83</w:t>
      </w:r>
      <w:r>
        <w:rPr>
          <w:rFonts w:cs="Arial"/>
          <w:b/>
          <w:bCs/>
          <w:color w:val="000000" w:themeColor="text1"/>
          <w:szCs w:val="20"/>
        </w:rPr>
        <w:t>/2021</w:t>
      </w:r>
    </w:p>
    <w:p>
      <w:pPr>
        <w:pStyle w:val="Normal"/>
        <w:spacing w:lineRule="auto" w:line="276" w:before="0" w:after="120"/>
        <w:ind w:right="-15" w:hanging="0"/>
        <w:jc w:val="center"/>
        <w:rPr/>
      </w:pPr>
      <w:r>
        <w:rPr>
          <w:rFonts w:cs="Arial"/>
          <w:b/>
          <w:bCs/>
          <w:color w:val="000000" w:themeColor="text1"/>
          <w:szCs w:val="20"/>
        </w:rPr>
        <w:t>(Processo Administrativo n.°64679.007209/2021-47)</w:t>
      </w:r>
    </w:p>
    <w:p>
      <w:pPr>
        <w:pStyle w:val="Normal"/>
        <w:rPr>
          <w:rFonts w:cs="Arial"/>
        </w:rPr>
      </w:pPr>
      <w:r>
        <w:rPr>
          <w:rFonts w:cs="Arial"/>
        </w:rPr>
      </w:r>
    </w:p>
    <w:p>
      <w:pPr>
        <w:pStyle w:val="Normal"/>
        <w:snapToGrid w:val="false"/>
        <w:spacing w:lineRule="auto" w:line="276" w:before="0" w:after="120"/>
        <w:ind w:right="-30" w:firstLine="540"/>
        <w:jc w:val="both"/>
        <w:rPr/>
      </w:pPr>
      <w:r>
        <w:rPr>
          <w:rFonts w:cs="Arial"/>
          <w:color w:val="000000" w:themeColor="text1"/>
          <w:szCs w:val="20"/>
        </w:rPr>
        <w:t xml:space="preserve">Torna-se público que o 10º Regimento de Cavalaria Mecanizado, por meio da Seção de Aquisições, Licitações e Contratoso, realizará Dispensa Eletrônica, </w:t>
      </w:r>
      <w:r>
        <w:rPr>
          <w:rFonts w:cs="Arial"/>
          <w:bCs/>
          <w:color w:val="000000" w:themeColor="text1"/>
          <w:szCs w:val="20"/>
        </w:rPr>
        <w:t>com critério de julgamento</w:t>
      </w:r>
      <w:r>
        <w:rPr>
          <w:rFonts w:cs="Arial"/>
          <w:b/>
          <w:bCs/>
          <w:color w:val="000000" w:themeColor="text1"/>
          <w:szCs w:val="20"/>
        </w:rPr>
        <w:t xml:space="preserve"> </w:t>
      </w:r>
      <w:r>
        <w:rPr>
          <w:rFonts w:cs="Arial"/>
          <w:i/>
          <w:color w:val="FF0000"/>
          <w:szCs w:val="20"/>
        </w:rPr>
        <w:t>menor preço</w:t>
      </w:r>
      <w:r>
        <w:rPr>
          <w:rFonts w:cs="Arial"/>
          <w:b/>
          <w:bCs/>
          <w:i/>
          <w:color w:val="FF0000"/>
          <w:szCs w:val="20"/>
        </w:rPr>
        <w:t xml:space="preserve">, </w:t>
      </w:r>
      <w:r>
        <w:rPr>
          <w:rFonts w:cs="Arial"/>
          <w:color w:val="000000" w:themeColor="text1"/>
          <w:szCs w:val="20"/>
        </w:rPr>
        <w:t>na hipótese do art. 75</w:t>
      </w:r>
      <w:r>
        <w:rPr>
          <w:rFonts w:cs="Arial"/>
          <w:i/>
          <w:iCs/>
          <w:color w:val="000000" w:themeColor="text1"/>
          <w:szCs w:val="20"/>
        </w:rPr>
        <w:t xml:space="preserve">, </w:t>
      </w:r>
      <w:r>
        <w:rPr>
          <w:rFonts w:cs="Arial"/>
          <w:i/>
          <w:iCs/>
          <w:color w:val="FF0000"/>
          <w:szCs w:val="20"/>
        </w:rPr>
        <w:t xml:space="preserve">inciso </w:t>
      </w:r>
      <w:r>
        <w:rPr>
          <w:rFonts w:cs="Arial"/>
          <w:b/>
          <w:i/>
          <w:iCs/>
          <w:color w:val="FF0000"/>
          <w:szCs w:val="20"/>
        </w:rPr>
        <w:t>II</w:t>
      </w:r>
      <w:r>
        <w:rPr>
          <w:rFonts w:cs="Arial"/>
          <w:i/>
          <w:iCs/>
          <w:color w:val="FF0000"/>
          <w:szCs w:val="20"/>
        </w:rPr>
        <w:t>,</w:t>
      </w:r>
      <w:r>
        <w:rPr>
          <w:rFonts w:cs="Arial"/>
          <w:color w:val="FF0000"/>
          <w:szCs w:val="20"/>
        </w:rPr>
        <w:t xml:space="preserve"> </w:t>
      </w:r>
      <w:r>
        <w:rPr>
          <w:rFonts w:cs="Arial"/>
          <w:bCs/>
          <w:szCs w:val="20"/>
        </w:rPr>
        <w:t>nos termos da Lei nº 14.133, de 1º de abril de 2021, da Instrução Normativa SEGES/ME nº 67/2021 e demais legislação aplicável</w:t>
      </w:r>
      <w:r>
        <w:rPr>
          <w:rFonts w:cs="Arial"/>
          <w:color w:val="000000"/>
          <w:szCs w:val="20"/>
        </w:rPr>
        <w:t>.</w:t>
      </w:r>
    </w:p>
    <w:p>
      <w:pPr>
        <w:pStyle w:val="Normal"/>
        <w:spacing w:lineRule="auto" w:line="276"/>
        <w:jc w:val="both"/>
        <w:rPr/>
      </w:pPr>
      <w:r>
        <w:rPr>
          <w:rFonts w:cs="Arial"/>
          <w:color w:val="000000" w:themeColor="text1"/>
          <w:szCs w:val="20"/>
        </w:rPr>
        <w:t xml:space="preserve">Data da sessão: </w:t>
      </w:r>
      <w:r>
        <w:rPr>
          <w:rFonts w:cs="Arial"/>
          <w:color w:val="000000" w:themeColor="text1"/>
          <w:szCs w:val="20"/>
        </w:rPr>
        <w:t>11</w:t>
      </w:r>
      <w:r>
        <w:rPr>
          <w:rFonts w:cs="Arial"/>
          <w:color w:val="000000" w:themeColor="text1"/>
          <w:szCs w:val="20"/>
        </w:rPr>
        <w:t xml:space="preserve"> de </w:t>
      </w:r>
      <w:r>
        <w:rPr>
          <w:rFonts w:cs="Arial"/>
          <w:color w:val="000000" w:themeColor="text1"/>
          <w:szCs w:val="20"/>
        </w:rPr>
        <w:t>novembro</w:t>
      </w:r>
      <w:r>
        <w:rPr>
          <w:rFonts w:cs="Arial"/>
          <w:color w:val="000000" w:themeColor="text1"/>
          <w:szCs w:val="20"/>
        </w:rPr>
        <w:t xml:space="preserve"> de 2021</w:t>
      </w:r>
    </w:p>
    <w:p>
      <w:pPr>
        <w:pStyle w:val="Normal"/>
        <w:rPr/>
      </w:pPr>
      <w:r>
        <w:rPr>
          <w:rFonts w:cs="Arial"/>
          <w:color w:val="000000" w:themeColor="text1"/>
          <w:szCs w:val="20"/>
        </w:rPr>
        <w:t xml:space="preserve">Link: </w:t>
      </w:r>
      <w:r>
        <w:rPr>
          <w:rFonts w:cs="Arial"/>
          <w:b/>
          <w:bCs/>
          <w:color w:val="000000" w:themeColor="text1"/>
          <w:szCs w:val="20"/>
          <w:u w:val="single"/>
        </w:rPr>
        <w:t>https://www.gov.br/compras/pt-br/</w:t>
      </w:r>
    </w:p>
    <w:p>
      <w:pPr>
        <w:pStyle w:val="Normal"/>
        <w:rPr/>
      </w:pPr>
      <w:r>
        <w:rPr>
          <w:rFonts w:cs="Arial"/>
          <w:color w:val="000000" w:themeColor="text1"/>
          <w:szCs w:val="20"/>
        </w:rPr>
        <w:t>Horário da Fase de Lances: 8:00 às 16:00</w:t>
      </w:r>
    </w:p>
    <w:p>
      <w:pPr>
        <w:pStyle w:val="PADRO"/>
        <w:keepNext/>
        <w:widowControl/>
        <w:shd w:val="clear" w:color="auto" w:fill="auto"/>
        <w:spacing w:before="120" w:after="120"/>
        <w:ind w:left="360" w:hanging="0"/>
        <w:rPr>
          <w:rFonts w:ascii="Arial" w:hAnsi="Arial" w:cs="Arial"/>
          <w:b/>
          <w:b/>
        </w:rPr>
      </w:pPr>
      <w:r>
        <w:rPr>
          <w:rFonts w:cs="Arial" w:ascii="Arial" w:hAnsi="Arial"/>
          <w:b/>
        </w:rPr>
      </w:r>
    </w:p>
    <w:p>
      <w:pPr>
        <w:pStyle w:val="PADRO"/>
        <w:keepNext/>
        <w:widowControl/>
        <w:numPr>
          <w:ilvl w:val="0"/>
          <w:numId w:val="1"/>
        </w:numPr>
        <w:shd w:val="clear" w:color="auto" w:fill="auto"/>
        <w:spacing w:before="120" w:after="120"/>
        <w:rPr>
          <w:rFonts w:ascii="Arial" w:hAnsi="Arial" w:cs="Arial"/>
          <w:b/>
          <w:b/>
        </w:rPr>
      </w:pPr>
      <w:bookmarkStart w:id="0" w:name="_GoBack"/>
      <w:bookmarkEnd w:id="0"/>
      <w:r>
        <w:rPr>
          <w:rFonts w:cs="Arial" w:ascii="Arial" w:hAnsi="Arial"/>
          <w:b/>
        </w:rPr>
        <w:t>OBJETO DA CONTRATAÇÃO DIRETA</w:t>
      </w:r>
    </w:p>
    <w:p>
      <w:pPr>
        <w:pStyle w:val="PADRO"/>
        <w:keepNext/>
        <w:widowControl/>
        <w:numPr>
          <w:ilvl w:val="1"/>
          <w:numId w:val="1"/>
        </w:numPr>
        <w:shd w:val="clear" w:color="auto" w:fill="auto"/>
        <w:spacing w:before="120" w:after="120"/>
        <w:rPr/>
      </w:pPr>
      <w:r>
        <w:rPr>
          <w:rFonts w:cs="Arial" w:ascii="Arial" w:hAnsi="Arial"/>
          <w:color w:val="000000" w:themeColor="text1"/>
          <w:szCs w:val="20"/>
        </w:rPr>
        <w:t xml:space="preserve">O objeto da presente dispensa é a escolha da proposta mais vantajosa para a </w:t>
      </w:r>
      <w:r>
        <w:rPr>
          <w:rFonts w:cs="Arial" w:ascii="Arial" w:hAnsi="Arial"/>
          <w:color w:val="FF0000"/>
          <w:szCs w:val="20"/>
        </w:rPr>
        <w:t>contratação</w:t>
      </w:r>
      <w:r>
        <w:rPr>
          <w:rFonts w:cs="Arial" w:ascii="Arial" w:hAnsi="Arial"/>
          <w:color w:val="000000" w:themeColor="text1"/>
          <w:szCs w:val="20"/>
        </w:rPr>
        <w:t xml:space="preserve"> por dispensa de licitação de </w:t>
      </w:r>
      <w:r>
        <w:rPr>
          <w:rFonts w:cs="Arial" w:ascii="Arial" w:hAnsi="Arial"/>
          <w:b/>
          <w:bCs/>
          <w:i/>
          <w:iCs/>
          <w:color w:val="000000" w:themeColor="text1"/>
          <w:szCs w:val="20"/>
          <w:u w:val="single"/>
        </w:rPr>
        <w:t>AQUISIÇÃO DE MATERIAL DE FERRAGEAMENTO / ZOOTÉCNICO PARA OS EQUINOS DESTA OM,</w:t>
      </w:r>
      <w:r>
        <w:rPr>
          <w:rFonts w:cs="Arial" w:ascii="Arial" w:hAnsi="Arial"/>
          <w:color w:val="000000" w:themeColor="text1"/>
          <w:szCs w:val="20"/>
        </w:rPr>
        <w:t xml:space="preserve"> conforme condições, quantidades e exigências estabelecidas neste Aviso de Contratação Direta e seus anexos.</w:t>
      </w:r>
    </w:p>
    <w:p>
      <w:pPr>
        <w:pStyle w:val="PADRO"/>
        <w:keepNext/>
        <w:widowControl/>
        <w:numPr>
          <w:ilvl w:val="1"/>
          <w:numId w:val="1"/>
        </w:numPr>
        <w:shd w:val="clear" w:color="auto" w:fill="auto"/>
        <w:spacing w:before="120" w:after="120"/>
        <w:rPr/>
      </w:pPr>
      <w:r>
        <w:rPr>
          <w:rFonts w:cs="Arial" w:ascii="Arial" w:hAnsi="Arial"/>
          <w:i/>
          <w:iCs/>
          <w:color w:val="FF0000"/>
          <w:szCs w:val="20"/>
        </w:rPr>
        <w:t>A aquisiçao será dividida em 03 (três) itens</w:t>
      </w:r>
      <w:r>
        <w:rPr>
          <w:rFonts w:cs="Arial" w:ascii="Arial" w:hAnsi="Arial"/>
          <w:b/>
          <w:bCs/>
          <w:i/>
          <w:iCs/>
          <w:color w:val="FF0000"/>
          <w:szCs w:val="20"/>
        </w:rPr>
        <w:t>,</w:t>
      </w:r>
      <w:r>
        <w:rPr>
          <w:rFonts w:cs="Arial" w:ascii="Arial" w:hAnsi="Arial"/>
          <w:i/>
          <w:iCs/>
          <w:color w:val="FF0000"/>
          <w:szCs w:val="20"/>
        </w:rPr>
        <w:t xml:space="preserve"> conforme tabela constante abaixo.</w:t>
      </w:r>
    </w:p>
    <w:tbl>
      <w:tblPr>
        <w:tblW w:w="9777" w:type="dxa"/>
        <w:jc w:val="left"/>
        <w:tblInd w:w="-507"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0" w:type="dxa"/>
          <w:left w:w="103" w:type="dxa"/>
          <w:bottom w:w="0" w:type="dxa"/>
          <w:right w:w="108" w:type="dxa"/>
        </w:tblCellMar>
        <w:tblLook w:firstRow="1" w:noVBand="1" w:lastRow="0" w:firstColumn="1" w:lastColumn="0" w:noHBand="0" w:val="04a0"/>
      </w:tblPr>
      <w:tblGrid>
        <w:gridCol w:w="624"/>
        <w:gridCol w:w="3137"/>
        <w:gridCol w:w="917"/>
        <w:gridCol w:w="992"/>
        <w:gridCol w:w="850"/>
        <w:gridCol w:w="1130"/>
        <w:gridCol w:w="1077"/>
        <w:gridCol w:w="1048"/>
      </w:tblGrid>
      <w:tr>
        <w:trPr/>
        <w:tc>
          <w:tcPr>
            <w:tcW w:w="62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jc w:val="center"/>
              <w:rPr>
                <w:rFonts w:cs="Arial"/>
                <w:b/>
                <w:b/>
                <w:bCs/>
                <w:color w:val="000000"/>
                <w:sz w:val="14"/>
                <w:szCs w:val="14"/>
              </w:rPr>
            </w:pPr>
            <w:r>
              <w:rPr>
                <w:rFonts w:cs="Arial"/>
                <w:b/>
                <w:bCs/>
                <w:color w:val="000000"/>
                <w:sz w:val="14"/>
                <w:szCs w:val="14"/>
              </w:rPr>
              <w:t>ITEM</w:t>
            </w:r>
          </w:p>
          <w:p>
            <w:pPr>
              <w:pStyle w:val="Normal"/>
              <w:widowControl w:val="false"/>
              <w:suppressAutoHyphens w:val="true"/>
              <w:jc w:val="center"/>
              <w:rPr>
                <w:rFonts w:cs="Arial"/>
                <w:b/>
                <w:b/>
                <w:bCs/>
                <w:color w:val="000000"/>
                <w:sz w:val="14"/>
                <w:szCs w:val="14"/>
              </w:rPr>
            </w:pPr>
            <w:r>
              <w:rPr>
                <w:rFonts w:cs="Arial"/>
                <w:b/>
                <w:bCs/>
                <w:color w:val="000000"/>
                <w:sz w:val="14"/>
                <w:szCs w:val="14"/>
              </w:rPr>
            </w:r>
          </w:p>
        </w:tc>
        <w:tc>
          <w:tcPr>
            <w:tcW w:w="313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jc w:val="center"/>
              <w:rPr>
                <w:rFonts w:cs="Arial"/>
                <w:b/>
                <w:b/>
                <w:bCs/>
                <w:color w:val="000000"/>
                <w:sz w:val="14"/>
                <w:szCs w:val="14"/>
              </w:rPr>
            </w:pPr>
            <w:r>
              <w:rPr>
                <w:rFonts w:cs="Arial"/>
                <w:b/>
                <w:bCs/>
                <w:color w:val="000000"/>
                <w:sz w:val="14"/>
                <w:szCs w:val="14"/>
              </w:rPr>
              <w:t>DESCRIÇÃO/</w:t>
            </w:r>
          </w:p>
          <w:p>
            <w:pPr>
              <w:pStyle w:val="Normal"/>
              <w:widowControl w:val="false"/>
              <w:suppressAutoHyphens w:val="true"/>
              <w:jc w:val="center"/>
              <w:rPr>
                <w:rFonts w:cs="Arial"/>
                <w:color w:val="000000"/>
                <w:sz w:val="14"/>
                <w:szCs w:val="14"/>
              </w:rPr>
            </w:pPr>
            <w:r>
              <w:rPr>
                <w:rFonts w:cs="Arial"/>
                <w:b/>
                <w:bCs/>
                <w:color w:val="000000"/>
                <w:sz w:val="14"/>
                <w:szCs w:val="14"/>
              </w:rPr>
              <w:t>ESPECIFICAÇÃO</w:t>
            </w:r>
          </w:p>
        </w:tc>
        <w:tc>
          <w:tcPr>
            <w:tcW w:w="9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jc w:val="center"/>
              <w:rPr>
                <w:rFonts w:cs="Arial"/>
                <w:b/>
                <w:b/>
                <w:bCs/>
                <w:color w:val="000000"/>
                <w:sz w:val="14"/>
                <w:szCs w:val="14"/>
              </w:rPr>
            </w:pPr>
            <w:r>
              <w:rPr>
                <w:rFonts w:cs="Arial"/>
                <w:b/>
                <w:bCs/>
                <w:color w:val="000000"/>
                <w:sz w:val="14"/>
                <w:szCs w:val="14"/>
              </w:rPr>
              <w:t>CATSER/</w:t>
            </w:r>
          </w:p>
          <w:p>
            <w:pPr>
              <w:pStyle w:val="Normal"/>
              <w:widowControl w:val="false"/>
              <w:suppressAutoHyphens w:val="true"/>
              <w:jc w:val="center"/>
              <w:rPr>
                <w:rFonts w:cs="Arial"/>
                <w:b/>
                <w:b/>
                <w:bCs/>
                <w:color w:val="000000"/>
                <w:sz w:val="14"/>
                <w:szCs w:val="14"/>
              </w:rPr>
            </w:pPr>
            <w:r>
              <w:rPr>
                <w:rFonts w:cs="Arial"/>
                <w:b/>
                <w:bCs/>
                <w:color w:val="000000"/>
                <w:sz w:val="14"/>
                <w:szCs w:val="14"/>
              </w:rPr>
              <w:t>CATMAT</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jc w:val="center"/>
              <w:rPr>
                <w:rFonts w:cs="Arial"/>
                <w:color w:val="000000"/>
                <w:sz w:val="14"/>
                <w:szCs w:val="14"/>
              </w:rPr>
            </w:pPr>
            <w:r>
              <w:rPr>
                <w:rFonts w:cs="Arial"/>
                <w:b/>
                <w:bCs/>
                <w:color w:val="000000"/>
                <w:sz w:val="14"/>
                <w:szCs w:val="14"/>
              </w:rPr>
              <w:t>UNIDADE DE MEDIDA</w:t>
            </w:r>
          </w:p>
        </w:tc>
        <w:tc>
          <w:tcPr>
            <w:tcW w:w="8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jc w:val="center"/>
              <w:rPr>
                <w:rFonts w:cs="Arial"/>
                <w:color w:val="000000"/>
                <w:sz w:val="14"/>
                <w:szCs w:val="14"/>
              </w:rPr>
            </w:pPr>
            <w:r>
              <w:rPr>
                <w:rFonts w:cs="Arial"/>
                <w:b/>
                <w:bCs/>
                <w:color w:val="000000"/>
                <w:sz w:val="14"/>
                <w:szCs w:val="14"/>
              </w:rPr>
              <w:t>QUANT.</w:t>
            </w:r>
          </w:p>
        </w:tc>
        <w:tc>
          <w:tcPr>
            <w:tcW w:w="11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jc w:val="center"/>
              <w:rPr>
                <w:rFonts w:cs="Arial"/>
                <w:b/>
                <w:b/>
                <w:bCs/>
                <w:color w:val="000000"/>
                <w:sz w:val="14"/>
                <w:szCs w:val="14"/>
              </w:rPr>
            </w:pPr>
            <w:r>
              <w:rPr>
                <w:rFonts w:cs="Arial"/>
                <w:b/>
                <w:bCs/>
                <w:color w:val="000000"/>
                <w:sz w:val="14"/>
                <w:szCs w:val="14"/>
              </w:rPr>
              <w:t>PREÇO ESTIMADO</w:t>
            </w:r>
          </w:p>
        </w:tc>
        <w:tc>
          <w:tcPr>
            <w:tcW w:w="10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jc w:val="center"/>
              <w:rPr>
                <w:rFonts w:cs="Arial"/>
                <w:b/>
                <w:b/>
                <w:bCs/>
                <w:color w:val="000000"/>
                <w:sz w:val="14"/>
                <w:szCs w:val="14"/>
              </w:rPr>
            </w:pPr>
            <w:r>
              <w:rPr>
                <w:rFonts w:cs="Arial"/>
                <w:b/>
                <w:bCs/>
                <w:color w:val="000000"/>
                <w:sz w:val="14"/>
                <w:szCs w:val="14"/>
              </w:rPr>
              <w:t>LOCAL DE EXECUÇÃO</w:t>
            </w:r>
          </w:p>
        </w:tc>
        <w:tc>
          <w:tcPr>
            <w:tcW w:w="104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jc w:val="center"/>
              <w:rPr>
                <w:rFonts w:cs="Arial"/>
                <w:b/>
                <w:b/>
                <w:bCs/>
                <w:color w:val="000000"/>
                <w:sz w:val="14"/>
                <w:szCs w:val="14"/>
              </w:rPr>
            </w:pPr>
            <w:r>
              <w:rPr>
                <w:rFonts w:cs="Arial"/>
                <w:b/>
                <w:bCs/>
                <w:color w:val="000000"/>
                <w:sz w:val="14"/>
                <w:szCs w:val="14"/>
              </w:rPr>
              <w:t>PRAZO DE EXECUÇÃO</w:t>
            </w:r>
          </w:p>
        </w:tc>
      </w:tr>
      <w:tr>
        <w:trPr/>
        <w:tc>
          <w:tcPr>
            <w:tcW w:w="62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spacing w:lineRule="auto" w:line="276" w:before="0" w:after="120"/>
              <w:jc w:val="center"/>
              <w:rPr>
                <w:rFonts w:cs="Arial"/>
                <w:b/>
                <w:b/>
                <w:color w:val="000000"/>
                <w:sz w:val="16"/>
                <w:szCs w:val="16"/>
              </w:rPr>
            </w:pPr>
            <w:r>
              <w:rPr>
                <w:rFonts w:cs="Arial"/>
                <w:b/>
                <w:color w:val="000000"/>
                <w:sz w:val="16"/>
                <w:szCs w:val="16"/>
              </w:rPr>
              <w:t>1</w:t>
            </w:r>
          </w:p>
        </w:tc>
        <w:tc>
          <w:tcPr>
            <w:tcW w:w="313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Contedodatabela"/>
              <w:widowControl w:val="false"/>
              <w:suppressAutoHyphens w:val="true"/>
              <w:spacing w:lineRule="auto" w:line="276" w:before="0" w:after="120"/>
              <w:jc w:val="both"/>
              <w:rPr/>
            </w:pPr>
            <w:r>
              <w:rPr>
                <w:rFonts w:cs="Arial"/>
                <w:color w:val="000000"/>
                <w:sz w:val="16"/>
                <w:szCs w:val="16"/>
                <w:lang w:eastAsia="pt-BR"/>
              </w:rPr>
              <w:t>FERRADURA PARA EQUINOS N° 2 PCT 4 UN</w:t>
            </w:r>
          </w:p>
        </w:tc>
        <w:tc>
          <w:tcPr>
            <w:tcW w:w="9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spacing w:lineRule="auto" w:line="276" w:before="0" w:after="120"/>
              <w:jc w:val="center"/>
              <w:rPr/>
            </w:pPr>
            <w:r>
              <w:rPr>
                <w:rFonts w:cs="Arial"/>
                <w:color w:val="000000"/>
                <w:sz w:val="16"/>
                <w:szCs w:val="16"/>
              </w:rPr>
              <w:t>462105</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spacing w:lineRule="auto" w:line="276" w:before="0" w:after="120"/>
              <w:jc w:val="center"/>
              <w:rPr/>
            </w:pPr>
            <w:r>
              <w:rPr>
                <w:rFonts w:cs="Arial"/>
                <w:color w:val="000000"/>
                <w:sz w:val="16"/>
                <w:szCs w:val="16"/>
              </w:rPr>
              <w:t>JOGO</w:t>
            </w:r>
          </w:p>
        </w:tc>
        <w:tc>
          <w:tcPr>
            <w:tcW w:w="8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spacing w:lineRule="auto" w:line="276" w:before="0" w:after="120"/>
              <w:jc w:val="center"/>
              <w:rPr/>
            </w:pPr>
            <w:r>
              <w:rPr>
                <w:rFonts w:cs="Arial"/>
                <w:color w:val="000000"/>
                <w:sz w:val="16"/>
                <w:szCs w:val="16"/>
              </w:rPr>
              <w:t>2</w:t>
            </w:r>
          </w:p>
        </w:tc>
        <w:tc>
          <w:tcPr>
            <w:tcW w:w="11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spacing w:lineRule="auto" w:line="276" w:before="0" w:after="120"/>
              <w:jc w:val="center"/>
              <w:rPr/>
            </w:pPr>
            <w:r>
              <w:rPr>
                <w:rFonts w:cs="Arial"/>
                <w:color w:val="000000"/>
                <w:sz w:val="16"/>
                <w:szCs w:val="16"/>
              </w:rPr>
              <w:t>R$ 70,00</w:t>
            </w:r>
          </w:p>
        </w:tc>
        <w:tc>
          <w:tcPr>
            <w:tcW w:w="10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spacing w:lineRule="auto" w:line="276" w:before="0" w:after="120"/>
              <w:jc w:val="center"/>
              <w:rPr/>
            </w:pPr>
            <w:r>
              <w:rPr>
                <w:rFonts w:cs="Arial"/>
                <w:color w:val="000000"/>
                <w:sz w:val="16"/>
                <w:szCs w:val="16"/>
              </w:rPr>
              <w:t>10° RC Mec</w:t>
            </w:r>
          </w:p>
        </w:tc>
        <w:tc>
          <w:tcPr>
            <w:tcW w:w="104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spacing w:lineRule="auto" w:line="276" w:before="0" w:after="120"/>
              <w:jc w:val="center"/>
              <w:rPr/>
            </w:pPr>
            <w:bookmarkStart w:id="1" w:name="__DdeLink__497_3950425413"/>
            <w:r>
              <w:rPr>
                <w:rFonts w:cs="Arial"/>
                <w:color w:val="000000"/>
                <w:sz w:val="16"/>
                <w:szCs w:val="16"/>
              </w:rPr>
              <w:t>5</w:t>
            </w:r>
            <w:bookmarkEnd w:id="1"/>
            <w:r>
              <w:rPr>
                <w:rFonts w:cs="Arial"/>
                <w:color w:val="000000"/>
                <w:sz w:val="16"/>
                <w:szCs w:val="16"/>
              </w:rPr>
              <w:t xml:space="preserve"> dias</w:t>
            </w:r>
          </w:p>
        </w:tc>
      </w:tr>
      <w:tr>
        <w:trPr/>
        <w:tc>
          <w:tcPr>
            <w:tcW w:w="62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spacing w:lineRule="auto" w:line="276" w:before="0" w:after="120"/>
              <w:jc w:val="center"/>
              <w:rPr/>
            </w:pPr>
            <w:r>
              <w:rPr>
                <w:rFonts w:cs="Arial"/>
                <w:b/>
                <w:color w:val="000000"/>
                <w:sz w:val="16"/>
                <w:szCs w:val="16"/>
              </w:rPr>
              <w:t>2</w:t>
            </w:r>
          </w:p>
        </w:tc>
        <w:tc>
          <w:tcPr>
            <w:tcW w:w="313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Contedodatabela"/>
              <w:widowControl w:val="false"/>
              <w:suppressAutoHyphens w:val="true"/>
              <w:spacing w:lineRule="auto" w:line="276" w:before="0" w:after="120"/>
              <w:jc w:val="left"/>
              <w:rPr/>
            </w:pPr>
            <w:bookmarkStart w:id="2" w:name="__DdeLink__590_786350967"/>
            <w:bookmarkEnd w:id="2"/>
            <w:r>
              <w:rPr>
                <w:rFonts w:cs="Arial"/>
                <w:color w:val="000000"/>
                <w:sz w:val="16"/>
                <w:szCs w:val="16"/>
                <w:lang w:eastAsia="pt-BR"/>
              </w:rPr>
              <w:t>CRAVO PARA FERRADURA EM EQUINOS N° E3 CAIXA 200 UN</w:t>
            </w:r>
          </w:p>
        </w:tc>
        <w:tc>
          <w:tcPr>
            <w:tcW w:w="9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spacing w:lineRule="auto" w:line="276" w:before="0" w:after="120"/>
              <w:jc w:val="center"/>
              <w:rPr/>
            </w:pPr>
            <w:r>
              <w:rPr>
                <w:rFonts w:cs="Arial"/>
                <w:color w:val="000000"/>
                <w:sz w:val="16"/>
                <w:szCs w:val="16"/>
              </w:rPr>
              <w:t>77682</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spacing w:lineRule="auto" w:line="276" w:before="0" w:after="120"/>
              <w:jc w:val="center"/>
              <w:rPr/>
            </w:pPr>
            <w:r>
              <w:rPr>
                <w:rFonts w:cs="Arial"/>
                <w:color w:val="000000"/>
                <w:sz w:val="16"/>
                <w:szCs w:val="16"/>
              </w:rPr>
              <w:t>CAIXA</w:t>
            </w:r>
          </w:p>
        </w:tc>
        <w:tc>
          <w:tcPr>
            <w:tcW w:w="8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spacing w:lineRule="auto" w:line="276" w:before="0" w:after="120"/>
              <w:jc w:val="center"/>
              <w:rPr/>
            </w:pPr>
            <w:r>
              <w:rPr>
                <w:rFonts w:cs="Arial"/>
                <w:color w:val="000000"/>
                <w:sz w:val="16"/>
                <w:szCs w:val="16"/>
              </w:rPr>
              <w:t>5</w:t>
            </w:r>
          </w:p>
        </w:tc>
        <w:tc>
          <w:tcPr>
            <w:tcW w:w="11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spacing w:lineRule="auto" w:line="276" w:before="0" w:after="120"/>
              <w:jc w:val="center"/>
              <w:rPr/>
            </w:pPr>
            <w:r>
              <w:rPr>
                <w:rFonts w:cs="Arial"/>
                <w:color w:val="000000"/>
                <w:sz w:val="16"/>
                <w:szCs w:val="16"/>
              </w:rPr>
              <w:t>R$ 365,00</w:t>
            </w:r>
          </w:p>
        </w:tc>
        <w:tc>
          <w:tcPr>
            <w:tcW w:w="10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spacing w:lineRule="auto" w:line="276" w:before="0" w:after="120"/>
              <w:jc w:val="center"/>
              <w:rPr/>
            </w:pPr>
            <w:r>
              <w:rPr>
                <w:rFonts w:cs="Arial"/>
                <w:color w:val="000000"/>
                <w:sz w:val="16"/>
                <w:szCs w:val="16"/>
              </w:rPr>
              <w:t>10° RC Mec</w:t>
            </w:r>
          </w:p>
        </w:tc>
        <w:tc>
          <w:tcPr>
            <w:tcW w:w="104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spacing w:lineRule="auto" w:line="276" w:before="0" w:after="120"/>
              <w:jc w:val="center"/>
              <w:rPr/>
            </w:pPr>
            <w:r>
              <w:rPr>
                <w:rFonts w:cs="Arial"/>
                <w:color w:val="000000"/>
                <w:sz w:val="16"/>
                <w:szCs w:val="16"/>
              </w:rPr>
              <w:t>5 dias</w:t>
            </w:r>
          </w:p>
        </w:tc>
      </w:tr>
      <w:tr>
        <w:trPr/>
        <w:tc>
          <w:tcPr>
            <w:tcW w:w="62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spacing w:lineRule="auto" w:line="276" w:before="0" w:after="120"/>
              <w:jc w:val="center"/>
              <w:rPr>
                <w:sz w:val="16"/>
                <w:szCs w:val="16"/>
              </w:rPr>
            </w:pPr>
            <w:r>
              <w:rPr>
                <w:sz w:val="16"/>
                <w:szCs w:val="16"/>
              </w:rPr>
              <w:t>3</w:t>
            </w:r>
          </w:p>
        </w:tc>
        <w:tc>
          <w:tcPr>
            <w:tcW w:w="313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Contedodatabela"/>
              <w:widowControl w:val="false"/>
              <w:suppressAutoHyphens w:val="true"/>
              <w:spacing w:lineRule="auto" w:line="276" w:before="0" w:after="120"/>
              <w:jc w:val="left"/>
              <w:rPr/>
            </w:pPr>
            <w:r>
              <w:rPr>
                <w:rFonts w:cs="Arial"/>
                <w:color w:val="000000"/>
                <w:sz w:val="16"/>
                <w:szCs w:val="16"/>
                <w:lang w:eastAsia="pt-BR"/>
              </w:rPr>
              <w:t>CRAVO PARA FERRADURA EM EQUINOS N° E4 CAIXA 200 UN</w:t>
            </w:r>
          </w:p>
        </w:tc>
        <w:tc>
          <w:tcPr>
            <w:tcW w:w="91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spacing w:lineRule="auto" w:line="276" w:before="0" w:after="120"/>
              <w:jc w:val="center"/>
              <w:rPr/>
            </w:pPr>
            <w:r>
              <w:rPr>
                <w:sz w:val="16"/>
                <w:szCs w:val="16"/>
              </w:rPr>
              <w:t>77682</w:t>
            </w:r>
          </w:p>
        </w:tc>
        <w:tc>
          <w:tcPr>
            <w:tcW w:w="992"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spacing w:lineRule="auto" w:line="276" w:before="0" w:after="120"/>
              <w:jc w:val="center"/>
              <w:rPr/>
            </w:pPr>
            <w:r>
              <w:rPr>
                <w:sz w:val="16"/>
                <w:szCs w:val="16"/>
              </w:rPr>
              <w:t>CAIXA</w:t>
            </w:r>
          </w:p>
        </w:tc>
        <w:tc>
          <w:tcPr>
            <w:tcW w:w="8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spacing w:lineRule="auto" w:line="276" w:before="0" w:after="120"/>
              <w:jc w:val="center"/>
              <w:rPr/>
            </w:pPr>
            <w:r>
              <w:rPr>
                <w:sz w:val="16"/>
                <w:szCs w:val="16"/>
              </w:rPr>
              <w:t>6</w:t>
            </w:r>
          </w:p>
        </w:tc>
        <w:tc>
          <w:tcPr>
            <w:tcW w:w="113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spacing w:lineRule="auto" w:line="276" w:before="0" w:after="120"/>
              <w:jc w:val="center"/>
              <w:rPr/>
            </w:pPr>
            <w:r>
              <w:rPr>
                <w:sz w:val="16"/>
                <w:szCs w:val="16"/>
              </w:rPr>
              <w:t>R$ 498,00</w:t>
            </w:r>
          </w:p>
        </w:tc>
        <w:tc>
          <w:tcPr>
            <w:tcW w:w="1077"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spacing w:lineRule="auto" w:line="276" w:before="0" w:after="120"/>
              <w:jc w:val="center"/>
              <w:rPr/>
            </w:pPr>
            <w:r>
              <w:rPr>
                <w:rFonts w:cs="Arial"/>
                <w:color w:val="000000"/>
                <w:sz w:val="16"/>
                <w:szCs w:val="16"/>
              </w:rPr>
              <w:t>10° RC Mec</w:t>
            </w:r>
          </w:p>
        </w:tc>
        <w:tc>
          <w:tcPr>
            <w:tcW w:w="1048"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widowControl w:val="false"/>
              <w:suppressAutoHyphens w:val="true"/>
              <w:spacing w:lineRule="auto" w:line="276" w:before="0" w:after="120"/>
              <w:jc w:val="center"/>
              <w:rPr/>
            </w:pPr>
            <w:r>
              <w:rPr>
                <w:rFonts w:cs="Arial"/>
                <w:color w:val="000000"/>
                <w:sz w:val="16"/>
                <w:szCs w:val="16"/>
              </w:rPr>
              <w:t>5 dias</w:t>
            </w:r>
          </w:p>
        </w:tc>
      </w:tr>
    </w:tbl>
    <w:p>
      <w:pPr>
        <w:pStyle w:val="Quote"/>
        <w:shd w:val="clear" w:fill="FFFFCC"/>
        <w:tabs>
          <w:tab w:val="center" w:pos="4252" w:leader="none"/>
          <w:tab w:val="left" w:pos="5823" w:leader="none"/>
        </w:tabs>
        <w:spacing w:lineRule="auto" w:line="276" w:before="0" w:after="0"/>
        <w:rPr>
          <w:rFonts w:cs="Arial"/>
          <w:bCs/>
          <w:szCs w:val="20"/>
        </w:rPr>
      </w:pPr>
      <w:r>
        <w:rPr>
          <w:rFonts w:cs="Arial"/>
          <w:bCs/>
          <w:szCs w:val="20"/>
        </w:rPr>
      </w:r>
    </w:p>
    <w:p>
      <w:pPr>
        <w:pStyle w:val="PADRO"/>
        <w:keepNext/>
        <w:widowControl/>
        <w:numPr>
          <w:ilvl w:val="2"/>
          <w:numId w:val="1"/>
        </w:numPr>
        <w:shd w:val="clear" w:color="auto" w:fill="auto"/>
        <w:spacing w:before="120" w:after="120"/>
        <w:rPr/>
      </w:pPr>
      <w:r>
        <w:rPr>
          <w:rFonts w:cs="Arial" w:ascii="Arial" w:hAnsi="Arial"/>
          <w:szCs w:val="20"/>
        </w:rPr>
        <w:t>Havendo mais de item ou lote faculta-se ao fornecedor a participação em quantos forem de seu interesse. Entretanto, optando-se por participar de um lote, deve o fornecedor enviar proposta para todos os itens que o compõem.</w:t>
      </w:r>
    </w:p>
    <w:p>
      <w:pPr>
        <w:pStyle w:val="PADRO"/>
        <w:keepNext/>
        <w:widowControl/>
        <w:numPr>
          <w:ilvl w:val="1"/>
          <w:numId w:val="1"/>
        </w:numPr>
        <w:shd w:val="clear" w:color="auto" w:fill="auto"/>
        <w:spacing w:before="120" w:after="120"/>
        <w:rPr/>
      </w:pPr>
      <w:r>
        <w:rPr>
          <w:rFonts w:cs="Arial" w:ascii="Arial" w:hAnsi="Arial"/>
          <w:szCs w:val="20"/>
        </w:rPr>
        <w:t>O critério de julgamento adotado será o</w:t>
      </w:r>
      <w:r>
        <w:rPr>
          <w:rFonts w:cs="Arial" w:ascii="Arial" w:hAnsi="Arial"/>
          <w:i/>
          <w:iCs/>
          <w:szCs w:val="20"/>
        </w:rPr>
        <w:t xml:space="preserve"> </w:t>
      </w:r>
      <w:r>
        <w:rPr>
          <w:rFonts w:cs="Arial" w:ascii="Arial" w:hAnsi="Arial"/>
          <w:i/>
          <w:iCs/>
          <w:color w:val="FF0000"/>
          <w:szCs w:val="20"/>
        </w:rPr>
        <w:t>menor preço,</w:t>
      </w:r>
      <w:r>
        <w:rPr>
          <w:rFonts w:cs="Arial" w:ascii="Arial" w:hAnsi="Arial"/>
          <w:color w:val="FF0000"/>
          <w:szCs w:val="20"/>
        </w:rPr>
        <w:t xml:space="preserve"> </w:t>
      </w:r>
      <w:r>
        <w:rPr>
          <w:rFonts w:cs="Arial" w:ascii="Arial" w:hAnsi="Arial"/>
          <w:szCs w:val="20"/>
        </w:rPr>
        <w:t>observadas as exigências contidas neste Aviso de Contratação Direta conforme item 1.2 quanto às especificações do objeto.</w:t>
      </w:r>
    </w:p>
    <w:p>
      <w:pPr>
        <w:pStyle w:val="PADRO"/>
        <w:keepNext/>
        <w:widowControl/>
        <w:numPr>
          <w:ilvl w:val="0"/>
          <w:numId w:val="1"/>
        </w:numPr>
        <w:shd w:val="clear" w:color="auto" w:fill="auto"/>
        <w:spacing w:before="120" w:after="120"/>
        <w:rPr>
          <w:rFonts w:ascii="Arial" w:hAnsi="Arial" w:cs="Arial"/>
          <w:b/>
          <w:b/>
        </w:rPr>
      </w:pPr>
      <w:r>
        <w:rPr>
          <w:rFonts w:cs="Arial" w:ascii="Arial" w:hAnsi="Arial"/>
          <w:b/>
        </w:rPr>
        <w:t>PARTICIPAÇÃO NA DISPENSA ELETRÔNICA.</w:t>
      </w:r>
    </w:p>
    <w:p>
      <w:pPr>
        <w:pStyle w:val="Normal"/>
        <w:numPr>
          <w:ilvl w:val="1"/>
          <w:numId w:val="1"/>
        </w:numPr>
        <w:snapToGrid w:val="false"/>
        <w:spacing w:lineRule="auto" w:line="276" w:before="120" w:after="120"/>
        <w:ind w:left="425" w:hanging="0"/>
        <w:jc w:val="both"/>
        <w:rPr/>
      </w:pPr>
      <w:r>
        <w:rPr>
          <w:rFonts w:cs="Arial"/>
          <w:szCs w:val="20"/>
        </w:rPr>
        <w:t xml:space="preserve">A participação na presente dispensa eletrônica se dará mediante </w:t>
      </w:r>
      <w:r>
        <w:rPr>
          <w:rFonts w:cs="Arial"/>
          <w:bCs/>
          <w:szCs w:val="20"/>
        </w:rPr>
        <w:t>Sistema de Dispensa Eletrônica</w:t>
      </w:r>
      <w:r>
        <w:rPr>
          <w:rFonts w:cs="Arial"/>
          <w:szCs w:val="20"/>
        </w:rPr>
        <w:t xml:space="preserve"> integrante do Sistema de Compras do Governo Federal – Comprasnet 4.0, disponível no </w:t>
      </w:r>
      <w:r>
        <w:rPr>
          <w:rFonts w:cs="Arial"/>
          <w:bCs/>
          <w:szCs w:val="20"/>
        </w:rPr>
        <w:t xml:space="preserve">endereço eletrônico: </w:t>
      </w:r>
      <w:r>
        <w:rPr>
          <w:rFonts w:cs="Arial"/>
          <w:b/>
          <w:bCs/>
          <w:szCs w:val="20"/>
          <w:u w:val="single"/>
        </w:rPr>
        <w:t>https://pncp.gov.br/</w:t>
      </w:r>
    </w:p>
    <w:p>
      <w:pPr>
        <w:pStyle w:val="Normal"/>
        <w:numPr>
          <w:ilvl w:val="2"/>
          <w:numId w:val="1"/>
        </w:numPr>
        <w:snapToGrid w:val="false"/>
        <w:spacing w:lineRule="auto" w:line="276" w:before="120" w:after="120"/>
        <w:jc w:val="both"/>
        <w:rPr>
          <w:rFonts w:cs="Arial"/>
          <w:szCs w:val="20"/>
        </w:rPr>
      </w:pPr>
      <w:r>
        <w:rPr>
          <w:rFonts w:cs="Arial"/>
          <w:szCs w:val="20"/>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Cs w:val="20"/>
        </w:rPr>
        <w:t>Não poderão participar desta dispensa os fornecedores:</w:t>
      </w:r>
    </w:p>
    <w:p>
      <w:pPr>
        <w:pStyle w:val="Normal"/>
        <w:numPr>
          <w:ilvl w:val="2"/>
          <w:numId w:val="1"/>
        </w:numPr>
        <w:spacing w:lineRule="auto" w:line="276" w:before="120" w:after="120"/>
        <w:jc w:val="both"/>
        <w:rPr/>
      </w:pPr>
      <w:r>
        <w:rPr>
          <w:rFonts w:cs="Arial"/>
          <w:color w:val="000000" w:themeColor="text1"/>
          <w:szCs w:val="20"/>
        </w:rPr>
        <w:t>que não atendam às condições deste Aviso de Contratação Direta;</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se enquadrem nas seguintes vedações: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color w:val="000000"/>
          <w:szCs w:val="20"/>
        </w:rPr>
        <w:t>empresas controladoras, controladas ou coligadas, nos termos da </w:t>
      </w:r>
      <w:hyperlink r:id="rId3">
        <w:r>
          <w:rPr>
            <w:rStyle w:val="LinkdaInternet"/>
            <w:rFonts w:eastAsia="Calibri" w:cs="Arial"/>
            <w:szCs w:val="20"/>
          </w:rPr>
          <w:t>Lei nº 6.404, de 15 de dezembro de 1976</w:t>
        </w:r>
      </w:hyperlink>
      <w:r>
        <w:rPr>
          <w:rFonts w:cs="Arial"/>
          <w:color w:val="000000"/>
          <w:szCs w:val="20"/>
        </w:rPr>
        <w:t>, concorrendo entre si;</w:t>
      </w:r>
    </w:p>
    <w:p>
      <w:pPr>
        <w:pStyle w:val="Normal"/>
        <w:numPr>
          <w:ilvl w:val="3"/>
          <w:numId w:val="4"/>
        </w:numPr>
        <w:spacing w:lineRule="auto" w:line="276" w:before="120" w:after="120"/>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Equiparam-se aos autores do projeto as empresas integrantes do mesmo grupo econômico;</w:t>
      </w:r>
    </w:p>
    <w:p>
      <w:pPr>
        <w:pStyle w:val="Normal"/>
        <w:numPr>
          <w:ilvl w:val="3"/>
          <w:numId w:val="1"/>
        </w:numPr>
        <w:spacing w:lineRule="auto" w:line="276" w:before="120" w:after="120"/>
        <w:jc w:val="both"/>
        <w:rPr>
          <w:rFonts w:cs="Arial"/>
          <w:color w:val="000000" w:themeColor="text1"/>
          <w:szCs w:val="20"/>
        </w:rPr>
      </w:pPr>
      <w:r>
        <w:rPr>
          <w:rFonts w:cs="Arial"/>
          <w:color w:val="00000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pPr>
        <w:pStyle w:val="Normal"/>
        <w:numPr>
          <w:ilvl w:val="2"/>
          <w:numId w:val="1"/>
        </w:numPr>
        <w:spacing w:lineRule="auto" w:line="276" w:before="120" w:after="120"/>
        <w:jc w:val="both"/>
        <w:rPr>
          <w:rFonts w:cs="Arial"/>
          <w:i/>
          <w:i/>
          <w:color w:val="FF0000"/>
          <w:szCs w:val="20"/>
        </w:rPr>
      </w:pPr>
      <w:bookmarkStart w:id="3" w:name="_Hlk519667815"/>
      <w:bookmarkEnd w:id="3"/>
      <w:r>
        <w:rPr>
          <w:rFonts w:cs="Arial"/>
          <w:i w:val="false"/>
          <w:iCs w:val="false"/>
          <w:color w:val="000000"/>
          <w:szCs w:val="20"/>
        </w:rPr>
        <w:t>sociedades cooperativas.</w:t>
      </w:r>
    </w:p>
    <w:p>
      <w:pPr>
        <w:pStyle w:val="Normal"/>
        <w:tabs>
          <w:tab w:val="left" w:pos="1440" w:leader="none"/>
        </w:tabs>
        <w:snapToGrid w:val="false"/>
        <w:spacing w:lineRule="auto" w:line="276" w:before="120" w:after="120"/>
        <w:jc w:val="center"/>
        <w:rPr>
          <w:rFonts w:eastAsia="Arial" w:cs="Arial"/>
          <w:b/>
          <w:b/>
          <w:bCs/>
          <w:color w:val="FF0000"/>
          <w:szCs w:val="20"/>
          <w:u w:val="single"/>
        </w:rPr>
      </w:pPr>
      <w:r>
        <w:rPr>
          <w:rFonts w:eastAsia="Arial" w:cs="Arial"/>
          <w:b/>
          <w:bCs/>
          <w:color w:val="FF0000"/>
          <w:szCs w:val="20"/>
          <w:u w:val="single"/>
        </w:rPr>
      </w:r>
    </w:p>
    <w:p>
      <w:pPr>
        <w:pStyle w:val="PADRO"/>
        <w:keepNext/>
        <w:widowControl/>
        <w:numPr>
          <w:ilvl w:val="0"/>
          <w:numId w:val="1"/>
        </w:numPr>
        <w:shd w:val="clear" w:color="auto" w:fill="auto"/>
        <w:spacing w:before="120" w:after="120"/>
        <w:rPr>
          <w:rFonts w:ascii="Arial" w:hAnsi="Arial" w:cs="Arial"/>
          <w:b/>
          <w:b/>
        </w:rPr>
      </w:pPr>
      <w:r>
        <w:rPr>
          <w:rFonts w:cs="Arial" w:ascii="Arial" w:hAnsi="Arial"/>
          <w:b/>
        </w:rPr>
        <w:t>INGRESSO NA DISPENSA ELETRÔNICA E CADASTRAMENTO DA PROPOSTA INICIAL</w:t>
      </w:r>
    </w:p>
    <w:p>
      <w:pPr>
        <w:pStyle w:val="Normal"/>
        <w:numPr>
          <w:ilvl w:val="1"/>
          <w:numId w:val="1"/>
        </w:numPr>
        <w:snapToGrid w:val="false"/>
        <w:spacing w:lineRule="auto" w:line="276" w:before="120" w:after="120"/>
        <w:ind w:left="425" w:hanging="0"/>
        <w:jc w:val="both"/>
        <w:rPr>
          <w:rFonts w:cs="Arial"/>
        </w:rPr>
      </w:pPr>
      <w:r>
        <w:rPr>
          <w:rFonts w:cs="Arial"/>
          <w:color w:val="000000" w:themeColor="text1"/>
          <w:szCs w:val="20"/>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hanging="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cs="Arial"/>
          <w:szCs w:val="20"/>
        </w:rPr>
      </w:pPr>
      <w:r>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hanging="0"/>
        <w:jc w:val="both"/>
        <w:rPr>
          <w:rFonts w:cs="Arial"/>
          <w:szCs w:val="20"/>
        </w:rPr>
      </w:pPr>
      <w:r>
        <w:rPr>
          <w:rFonts w:cs="Arial"/>
          <w:szCs w:val="20"/>
        </w:rPr>
        <w:t xml:space="preserve">Todas as especificações do </w:t>
      </w:r>
      <w:r>
        <w:rPr>
          <w:rFonts w:cs="Arial"/>
          <w:color w:val="000000" w:themeColor="text1"/>
          <w:szCs w:val="20"/>
        </w:rPr>
        <w:t>objeto</w:t>
      </w:r>
      <w:r>
        <w:rPr>
          <w:rFonts w:cs="Arial"/>
          <w:szCs w:val="20"/>
        </w:rPr>
        <w:t xml:space="preserve"> contidas na proposta, em especial o preço, vinculam a Contratada.</w:t>
      </w:r>
    </w:p>
    <w:p>
      <w:pPr>
        <w:pStyle w:val="Normal"/>
        <w:numPr>
          <w:ilvl w:val="1"/>
          <w:numId w:val="1"/>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rFonts w:cs="Arial"/>
          <w:szCs w:val="20"/>
        </w:rPr>
      </w:pPr>
      <w:r>
        <w:rPr>
          <w:rFonts w:cs="Arial"/>
          <w:b/>
          <w:bCs/>
          <w:szCs w:val="20"/>
          <w:u w:val="single"/>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hanging="0"/>
        <w:jc w:val="both"/>
        <w:rPr>
          <w:rFonts w:cs="Arial"/>
          <w:szCs w:val="20"/>
        </w:rPr>
      </w:pPr>
      <w:r>
        <w:rPr>
          <w:rFonts w:cs="Arial"/>
          <w:szCs w:val="20"/>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hanging="0"/>
        <w:jc w:val="both"/>
        <w:rPr/>
      </w:pPr>
      <w:r>
        <w:rPr>
          <w:rFonts w:cs="Arial"/>
          <w:szCs w:val="20"/>
        </w:rPr>
        <w:t xml:space="preserve">A apresentação das propostas implica obrigatoriedade do cumprimento das disposições nelas contidas, em conformidade com o que dispõe o neste </w:t>
      </w:r>
      <w:r>
        <w:rPr>
          <w:rFonts w:cs="Arial"/>
          <w:i w:val="false"/>
          <w:iCs w:val="false"/>
          <w:color w:val="000000"/>
          <w:szCs w:val="20"/>
        </w:rPr>
        <w:t>documento</w:t>
      </w:r>
      <w:r>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hanging="0"/>
        <w:jc w:val="both"/>
        <w:rPr/>
      </w:pPr>
      <w:r>
        <w:rPr>
          <w:rFonts w:cs="Arial"/>
          <w:szCs w:val="20"/>
        </w:rPr>
        <w:t xml:space="preserve">Uma vez enviada a proposta no sistema, os fornecedores </w:t>
      </w:r>
      <w:r>
        <w:rPr>
          <w:rFonts w:cs="Arial"/>
          <w:b/>
          <w:bCs/>
          <w:szCs w:val="20"/>
        </w:rPr>
        <w:t>NÃO</w:t>
      </w:r>
      <w:r>
        <w:rPr>
          <w:rFonts w:cs="Arial"/>
          <w:szCs w:val="20"/>
        </w:rPr>
        <w:t xml:space="preserve"> poderão retirá-la, substituí-la ou modificá-la</w:t>
      </w:r>
      <w:r>
        <w:rPr>
          <w:rFonts w:cs="Arial"/>
          <w:color w:val="000000"/>
          <w:szCs w:val="20"/>
        </w:rPr>
        <w:t>;</w:t>
      </w:r>
    </w:p>
    <w:p>
      <w:pPr>
        <w:pStyle w:val="Normal"/>
        <w:numPr>
          <w:ilvl w:val="1"/>
          <w:numId w:val="1"/>
        </w:numPr>
        <w:spacing w:lineRule="auto" w:line="276" w:before="120" w:after="120"/>
        <w:ind w:left="425" w:hanging="0"/>
        <w:jc w:val="both"/>
        <w:rPr>
          <w:rFonts w:cs="Arial"/>
          <w:color w:val="000000" w:themeColor="text1"/>
          <w:szCs w:val="20"/>
        </w:rPr>
      </w:pPr>
      <w:r>
        <w:rPr>
          <w:rFonts w:cs="Arial"/>
          <w:b/>
          <w:bCs/>
          <w:color w:val="000000"/>
          <w:szCs w:val="20"/>
        </w:rPr>
        <w:t xml:space="preserve">No cadastramento da proposta inicial, o fornecedor deverá, também, assinalar “sim” ou “não” em campo </w:t>
      </w:r>
      <w:r>
        <w:rPr>
          <w:rFonts w:cs="Arial"/>
          <w:b/>
          <w:bCs/>
          <w:szCs w:val="20"/>
        </w:rPr>
        <w:t>próprio</w:t>
      </w:r>
      <w:r>
        <w:rPr>
          <w:rFonts w:cs="Arial"/>
          <w:b/>
          <w:bCs/>
          <w:color w:val="000000"/>
          <w:szCs w:val="20"/>
        </w:rPr>
        <w:t xml:space="preserve"> do sistema eletrônico, às seguintes declarações:</w:t>
      </w:r>
      <w:r>
        <w:rPr>
          <w:rFonts w:eastAsia="Zurich BT" w:cs="Arial"/>
          <w:b/>
          <w:bCs/>
          <w:color w:val="000000"/>
          <w:szCs w:val="20"/>
        </w:rPr>
        <w:t xml:space="preserve"> </w:t>
      </w:r>
    </w:p>
    <w:p>
      <w:pPr>
        <w:pStyle w:val="ListParagraph"/>
        <w:numPr>
          <w:ilvl w:val="0"/>
          <w:numId w:val="2"/>
        </w:numPr>
        <w:tabs>
          <w:tab w:val="left" w:pos="1440" w:leader="none"/>
        </w:tabs>
        <w:snapToGrid w:val="false"/>
        <w:spacing w:lineRule="auto" w:line="276" w:before="120" w:after="120"/>
        <w:contextualSpacing/>
        <w:jc w:val="both"/>
        <w:rPr>
          <w:rFonts w:cs="Arial"/>
          <w:b/>
          <w:b/>
          <w:bCs/>
          <w:vanish/>
          <w:color w:val="000000"/>
          <w:szCs w:val="20"/>
        </w:rPr>
      </w:pPr>
      <w:r>
        <w:rPr>
          <w:rFonts w:cs="Arial"/>
          <w:b/>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cs="Arial"/>
          <w:b/>
          <w:b/>
          <w:bCs/>
          <w:vanish/>
          <w:color w:val="000000"/>
          <w:szCs w:val="20"/>
        </w:rPr>
      </w:pPr>
      <w:r>
        <w:rPr>
          <w:rFonts w:cs="Arial"/>
          <w:b/>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cs="Arial"/>
          <w:b/>
          <w:b/>
          <w:bCs/>
          <w:vanish/>
          <w:color w:val="000000"/>
          <w:szCs w:val="20"/>
        </w:rPr>
      </w:pPr>
      <w:r>
        <w:rPr>
          <w:rFonts w:cs="Arial"/>
          <w:b/>
          <w:bCs/>
          <w:vanish/>
          <w:color w:val="000000"/>
          <w:szCs w:val="20"/>
        </w:rPr>
      </w:r>
    </w:p>
    <w:p>
      <w:pPr>
        <w:pStyle w:val="ListParagraph"/>
        <w:numPr>
          <w:ilvl w:val="1"/>
          <w:numId w:val="2"/>
        </w:numPr>
        <w:tabs>
          <w:tab w:val="left" w:pos="1440" w:leader="none"/>
        </w:tabs>
        <w:snapToGrid w:val="false"/>
        <w:spacing w:lineRule="auto" w:line="276" w:before="120" w:after="120"/>
        <w:contextualSpacing/>
        <w:jc w:val="both"/>
        <w:rPr>
          <w:rFonts w:cs="Arial"/>
          <w:b/>
          <w:b/>
          <w:bCs/>
          <w:vanish/>
          <w:color w:val="000000"/>
          <w:szCs w:val="20"/>
        </w:rPr>
      </w:pPr>
      <w:r>
        <w:rPr>
          <w:rFonts w:cs="Arial"/>
          <w:b/>
          <w:bCs/>
          <w:vanish/>
          <w:color w:val="000000"/>
          <w:szCs w:val="20"/>
        </w:rPr>
      </w:r>
    </w:p>
    <w:p>
      <w:pPr>
        <w:pStyle w:val="Normal"/>
        <w:numPr>
          <w:ilvl w:val="2"/>
          <w:numId w:val="1"/>
        </w:numPr>
        <w:spacing w:lineRule="auto" w:line="276" w:before="120" w:after="120"/>
        <w:jc w:val="both"/>
        <w:rPr>
          <w:rFonts w:cs="Arial"/>
          <w:color w:val="000000" w:themeColor="text1"/>
          <w:szCs w:val="20"/>
        </w:rPr>
      </w:pPr>
      <w:r>
        <w:rPr>
          <w:rFonts w:cs="Arial"/>
          <w:b w:val="false"/>
          <w:bCs w:val="false"/>
          <w:color w:val="000000" w:themeColor="text1"/>
          <w:szCs w:val="20"/>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b w:val="false"/>
          <w:b w:val="false"/>
          <w:bCs w:val="false"/>
        </w:rPr>
      </w:pPr>
      <w:r>
        <w:rPr>
          <w:rFonts w:cs="Arial"/>
          <w:b w:val="false"/>
          <w:bCs w:val="false"/>
          <w:color w:val="000000" w:themeColor="text1"/>
          <w:szCs w:val="20"/>
        </w:rPr>
        <w:t xml:space="preserve">que </w:t>
      </w:r>
      <w:r>
        <w:rPr>
          <w:rFonts w:cs="Arial"/>
          <w:b w:val="false"/>
          <w:bCs w:val="false"/>
          <w:color w:val="000000"/>
          <w:szCs w:val="20"/>
        </w:rPr>
        <w:t>cumpre</w:t>
      </w:r>
      <w:r>
        <w:rPr>
          <w:rFonts w:cs="Arial"/>
          <w:b w:val="false"/>
          <w:bCs w:val="false"/>
          <w:color w:val="000000" w:themeColor="text1"/>
          <w:szCs w:val="20"/>
        </w:rPr>
        <w:t xml:space="preserv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está ciente e concorda com as condições contidas no Aviso de Contratação Direta e seus anexos;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assume a responsabilidade pelas transações que forem efetuadas no sistema, assumindo como firmes e verdadeiras;</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cs="Arial"/>
          <w:color w:val="000000" w:themeColor="text1"/>
          <w:szCs w:val="20"/>
        </w:rPr>
      </w:pPr>
      <w:r>
        <w:rPr>
          <w:rFonts w:cs="Arial"/>
          <w:color w:val="000000" w:themeColor="text1"/>
          <w:szCs w:val="20"/>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color w:val="000000"/>
        </w:rPr>
      </w:pPr>
      <w:r>
        <w:rPr>
          <w:rFonts w:cs="Arial"/>
          <w:i/>
          <w:color w:val="000000"/>
          <w:szCs w:val="20"/>
        </w:rPr>
        <w:t>Fica facultado ao fornecedor, ao cadastrar sua proposta inicial, a parametrização de valor final mínimo, com o registro do seu lance final aceitável menor preço.</w:t>
      </w:r>
    </w:p>
    <w:p>
      <w:pPr>
        <w:pStyle w:val="Normal"/>
        <w:numPr>
          <w:ilvl w:val="2"/>
          <w:numId w:val="1"/>
        </w:numPr>
        <w:spacing w:lineRule="auto" w:line="276" w:before="120" w:after="120"/>
        <w:jc w:val="both"/>
        <w:rPr>
          <w:rFonts w:cs="Arial"/>
          <w:i/>
          <w:i/>
          <w:color w:val="FF0000"/>
          <w:szCs w:val="20"/>
        </w:rPr>
      </w:pPr>
      <w:r>
        <w:rPr>
          <w:rFonts w:cs="Arial"/>
          <w:i/>
          <w:color w:val="000000"/>
          <w:szCs w:val="20"/>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cs="Arial"/>
          <w:i/>
          <w:i/>
          <w:color w:val="FF0000"/>
          <w:szCs w:val="20"/>
        </w:rPr>
      </w:pPr>
      <w:r>
        <w:rPr>
          <w:rFonts w:cs="Arial"/>
          <w:i/>
          <w:color w:val="000000"/>
          <w:szCs w:val="20"/>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cs="Arial"/>
          <w:i/>
          <w:i/>
          <w:color w:val="FF0000"/>
          <w:szCs w:val="20"/>
        </w:rPr>
      </w:pPr>
      <w:r>
        <w:rPr>
          <w:rFonts w:cs="Arial"/>
          <w:i/>
          <w:color w:val="000000"/>
          <w:szCs w:val="20"/>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color w:val="000000"/>
        </w:rPr>
      </w:pPr>
      <w:r>
        <w:rPr>
          <w:rFonts w:cs="Arial"/>
          <w:i/>
          <w:color w:val="000000"/>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PADRO"/>
        <w:keepNext/>
        <w:widowControl/>
        <w:numPr>
          <w:ilvl w:val="0"/>
          <w:numId w:val="1"/>
        </w:numPr>
        <w:shd w:val="clear" w:color="auto" w:fill="auto"/>
        <w:spacing w:before="120" w:after="120"/>
        <w:rPr>
          <w:rFonts w:ascii="Arial" w:hAnsi="Arial" w:cs="Arial"/>
          <w:b/>
          <w:b/>
        </w:rPr>
      </w:pPr>
      <w:r>
        <w:rPr>
          <w:rFonts w:cs="Arial" w:ascii="Arial" w:hAnsi="Arial"/>
          <w:b/>
        </w:rPr>
        <w:t>FASE DE LANCES</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A partir das 8:00h da data estabelecida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pPr>
      <w:r>
        <w:rPr>
          <w:rFonts w:cs="Arial"/>
          <w:b/>
          <w:bCs/>
          <w:i/>
          <w:iCs/>
          <w:color w:val="FF0000"/>
          <w:szCs w:val="20"/>
        </w:rPr>
        <w:t>O lance deverá ser ofertado pelo VALOR TOTAL DO ITEM, SEMPRE ATENTANDO PARA DUAS CASAS DECIMAIS.</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pPr>
      <w:r>
        <w:rPr>
          <w:rFonts w:cs="Arial"/>
          <w:szCs w:val="20"/>
        </w:rPr>
        <w:t>O intervalo mínimo de diferença de valores entre os lances, que incidirá tanto em relação aos lances intermediários quanto em relação ao que cobrir a melhor oferta é de</w:t>
      </w:r>
      <w:r>
        <w:rPr>
          <w:rFonts w:cs="Arial"/>
          <w:i/>
          <w:iCs/>
          <w:szCs w:val="20"/>
        </w:rPr>
        <w:t xml:space="preserve"> R$ 0,01 (um centavo)</w:t>
      </w:r>
      <w:r>
        <w:rPr>
          <w:rFonts w:cs="Arial"/>
          <w:i/>
          <w:iCs/>
          <w:color w:val="FF0000"/>
          <w:szCs w:val="20"/>
        </w:rPr>
        <w:t>.</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pPr>
        <w:pStyle w:val="PADRO"/>
        <w:keepNext/>
        <w:widowControl/>
        <w:numPr>
          <w:ilvl w:val="0"/>
          <w:numId w:val="1"/>
        </w:numPr>
        <w:shd w:val="clear" w:color="auto" w:fill="auto"/>
        <w:spacing w:before="120" w:after="120"/>
        <w:rPr>
          <w:rFonts w:ascii="Arial" w:hAnsi="Arial" w:cs="Arial"/>
          <w:b/>
          <w:b/>
        </w:rPr>
      </w:pPr>
      <w:r>
        <w:rPr>
          <w:rFonts w:cs="Arial" w:ascii="Arial" w:hAnsi="Arial"/>
          <w:b/>
        </w:rPr>
        <w:t>JULGAMENTO DAS PROPOSTAS DE PREÇO</w:t>
      </w:r>
    </w:p>
    <w:p>
      <w:pPr>
        <w:pStyle w:val="ListParagraph"/>
        <w:numPr>
          <w:ilvl w:val="1"/>
          <w:numId w:val="1"/>
        </w:numPr>
        <w:spacing w:lineRule="auto" w:line="276" w:before="120" w:after="120"/>
        <w:contextualSpacing/>
        <w:jc w:val="both"/>
        <w:rPr>
          <w:rFonts w:cs="Arial"/>
        </w:rPr>
      </w:pPr>
      <w:r>
        <w:rPr>
          <w:rFonts w:cs="Arial"/>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cs="Arial"/>
        </w:rPr>
      </w:pPr>
      <w:r>
        <w:rPr>
          <w:rFonts w:cs="Arial"/>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cs="Arial"/>
        </w:rPr>
      </w:pPr>
      <w:r>
        <w:rPr>
          <w:rFonts w:cs="Arial"/>
          <w:color w:val="000000"/>
          <w:szCs w:val="20"/>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cs="Arial"/>
        </w:rPr>
      </w:pPr>
      <w:r>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cs="Arial"/>
        </w:rPr>
      </w:pPr>
      <w:r>
        <w:rPr>
          <w:rFonts w:cs="Arial"/>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pPr>
      <w:r>
        <w:rPr>
          <w:rFonts w:cs="Arial"/>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 60 </w:t>
      </w:r>
      <w:r>
        <w:rPr>
          <w:rFonts w:cs="Arial"/>
          <w:color w:val="FF0000"/>
          <w:szCs w:val="20"/>
        </w:rPr>
        <w:t>(sessenta)</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pPr>
        <w:pStyle w:val="ListParagraph"/>
        <w:numPr>
          <w:ilvl w:val="1"/>
          <w:numId w:val="1"/>
        </w:numPr>
        <w:spacing w:lineRule="auto" w:line="276" w:before="120" w:after="120"/>
        <w:contextualSpacing/>
        <w:jc w:val="both"/>
        <w:rPr>
          <w:rFonts w:cs="Arial"/>
          <w:i/>
          <w:i/>
          <w:color w:val="000000" w:themeColor="text1"/>
          <w:szCs w:val="20"/>
        </w:rPr>
      </w:pPr>
      <w:r>
        <w:rPr>
          <w:rFonts w:cs="Arial"/>
          <w:color w:val="000000" w:themeColor="text1"/>
          <w:szCs w:val="20"/>
          <w:lang w:eastAsia="en-US"/>
        </w:rPr>
        <w:t xml:space="preserve">Será desclassificada a proposta vencedora que: </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contiver vícios insanáveis</w:t>
      </w:r>
      <w:r>
        <w:rPr>
          <w:rFonts w:cs="Arial"/>
          <w:iCs/>
          <w:color w:val="000000" w:themeColor="text1"/>
          <w:szCs w:val="20"/>
        </w:rPr>
        <w:t>;</w:t>
      </w:r>
    </w:p>
    <w:p>
      <w:pPr>
        <w:pStyle w:val="ListParagraph"/>
        <w:numPr>
          <w:ilvl w:val="2"/>
          <w:numId w:val="1"/>
        </w:numPr>
        <w:spacing w:lineRule="auto" w:line="276" w:before="120" w:after="120"/>
        <w:contextualSpacing/>
        <w:jc w:val="both"/>
        <w:rPr/>
      </w:pPr>
      <w:r>
        <w:rPr>
          <w:rFonts w:cs="Arial"/>
          <w:color w:val="000000"/>
          <w:szCs w:val="20"/>
        </w:rPr>
        <w:t>não obedecer às especificações técnicas pormenorizadas neste aviso</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não tiverem sua exequibilidade demonstrada, quando exigido pela Administração</w:t>
      </w:r>
      <w:r>
        <w:rPr>
          <w:rFonts w:cs="Arial"/>
          <w:iCs/>
          <w:color w:val="000000" w:themeColor="text1"/>
          <w:szCs w:val="20"/>
        </w:rPr>
        <w:t>;</w:t>
      </w:r>
    </w:p>
    <w:p>
      <w:pPr>
        <w:pStyle w:val="ListParagraph"/>
        <w:numPr>
          <w:ilvl w:val="2"/>
          <w:numId w:val="1"/>
        </w:numPr>
        <w:spacing w:lineRule="auto" w:line="276" w:before="120" w:after="120"/>
        <w:contextualSpacing/>
        <w:jc w:val="both"/>
        <w:rPr>
          <w:rFonts w:cs="Arial"/>
          <w:i/>
          <w:i/>
          <w:color w:val="000000" w:themeColor="text1"/>
          <w:szCs w:val="20"/>
        </w:rPr>
      </w:pPr>
      <w:r>
        <w:rPr>
          <w:rFonts w:cs="Arial"/>
          <w:color w:val="000000"/>
          <w:szCs w:val="20"/>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rFonts w:cs="Arial"/>
          <w:i/>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cs="Arial"/>
          <w:i/>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desclassificação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Encerrada a análise quanto à aceitação da proposta, se iniciará a fase de habilitação, observado o disposto neste Aviso de Contratação Direta. </w:t>
      </w:r>
    </w:p>
    <w:p>
      <w:pPr>
        <w:pStyle w:val="PADRO"/>
        <w:keepNext/>
        <w:widowControl/>
        <w:numPr>
          <w:ilvl w:val="0"/>
          <w:numId w:val="1"/>
        </w:numPr>
        <w:shd w:val="clear" w:color="auto" w:fill="auto"/>
        <w:spacing w:before="120" w:after="120"/>
        <w:rPr>
          <w:rFonts w:ascii="Arial" w:hAnsi="Arial" w:cs="Arial"/>
          <w:b/>
          <w:b/>
        </w:rPr>
      </w:pPr>
      <w:r>
        <w:rPr>
          <w:rFonts w:cs="Arial" w:ascii="Arial" w:hAnsi="Arial"/>
          <w:b/>
        </w:rPr>
        <w:t>HABILITAÇÃO</w:t>
      </w:r>
    </w:p>
    <w:p>
      <w:pPr>
        <w:pStyle w:val="ListParagraph"/>
        <w:numPr>
          <w:ilvl w:val="1"/>
          <w:numId w:val="1"/>
        </w:numPr>
        <w:spacing w:lineRule="auto" w:line="276" w:before="120" w:after="120"/>
        <w:ind w:left="792" w:hanging="574"/>
        <w:contextualSpacing/>
        <w:jc w:val="both"/>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a) SICAF;  </w:t>
      </w:r>
    </w:p>
    <w:p>
      <w:pPr>
        <w:pStyle w:val="ListParagraph"/>
        <w:spacing w:lineRule="auto" w:line="276" w:before="120" w:after="120"/>
        <w:ind w:left="1134" w:hanging="0"/>
        <w:contextualSpacing/>
        <w:jc w:val="both"/>
        <w:rPr/>
      </w:pPr>
      <w:r>
        <w:rPr>
          <w:rFonts w:cs="Arial"/>
          <w:szCs w:val="20"/>
          <w:lang w:eastAsia="ar-SA"/>
        </w:rPr>
        <w:t>b) Cadastro Nacional de Empresas Inidôneas e Suspensas - CEIS, mantido pela Controladoria-Geral da União (</w:t>
      </w:r>
      <w:hyperlink r:id="rId4">
        <w:r>
          <w:rPr>
            <w:rStyle w:val="LinkdaInternet"/>
            <w:rFonts w:eastAsia="Calibri" w:cs="Arial"/>
            <w:lang w:eastAsia="ar-SA"/>
          </w:rPr>
          <w:t>www.portaldatransparencia.gov.br/ceis</w:t>
        </w:r>
      </w:hyperlink>
      <w:r>
        <w:rPr>
          <w:rFonts w:cs="Arial"/>
          <w:szCs w:val="20"/>
          <w:lang w:eastAsia="ar-SA"/>
        </w:rPr>
        <w:t xml:space="preserve">);  </w:t>
      </w:r>
    </w:p>
    <w:p>
      <w:pPr>
        <w:pStyle w:val="ListParagraph"/>
        <w:spacing w:lineRule="auto" w:line="276" w:before="120" w:after="120"/>
        <w:ind w:left="1134" w:hanging="0"/>
        <w:contextualSpacing/>
        <w:jc w:val="both"/>
        <w:rPr/>
      </w:pPr>
      <w:r>
        <w:rPr>
          <w:rFonts w:cs="Arial"/>
          <w:szCs w:val="20"/>
          <w:lang w:eastAsia="ar-SA"/>
        </w:rPr>
        <w:t>c) Cadastro Nacional de Condenações Cíveis por Atos de Improbidade Administrativa, mantido pelo Conselho Nacional de Justiça (</w:t>
      </w:r>
      <w:hyperlink r:id="rId5">
        <w:r>
          <w:rPr>
            <w:rStyle w:val="LinkdaInternet"/>
            <w:rFonts w:eastAsia="Calibri" w:cs="Arial"/>
            <w:lang w:eastAsia="ar-SA"/>
          </w:rPr>
          <w:t>www.cnj.jus.br/improbidade_adm/consultar_requerido.php</w:t>
        </w:r>
      </w:hyperlink>
      <w:r>
        <w:rPr>
          <w:rFonts w:cs="Arial"/>
          <w:szCs w:val="20"/>
          <w:lang w:eastAsia="ar-SA"/>
        </w:rPr>
        <w:t xml:space="preserve">).  </w:t>
      </w:r>
    </w:p>
    <w:p>
      <w:pPr>
        <w:pStyle w:val="ListParagraph"/>
        <w:spacing w:lineRule="auto" w:line="276" w:before="120" w:after="120"/>
        <w:ind w:left="1134" w:hanging="0"/>
        <w:contextualSpacing/>
        <w:jc w:val="both"/>
        <w:rPr>
          <w:rFonts w:cs="Arial"/>
          <w:szCs w:val="20"/>
          <w:lang w:eastAsia="ar-SA"/>
        </w:rPr>
      </w:pPr>
      <w:r>
        <w:rPr>
          <w:rFonts w:cs="Arial"/>
          <w:szCs w:val="20"/>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pPr>
      <w:r>
        <w:rPr>
          <w:rFonts w:cs="Arial"/>
          <w:szCs w:val="20"/>
          <w:lang w:eastAsia="ar-SA"/>
        </w:rPr>
        <w:t xml:space="preserve">Para a consulta de </w:t>
      </w:r>
      <w:r>
        <w:rPr>
          <w:rFonts w:cs="Arial"/>
          <w:color w:val="000000" w:themeColor="text1"/>
          <w:szCs w:val="20"/>
        </w:rPr>
        <w:t>fornecedores</w:t>
      </w:r>
      <w:r>
        <w:rPr>
          <w:rFonts w:cs="Arial"/>
          <w:szCs w:val="20"/>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cs="Arial"/>
          <w:szCs w:val="20"/>
        </w:rPr>
      </w:pPr>
      <w:r>
        <w:rPr>
          <w:rFonts w:cs="Arial"/>
          <w:color w:val="000000" w:themeColor="text1"/>
          <w:szCs w:val="20"/>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cs="Arial"/>
          <w:szCs w:val="20"/>
        </w:rPr>
      </w:pPr>
      <w:r>
        <w:rPr>
          <w:rFonts w:cs="Arial"/>
          <w:color w:val="000000" w:themeColor="text1"/>
          <w:szCs w:val="20"/>
        </w:rPr>
        <w:t>O fornecedor será convocado para manifestação previamente à sua desclassificação</w:t>
      </w:r>
    </w:p>
    <w:p>
      <w:pPr>
        <w:pStyle w:val="ListParagraph"/>
        <w:numPr>
          <w:ilvl w:val="2"/>
          <w:numId w:val="1"/>
        </w:numPr>
        <w:spacing w:lineRule="auto" w:line="276" w:before="120" w:after="120"/>
        <w:contextualSpacing/>
        <w:jc w:val="both"/>
        <w:rPr>
          <w:rFonts w:cs="Arial"/>
          <w:szCs w:val="20"/>
        </w:rPr>
      </w:pPr>
      <w:r>
        <w:rPr>
          <w:rFonts w:cs="Arial"/>
          <w:color w:val="000000" w:themeColor="text1"/>
          <w:szCs w:val="20"/>
        </w:rPr>
        <w:t>Constatada a existência de sanção, o fornecedor será reputado inabilitado, por falta de condição de participação.</w:t>
      </w:r>
    </w:p>
    <w:p>
      <w:pPr>
        <w:pStyle w:val="ListParagraph"/>
        <w:numPr>
          <w:ilvl w:val="1"/>
          <w:numId w:val="1"/>
        </w:numPr>
        <w:spacing w:lineRule="auto" w:line="276" w:before="120" w:after="120"/>
        <w:ind w:left="792" w:hanging="574"/>
        <w:contextualSpacing/>
        <w:jc w:val="both"/>
        <w:rPr>
          <w:rFonts w:cs="Arial"/>
          <w:szCs w:val="20"/>
        </w:rPr>
      </w:pPr>
      <w:r>
        <w:rPr>
          <w:rFonts w:cs="Arial"/>
          <w:color w:val="000000" w:themeColor="text1"/>
          <w:szCs w:val="20"/>
        </w:rPr>
        <w:t xml:space="preserve">Caso atendidas as condições de participação, </w:t>
      </w:r>
      <w:r>
        <w:rPr>
          <w:rFonts w:cs="Arial"/>
          <w:szCs w:val="20"/>
        </w:rPr>
        <w:t>a habilitação dos fornecedores será verificada por meio do SICAF, nos documentos por ele abrangidos</w:t>
      </w:r>
      <w:r>
        <w:rPr>
          <w:rFonts w:cs="Arial"/>
          <w:color w:val="000000" w:themeColor="text1"/>
          <w:szCs w:val="20"/>
        </w:rPr>
        <w:t>.</w:t>
      </w:r>
    </w:p>
    <w:p>
      <w:pPr>
        <w:pStyle w:val="ListParagraph"/>
        <w:numPr>
          <w:ilvl w:val="2"/>
          <w:numId w:val="1"/>
        </w:numPr>
        <w:spacing w:lineRule="auto" w:line="276" w:before="120" w:after="120"/>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contextualSpacing/>
        <w:jc w:val="both"/>
        <w:rPr/>
      </w:pPr>
      <w:r>
        <w:rPr>
          <w:rFonts w:cs="Arial"/>
          <w:color w:val="000000" w:themeColor="text1"/>
          <w:szCs w:val="20"/>
        </w:rPr>
        <w:t xml:space="preserve">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para endereço </w:t>
      </w:r>
      <w:hyperlink r:id="rId6">
        <w:r>
          <w:rPr>
            <w:rStyle w:val="LinkdaInternet"/>
            <w:rFonts w:cs="Arial" w:ascii="Times New Roman" w:hAnsi="Times New Roman"/>
            <w:b/>
            <w:bCs/>
            <w:color w:val="0000FF"/>
            <w:szCs w:val="20"/>
            <w:u w:val="single" w:color="0000FF"/>
          </w:rPr>
          <w:t>salc.raj@hotmail.com</w:t>
        </w:r>
      </w:hyperlink>
      <w:r>
        <w:rPr>
          <w:rFonts w:cs="Arial"/>
          <w:color w:val="000000" w:themeColor="text1"/>
          <w:szCs w:val="20"/>
        </w:rPr>
        <w:t>, sob pena de inabilitação.</w:t>
      </w:r>
    </w:p>
    <w:p>
      <w:pPr>
        <w:pStyle w:val="ListParagraph"/>
        <w:numPr>
          <w:ilvl w:val="1"/>
          <w:numId w:val="1"/>
        </w:numPr>
        <w:spacing w:lineRule="auto" w:line="276" w:before="120" w:after="120"/>
        <w:ind w:left="792" w:hanging="574"/>
        <w:contextualSpacing/>
        <w:jc w:val="both"/>
        <w:rPr>
          <w:rFonts w:cs="Arial"/>
          <w:color w:val="000000" w:themeColor="text1"/>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hanging="574"/>
        <w:contextualSpacing/>
        <w:jc w:val="both"/>
        <w:rPr/>
      </w:pPr>
      <w:r>
        <w:rPr>
          <w:rFonts w:cs="Arial"/>
          <w:bCs/>
          <w:szCs w:val="20"/>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hanging="574"/>
        <w:contextualSpacing/>
        <w:jc w:val="both"/>
        <w:rPr>
          <w:rFonts w:cs="Arial"/>
          <w:bCs/>
          <w:szCs w:val="20"/>
        </w:rPr>
      </w:pPr>
      <w:r>
        <w:rPr>
          <w:rFonts w:cs="Arial"/>
          <w:bCs/>
          <w:szCs w:val="20"/>
        </w:rPr>
        <w:t xml:space="preserve">Havendo </w:t>
      </w:r>
      <w:r>
        <w:rPr>
          <w:rFonts w:cs="Arial"/>
          <w:iCs/>
          <w:lang w:eastAsia="en-US"/>
        </w:rPr>
        <w:t>necessidade</w:t>
      </w:r>
      <w:r>
        <w:rPr>
          <w:rFonts w:cs="Arial"/>
          <w:bCs/>
          <w:szCs w:val="20"/>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hanging="574"/>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lang w:eastAsia="en-U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hanging="574"/>
        <w:contextualSpacing/>
        <w:jc w:val="both"/>
        <w:rPr>
          <w:rFonts w:cs="Arial"/>
          <w:iCs/>
          <w:lang w:eastAsia="en-US"/>
        </w:rPr>
      </w:pPr>
      <w:r>
        <w:rPr>
          <w:rFonts w:cs="Arial"/>
          <w:iCs/>
          <w:lang w:eastAsia="en-US"/>
        </w:rPr>
        <w:t>Constatado o atendimento às exigências de habilitação, o fornecedor será habilitado</w:t>
      </w:r>
    </w:p>
    <w:p>
      <w:pPr>
        <w:pStyle w:val="PADRO"/>
        <w:keepNext/>
        <w:widowControl/>
        <w:numPr>
          <w:ilvl w:val="0"/>
          <w:numId w:val="1"/>
        </w:numPr>
        <w:shd w:val="clear" w:color="auto" w:fill="auto"/>
        <w:spacing w:before="120" w:after="120"/>
        <w:rPr>
          <w:rFonts w:ascii="Arial" w:hAnsi="Arial" w:cs="Arial"/>
          <w:b/>
          <w:b/>
        </w:rPr>
      </w:pPr>
      <w:r>
        <w:rPr>
          <w:rFonts w:cs="Arial" w:ascii="Arial" w:hAnsi="Arial"/>
          <w:b/>
        </w:rPr>
        <w:t>CONTRATAÇÃO</w:t>
      </w:r>
    </w:p>
    <w:p>
      <w:pPr>
        <w:pStyle w:val="Normal"/>
        <w:numPr>
          <w:ilvl w:val="1"/>
          <w:numId w:val="1"/>
        </w:numPr>
        <w:spacing w:lineRule="auto" w:line="276" w:before="120" w:after="120"/>
        <w:ind w:left="425" w:hanging="0"/>
        <w:jc w:val="both"/>
        <w:rPr/>
      </w:pPr>
      <w:r>
        <w:rPr>
          <w:rFonts w:eastAsia="Arial" w:cs="Arial"/>
          <w:color w:val="000000"/>
          <w:szCs w:val="20"/>
        </w:rPr>
        <w:t>Após a homologação e adjudicação, caso se conclua pela contratação, será firmado Termo de Contrato ou emitido instrumento equivalente.</w:t>
      </w:r>
    </w:p>
    <w:p>
      <w:pPr>
        <w:pStyle w:val="Normal"/>
        <w:numPr>
          <w:ilvl w:val="1"/>
          <w:numId w:val="1"/>
        </w:numPr>
        <w:spacing w:lineRule="auto" w:line="276" w:before="120" w:after="120"/>
        <w:ind w:left="425" w:hanging="0"/>
        <w:jc w:val="both"/>
        <w:rPr/>
      </w:pPr>
      <w:r>
        <w:rPr>
          <w:rFonts w:eastAsia="Arial" w:cs="Arial"/>
          <w:color w:val="000000"/>
          <w:szCs w:val="20"/>
        </w:rPr>
        <w:t xml:space="preserve">O adjudicatário terá o prazo de 02 </w:t>
      </w:r>
      <w:r>
        <w:rPr>
          <w:rFonts w:eastAsia="Arial" w:cs="Arial"/>
          <w:color w:val="FF0000"/>
          <w:szCs w:val="20"/>
        </w:rPr>
        <w:t>(dois) dias úteis</w:t>
      </w:r>
      <w:r>
        <w:rPr>
          <w:rFonts w:eastAsia="Arial" w:cs="Arial"/>
          <w:color w:val="000000"/>
          <w:szCs w:val="20"/>
        </w:rPr>
        <w:t xml:space="preserve">, contados a partir da data de sua convocação, para </w:t>
      </w:r>
      <w:r>
        <w:rPr>
          <w:rFonts w:eastAsia="Arial" w:cs="Arial"/>
          <w:color w:val="FF0000"/>
          <w:szCs w:val="20"/>
        </w:rPr>
        <w:t xml:space="preserve">assinar o Termo de Contrato ou aceitar instrumento equivalente, conforme o caso (Nota de Empenho/Carta Contrato/Autorização), </w:t>
      </w:r>
      <w:r>
        <w:rPr>
          <w:rFonts w:eastAsia="Arial" w:cs="Arial"/>
          <w:color w:val="000000"/>
          <w:szCs w:val="20"/>
        </w:rPr>
        <w:t xml:space="preserve">sob pena de decair do direito à contratação, sem prejuízo das sanções previstas neste Aviso de Contratação Direta. </w:t>
      </w:r>
    </w:p>
    <w:p>
      <w:pPr>
        <w:pStyle w:val="Normal"/>
        <w:numPr>
          <w:ilvl w:val="2"/>
          <w:numId w:val="1"/>
        </w:numPr>
        <w:spacing w:lineRule="auto" w:line="276" w:before="120" w:after="120"/>
        <w:jc w:val="both"/>
        <w:rPr/>
      </w:pPr>
      <w:r>
        <w:rPr>
          <w:rFonts w:eastAsia="Arial" w:cs="Arial"/>
          <w:i/>
          <w:color w:val="FF0000"/>
          <w:szCs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02 (dois) dias utéis, a contar da data de seu recebimento. </w:t>
      </w:r>
    </w:p>
    <w:p>
      <w:pPr>
        <w:pStyle w:val="Normal"/>
        <w:numPr>
          <w:ilvl w:val="2"/>
          <w:numId w:val="1"/>
        </w:numPr>
        <w:spacing w:lineRule="auto" w:line="276" w:before="120" w:after="120"/>
        <w:jc w:val="both"/>
        <w:rPr>
          <w:rFonts w:eastAsia="Arial" w:cs="Arial"/>
          <w:color w:val="000000"/>
          <w:szCs w:val="20"/>
        </w:rPr>
      </w:pPr>
      <w:r>
        <w:rPr>
          <w:rFonts w:eastAsia="Arial" w:cs="Arial"/>
          <w:color w:val="000000"/>
          <w:szCs w:val="20"/>
        </w:rPr>
        <w:t xml:space="preserve">O prazo previsto para assinatura do contrato ou aceitação da nota de empenho ou instrumento equivalente poderá ser prorrogado </w:t>
      </w:r>
      <w:r>
        <w:rPr>
          <w:rFonts w:cs="Times New Roman"/>
          <w:bCs/>
        </w:rPr>
        <w:t>1 (uma) vez</w:t>
      </w:r>
      <w:r>
        <w:rPr>
          <w:rFonts w:eastAsia="Arial" w:cs="Arial"/>
          <w:szCs w:val="20"/>
        </w:rPr>
        <w:t xml:space="preserve">, </w:t>
      </w:r>
      <w:r>
        <w:rPr>
          <w:rFonts w:eastAsia="Arial" w:cs="Arial"/>
          <w:color w:val="000000"/>
          <w:szCs w:val="20"/>
        </w:rPr>
        <w:t>por igual período, por solicitação justificada do adjudicatário e aceita pela Administração.</w:t>
      </w:r>
    </w:p>
    <w:p>
      <w:pPr>
        <w:pStyle w:val="Normal"/>
        <w:numPr>
          <w:ilvl w:val="1"/>
          <w:numId w:val="1"/>
        </w:numPr>
        <w:spacing w:lineRule="auto" w:line="276" w:before="120" w:after="120"/>
        <w:ind w:left="425" w:hanging="0"/>
        <w:jc w:val="both"/>
        <w:rPr>
          <w:rFonts w:eastAsia="Arial" w:cs="Arial"/>
          <w:i/>
          <w:i/>
          <w:color w:val="FF0000"/>
          <w:szCs w:val="20"/>
        </w:rPr>
      </w:pPr>
      <w:r>
        <w:rPr>
          <w:rFonts w:eastAsia="Arial" w:cs="Arial"/>
          <w:i/>
          <w:color w:val="FF0000"/>
          <w:szCs w:val="20"/>
        </w:rPr>
        <w:t>O Aceite da Nota de Empenho ou do instrumento equivalente, emitida à empresa adjudicada, implica no reconhecimento de que:</w:t>
      </w:r>
    </w:p>
    <w:p>
      <w:pPr>
        <w:pStyle w:val="Normal"/>
        <w:numPr>
          <w:ilvl w:val="2"/>
          <w:numId w:val="1"/>
        </w:numPr>
        <w:spacing w:lineRule="auto" w:line="276" w:before="120" w:after="120"/>
        <w:jc w:val="both"/>
        <w:rPr>
          <w:rFonts w:eastAsia="Arial" w:cs="Arial"/>
          <w:i/>
          <w:i/>
          <w:color w:val="FF0000"/>
          <w:szCs w:val="20"/>
        </w:rPr>
      </w:pPr>
      <w:r>
        <w:rPr>
          <w:rFonts w:eastAsia="Arial" w:cs="Arial"/>
          <w:i/>
          <w:color w:val="FF0000"/>
          <w:szCs w:val="20"/>
        </w:rPr>
        <w:t>referida Nota está substituindo o contrato, aplicando-se à relação de negócios ali estabelecida as disposições da Lei nº 14.133, de 2021;</w:t>
      </w:r>
    </w:p>
    <w:p>
      <w:pPr>
        <w:pStyle w:val="Normal"/>
        <w:numPr>
          <w:ilvl w:val="2"/>
          <w:numId w:val="1"/>
        </w:numPr>
        <w:spacing w:lineRule="auto" w:line="276" w:before="120" w:after="120"/>
        <w:jc w:val="both"/>
        <w:rPr>
          <w:rFonts w:eastAsia="Arial" w:cs="Arial"/>
          <w:i/>
          <w:i/>
          <w:color w:val="FF0000"/>
          <w:szCs w:val="20"/>
        </w:rPr>
      </w:pPr>
      <w:r>
        <w:rPr>
          <w:rFonts w:eastAsia="Arial" w:cs="Arial"/>
          <w:i/>
          <w:color w:val="FF0000"/>
          <w:szCs w:val="20"/>
        </w:rPr>
        <w:t>a contratada se vincula à sua proposta e às previsões contidas no Aviso de Contratação Direta e seus anexos;</w:t>
      </w:r>
    </w:p>
    <w:p>
      <w:pPr>
        <w:pStyle w:val="Normal"/>
        <w:numPr>
          <w:ilvl w:val="2"/>
          <w:numId w:val="1"/>
        </w:numPr>
        <w:spacing w:lineRule="auto" w:line="276" w:before="120" w:after="120"/>
        <w:jc w:val="both"/>
        <w:rPr/>
      </w:pPr>
      <w:r>
        <w:rPr>
          <w:rFonts w:eastAsia="Arial" w:cs="Arial"/>
          <w:i/>
          <w:color w:val="FF0000"/>
          <w:szCs w:val="20"/>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120" w:after="120"/>
        <w:ind w:left="425" w:hanging="0"/>
        <w:jc w:val="both"/>
        <w:rPr/>
      </w:pPr>
      <w:r>
        <w:rPr>
          <w:rFonts w:eastAsia="Arial" w:cs="Arial"/>
          <w:color w:val="000000"/>
          <w:szCs w:val="20"/>
        </w:rPr>
        <w:t>O prazo de vigência da contratação é de 90 (noventa) dias</w:t>
      </w:r>
      <w:r>
        <w:rPr>
          <w:rFonts w:eastAsia="Arial" w:cs="Arial"/>
          <w:color w:val="FF0000"/>
          <w:szCs w:val="20"/>
        </w:rPr>
        <w:t xml:space="preserve"> </w:t>
      </w:r>
      <w:r>
        <w:rPr>
          <w:rFonts w:eastAsia="Arial" w:cs="Arial"/>
          <w:color w:val="000000"/>
          <w:szCs w:val="20"/>
        </w:rPr>
        <w:t xml:space="preserve">prorrogável conforme previsão nos anexos a este Aviso de Contratação Direta. </w:t>
      </w:r>
    </w:p>
    <w:p>
      <w:pPr>
        <w:pStyle w:val="Normal"/>
        <w:numPr>
          <w:ilvl w:val="1"/>
          <w:numId w:val="1"/>
        </w:numPr>
        <w:spacing w:lineRule="auto" w:line="276" w:before="120" w:after="120"/>
        <w:ind w:left="425" w:hanging="0"/>
        <w:jc w:val="both"/>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pPr>
        <w:pStyle w:val="PADRO"/>
        <w:keepNext/>
        <w:widowControl/>
        <w:numPr>
          <w:ilvl w:val="0"/>
          <w:numId w:val="1"/>
        </w:numPr>
        <w:shd w:val="clear" w:color="auto" w:fill="auto"/>
        <w:spacing w:before="120" w:after="120"/>
        <w:rPr>
          <w:rFonts w:ascii="Arial" w:hAnsi="Arial" w:cs="Arial"/>
          <w:b/>
          <w:b/>
        </w:rPr>
      </w:pPr>
      <w:r>
        <w:rPr>
          <w:rFonts w:cs="Arial" w:ascii="Arial" w:hAnsi="Arial"/>
          <w:b/>
        </w:rPr>
        <w:t>SANÇÕES</w:t>
      </w:r>
    </w:p>
    <w:p>
      <w:pPr>
        <w:pStyle w:val="Normal"/>
        <w:numPr>
          <w:ilvl w:val="1"/>
          <w:numId w:val="1"/>
        </w:numPr>
        <w:spacing w:lineRule="auto" w:line="276" w:before="120" w:after="120"/>
        <w:ind w:left="425" w:hanging="0"/>
        <w:jc w:val="both"/>
        <w:rPr>
          <w:rFonts w:cs="Arial"/>
          <w:b/>
          <w:b/>
        </w:rPr>
      </w:pPr>
      <w:r>
        <w:rPr>
          <w:rFonts w:cs="Arial"/>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120" w:after="120"/>
        <w:jc w:val="both"/>
        <w:rPr>
          <w:rFonts w:cs="Arial"/>
        </w:rPr>
      </w:pPr>
      <w:r>
        <w:rPr>
          <w:rFonts w:cs="Arial"/>
          <w:color w:val="000000"/>
          <w:szCs w:val="20"/>
        </w:rPr>
        <w:t>dar causa à inexecução parcial do contrato</w:t>
      </w:r>
      <w:r>
        <w:rPr>
          <w:rFonts w:cs="Arial"/>
        </w:rPr>
        <w:t>;</w:t>
      </w:r>
    </w:p>
    <w:p>
      <w:pPr>
        <w:pStyle w:val="Normal"/>
        <w:numPr>
          <w:ilvl w:val="2"/>
          <w:numId w:val="1"/>
        </w:numPr>
        <w:spacing w:lineRule="auto" w:line="276" w:before="120" w:after="120"/>
        <w:jc w:val="both"/>
        <w:rPr>
          <w:rFonts w:cs="Arial"/>
        </w:rPr>
      </w:pPr>
      <w:r>
        <w:rPr>
          <w:rFonts w:cs="Arial"/>
          <w:color w:val="000000"/>
          <w:szCs w:val="20"/>
        </w:rPr>
        <w:t>dar causa à inexecução parcial do contrato que cause grave dano à Administração, ao funcionamento dos serviços públicos ou ao interesse coletivo;</w:t>
      </w:r>
    </w:p>
    <w:p>
      <w:pPr>
        <w:pStyle w:val="Normal"/>
        <w:numPr>
          <w:ilvl w:val="2"/>
          <w:numId w:val="1"/>
        </w:numPr>
        <w:spacing w:lineRule="auto" w:line="276" w:before="120" w:after="120"/>
        <w:jc w:val="both"/>
        <w:rPr>
          <w:rFonts w:cs="Arial"/>
        </w:rPr>
      </w:pPr>
      <w:r>
        <w:rPr>
          <w:rFonts w:cs="Arial"/>
          <w:color w:val="000000"/>
          <w:szCs w:val="20"/>
        </w:rPr>
        <w:t>dar causa à inexecução total do contrato;</w:t>
      </w:r>
    </w:p>
    <w:p>
      <w:pPr>
        <w:pStyle w:val="Normal"/>
        <w:numPr>
          <w:ilvl w:val="2"/>
          <w:numId w:val="1"/>
        </w:numPr>
        <w:spacing w:lineRule="auto" w:line="276" w:before="120" w:after="120"/>
        <w:jc w:val="both"/>
        <w:rPr>
          <w:rFonts w:cs="Arial"/>
        </w:rPr>
      </w:pPr>
      <w:r>
        <w:rPr>
          <w:rFonts w:cs="Arial"/>
          <w:color w:val="000000"/>
          <w:szCs w:val="20"/>
        </w:rPr>
        <w:t>deixar de entregar a documentação exigida para o certame;</w:t>
      </w:r>
    </w:p>
    <w:p>
      <w:pPr>
        <w:pStyle w:val="Normal"/>
        <w:numPr>
          <w:ilvl w:val="2"/>
          <w:numId w:val="1"/>
        </w:numPr>
        <w:spacing w:lineRule="auto" w:line="276" w:before="120" w:after="120"/>
        <w:jc w:val="both"/>
        <w:rPr>
          <w:rFonts w:cs="Arial"/>
        </w:rPr>
      </w:pPr>
      <w:r>
        <w:rPr>
          <w:rFonts w:cs="Arial"/>
          <w:color w:val="000000"/>
          <w:szCs w:val="20"/>
        </w:rPr>
        <w:t>não manter a proposta, salvo em decorrência de fato superveniente devidamente justificado;</w:t>
      </w:r>
    </w:p>
    <w:p>
      <w:pPr>
        <w:pStyle w:val="Normal"/>
        <w:numPr>
          <w:ilvl w:val="2"/>
          <w:numId w:val="1"/>
        </w:numPr>
        <w:spacing w:lineRule="auto" w:line="276" w:before="120" w:after="120"/>
        <w:jc w:val="both"/>
        <w:rPr>
          <w:rFonts w:cs="Arial"/>
        </w:rPr>
      </w:pPr>
      <w:r>
        <w:rPr>
          <w:rFonts w:cs="Arial"/>
          <w:color w:val="000000"/>
          <w:szCs w:val="20"/>
        </w:rPr>
        <w:t>não celebrar o contrato ou não entregar a documentação exigida para a contratação, quando convocado dentro do prazo de validade de sua proposta;</w:t>
      </w:r>
    </w:p>
    <w:p>
      <w:pPr>
        <w:pStyle w:val="Normal"/>
        <w:numPr>
          <w:ilvl w:val="2"/>
          <w:numId w:val="1"/>
        </w:numPr>
        <w:spacing w:lineRule="auto" w:line="276" w:before="120" w:after="120"/>
        <w:jc w:val="both"/>
        <w:rPr>
          <w:rFonts w:cs="Arial"/>
        </w:rPr>
      </w:pPr>
      <w:r>
        <w:rPr>
          <w:rFonts w:cs="Arial"/>
          <w:color w:val="000000"/>
          <w:szCs w:val="20"/>
        </w:rPr>
        <w:t> </w:t>
      </w:r>
      <w:r>
        <w:rPr>
          <w:rFonts w:cs="Arial"/>
          <w:color w:val="000000"/>
          <w:szCs w:val="20"/>
        </w:rPr>
        <w:t>ensejar o retardamento da execução ou da entrega do objeto da licitação sem motivo justificado;</w:t>
      </w:r>
    </w:p>
    <w:p>
      <w:pPr>
        <w:pStyle w:val="Normal"/>
        <w:numPr>
          <w:ilvl w:val="2"/>
          <w:numId w:val="1"/>
        </w:numPr>
        <w:spacing w:lineRule="auto" w:line="276" w:before="120" w:after="120"/>
        <w:jc w:val="both"/>
        <w:rPr>
          <w:rFonts w:cs="Arial"/>
        </w:rPr>
      </w:pPr>
      <w:r>
        <w:rPr>
          <w:rFonts w:cs="Arial"/>
          <w:color w:val="000000"/>
          <w:szCs w:val="20"/>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120" w:after="120"/>
        <w:jc w:val="both"/>
        <w:rPr>
          <w:rFonts w:cs="Arial"/>
        </w:rPr>
      </w:pPr>
      <w:r>
        <w:rPr>
          <w:rFonts w:cs="Arial"/>
          <w:color w:val="000000"/>
          <w:szCs w:val="20"/>
        </w:rPr>
        <w:t>fraudar a dispensa eletrônica ou praticar ato fraudulento na execução do contrato;</w:t>
      </w:r>
    </w:p>
    <w:p>
      <w:pPr>
        <w:pStyle w:val="Normal"/>
        <w:numPr>
          <w:ilvl w:val="2"/>
          <w:numId w:val="1"/>
        </w:numPr>
        <w:spacing w:lineRule="auto" w:line="276" w:before="120" w:after="120"/>
        <w:jc w:val="both"/>
        <w:rPr>
          <w:rFonts w:cs="Arial"/>
        </w:rPr>
      </w:pPr>
      <w:r>
        <w:rPr>
          <w:rFonts w:cs="Arial"/>
          <w:color w:val="000000"/>
          <w:szCs w:val="20"/>
        </w:rPr>
        <w:t> </w:t>
      </w:r>
      <w:r>
        <w:rPr>
          <w:rFonts w:cs="Arial"/>
          <w:color w:val="000000"/>
          <w:szCs w:val="20"/>
        </w:rPr>
        <w:t>comportar-se de modo inidôneo ou cometer fraude de qualquer natureza;</w:t>
      </w:r>
    </w:p>
    <w:p>
      <w:pPr>
        <w:pStyle w:val="ListParagraph"/>
        <w:numPr>
          <w:ilvl w:val="3"/>
          <w:numId w:val="1"/>
        </w:numPr>
        <w:spacing w:lineRule="auto" w:line="276" w:before="120" w:after="120"/>
        <w:contextualSpacing/>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120" w:after="120"/>
        <w:jc w:val="both"/>
        <w:rPr>
          <w:rFonts w:cs="Arial"/>
        </w:rPr>
      </w:pPr>
      <w:r>
        <w:rPr>
          <w:rFonts w:cs="Arial"/>
          <w:color w:val="000000"/>
          <w:szCs w:val="20"/>
        </w:rPr>
        <w:t> </w:t>
      </w:r>
      <w:r>
        <w:rPr>
          <w:rFonts w:cs="Arial"/>
          <w:color w:val="000000"/>
          <w:szCs w:val="20"/>
        </w:rPr>
        <w:t>praticar atos ilícitos com vistas a frustrar os objetivos deste certame.</w:t>
      </w:r>
    </w:p>
    <w:p>
      <w:pPr>
        <w:pStyle w:val="Normal"/>
        <w:numPr>
          <w:ilvl w:val="2"/>
          <w:numId w:val="1"/>
        </w:numPr>
        <w:spacing w:lineRule="auto" w:line="276" w:before="120" w:after="120"/>
        <w:jc w:val="both"/>
        <w:rPr/>
      </w:pPr>
      <w:r>
        <w:rPr>
          <w:rFonts w:cs="Arial"/>
          <w:color w:val="000000"/>
          <w:szCs w:val="20"/>
        </w:rPr>
        <w:t>praticar ato lesivo previsto no </w:t>
      </w:r>
      <w:r>
        <w:fldChar w:fldCharType="begin"/>
      </w:r>
      <w:r>
        <w:instrText> HYPERLINK "http://www.planalto.gov.br/ccivil_03/_Ato2011-2014/2013/Lei/L12846.htm" \l "art5"</w:instrText>
      </w:r>
      <w:r>
        <w:fldChar w:fldCharType="separate"/>
      </w:r>
      <w:r>
        <w:rPr>
          <w:rStyle w:val="LinkdaInternet"/>
          <w:color w:val="000000"/>
        </w:rPr>
        <w:t>art. 5º da Lei nº 12.846, de 1º de agosto de 2013.</w:t>
      </w:r>
      <w:r>
        <w:fldChar w:fldCharType="end"/>
      </w:r>
    </w:p>
    <w:p>
      <w:pPr>
        <w:pStyle w:val="Normal"/>
        <w:numPr>
          <w:ilvl w:val="1"/>
          <w:numId w:val="1"/>
        </w:numPr>
        <w:spacing w:lineRule="auto" w:line="276" w:before="120" w:after="120"/>
        <w:ind w:left="425" w:hanging="0"/>
        <w:jc w:val="both"/>
        <w:rPr>
          <w:rFonts w:cs="Arial"/>
          <w:b/>
          <w:b/>
        </w:rPr>
      </w:pPr>
      <w:r>
        <w:rPr>
          <w:rFonts w:cs="Arial"/>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120" w:after="120"/>
        <w:jc w:val="both"/>
        <w:rPr>
          <w:rFonts w:cs="Arial"/>
        </w:rPr>
      </w:pPr>
      <w:r>
        <w:rPr>
          <w:rFonts w:cs="Arial"/>
        </w:rPr>
        <w:t>Advertência pela falta do subitem 8.1.1 deste Aviso de Contratação Direta,</w:t>
      </w:r>
      <w:r>
        <w:rPr/>
        <w:t xml:space="preserve"> </w:t>
      </w:r>
      <w:r>
        <w:rPr>
          <w:rFonts w:cs="Arial"/>
        </w:rPr>
        <w:t>quando não se justificar a imposição de penalidade mais grave;</w:t>
      </w:r>
    </w:p>
    <w:p>
      <w:pPr>
        <w:pStyle w:val="Normal"/>
        <w:numPr>
          <w:ilvl w:val="2"/>
          <w:numId w:val="5"/>
        </w:numPr>
        <w:spacing w:lineRule="auto" w:line="276" w:before="120" w:after="120"/>
        <w:jc w:val="both"/>
        <w:rPr/>
      </w:pPr>
      <w:r>
        <w:rPr>
          <w:rFonts w:cs="Arial"/>
        </w:rPr>
        <w:t>Multa de 10</w:t>
      </w:r>
      <w:r>
        <w:rPr>
          <w:rFonts w:cs="Arial"/>
          <w:color w:val="FF0000"/>
        </w:rPr>
        <w:t xml:space="preserve">% ( dez por cento) </w:t>
      </w:r>
      <w:r>
        <w:rPr>
          <w:rFonts w:cs="Arial"/>
        </w:rPr>
        <w:t>sobre o valor estimado do(s) item(s) prejudicado(s) pela conduta do fornecedor, por qualquer das infrações dos subitens 8.1.1 a 8.1.12;</w:t>
      </w:r>
    </w:p>
    <w:p>
      <w:pPr>
        <w:pStyle w:val="Normal"/>
        <w:numPr>
          <w:ilvl w:val="2"/>
          <w:numId w:val="5"/>
        </w:numPr>
        <w:spacing w:lineRule="auto" w:line="276" w:before="120" w:after="120"/>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pPr>
        <w:pStyle w:val="Normal"/>
        <w:numPr>
          <w:ilvl w:val="2"/>
          <w:numId w:val="5"/>
        </w:numPr>
        <w:spacing w:lineRule="auto" w:line="276" w:before="120" w:after="120"/>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pPr>
        <w:pStyle w:val="Normal"/>
        <w:numPr>
          <w:ilvl w:val="1"/>
          <w:numId w:val="1"/>
        </w:numPr>
        <w:spacing w:lineRule="auto" w:line="276" w:before="120" w:after="120"/>
        <w:jc w:val="both"/>
        <w:rPr>
          <w:rFonts w:cs="Arial"/>
          <w:bCs/>
        </w:rPr>
      </w:pPr>
      <w:r>
        <w:rPr>
          <w:rFonts w:cs="Arial"/>
          <w:bCs/>
        </w:rPr>
        <w:t>Na aplicação das sanções serão considerados:</w:t>
      </w:r>
    </w:p>
    <w:p>
      <w:pPr>
        <w:pStyle w:val="Normal"/>
        <w:numPr>
          <w:ilvl w:val="2"/>
          <w:numId w:val="1"/>
        </w:numPr>
        <w:spacing w:lineRule="auto" w:line="276" w:before="120" w:after="120"/>
        <w:jc w:val="both"/>
        <w:rPr>
          <w:rFonts w:cs="Arial"/>
          <w:bCs/>
        </w:rPr>
      </w:pPr>
      <w:r>
        <w:rPr>
          <w:rFonts w:cs="Arial"/>
          <w:bCs/>
        </w:rPr>
        <w:t>a natureza e a gravidade da infração cometida;</w:t>
      </w:r>
    </w:p>
    <w:p>
      <w:pPr>
        <w:pStyle w:val="Normal"/>
        <w:numPr>
          <w:ilvl w:val="2"/>
          <w:numId w:val="1"/>
        </w:numPr>
        <w:spacing w:lineRule="auto" w:line="276" w:before="120" w:after="120"/>
        <w:jc w:val="both"/>
        <w:rPr>
          <w:rFonts w:cs="Arial"/>
          <w:bCs/>
        </w:rPr>
      </w:pPr>
      <w:r>
        <w:rPr>
          <w:rFonts w:cs="Arial"/>
          <w:bCs/>
        </w:rPr>
        <w:t>as peculiaridades do caso concreto;</w:t>
      </w:r>
    </w:p>
    <w:p>
      <w:pPr>
        <w:pStyle w:val="Normal"/>
        <w:numPr>
          <w:ilvl w:val="2"/>
          <w:numId w:val="1"/>
        </w:numPr>
        <w:spacing w:lineRule="auto" w:line="276" w:before="120" w:after="120"/>
        <w:jc w:val="both"/>
        <w:rPr>
          <w:rFonts w:cs="Arial"/>
          <w:bCs/>
        </w:rPr>
      </w:pPr>
      <w:r>
        <w:rPr>
          <w:rFonts w:cs="Arial"/>
          <w:bCs/>
        </w:rPr>
        <w:t>as circunstâncias agravantes ou atenuantes;</w:t>
      </w:r>
    </w:p>
    <w:p>
      <w:pPr>
        <w:pStyle w:val="Normal"/>
        <w:numPr>
          <w:ilvl w:val="2"/>
          <w:numId w:val="1"/>
        </w:numPr>
        <w:spacing w:lineRule="auto" w:line="276" w:before="120" w:after="120"/>
        <w:jc w:val="both"/>
        <w:rPr>
          <w:rFonts w:cs="Arial"/>
          <w:bCs/>
        </w:rPr>
      </w:pPr>
      <w:r>
        <w:rPr>
          <w:rFonts w:cs="Arial"/>
          <w:bCs/>
        </w:rPr>
        <w:t>os danos que dela provierem para a Administração Pública;</w:t>
      </w:r>
    </w:p>
    <w:p>
      <w:pPr>
        <w:pStyle w:val="Normal"/>
        <w:numPr>
          <w:ilvl w:val="2"/>
          <w:numId w:val="1"/>
        </w:numPr>
        <w:spacing w:lineRule="auto" w:line="276" w:before="120" w:after="120"/>
        <w:jc w:val="both"/>
        <w:rPr>
          <w:rFonts w:cs="Arial"/>
          <w:bCs/>
        </w:rPr>
      </w:pPr>
      <w:r>
        <w:rPr>
          <w:rFonts w:cs="Arial"/>
          <w:bCs/>
        </w:rPr>
        <w:t>a implantação ou o aperfeiçoamento de programa de integridade, conforme normas e orientações dos órgãos de controle.</w:t>
      </w:r>
    </w:p>
    <w:p>
      <w:pPr>
        <w:pStyle w:val="Normal"/>
        <w:numPr>
          <w:ilvl w:val="1"/>
          <w:numId w:val="1"/>
        </w:numPr>
        <w:spacing w:lineRule="auto" w:line="276" w:before="120" w:after="120"/>
        <w:ind w:left="425" w:hanging="0"/>
        <w:jc w:val="both"/>
        <w:rPr>
          <w:rFonts w:cs="Arial"/>
        </w:rPr>
      </w:pPr>
      <w:bookmarkStart w:id="4" w:name="art156%25C2%25A76"/>
      <w:bookmarkStart w:id="5" w:name="art156%25C2%25A77"/>
      <w:bookmarkStart w:id="6" w:name="art156%25C2%25A78"/>
      <w:bookmarkEnd w:id="4"/>
      <w:bookmarkEnd w:id="5"/>
      <w:bookmarkEnd w:id="6"/>
      <w:r>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hanging="0"/>
        <w:jc w:val="both"/>
        <w:rPr>
          <w:rFonts w:cs="Arial"/>
        </w:rPr>
      </w:pPr>
      <w:bookmarkStart w:id="7" w:name="art156%25C2%25A79"/>
      <w:bookmarkEnd w:id="7"/>
      <w:r>
        <w:rPr>
          <w:rFonts w:cs="Arial"/>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hanging="0"/>
        <w:jc w:val="both"/>
        <w:rPr>
          <w:rFonts w:cs="Arial"/>
        </w:rPr>
      </w:pPr>
      <w:r>
        <w:rPr>
          <w:rFonts w:cs="Arial"/>
        </w:rPr>
        <w:t>A penalidade de multa pode ser aplicada cumulativamente com as demais sanções.</w:t>
      </w:r>
    </w:p>
    <w:p>
      <w:pPr>
        <w:pStyle w:val="Normal"/>
        <w:numPr>
          <w:ilvl w:val="1"/>
          <w:numId w:val="1"/>
        </w:numPr>
        <w:spacing w:lineRule="auto" w:line="276" w:before="120" w:after="120"/>
        <w:ind w:left="425" w:hanging="0"/>
        <w:jc w:val="both"/>
        <w:rPr>
          <w:rFonts w:cs="Arial"/>
        </w:rPr>
      </w:pPr>
      <w:r>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hanging="0"/>
        <w:jc w:val="both"/>
        <w:rPr>
          <w:rFonts w:cs="Arial"/>
        </w:rPr>
      </w:pPr>
      <w:r>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hanging="0"/>
        <w:jc w:val="both"/>
        <w:rPr>
          <w:rFonts w:cs="Arial"/>
        </w:rPr>
      </w:pPr>
      <w:r>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hanging="0"/>
        <w:jc w:val="both"/>
        <w:rPr>
          <w:rFonts w:cs="Arial"/>
        </w:rPr>
      </w:pPr>
      <w:r>
        <w:rPr>
          <w:rFonts w:cs="Arial"/>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ListParagraph"/>
        <w:keepNext/>
        <w:widowControl/>
        <w:numPr>
          <w:ilvl w:val="0"/>
          <w:numId w:val="1"/>
        </w:numPr>
        <w:shd w:val="clear" w:color="auto" w:fill="auto"/>
        <w:tabs>
          <w:tab w:val="left" w:pos="959" w:leader="none"/>
        </w:tabs>
        <w:spacing w:before="120" w:after="120"/>
        <w:contextualSpacing/>
        <w:rPr/>
      </w:pPr>
      <w:r>
        <w:rPr>
          <w:rFonts w:cs="Arial"/>
          <w:b/>
        </w:rPr>
        <w:t>DO LOCAL E PRAZO PARA ENTREGA DO OBJETO</w:t>
      </w:r>
    </w:p>
    <w:p>
      <w:pPr>
        <w:pStyle w:val="ListParagraph"/>
        <w:widowControl/>
        <w:numPr>
          <w:ilvl w:val="0"/>
          <w:numId w:val="0"/>
        </w:numPr>
        <w:shd w:val="clear" w:color="auto" w:fill="auto"/>
        <w:tabs>
          <w:tab w:val="left" w:pos="959" w:leader="none"/>
        </w:tabs>
        <w:spacing w:before="120" w:after="120"/>
        <w:ind w:left="1080" w:hanging="0"/>
        <w:contextualSpacing/>
        <w:jc w:val="both"/>
        <w:rPr/>
      </w:pPr>
      <w:r>
        <w:rPr>
          <w:rFonts w:cs="Arial"/>
          <w:b/>
          <w:bCs/>
        </w:rPr>
        <w:t>9.1</w:t>
        <w:tab/>
      </w:r>
      <w:r>
        <w:rPr>
          <w:rFonts w:cs="Arial"/>
          <w:b w:val="false"/>
          <w:bCs w:val="false"/>
        </w:rPr>
        <w:t xml:space="preserve">Rua Alcebiades Bobadilha da Cunha, 627 – Centro –79260-000 – Bela Vista – MS Fone/Fax (67) 3439 1241 – </w:t>
      </w:r>
      <w:hyperlink r:id="rId7">
        <w:r>
          <w:rPr>
            <w:rStyle w:val="LinkdaInternet"/>
            <w:rFonts w:cs="Arial"/>
            <w:b w:val="false"/>
            <w:bCs w:val="false"/>
          </w:rPr>
          <w:t>salc.raj@hotmail.com</w:t>
        </w:r>
      </w:hyperlink>
      <w:r>
        <w:rPr>
          <w:rStyle w:val="LinkdaInternet"/>
          <w:rFonts w:cs="Arial"/>
          <w:b w:val="false"/>
          <w:bCs w:val="false"/>
          <w:u w:val="none"/>
        </w:rPr>
        <w:t>.</w:t>
      </w:r>
      <w:r>
        <w:rPr>
          <w:rFonts w:cs="Arial"/>
          <w:b w:val="false"/>
          <w:bCs w:val="false"/>
        </w:rPr>
        <w:t xml:space="preserve"> O prazo de entrega não poderá ser superior a 5 (cinco) dias corridos, a partir do recebimento da NOTA DE EMPENHO pela CONTRATADA.</w:t>
      </w:r>
    </w:p>
    <w:p>
      <w:pPr>
        <w:pStyle w:val="PADRO"/>
        <w:widowControl/>
        <w:numPr>
          <w:ilvl w:val="0"/>
          <w:numId w:val="1"/>
        </w:numPr>
        <w:shd w:val="clear" w:color="auto" w:fill="auto"/>
        <w:spacing w:before="120" w:after="120"/>
        <w:rPr/>
      </w:pPr>
      <w:r>
        <w:rPr>
          <w:rFonts w:cs="Arial" w:ascii="Arial" w:hAnsi="Arial"/>
          <w:b/>
        </w:rPr>
        <w:t>DAS DISPOSIÇÕES GERAIS</w:t>
      </w:r>
    </w:p>
    <w:p>
      <w:pPr>
        <w:pStyle w:val="Normal"/>
        <w:numPr>
          <w:ilvl w:val="1"/>
          <w:numId w:val="1"/>
        </w:numPr>
        <w:snapToGrid w:val="false"/>
        <w:spacing w:lineRule="auto" w:line="276" w:before="120" w:after="120"/>
        <w:ind w:left="425" w:hanging="0"/>
        <w:jc w:val="both"/>
        <w:rPr>
          <w:rFonts w:cs="Arial"/>
          <w:szCs w:val="20"/>
        </w:rPr>
      </w:pPr>
      <w:r>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No caso de todos os fornecedores restarem desclassificados ou inabilitados (procedimento fracassado), a Administração poderá:</w:t>
      </w:r>
    </w:p>
    <w:p>
      <w:pPr>
        <w:pStyle w:val="Normal"/>
        <w:numPr>
          <w:ilvl w:val="2"/>
          <w:numId w:val="1"/>
        </w:numPr>
        <w:spacing w:lineRule="auto" w:line="276" w:before="120" w:after="120"/>
        <w:jc w:val="both"/>
        <w:rPr>
          <w:rFonts w:cs="Arial"/>
          <w:color w:val="000000"/>
          <w:szCs w:val="20"/>
        </w:rPr>
      </w:pPr>
      <w:r>
        <w:rPr>
          <w:rFonts w:cs="Arial"/>
          <w:color w:val="000000"/>
          <w:szCs w:val="20"/>
        </w:rPr>
        <w:t>republicar o presente aviso com uma nova data;</w:t>
      </w:r>
    </w:p>
    <w:p>
      <w:pPr>
        <w:pStyle w:val="Normal"/>
        <w:numPr>
          <w:ilvl w:val="2"/>
          <w:numId w:val="1"/>
        </w:numPr>
        <w:spacing w:lineRule="auto" w:line="276" w:before="120" w:after="120"/>
        <w:jc w:val="both"/>
        <w:rPr>
          <w:rFonts w:cs="Arial"/>
          <w:color w:val="000000"/>
          <w:szCs w:val="20"/>
        </w:rPr>
      </w:pPr>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ormal"/>
        <w:numPr>
          <w:ilvl w:val="2"/>
          <w:numId w:val="1"/>
        </w:numPr>
        <w:spacing w:lineRule="auto" w:line="276" w:before="120" w:after="120"/>
        <w:jc w:val="both"/>
        <w:rPr>
          <w:rFonts w:cs="Arial"/>
          <w:color w:val="000000"/>
          <w:szCs w:val="20"/>
        </w:rPr>
      </w:pPr>
      <w:r>
        <w:rPr>
          <w:rFonts w:cs="Arial"/>
          <w:color w:val="000000"/>
          <w:szCs w:val="20"/>
        </w:rPr>
        <w:t>fixar prazo para que possa haver adequação das propostas ou da documentação de habilitação, conforme o caso.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120" w:after="120"/>
        <w:ind w:left="425" w:hanging="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120" w:after="120"/>
        <w:ind w:left="425" w:hanging="0"/>
        <w:jc w:val="both"/>
        <w:rPr>
          <w:rFonts w:cs="Arial"/>
          <w:color w:val="000000"/>
          <w:szCs w:val="20"/>
        </w:rPr>
      </w:pPr>
      <w:r>
        <w:rPr>
          <w:rFonts w:cs="Arial"/>
          <w:color w:val="000000"/>
          <w:szCs w:val="20"/>
        </w:rPr>
        <w:t>Da sessão pública será divulgada Ata no sistema eletrônico.</w:t>
      </w:r>
    </w:p>
    <w:p>
      <w:pPr>
        <w:pStyle w:val="ListParagraph"/>
        <w:numPr>
          <w:ilvl w:val="1"/>
          <w:numId w:val="1"/>
        </w:numPr>
        <w:tabs>
          <w:tab w:val="left" w:pos="1067" w:leader="none"/>
        </w:tabs>
        <w:spacing w:lineRule="auto" w:line="276" w:before="1" w:after="0"/>
        <w:contextualSpacing/>
        <w:jc w:val="both"/>
        <w:rPr/>
      </w:pPr>
      <w:r>
        <w:rPr>
          <w:rFonts w:cs="Arial"/>
          <w:color w:val="000000"/>
          <w:szCs w:val="20"/>
        </w:rPr>
        <w:t>Os esclarecimentos poderão ser dirigidos à SALC do 10º R C Mec através de e- mail (</w:t>
      </w:r>
      <w:hyperlink r:id="rId8">
        <w:r>
          <w:rPr>
            <w:rStyle w:val="LinkdaInternet"/>
            <w:rFonts w:cs="Arial"/>
            <w:color w:val="007FFF"/>
            <w:szCs w:val="20"/>
            <w:u w:val="none" w:color="0000FF"/>
          </w:rPr>
          <w:t>salc.raj@hotmail.com</w:t>
        </w:r>
      </w:hyperlink>
      <w:r>
        <w:rPr>
          <w:rFonts w:cs="Arial"/>
          <w:color w:val="000000"/>
          <w:szCs w:val="20"/>
        </w:rPr>
        <w:t>) ou contato telefônico(67-3439-1241).</w:t>
      </w:r>
    </w:p>
    <w:p>
      <w:pPr>
        <w:pStyle w:val="Normal"/>
        <w:widowControl/>
        <w:numPr>
          <w:ilvl w:val="0"/>
          <w:numId w:val="0"/>
        </w:numPr>
        <w:bidi w:val="0"/>
        <w:spacing w:lineRule="auto" w:line="276" w:before="120" w:after="120"/>
        <w:ind w:left="1111" w:right="0" w:hanging="0"/>
        <w:jc w:val="both"/>
        <w:rPr>
          <w:b/>
          <w:b/>
          <w:bCs/>
        </w:rPr>
      </w:pPr>
      <w:r>
        <w:rPr>
          <w:rFonts w:cs="Arial"/>
          <w:b/>
          <w:bCs/>
          <w:color w:val="000000"/>
          <w:szCs w:val="20"/>
        </w:rPr>
        <w:t>ANEXO I – Documentação exigida para Habilitação</w:t>
      </w:r>
    </w:p>
    <w:p>
      <w:pPr>
        <w:pStyle w:val="Normal"/>
        <w:jc w:val="center"/>
        <w:rPr>
          <w:rFonts w:ascii="Times New Roman" w:hAnsi="Times New Roman"/>
        </w:rPr>
      </w:pPr>
      <w:r>
        <w:rPr>
          <w:rFonts w:ascii="Times New Roman" w:hAnsi="Times New Roman"/>
        </w:rPr>
      </w:r>
    </w:p>
    <w:p>
      <w:pPr>
        <w:pStyle w:val="Normal"/>
        <w:jc w:val="center"/>
        <w:rPr>
          <w:rFonts w:ascii="Arial" w:hAnsi="Arial"/>
        </w:rPr>
      </w:pPr>
      <w:r>
        <w:rPr/>
      </w:r>
    </w:p>
    <w:p>
      <w:pPr>
        <w:pStyle w:val="Normal"/>
        <w:numPr>
          <w:ilvl w:val="0"/>
          <w:numId w:val="0"/>
        </w:numPr>
        <w:ind w:left="360" w:hanging="0"/>
        <w:jc w:val="center"/>
        <w:rPr/>
      </w:pPr>
      <w:r>
        <w:rPr/>
        <w:t>Bela Vista - MS, 05 de novembro de 2021.</w:t>
      </w:r>
    </w:p>
    <w:p>
      <w:pPr>
        <w:pStyle w:val="Normal"/>
        <w:jc w:val="center"/>
        <w:rPr>
          <w:rFonts w:ascii="Arial" w:hAnsi="Arial"/>
          <w:b/>
          <w:b/>
          <w:bCs/>
        </w:rPr>
      </w:pPr>
      <w:r>
        <w:rPr>
          <w:b/>
          <w:bCs/>
        </w:rPr>
      </w:r>
    </w:p>
    <w:p>
      <w:pPr>
        <w:pStyle w:val="Normal"/>
        <w:jc w:val="center"/>
        <w:rPr>
          <w:rFonts w:ascii="Arial" w:hAnsi="Arial"/>
          <w:b/>
          <w:b/>
          <w:bCs/>
        </w:rPr>
      </w:pPr>
      <w:r>
        <w:rPr>
          <w:b/>
          <w:bCs/>
        </w:rPr>
      </w:r>
    </w:p>
    <w:p>
      <w:pPr>
        <w:pStyle w:val="Normal"/>
        <w:numPr>
          <w:ilvl w:val="0"/>
          <w:numId w:val="0"/>
        </w:numPr>
        <w:ind w:left="360" w:hanging="0"/>
        <w:jc w:val="center"/>
        <w:rPr>
          <w:b/>
          <w:b/>
          <w:bCs/>
        </w:rPr>
      </w:pPr>
      <w:r>
        <w:rPr>
          <w:b/>
          <w:bCs/>
        </w:rPr>
      </w:r>
    </w:p>
    <w:p>
      <w:pPr>
        <w:pStyle w:val="Normal"/>
        <w:numPr>
          <w:ilvl w:val="0"/>
          <w:numId w:val="0"/>
        </w:numPr>
        <w:ind w:left="360" w:hanging="0"/>
        <w:jc w:val="center"/>
        <w:rPr/>
      </w:pPr>
      <w:r>
        <w:rPr>
          <w:b/>
          <w:bCs/>
          <w:color w:val="000000"/>
        </w:rPr>
        <w:t>SIMONE PERRUPATO ANTUNES - ASP</w:t>
      </w:r>
    </w:p>
    <w:p>
      <w:pPr>
        <w:pStyle w:val="Normal"/>
        <w:numPr>
          <w:ilvl w:val="0"/>
          <w:numId w:val="0"/>
        </w:numPr>
        <w:ind w:left="360" w:hanging="0"/>
        <w:jc w:val="center"/>
        <w:rPr/>
      </w:pPr>
      <w:r>
        <w:rPr>
          <w:rFonts w:cs="Arial"/>
          <w:i w:val="false"/>
          <w:iCs w:val="false"/>
          <w:color w:val="000000"/>
          <w:szCs w:val="20"/>
        </w:rPr>
        <w:t>Encarregado da SVR</w:t>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jc w:val="center"/>
        <w:rPr/>
      </w:pPr>
      <w:r>
        <w:rPr>
          <w:rFonts w:cs="Arial"/>
          <w:b/>
          <w:bCs/>
          <w:lang w:eastAsia="en-US"/>
        </w:rPr>
        <w:t>ANEXO I – DOCUMENTAÇÃO EXIGIDA PARA HABILITAÇÃO</w:t>
      </w:r>
    </w:p>
    <w:p>
      <w:pPr>
        <w:pStyle w:val="PADRO"/>
        <w:keepNext/>
        <w:widowControl/>
        <w:numPr>
          <w:ilvl w:val="0"/>
          <w:numId w:val="3"/>
        </w:numPr>
        <w:shd w:val="clear" w:fill="FFFFFF"/>
        <w:spacing w:before="120" w:after="120"/>
        <w:rPr/>
      </w:pPr>
      <w:r>
        <w:rPr>
          <w:rFonts w:cs="Arial" w:ascii="Arial" w:hAnsi="Arial"/>
          <w:b/>
          <w:bCs/>
          <w:color w:val="000000"/>
          <w:szCs w:val="20"/>
        </w:rPr>
        <w:t xml:space="preserve"> </w:t>
      </w:r>
      <w:r>
        <w:rPr>
          <w:rFonts w:cs="Arial" w:ascii="Arial" w:hAnsi="Arial"/>
          <w:b/>
          <w:bCs/>
          <w:color w:val="000000"/>
          <w:szCs w:val="20"/>
        </w:rPr>
        <w:t>Regularidade fiscal, social e trabalhista:</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lang w:eastAsia="en-US"/>
        </w:rPr>
        <w:t>prova de inscrição no Cadastro Nacional de Pessoas Jurídicas ou no Cadastro de Pessoas Físicas, conforme o caso;</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left" w:pos="1440" w:leader="none"/>
        </w:tabs>
        <w:snapToGrid w:val="false"/>
        <w:spacing w:lineRule="auto" w:line="276" w:before="120" w:after="120"/>
        <w:jc w:val="both"/>
        <w:rPr>
          <w:rFonts w:cs="Arial"/>
          <w:color w:val="000000"/>
          <w:szCs w:val="20"/>
        </w:rPr>
      </w:pPr>
      <w:r>
        <w:rPr>
          <w:rFonts w:cs="Arial"/>
          <w:color w:val="000000"/>
          <w:szCs w:val="20"/>
          <w:lang w:eastAsia="en-US"/>
        </w:rPr>
        <w:t>prova de regularidade com o Fundo de Garantia do Tempo de Serviço (FGTS);</w:t>
      </w:r>
    </w:p>
    <w:p>
      <w:pPr>
        <w:pStyle w:val="Normal"/>
        <w:numPr>
          <w:ilvl w:val="1"/>
          <w:numId w:val="3"/>
        </w:numPr>
        <w:tabs>
          <w:tab w:val="left" w:pos="1440" w:leader="none"/>
        </w:tabs>
        <w:snapToGrid w:val="false"/>
        <w:spacing w:lineRule="auto" w:line="276" w:before="120" w:after="120"/>
        <w:jc w:val="both"/>
        <w:rPr>
          <w:rFonts w:cs="Arial"/>
          <w:szCs w:val="20"/>
        </w:rPr>
      </w:pPr>
      <w:r>
        <w:rPr>
          <w:rFonts w:cs="Arial"/>
          <w:szCs w:val="20"/>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left" w:pos="1440" w:leader="none"/>
        </w:tabs>
        <w:snapToGrid w:val="false"/>
        <w:spacing w:lineRule="auto" w:line="276" w:before="120" w:after="120"/>
        <w:jc w:val="both"/>
        <w:rPr>
          <w:rFonts w:cs="Arial"/>
          <w:bCs/>
          <w:szCs w:val="20"/>
        </w:rPr>
      </w:pPr>
      <w:r>
        <w:rPr>
          <w:rFonts w:cs="Arial"/>
          <w:bCs/>
          <w:szCs w:val="20"/>
        </w:rPr>
        <w:t xml:space="preserve">prova de </w:t>
      </w:r>
      <w:r>
        <w:rPr>
          <w:rFonts w:cs="Arial"/>
          <w:color w:val="000000"/>
          <w:szCs w:val="20"/>
        </w:rPr>
        <w:t xml:space="preserve">inscrição no cadastro de contribuintes </w:t>
      </w:r>
      <w:r>
        <w:rPr>
          <w:rFonts w:cs="Arial"/>
          <w:i/>
          <w:iCs/>
          <w:color w:val="FF0000"/>
          <w:szCs w:val="20"/>
        </w:rPr>
        <w:t>estadual e/ou municipal</w:t>
      </w:r>
      <w:r>
        <w:rPr>
          <w:rFonts w:cs="Arial"/>
          <w:color w:val="000000"/>
          <w:szCs w:val="20"/>
        </w:rPr>
        <w:t>, relativo ao domicílio ou sede do fornecedor, pertinente ao seu ramo de atividade e compatível com o objeto contratual</w:t>
      </w:r>
      <w:r>
        <w:rPr>
          <w:rFonts w:cs="Arial"/>
          <w:bCs/>
          <w:szCs w:val="20"/>
        </w:rPr>
        <w:t xml:space="preserve">; </w:t>
      </w:r>
    </w:p>
    <w:p>
      <w:pPr>
        <w:pStyle w:val="Normal"/>
        <w:numPr>
          <w:ilvl w:val="1"/>
          <w:numId w:val="3"/>
        </w:numPr>
        <w:tabs>
          <w:tab w:val="left" w:pos="1440" w:leader="none"/>
        </w:tabs>
        <w:snapToGrid w:val="false"/>
        <w:spacing w:lineRule="auto" w:line="276" w:before="120" w:after="120"/>
        <w:jc w:val="both"/>
        <w:rPr/>
      </w:pPr>
      <w:r>
        <w:rPr>
          <w:rFonts w:cs="Arial"/>
          <w:szCs w:val="20"/>
        </w:rPr>
        <w:t xml:space="preserve">prova de regularidade com a Fazenda </w:t>
      </w:r>
      <w:r>
        <w:rPr>
          <w:rFonts w:cs="Arial"/>
          <w:i/>
          <w:iCs/>
          <w:color w:val="FF0000"/>
          <w:szCs w:val="20"/>
        </w:rPr>
        <w:t>Estadual e/ou Municipal</w:t>
      </w:r>
      <w:r>
        <w:rPr>
          <w:rFonts w:cs="Arial"/>
          <w:szCs w:val="20"/>
        </w:rPr>
        <w:t xml:space="preserve"> do domicílio ou sede do fornecedor, relativa à atividade em cujo exercício contrata ou concorre; </w:t>
      </w:r>
    </w:p>
    <w:p>
      <w:pPr>
        <w:pStyle w:val="Normal"/>
        <w:numPr>
          <w:ilvl w:val="1"/>
          <w:numId w:val="3"/>
        </w:numPr>
        <w:tabs>
          <w:tab w:val="left" w:pos="1440" w:leader="none"/>
        </w:tabs>
        <w:snapToGrid w:val="false"/>
        <w:spacing w:lineRule="auto" w:line="276" w:before="120" w:after="120"/>
        <w:jc w:val="both"/>
        <w:rPr>
          <w:rFonts w:cs="Arial"/>
          <w:b/>
          <w:b/>
          <w:szCs w:val="20"/>
        </w:rPr>
      </w:pPr>
      <w:r>
        <w:rPr>
          <w:rFonts w:cs="Arial"/>
          <w:szCs w:val="20"/>
        </w:rPr>
        <w:t xml:space="preserve">caso o fornecedor seja considerado isento dos tributos </w:t>
      </w:r>
      <w:r>
        <w:rPr>
          <w:rFonts w:cs="Arial"/>
          <w:i/>
          <w:color w:val="FF0000"/>
          <w:szCs w:val="20"/>
        </w:rPr>
        <w:t xml:space="preserve">estaduais </w:t>
      </w:r>
      <w:r>
        <w:rPr>
          <w:rFonts w:cs="Arial"/>
          <w:b/>
          <w:i/>
          <w:color w:val="FF0000"/>
          <w:szCs w:val="20"/>
          <w:u w:val="single"/>
        </w:rPr>
        <w:t>ou</w:t>
      </w:r>
      <w:r>
        <w:rPr>
          <w:rFonts w:cs="Arial"/>
          <w:i/>
          <w:color w:val="FF0000"/>
          <w:szCs w:val="20"/>
        </w:rPr>
        <w:t xml:space="preserve"> municipais</w:t>
      </w:r>
      <w:r>
        <w:rPr>
          <w:rFonts w:cs="Arial"/>
          <w:color w:val="FF0000"/>
          <w:szCs w:val="20"/>
        </w:rPr>
        <w:t xml:space="preserve"> </w:t>
      </w:r>
      <w:r>
        <w:rPr>
          <w:rFonts w:cs="Arial"/>
          <w:szCs w:val="20"/>
        </w:rPr>
        <w:t xml:space="preserve">relacionados ao objeto contratual, deverá comprovar tal condição mediante a apresentação de declaração da Fazenda respectiva do seu domicílio ou sede, ou outra equivalente, na forma da lei; </w:t>
      </w:r>
    </w:p>
    <w:p>
      <w:pPr>
        <w:pStyle w:val="PADRO"/>
        <w:keepNext/>
        <w:widowControl/>
        <w:shd w:val="clear" w:fill="FFFFFF"/>
        <w:spacing w:before="120" w:after="120"/>
        <w:rPr>
          <w:rFonts w:ascii="Arial" w:hAnsi="Arial" w:cs="Arial"/>
          <w:i/>
          <w:i/>
          <w:color w:val="FF0000"/>
          <w:szCs w:val="20"/>
          <w:highlight w:val="green"/>
        </w:rPr>
      </w:pPr>
      <w:r>
        <w:rPr>
          <w:rFonts w:cs="Arial" w:ascii="Arial" w:hAnsi="Arial"/>
          <w:i/>
          <w:color w:val="FF0000"/>
          <w:szCs w:val="20"/>
          <w:highlight w:val="green"/>
        </w:rPr>
      </w:r>
    </w:p>
    <w:p>
      <w:pPr>
        <w:pStyle w:val="PADRO"/>
        <w:widowControl/>
        <w:shd w:val="clear" w:fill="FFFFFF"/>
        <w:spacing w:before="120" w:after="120"/>
        <w:rPr>
          <w:rFonts w:ascii="Arial" w:hAnsi="Arial" w:cs="Arial"/>
          <w:i/>
          <w:i/>
          <w:color w:val="FF0000"/>
          <w:szCs w:val="20"/>
          <w:highlight w:val="green"/>
        </w:rPr>
      </w:pPr>
      <w:r>
        <w:rPr>
          <w:rFonts w:cs="Arial" w:ascii="Arial" w:hAnsi="Arial"/>
          <w:i/>
          <w:color w:val="FF0000"/>
          <w:szCs w:val="20"/>
          <w:highlight w:val="green"/>
        </w:rPr>
      </w:r>
    </w:p>
    <w:p>
      <w:pPr>
        <w:pStyle w:val="Normal"/>
        <w:jc w:val="center"/>
        <w:rPr/>
      </w:pPr>
      <w:r>
        <w:rPr/>
        <w:t>Bela Vista - MS, 05 de novembro de 2021.</w:t>
      </w:r>
    </w:p>
    <w:p>
      <w:pPr>
        <w:pStyle w:val="Normal"/>
        <w:jc w:val="center"/>
        <w:rPr>
          <w:rFonts w:ascii="Arial" w:hAnsi="Arial"/>
        </w:rPr>
      </w:pPr>
      <w:r>
        <w:rPr/>
      </w:r>
    </w:p>
    <w:p>
      <w:pPr>
        <w:pStyle w:val="Normal"/>
        <w:jc w:val="center"/>
        <w:rPr>
          <w:rFonts w:ascii="Arial" w:hAnsi="Arial"/>
        </w:rPr>
      </w:pPr>
      <w:r>
        <w:rPr/>
      </w:r>
    </w:p>
    <w:p>
      <w:pPr>
        <w:pStyle w:val="Normal"/>
        <w:jc w:val="center"/>
        <w:rPr>
          <w:rFonts w:ascii="Arial" w:hAnsi="Arial"/>
          <w:b/>
          <w:b/>
          <w:bCs/>
        </w:rPr>
      </w:pPr>
      <w:r>
        <w:rPr>
          <w:b/>
          <w:bCs/>
        </w:rPr>
      </w:r>
    </w:p>
    <w:p>
      <w:pPr>
        <w:pStyle w:val="Normal"/>
        <w:jc w:val="center"/>
        <w:rPr>
          <w:rFonts w:ascii="Arial" w:hAnsi="Arial"/>
        </w:rPr>
      </w:pPr>
      <w:r>
        <w:rPr>
          <w:b/>
          <w:bCs/>
        </w:rPr>
        <w:t>BERNARDO ROMÃO CORRÊA NETTO – CEL</w:t>
      </w:r>
    </w:p>
    <w:p>
      <w:pPr>
        <w:pStyle w:val="Normal"/>
        <w:jc w:val="center"/>
        <w:rPr/>
      </w:pPr>
      <w:r>
        <w:rPr>
          <w:rFonts w:cs="Arial"/>
          <w:i w:val="false"/>
          <w:iCs w:val="false"/>
          <w:color w:val="000000"/>
          <w:szCs w:val="20"/>
        </w:rPr>
        <w:t>Ordenador de Despesas do 10º RCMec</w:t>
      </w:r>
    </w:p>
    <w:sectPr>
      <w:footerReference w:type="default" r:id="rId9"/>
      <w:type w:val="nextPage"/>
      <w:pgSz w:w="11906" w:h="16838"/>
      <w:pgMar w:left="1701" w:right="1701" w:header="0" w:top="1417" w:footer="708" w:bottom="1417" w:gutter="0"/>
      <w:pgNumType w:fmt="decimal"/>
      <w:formProt w:val="false"/>
      <w:textDirection w:val="lrTb"/>
      <w:docGrid w:type="default" w:linePitch="36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libri Light">
    <w:charset w:val="00"/>
    <w:family w:val="roman"/>
    <w:pitch w:val="variable"/>
  </w:font>
  <w:font w:name="Ecofont_Spranq_eco_Sans">
    <w:charset w:val="00"/>
    <w:family w:val="roman"/>
    <w:pitch w:val="variable"/>
  </w:font>
  <w:font w:name="Segoe UI">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rPr>
        <w:b/>
        <w:rFonts w:ascii="Arial" w:hAnsi="Arial"/>
      </w:rPr>
    </w:lvl>
    <w:lvl w:ilvl="1">
      <w:start w:val="1"/>
      <w:numFmt w:val="decimal"/>
      <w:lvlText w:val="%1.%2."/>
      <w:lvlJc w:val="left"/>
      <w:pPr>
        <w:ind w:left="792" w:hanging="432"/>
      </w:pPr>
      <w:rPr>
        <w:i w:val="false"/>
        <w:b/>
        <w:iCs/>
      </w:rPr>
    </w:lvl>
    <w:lvl w:ilvl="2">
      <w:start w:val="1"/>
      <w:numFmt w:val="decimal"/>
      <w:lvlText w:val="%1.%2.%3."/>
      <w:lvlJc w:val="left"/>
      <w:pPr>
        <w:ind w:left="1224" w:hanging="504"/>
      </w:pPr>
      <w:rPr>
        <w:i w:val="false"/>
        <w:b/>
        <w:iCs/>
        <w:rFonts w:cs="Arial"/>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
    <w:lvl w:ilvl="0">
      <w:start w:val="1"/>
      <w:numFmt w:val="decimal"/>
      <w:lvlText w:val="%1"/>
      <w:lvlJc w:val="left"/>
      <w:pPr>
        <w:ind w:left="360" w:hanging="360"/>
      </w:pPr>
    </w:lvl>
    <w:lvl w:ilvl="1">
      <w:start w:val="1"/>
      <w:numFmt w:val="decimal"/>
      <w:lvlText w:val="%1.%2"/>
      <w:lvlJc w:val="left"/>
      <w:pPr>
        <w:ind w:left="927" w:hanging="360"/>
      </w:pPr>
      <w:rPr>
        <w:b/>
      </w:rPr>
    </w:lvl>
    <w:lvl w:ilvl="2">
      <w:start w:val="1"/>
      <w:numFmt w:val="decimal"/>
      <w:lvlText w:val="%1.%2.%3"/>
      <w:lvlJc w:val="left"/>
      <w:pPr>
        <w:ind w:left="1854" w:hanging="720"/>
      </w:pPr>
      <w:rPr>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decimal"/>
      <w:lvlText w:val="%1.%2.%3."/>
      <w:lvlJc w:val="left"/>
      <w:pPr>
        <w:ind w:left="1224" w:hanging="504"/>
      </w:pPr>
      <w:rPr>
        <w:i w:val="false"/>
        <w:b w:val="false"/>
        <w:iCs/>
        <w:rFonts w:cs="Arial"/>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lvl w:ilvl="0">
      <w:start w:val="1"/>
      <w:numFmt w:val="decimal"/>
      <w:lvlText w:val="%1."/>
      <w:lvlJc w:val="left"/>
      <w:pPr>
        <w:ind w:left="360" w:hanging="360"/>
      </w:pPr>
      <w:rPr>
        <w:b/>
      </w:rPr>
    </w:lvl>
    <w:lvl w:ilvl="1">
      <w:start w:val="1"/>
      <w:numFmt w:val="decimal"/>
      <w:lvlText w:val="%1.%2."/>
      <w:lvlJc w:val="left"/>
      <w:pPr>
        <w:ind w:left="792" w:hanging="432"/>
      </w:pPr>
      <w:rPr>
        <w:i w:val="false"/>
        <w:b w:val="false"/>
        <w:iCs/>
      </w:rPr>
    </w:lvl>
    <w:lvl w:ilvl="2">
      <w:start w:val="1"/>
      <w:numFmt w:val="lowerLetter"/>
      <w:lvlText w:val="%3)"/>
      <w:lvlJc w:val="left"/>
      <w:pPr>
        <w:ind w:left="1224" w:hanging="504"/>
      </w:pPr>
      <w:rPr>
        <w:i w:val="false"/>
        <w:b w:val="false"/>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d0e1a"/>
    <w:pPr>
      <w:widowControl/>
      <w:bidi w:val="0"/>
      <w:spacing w:lineRule="auto" w:line="240" w:before="0" w:after="0"/>
      <w:jc w:val="left"/>
    </w:pPr>
    <w:rPr>
      <w:rFonts w:ascii="Arial" w:hAnsi="Arial" w:eastAsia="Times New Roman" w:cs="Tahoma"/>
      <w:color w:val="00000A"/>
      <w:sz w:val="20"/>
      <w:szCs w:val="24"/>
      <w:lang w:val="pt-BR" w:eastAsia="pt-BR" w:bidi="ar-SA"/>
    </w:rPr>
  </w:style>
  <w:style w:type="paragraph" w:styleId="Ttulo1">
    <w:name w:val="Heading 1"/>
    <w:basedOn w:val="Normal"/>
    <w:next w:val="Normal"/>
    <w:link w:val="Ttulo1Char"/>
    <w:uiPriority w:val="9"/>
    <w:qFormat/>
    <w:rsid w:val="009f7713"/>
    <w:pPr>
      <w:keepNext/>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semiHidden/>
    <w:unhideWhenUsed/>
    <w:qFormat/>
    <w:rPr/>
  </w:style>
  <w:style w:type="character" w:styleId="CitaoChar" w:customStyle="1">
    <w:name w:val="Citação Char"/>
    <w:basedOn w:val="DefaultParagraphFont"/>
    <w:link w:val="Citao"/>
    <w:qFormat/>
    <w:rsid w:val="009f7713"/>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9f7713"/>
    <w:rPr>
      <w:rFonts w:ascii="Arial" w:hAnsi="Arial" w:eastAsia="" w:cs="Times New Roman" w:eastAsiaTheme="majorEastAsia"/>
      <w:b/>
      <w:bCs/>
      <w:color w:val="000000"/>
      <w:sz w:val="20"/>
      <w:szCs w:val="20"/>
      <w:lang w:eastAsia="pt-BR"/>
    </w:rPr>
  </w:style>
  <w:style w:type="character" w:styleId="Ttulo1Char" w:customStyle="1">
    <w:name w:val="Título 1 Char"/>
    <w:basedOn w:val="DefaultParagraphFont"/>
    <w:link w:val="Ttulo1"/>
    <w:uiPriority w:val="9"/>
    <w:qFormat/>
    <w:rsid w:val="009f7713"/>
    <w:rPr>
      <w:rFonts w:ascii="Calibri Light" w:hAnsi="Calibri Light" w:eastAsia="" w:cs="" w:asciiTheme="majorHAnsi" w:cstheme="majorBidi" w:eastAsiaTheme="majorEastAsia" w:hAnsiTheme="majorHAnsi"/>
      <w:color w:val="2F5496" w:themeColor="accent1" w:themeShade="bf"/>
      <w:sz w:val="32"/>
      <w:szCs w:val="32"/>
      <w:lang w:eastAsia="pt-BR"/>
    </w:rPr>
  </w:style>
  <w:style w:type="character" w:styleId="Citao2Char" w:customStyle="1">
    <w:name w:val="citação 2 Char"/>
    <w:basedOn w:val="CitaoChar"/>
    <w:link w:val="citao2"/>
    <w:qFormat/>
    <w:rsid w:val="006a70c8"/>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a728b9"/>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semiHidden/>
    <w:unhideWhenUsed/>
    <w:qFormat/>
    <w:rsid w:val="003d08af"/>
    <w:rPr>
      <w:sz w:val="16"/>
      <w:szCs w:val="16"/>
    </w:rPr>
  </w:style>
  <w:style w:type="character" w:styleId="TextodecomentrioChar" w:customStyle="1">
    <w:name w:val="Texto de comentário Char"/>
    <w:basedOn w:val="DefaultParagraphFont"/>
    <w:link w:val="Textodecomentrio"/>
    <w:qFormat/>
    <w:rsid w:val="003d08af"/>
    <w:rPr>
      <w:rFonts w:ascii="Arial" w:hAnsi="Arial" w:eastAsia="Times New Roman" w:cs="Tahoma"/>
      <w:sz w:val="20"/>
      <w:szCs w:val="20"/>
      <w:lang w:eastAsia="pt-BR"/>
    </w:rPr>
  </w:style>
  <w:style w:type="character" w:styleId="AssuntodocomentrioChar" w:customStyle="1">
    <w:name w:val="Assunto do comentário Char"/>
    <w:basedOn w:val="TextodecomentrioChar"/>
    <w:link w:val="Assuntodocomentrio"/>
    <w:uiPriority w:val="99"/>
    <w:semiHidden/>
    <w:qFormat/>
    <w:rsid w:val="003d08af"/>
    <w:rPr>
      <w:rFonts w:ascii="Arial" w:hAnsi="Arial" w:eastAsia="Times New Roman" w:cs="Tahoma"/>
      <w:b/>
      <w:bCs/>
      <w:sz w:val="20"/>
      <w:szCs w:val="20"/>
      <w:lang w:eastAsia="pt-BR"/>
    </w:rPr>
  </w:style>
  <w:style w:type="character" w:styleId="LinkdaInternet">
    <w:name w:val="Link da Internet"/>
    <w:rsid w:val="002f5eff"/>
    <w:rPr>
      <w:color w:val="000080"/>
      <w:u w:val="single"/>
    </w:rPr>
  </w:style>
  <w:style w:type="character" w:styleId="Nivel4Char" w:customStyle="1">
    <w:name w:val="Nivel 4 Char"/>
    <w:basedOn w:val="DefaultParagraphFont"/>
    <w:link w:val="Nivel4"/>
    <w:qFormat/>
    <w:rsid w:val="002f5eff"/>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link w:val="Textodebalo"/>
    <w:uiPriority w:val="99"/>
    <w:semiHidden/>
    <w:qFormat/>
    <w:rsid w:val="00731d60"/>
    <w:rPr>
      <w:rFonts w:ascii="Segoe UI" w:hAnsi="Segoe UI" w:eastAsia="Times New Roman" w:cs="Segoe UI"/>
      <w:sz w:val="18"/>
      <w:szCs w:val="18"/>
      <w:lang w:eastAsia="pt-BR"/>
    </w:rPr>
  </w:style>
  <w:style w:type="character" w:styleId="CabealhoChar" w:customStyle="1">
    <w:name w:val="Cabeçalho Char"/>
    <w:basedOn w:val="DefaultParagraphFont"/>
    <w:link w:val="Cabealho"/>
    <w:uiPriority w:val="99"/>
    <w:qFormat/>
    <w:rsid w:val="00805244"/>
    <w:rPr>
      <w:rFonts w:ascii="Arial" w:hAnsi="Arial" w:eastAsia="Times New Roman" w:cs="Tahoma"/>
      <w:sz w:val="20"/>
      <w:szCs w:val="24"/>
      <w:lang w:eastAsia="pt-BR"/>
    </w:rPr>
  </w:style>
  <w:style w:type="character" w:styleId="RodapChar" w:customStyle="1">
    <w:name w:val="Rodapé Char"/>
    <w:basedOn w:val="DefaultParagraphFont"/>
    <w:link w:val="Rodap"/>
    <w:uiPriority w:val="99"/>
    <w:qFormat/>
    <w:rsid w:val="00805244"/>
    <w:rPr>
      <w:rFonts w:ascii="Arial" w:hAnsi="Arial" w:eastAsia="Times New Roman" w:cs="Tahoma"/>
      <w:sz w:val="20"/>
      <w:szCs w:val="24"/>
      <w:lang w:eastAsia="pt-BR"/>
    </w:rPr>
  </w:style>
  <w:style w:type="character" w:styleId="ListLabel1">
    <w:name w:val="ListLabel 1"/>
    <w:qFormat/>
    <w:rPr>
      <w:rFonts w:ascii="Arial" w:hAnsi="Arial"/>
      <w:b/>
    </w:rPr>
  </w:style>
  <w:style w:type="character" w:styleId="ListLabel2">
    <w:name w:val="ListLabel 2"/>
    <w:qFormat/>
    <w:rPr>
      <w:rFonts w:ascii="Arial" w:hAnsi="Arial"/>
      <w:b/>
      <w:i w:val="false"/>
      <w:iCs/>
    </w:rPr>
  </w:style>
  <w:style w:type="character" w:styleId="ListLabel3">
    <w:name w:val="ListLabel 3"/>
    <w:qFormat/>
    <w:rPr>
      <w:rFonts w:ascii="Arial" w:hAnsi="Arial" w:cs="Arial"/>
      <w:b/>
      <w:i w:val="false"/>
      <w:iCs/>
      <w:color w:val="00000A"/>
    </w:rPr>
  </w:style>
  <w:style w:type="character" w:styleId="ListLabel4">
    <w:name w:val="ListLabel 4"/>
    <w:qFormat/>
    <w:rPr>
      <w:rFonts w:cs="Arial"/>
    </w:rPr>
  </w:style>
  <w:style w:type="character" w:styleId="ListLabel5">
    <w:name w:val="ListLabel 5"/>
    <w:qFormat/>
    <w:rPr>
      <w:color w:val="00000A"/>
    </w:rPr>
  </w:style>
  <w:style w:type="character" w:styleId="ListLabel6">
    <w:name w:val="ListLabel 6"/>
    <w:qFormat/>
    <w:rPr>
      <w:color w:val="00000A"/>
    </w:rPr>
  </w:style>
  <w:style w:type="character" w:styleId="ListLabel7">
    <w:name w:val="ListLabel 7"/>
    <w:qFormat/>
    <w:rPr>
      <w:color w:val="00000A"/>
    </w:rPr>
  </w:style>
  <w:style w:type="character" w:styleId="ListLabel8">
    <w:name w:val="ListLabel 8"/>
    <w:qFormat/>
    <w:rPr>
      <w:color w:val="00000A"/>
    </w:rPr>
  </w:style>
  <w:style w:type="character" w:styleId="ListLabel9">
    <w:name w:val="ListLabel 9"/>
    <w:qFormat/>
    <w:rPr>
      <w:color w:val="00000A"/>
    </w:rPr>
  </w:style>
  <w:style w:type="character" w:styleId="ListLabel10">
    <w:name w:val="ListLabel 10"/>
    <w:qFormat/>
    <w:rPr>
      <w:color w:val="00000A"/>
    </w:rPr>
  </w:style>
  <w:style w:type="character" w:styleId="ListLabel11">
    <w:name w:val="ListLabel 11"/>
    <w:qFormat/>
    <w:rPr>
      <w:color w:val="00000A"/>
    </w:rPr>
  </w:style>
  <w:style w:type="character" w:styleId="ListLabel12">
    <w:name w:val="ListLabel 12"/>
    <w:qFormat/>
    <w:rPr>
      <w:color w:val="00000A"/>
    </w:rPr>
  </w:style>
  <w:style w:type="character" w:styleId="ListLabel13">
    <w:name w:val="ListLabel 13"/>
    <w:qFormat/>
    <w:rPr>
      <w:color w:val="00000A"/>
    </w:rPr>
  </w:style>
  <w:style w:type="character" w:styleId="ListLabel14">
    <w:name w:val="ListLabel 14"/>
    <w:qFormat/>
    <w:rPr>
      <w:b/>
    </w:rPr>
  </w:style>
  <w:style w:type="character" w:styleId="ListLabel15">
    <w:name w:val="ListLabel 15"/>
    <w:qFormat/>
    <w:rPr>
      <w:b w:val="false"/>
      <w:i w:val="false"/>
      <w:iCs/>
    </w:rPr>
  </w:style>
  <w:style w:type="character" w:styleId="ListLabel16">
    <w:name w:val="ListLabel 16"/>
    <w:qFormat/>
    <w:rPr>
      <w:rFonts w:cs="Arial"/>
      <w:b w:val="false"/>
      <w:i w:val="false"/>
      <w:iCs/>
      <w:color w:val="00000A"/>
    </w:rPr>
  </w:style>
  <w:style w:type="character" w:styleId="ListLabel17">
    <w:name w:val="ListLabel 17"/>
    <w:qFormat/>
    <w:rPr>
      <w:i w:val="false"/>
      <w:color w:val="000000"/>
    </w:rPr>
  </w:style>
  <w:style w:type="character" w:styleId="ListLabel18">
    <w:name w:val="ListLabel 18"/>
    <w:qFormat/>
    <w:rPr>
      <w:i w:val="false"/>
      <w:color w:val="000000"/>
    </w:rPr>
  </w:style>
  <w:style w:type="character" w:styleId="ListLabel19">
    <w:name w:val="ListLabel 19"/>
    <w:qFormat/>
    <w:rPr>
      <w:i w:val="false"/>
      <w:color w:val="000000"/>
    </w:rPr>
  </w:style>
  <w:style w:type="character" w:styleId="ListLabel20">
    <w:name w:val="ListLabel 20"/>
    <w:qFormat/>
    <w:rPr>
      <w:i w:val="false"/>
      <w:color w:val="000000"/>
    </w:rPr>
  </w:style>
  <w:style w:type="character" w:styleId="ListLabel21">
    <w:name w:val="ListLabel 21"/>
    <w:qFormat/>
    <w:rPr>
      <w:i w:val="false"/>
      <w:color w:val="000000"/>
    </w:rPr>
  </w:style>
  <w:style w:type="character" w:styleId="ListLabel22">
    <w:name w:val="ListLabel 22"/>
    <w:qFormat/>
    <w:rPr>
      <w:i w:val="false"/>
      <w:color w:val="000000"/>
    </w:rPr>
  </w:style>
  <w:style w:type="character" w:styleId="ListLabel23">
    <w:name w:val="ListLabel 23"/>
    <w:qFormat/>
    <w:rPr>
      <w:i w:val="false"/>
      <w:color w:val="000000"/>
    </w:rPr>
  </w:style>
  <w:style w:type="character" w:styleId="ListLabel24">
    <w:name w:val="ListLabel 24"/>
    <w:qFormat/>
    <w:rPr>
      <w:i w:val="false"/>
      <w:color w:val="000000"/>
    </w:rPr>
  </w:style>
  <w:style w:type="character" w:styleId="ListLabel25">
    <w:name w:val="ListLabel 25"/>
    <w:qFormat/>
    <w:rPr>
      <w:i w:val="false"/>
      <w:color w:val="000000"/>
    </w:rPr>
  </w:style>
  <w:style w:type="character" w:styleId="ListLabel26">
    <w:name w:val="ListLabel 26"/>
    <w:qFormat/>
    <w:rPr>
      <w:b/>
    </w:rPr>
  </w:style>
  <w:style w:type="character" w:styleId="ListLabel27">
    <w:name w:val="ListLabel 27"/>
    <w:qFormat/>
    <w:rPr>
      <w:b w:val="false"/>
      <w:i w:val="false"/>
      <w:iCs/>
    </w:rPr>
  </w:style>
  <w:style w:type="character" w:styleId="ListLabel28">
    <w:name w:val="ListLabel 28"/>
    <w:qFormat/>
    <w:rPr>
      <w:rFonts w:cs="Arial"/>
      <w:b w:val="false"/>
      <w:i w:val="false"/>
      <w:iCs/>
      <w:color w:val="00000A"/>
    </w:rPr>
  </w:style>
  <w:style w:type="character" w:styleId="ListLabel29">
    <w:name w:val="ListLabel 29"/>
    <w:qFormat/>
    <w:rPr>
      <w:b/>
    </w:rPr>
  </w:style>
  <w:style w:type="character" w:styleId="ListLabel30">
    <w:name w:val="ListLabel 30"/>
    <w:qFormat/>
    <w:rPr>
      <w:b w:val="false"/>
      <w:i w:val="false"/>
      <w:iCs/>
    </w:rPr>
  </w:style>
  <w:style w:type="character" w:styleId="ListLabel31">
    <w:name w:val="ListLabel 31"/>
    <w:qFormat/>
    <w:rPr>
      <w:rFonts w:cs="Arial"/>
      <w:b w:val="false"/>
      <w:i w:val="false"/>
      <w:iCs/>
      <w:color w:val="00000A"/>
    </w:rPr>
  </w:style>
  <w:style w:type="character" w:styleId="ListLabel32">
    <w:name w:val="ListLabel 32"/>
    <w:qFormat/>
    <w:rPr>
      <w:b/>
    </w:rPr>
  </w:style>
  <w:style w:type="character" w:styleId="ListLabel33">
    <w:name w:val="ListLabel 33"/>
    <w:qFormat/>
    <w:rPr>
      <w:b w:val="false"/>
      <w:i w:val="false"/>
      <w:iCs/>
    </w:rPr>
  </w:style>
  <w:style w:type="character" w:styleId="ListLabel34">
    <w:name w:val="ListLabel 34"/>
    <w:qFormat/>
    <w:rPr>
      <w:rFonts w:cs="Arial"/>
      <w:b w:val="false"/>
      <w:i w:val="false"/>
      <w:iCs/>
      <w:color w:val="00000A"/>
    </w:rPr>
  </w:style>
  <w:style w:type="character" w:styleId="ListLabel35">
    <w:name w:val="ListLabel 35"/>
    <w:qFormat/>
    <w:rPr>
      <w:b/>
    </w:rPr>
  </w:style>
  <w:style w:type="character" w:styleId="ListLabel36">
    <w:name w:val="ListLabel 36"/>
    <w:qFormat/>
    <w:rPr>
      <w:b w:val="false"/>
      <w:i w:val="false"/>
      <w:iCs/>
    </w:rPr>
  </w:style>
  <w:style w:type="character" w:styleId="ListLabel37">
    <w:name w:val="ListLabel 37"/>
    <w:qFormat/>
    <w:rPr>
      <w:rFonts w:cs="Arial"/>
      <w:b w:val="false"/>
      <w:i w:val="false"/>
      <w:iCs/>
      <w:color w:val="00000A"/>
    </w:rPr>
  </w:style>
  <w:style w:type="character" w:styleId="ListLabel38">
    <w:name w:val="ListLabel 38"/>
    <w:qFormat/>
    <w:rPr>
      <w:b/>
    </w:rPr>
  </w:style>
  <w:style w:type="character" w:styleId="ListLabel39">
    <w:name w:val="ListLabel 39"/>
    <w:qFormat/>
    <w:rPr>
      <w:b w:val="false"/>
      <w:i w:val="false"/>
      <w:iCs/>
    </w:rPr>
  </w:style>
  <w:style w:type="character" w:styleId="ListLabel40">
    <w:name w:val="ListLabel 40"/>
    <w:qFormat/>
    <w:rPr>
      <w:rFonts w:cs="Arial"/>
      <w:b w:val="false"/>
      <w:i w:val="false"/>
      <w:iCs/>
      <w:color w:val="00000A"/>
    </w:rPr>
  </w:style>
  <w:style w:type="character" w:styleId="ListLabel41">
    <w:name w:val="ListLabel 41"/>
    <w:qFormat/>
    <w:rPr>
      <w:b/>
      <w:i w:val="false"/>
      <w:strike w:val="false"/>
      <w:dstrike w:val="false"/>
    </w:rPr>
  </w:style>
  <w:style w:type="character" w:styleId="ListLabel42">
    <w:name w:val="ListLabel 42"/>
    <w:qFormat/>
    <w:rPr>
      <w:b w:val="false"/>
      <w:strike w:val="false"/>
      <w:dstrike w:val="false"/>
    </w:rPr>
  </w:style>
  <w:style w:type="character" w:styleId="ListLabel43">
    <w:name w:val="ListLabel 43"/>
    <w:qFormat/>
    <w:rPr>
      <w:i w:val="false"/>
      <w:strike w:val="false"/>
      <w:dstrike w:val="false"/>
    </w:rPr>
  </w:style>
  <w:style w:type="character" w:styleId="ListLabel44">
    <w:name w:val="ListLabel 44"/>
    <w:qFormat/>
    <w:rPr>
      <w:b w:val="false"/>
    </w:rPr>
  </w:style>
  <w:style w:type="character" w:styleId="ListLabel45">
    <w:name w:val="ListLabel 45"/>
    <w:qFormat/>
    <w:rPr>
      <w:b w:val="false"/>
    </w:rPr>
  </w:style>
  <w:style w:type="character" w:styleId="ListLabel46">
    <w:name w:val="ListLabel 46"/>
    <w:qFormat/>
    <w:rPr>
      <w:b w:val="false"/>
    </w:rPr>
  </w:style>
  <w:style w:type="character" w:styleId="ListLabel47">
    <w:name w:val="ListLabel 47"/>
    <w:qFormat/>
    <w:rPr>
      <w:b w:val="false"/>
    </w:rPr>
  </w:style>
  <w:style w:type="character" w:styleId="ListLabel48">
    <w:name w:val="ListLabel 48"/>
    <w:qFormat/>
    <w:rPr>
      <w:rFonts w:ascii="Arial" w:hAnsi="Arial"/>
      <w:b/>
    </w:rPr>
  </w:style>
  <w:style w:type="character" w:styleId="ListLabel49">
    <w:name w:val="ListLabel 49"/>
    <w:qFormat/>
    <w:rPr>
      <w:rFonts w:ascii="Arial" w:hAnsi="Arial"/>
      <w:b/>
    </w:rPr>
  </w:style>
  <w:style w:type="character" w:styleId="ListLabel50">
    <w:name w:val="ListLabel 50"/>
    <w:qFormat/>
    <w:rPr>
      <w:b/>
    </w:rPr>
  </w:style>
  <w:style w:type="character" w:styleId="ListLabel51">
    <w:name w:val="ListLabel 51"/>
    <w:qFormat/>
    <w:rPr>
      <w:b w:val="false"/>
      <w:i w:val="false"/>
      <w:iCs/>
    </w:rPr>
  </w:style>
  <w:style w:type="character" w:styleId="ListLabel52">
    <w:name w:val="ListLabel 52"/>
    <w:qFormat/>
    <w:rPr>
      <w:rFonts w:cs="Arial"/>
      <w:b w:val="false"/>
      <w:i w:val="false"/>
      <w:iCs/>
      <w:color w:val="00000A"/>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b/>
    </w:rPr>
  </w:style>
  <w:style w:type="character" w:styleId="ListLabel57">
    <w:name w:val="ListLabel 57"/>
    <w:qFormat/>
    <w:rPr>
      <w:b w:val="false"/>
      <w:i w:val="false"/>
      <w:iCs/>
    </w:rPr>
  </w:style>
  <w:style w:type="character" w:styleId="ListLabel58">
    <w:name w:val="ListLabel 58"/>
    <w:qFormat/>
    <w:rPr>
      <w:rFonts w:cs="Arial"/>
      <w:b w:val="false"/>
      <w:i w:val="false"/>
      <w:iCs/>
      <w:color w:val="00000A"/>
    </w:rPr>
  </w:style>
  <w:style w:type="character" w:styleId="ListLabel59">
    <w:name w:val="ListLabel 59"/>
    <w:qFormat/>
    <w:rPr>
      <w:rFonts w:eastAsia="" w:cs="Arial"/>
      <w:b/>
    </w:rPr>
  </w:style>
  <w:style w:type="character" w:styleId="ListLabel60">
    <w:name w:val="ListLabel 60"/>
    <w:qFormat/>
    <w:rPr>
      <w:b w:val="false"/>
      <w:i w:val="false"/>
      <w:iCs/>
    </w:rPr>
  </w:style>
  <w:style w:type="character" w:styleId="ListLabel61">
    <w:name w:val="ListLabel 61"/>
    <w:qFormat/>
    <w:rPr>
      <w:b w:val="false"/>
      <w:i w:val="false"/>
      <w:iCs/>
      <w:color w:val="00000A"/>
    </w:rPr>
  </w:style>
  <w:style w:type="character" w:styleId="ListLabel62">
    <w:name w:val="ListLabel 62"/>
    <w:qFormat/>
    <w:rPr>
      <w:b/>
    </w:rPr>
  </w:style>
  <w:style w:type="character" w:styleId="ListLabel63">
    <w:name w:val="ListLabel 63"/>
    <w:qFormat/>
    <w:rPr>
      <w:b w:val="false"/>
      <w:i w:val="false"/>
      <w:iCs/>
    </w:rPr>
  </w:style>
  <w:style w:type="character" w:styleId="ListLabel64">
    <w:name w:val="ListLabel 64"/>
    <w:qFormat/>
    <w:rPr>
      <w:rFonts w:cs="Arial"/>
      <w:b w:val="false"/>
      <w:i w:val="false"/>
      <w:iCs/>
      <w:color w:val="00000A"/>
    </w:rPr>
  </w:style>
  <w:style w:type="character" w:styleId="ListLabel65">
    <w:name w:val="ListLabel 65"/>
    <w:qFormat/>
    <w:rPr>
      <w:b/>
    </w:rPr>
  </w:style>
  <w:style w:type="character" w:styleId="ListLabel66">
    <w:name w:val="ListLabel 66"/>
    <w:qFormat/>
    <w:rPr>
      <w:b w:val="false"/>
      <w:i w:val="false"/>
      <w:iCs/>
    </w:rPr>
  </w:style>
  <w:style w:type="character" w:styleId="ListLabel67">
    <w:name w:val="ListLabel 67"/>
    <w:qFormat/>
    <w:rPr>
      <w:rFonts w:cs="Arial"/>
      <w:b w:val="false"/>
      <w:i w:val="false"/>
      <w:iCs/>
      <w:color w:val="00000A"/>
    </w:rPr>
  </w:style>
  <w:style w:type="character" w:styleId="ListLabel68">
    <w:name w:val="ListLabel 68"/>
    <w:qFormat/>
    <w:rPr>
      <w:b/>
    </w:rPr>
  </w:style>
  <w:style w:type="character" w:styleId="ListLabel69">
    <w:name w:val="ListLabel 69"/>
    <w:qFormat/>
    <w:rPr>
      <w:b w:val="false"/>
      <w:i w:val="false"/>
      <w:iCs/>
    </w:rPr>
  </w:style>
  <w:style w:type="character" w:styleId="ListLabel70">
    <w:name w:val="ListLabel 70"/>
    <w:qFormat/>
    <w:rPr>
      <w:b w:val="false"/>
      <w:i w:val="false"/>
      <w:iCs/>
      <w:color w:val="00000A"/>
    </w:rPr>
  </w:style>
  <w:style w:type="character" w:styleId="ListLabel71">
    <w:name w:val="ListLabel 71"/>
    <w:qFormat/>
    <w:rPr>
      <w:rFonts w:ascii="Arial" w:hAnsi="Arial"/>
      <w:b/>
    </w:rPr>
  </w:style>
  <w:style w:type="character" w:styleId="ListLabel72">
    <w:name w:val="ListLabel 72"/>
    <w:qFormat/>
    <w:rPr>
      <w:b/>
      <w:i w:val="false"/>
      <w:iCs/>
    </w:rPr>
  </w:style>
  <w:style w:type="character" w:styleId="ListLabel73">
    <w:name w:val="ListLabel 73"/>
    <w:qFormat/>
    <w:rPr>
      <w:rFonts w:cs="Arial"/>
      <w:b/>
      <w:i w:val="false"/>
      <w:iCs/>
      <w:color w:val="00000A"/>
    </w:rPr>
  </w:style>
  <w:style w:type="character" w:styleId="ListLabel74">
    <w:name w:val="ListLabel 74"/>
    <w:qFormat/>
    <w:rPr>
      <w:b/>
    </w:rPr>
  </w:style>
  <w:style w:type="character" w:styleId="ListLabel75">
    <w:name w:val="ListLabel 75"/>
    <w:qFormat/>
    <w:rPr>
      <w:b/>
    </w:rPr>
  </w:style>
  <w:style w:type="character" w:styleId="ListLabel76">
    <w:name w:val="ListLabel 76"/>
    <w:qFormat/>
    <w:rPr>
      <w:b/>
    </w:rPr>
  </w:style>
  <w:style w:type="character" w:styleId="ListLabel77">
    <w:name w:val="ListLabel 77"/>
    <w:qFormat/>
    <w:rPr>
      <w:b w:val="false"/>
      <w:i w:val="false"/>
      <w:iCs/>
    </w:rPr>
  </w:style>
  <w:style w:type="character" w:styleId="ListLabel78">
    <w:name w:val="ListLabel 78"/>
    <w:qFormat/>
    <w:rPr>
      <w:rFonts w:cs="Arial"/>
      <w:b w:val="false"/>
      <w:i w:val="false"/>
      <w:iCs/>
      <w:color w:val="00000A"/>
    </w:rPr>
  </w:style>
  <w:style w:type="character" w:styleId="ListLabel79">
    <w:name w:val="ListLabel 79"/>
    <w:qFormat/>
    <w:rPr>
      <w:b/>
    </w:rPr>
  </w:style>
  <w:style w:type="character" w:styleId="ListLabel80">
    <w:name w:val="ListLabel 80"/>
    <w:qFormat/>
    <w:rPr>
      <w:b w:val="false"/>
      <w:i w:val="false"/>
      <w:iCs/>
    </w:rPr>
  </w:style>
  <w:style w:type="character" w:styleId="ListLabel81">
    <w:name w:val="ListLabel 81"/>
    <w:qFormat/>
    <w:rPr>
      <w:b w:val="false"/>
      <w:i w:val="false"/>
      <w:iCs/>
      <w:color w:val="00000A"/>
    </w:rPr>
  </w:style>
  <w:style w:type="character" w:styleId="ListLabel82">
    <w:name w:val="ListLabel 82"/>
    <w:qFormat/>
    <w:rPr>
      <w:rFonts w:eastAsia="Calibri" w:cs="Arial"/>
      <w:szCs w:val="20"/>
    </w:rPr>
  </w:style>
  <w:style w:type="character" w:styleId="ListLabel83">
    <w:name w:val="ListLabel 83"/>
    <w:qFormat/>
    <w:rPr>
      <w:rFonts w:eastAsia="Calibri" w:cs="Arial"/>
      <w:lang w:eastAsia="ar-SA"/>
    </w:rPr>
  </w:style>
  <w:style w:type="character" w:styleId="ListLabel84">
    <w:name w:val="ListLabel 84"/>
    <w:qFormat/>
    <w:rPr>
      <w:rFonts w:ascii="Times New Roman" w:hAnsi="Times New Roman" w:cs="Arial"/>
      <w:b/>
      <w:bCs/>
      <w:color w:val="0000FF"/>
      <w:szCs w:val="20"/>
      <w:u w:val="single" w:color="0000FF"/>
    </w:rPr>
  </w:style>
  <w:style w:type="character" w:styleId="ListLabel85">
    <w:name w:val="ListLabel 85"/>
    <w:qFormat/>
    <w:rPr>
      <w:color w:val="000000"/>
    </w:rPr>
  </w:style>
  <w:style w:type="character" w:styleId="ListLabel86">
    <w:name w:val="ListLabel 86"/>
    <w:qFormat/>
    <w:rPr>
      <w:rFonts w:ascii="Arial" w:hAnsi="Arial" w:cs="Arial"/>
      <w:b w:val="false"/>
      <w:bCs w:val="false"/>
    </w:rPr>
  </w:style>
  <w:style w:type="character" w:styleId="ListLabel87">
    <w:name w:val="ListLabel 87"/>
    <w:qFormat/>
    <w:rPr>
      <w:rFonts w:ascii="Arial" w:hAnsi="Arial" w:cs="Arial"/>
      <w:color w:val="007FFF"/>
      <w:szCs w:val="20"/>
      <w:u w:val="none" w:color="0000FF"/>
    </w:rPr>
  </w:style>
  <w:style w:type="character" w:styleId="Smbolosdenumerao">
    <w:name w:val="Símbolos de numeração"/>
    <w:qFormat/>
    <w:rPr/>
  </w:style>
  <w:style w:type="character" w:styleId="ListLabel88">
    <w:name w:val="ListLabel 88"/>
    <w:qFormat/>
    <w:rPr>
      <w:rFonts w:ascii="Arial" w:hAnsi="Arial"/>
      <w:b/>
    </w:rPr>
  </w:style>
  <w:style w:type="character" w:styleId="ListLabel89">
    <w:name w:val="ListLabel 89"/>
    <w:qFormat/>
    <w:rPr>
      <w:b/>
      <w:i w:val="false"/>
      <w:iCs/>
    </w:rPr>
  </w:style>
  <w:style w:type="character" w:styleId="ListLabel90">
    <w:name w:val="ListLabel 90"/>
    <w:qFormat/>
    <w:rPr>
      <w:rFonts w:cs="Arial"/>
      <w:b/>
      <w:i w:val="false"/>
      <w:iCs/>
      <w:color w:val="00000A"/>
    </w:rPr>
  </w:style>
  <w:style w:type="character" w:styleId="ListLabel91">
    <w:name w:val="ListLabel 91"/>
    <w:qFormat/>
    <w:rPr>
      <w:b/>
    </w:rPr>
  </w:style>
  <w:style w:type="character" w:styleId="ListLabel92">
    <w:name w:val="ListLabel 92"/>
    <w:qFormat/>
    <w:rPr>
      <w:b/>
    </w:rPr>
  </w:style>
  <w:style w:type="character" w:styleId="ListLabel93">
    <w:name w:val="ListLabel 93"/>
    <w:qFormat/>
    <w:rPr>
      <w:b/>
    </w:rPr>
  </w:style>
  <w:style w:type="character" w:styleId="ListLabel94">
    <w:name w:val="ListLabel 94"/>
    <w:qFormat/>
    <w:rPr>
      <w:b w:val="false"/>
      <w:i w:val="false"/>
      <w:iCs/>
    </w:rPr>
  </w:style>
  <w:style w:type="character" w:styleId="ListLabel95">
    <w:name w:val="ListLabel 95"/>
    <w:qFormat/>
    <w:rPr>
      <w:rFonts w:cs="Arial"/>
      <w:b w:val="false"/>
      <w:i w:val="false"/>
      <w:iCs/>
      <w:color w:val="00000A"/>
    </w:rPr>
  </w:style>
  <w:style w:type="character" w:styleId="ListLabel96">
    <w:name w:val="ListLabel 96"/>
    <w:qFormat/>
    <w:rPr>
      <w:b/>
    </w:rPr>
  </w:style>
  <w:style w:type="character" w:styleId="ListLabel97">
    <w:name w:val="ListLabel 97"/>
    <w:qFormat/>
    <w:rPr>
      <w:b w:val="false"/>
      <w:i w:val="false"/>
      <w:iCs/>
    </w:rPr>
  </w:style>
  <w:style w:type="character" w:styleId="ListLabel98">
    <w:name w:val="ListLabel 98"/>
    <w:qFormat/>
    <w:rPr>
      <w:b w:val="false"/>
      <w:i w:val="false"/>
      <w:iCs/>
      <w:color w:val="00000A"/>
    </w:rPr>
  </w:style>
  <w:style w:type="character" w:styleId="ListLabel99">
    <w:name w:val="ListLabel 99"/>
    <w:qFormat/>
    <w:rPr>
      <w:rFonts w:eastAsia="Calibri" w:cs="Arial"/>
      <w:szCs w:val="20"/>
    </w:rPr>
  </w:style>
  <w:style w:type="character" w:styleId="ListLabel100">
    <w:name w:val="ListLabel 100"/>
    <w:qFormat/>
    <w:rPr>
      <w:rFonts w:eastAsia="Calibri" w:cs="Arial"/>
      <w:lang w:eastAsia="ar-SA"/>
    </w:rPr>
  </w:style>
  <w:style w:type="character" w:styleId="ListLabel101">
    <w:name w:val="ListLabel 101"/>
    <w:qFormat/>
    <w:rPr>
      <w:rFonts w:ascii="Times New Roman" w:hAnsi="Times New Roman" w:cs="Arial"/>
      <w:b/>
      <w:bCs/>
      <w:color w:val="0000FF"/>
      <w:szCs w:val="20"/>
      <w:u w:val="single" w:color="0000FF"/>
    </w:rPr>
  </w:style>
  <w:style w:type="character" w:styleId="ListLabel102">
    <w:name w:val="ListLabel 102"/>
    <w:qFormat/>
    <w:rPr>
      <w:color w:val="000000"/>
    </w:rPr>
  </w:style>
  <w:style w:type="character" w:styleId="ListLabel103">
    <w:name w:val="ListLabel 103"/>
    <w:qFormat/>
    <w:rPr>
      <w:rFonts w:cs="Arial"/>
      <w:b w:val="false"/>
      <w:bCs w:val="false"/>
    </w:rPr>
  </w:style>
  <w:style w:type="character" w:styleId="ListLabel104">
    <w:name w:val="ListLabel 104"/>
    <w:qFormat/>
    <w:rPr>
      <w:rFonts w:cs="Arial"/>
      <w:color w:val="007FFF"/>
      <w:szCs w:val="20"/>
      <w:u w:val="none" w:color="0000FF"/>
    </w:rPr>
  </w:style>
  <w:style w:type="character" w:styleId="ListLabel105">
    <w:name w:val="ListLabel 105"/>
    <w:qFormat/>
    <w:rPr>
      <w:rFonts w:ascii="Arial" w:hAnsi="Arial"/>
      <w:b/>
    </w:rPr>
  </w:style>
  <w:style w:type="character" w:styleId="ListLabel106">
    <w:name w:val="ListLabel 106"/>
    <w:qFormat/>
    <w:rPr>
      <w:b/>
      <w:i w:val="false"/>
      <w:iCs/>
    </w:rPr>
  </w:style>
  <w:style w:type="character" w:styleId="ListLabel107">
    <w:name w:val="ListLabel 107"/>
    <w:qFormat/>
    <w:rPr>
      <w:rFonts w:cs="Arial"/>
      <w:b/>
      <w:i w:val="false"/>
      <w:iCs/>
      <w:color w:val="00000A"/>
    </w:rPr>
  </w:style>
  <w:style w:type="character" w:styleId="ListLabel108">
    <w:name w:val="ListLabel 108"/>
    <w:qFormat/>
    <w:rPr>
      <w:b/>
    </w:rPr>
  </w:style>
  <w:style w:type="character" w:styleId="ListLabel109">
    <w:name w:val="ListLabel 109"/>
    <w:qFormat/>
    <w:rPr>
      <w:b/>
    </w:rPr>
  </w:style>
  <w:style w:type="character" w:styleId="ListLabel110">
    <w:name w:val="ListLabel 110"/>
    <w:qFormat/>
    <w:rPr>
      <w:b/>
    </w:rPr>
  </w:style>
  <w:style w:type="character" w:styleId="ListLabel111">
    <w:name w:val="ListLabel 111"/>
    <w:qFormat/>
    <w:rPr>
      <w:b w:val="false"/>
      <w:i w:val="false"/>
      <w:iCs/>
    </w:rPr>
  </w:style>
  <w:style w:type="character" w:styleId="ListLabel112">
    <w:name w:val="ListLabel 112"/>
    <w:qFormat/>
    <w:rPr>
      <w:rFonts w:cs="Arial"/>
      <w:b w:val="false"/>
      <w:i w:val="false"/>
      <w:iCs/>
      <w:color w:val="00000A"/>
    </w:rPr>
  </w:style>
  <w:style w:type="character" w:styleId="ListLabel113">
    <w:name w:val="ListLabel 113"/>
    <w:qFormat/>
    <w:rPr>
      <w:b/>
    </w:rPr>
  </w:style>
  <w:style w:type="character" w:styleId="ListLabel114">
    <w:name w:val="ListLabel 114"/>
    <w:qFormat/>
    <w:rPr>
      <w:b w:val="false"/>
      <w:i w:val="false"/>
      <w:iCs/>
    </w:rPr>
  </w:style>
  <w:style w:type="character" w:styleId="ListLabel115">
    <w:name w:val="ListLabel 115"/>
    <w:qFormat/>
    <w:rPr>
      <w:b w:val="false"/>
      <w:i w:val="false"/>
      <w:iCs/>
      <w:color w:val="00000A"/>
    </w:rPr>
  </w:style>
  <w:style w:type="paragraph" w:styleId="Ttulo">
    <w:name w:val="Título"/>
    <w:basedOn w:val="Normal"/>
    <w:next w:val="Corpodetexto"/>
    <w:qFormat/>
    <w:pPr>
      <w:keepNext/>
      <w:spacing w:before="240" w:after="120"/>
    </w:pPr>
    <w:rPr>
      <w:rFonts w:ascii="Liberation Sans" w:hAnsi="Liberation Sans" w:eastAsia="Microsoft YaHei" w:cs="Ari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Quote">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9f7713"/>
    <w:pPr>
      <w:spacing w:lineRule="auto" w:line="276" w:before="480" w:after="120"/>
      <w:ind w:right="-15" w:hanging="0"/>
      <w:jc w:val="both"/>
    </w:pPr>
    <w:rPr>
      <w:rFonts w:ascii="Arial" w:hAnsi="Arial" w:cs="Times New Roman"/>
      <w:b/>
      <w:bCs/>
      <w:color w:val="000000"/>
      <w:sz w:val="20"/>
      <w:szCs w:val="20"/>
    </w:rPr>
  </w:style>
  <w:style w:type="paragraph" w:styleId="PADRO" w:customStyle="1">
    <w:name w:val="PADRÃO"/>
    <w:qFormat/>
    <w:rsid w:val="009f7713"/>
    <w:pPr>
      <w:keepNext/>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00000A"/>
      <w:sz w:val="20"/>
      <w:szCs w:val="24"/>
      <w:lang w:val="pt-BR" w:eastAsia="zh-CN" w:bidi="hi-IN"/>
    </w:rPr>
  </w:style>
  <w:style w:type="paragraph" w:styleId="ListParagraph">
    <w:name w:val="List Paragraph"/>
    <w:basedOn w:val="Normal"/>
    <w:uiPriority w:val="34"/>
    <w:qFormat/>
    <w:rsid w:val="006a70c8"/>
    <w:pPr>
      <w:spacing w:before="0" w:after="0"/>
      <w:ind w:left="720" w:hanging="0"/>
      <w:contextualSpacing/>
    </w:pPr>
    <w:rPr/>
  </w:style>
  <w:style w:type="paragraph" w:styleId="Citao2" w:customStyle="1">
    <w:name w:val="citação 2"/>
    <w:basedOn w:val="Quote"/>
    <w:link w:val="citao2Char"/>
    <w:qFormat/>
    <w:rsid w:val="006a70c8"/>
    <w:pPr>
      <w:shd w:val="clear" w:fill="FFFFCC"/>
    </w:pPr>
    <w:rPr>
      <w:szCs w:val="20"/>
    </w:rPr>
  </w:style>
  <w:style w:type="paragraph" w:styleId="Citao1" w:customStyle="1">
    <w:name w:val="Citação1"/>
    <w:basedOn w:val="Normal"/>
    <w:next w:val="Normal"/>
    <w:link w:val="QuoteChar"/>
    <w:qFormat/>
    <w:rsid w:val="00a728b9"/>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3d08af"/>
    <w:pPr/>
    <w:rPr>
      <w:szCs w:val="20"/>
    </w:rPr>
  </w:style>
  <w:style w:type="paragraph" w:styleId="Annotationsubject">
    <w:name w:val="annotation subject"/>
    <w:basedOn w:val="Annotationtext"/>
    <w:link w:val="AssuntodocomentrioChar"/>
    <w:uiPriority w:val="99"/>
    <w:semiHidden/>
    <w:unhideWhenUsed/>
    <w:qFormat/>
    <w:rsid w:val="003d08af"/>
    <w:pPr/>
    <w:rPr>
      <w:b/>
      <w:bCs/>
    </w:rPr>
  </w:style>
  <w:style w:type="paragraph" w:styleId="Nivel1" w:customStyle="1">
    <w:name w:val="Nivel1"/>
    <w:basedOn w:val="Ttulo1"/>
    <w:qFormat/>
    <w:rsid w:val="00fa4ef2"/>
    <w:pPr>
      <w:spacing w:lineRule="auto" w:line="276" w:before="480" w:after="0"/>
      <w:ind w:left="644" w:hanging="360"/>
      <w:jc w:val="both"/>
    </w:pPr>
    <w:rPr>
      <w:rFonts w:ascii="Arial" w:hAnsi="Arial" w:cs="Times New Roman"/>
      <w:b/>
      <w:color w:val="000000"/>
      <w:sz w:val="20"/>
      <w:szCs w:val="20"/>
    </w:rPr>
  </w:style>
  <w:style w:type="paragraph" w:styleId="Nivel2" w:customStyle="1">
    <w:name w:val="Nivel 2"/>
    <w:qFormat/>
    <w:rsid w:val="002f5eff"/>
    <w:pPr>
      <w:widowControl/>
      <w:bidi w:val="0"/>
      <w:spacing w:lineRule="auto" w:line="276" w:before="120" w:after="120"/>
      <w:jc w:val="both"/>
    </w:pPr>
    <w:rPr>
      <w:rFonts w:ascii="Ecofont_Spranq_eco_Sans" w:hAnsi="Ecofont_Spranq_eco_Sans" w:eastAsia="Arial Unicode MS" w:cs="Times New Roman"/>
      <w:color w:val="00000A"/>
      <w:sz w:val="20"/>
      <w:szCs w:val="20"/>
      <w:lang w:val="pt-BR" w:eastAsia="pt-BR" w:bidi="ar-SA"/>
    </w:rPr>
  </w:style>
  <w:style w:type="paragraph" w:styleId="Nivel11" w:customStyle="1">
    <w:name w:val="Nivel 1"/>
    <w:basedOn w:val="Nivel2"/>
    <w:qFormat/>
    <w:rsid w:val="002f5eff"/>
    <w:pPr/>
    <w:rPr>
      <w:rFonts w:cs="Arial"/>
      <w:b/>
    </w:rPr>
  </w:style>
  <w:style w:type="paragraph" w:styleId="Nivel3" w:customStyle="1">
    <w:name w:val="Nivel 3"/>
    <w:basedOn w:val="Nivel2"/>
    <w:qFormat/>
    <w:rsid w:val="002f5eff"/>
    <w:pPr/>
    <w:rPr>
      <w:rFonts w:cs="Arial"/>
      <w:color w:val="000000"/>
    </w:rPr>
  </w:style>
  <w:style w:type="paragraph" w:styleId="Nivel4" w:customStyle="1">
    <w:name w:val="Nivel 4"/>
    <w:basedOn w:val="Nivel3"/>
    <w:link w:val="Nivel4Char"/>
    <w:qFormat/>
    <w:rsid w:val="002f5eff"/>
    <w:pPr/>
    <w:rPr>
      <w:color w:val="00000A"/>
    </w:rPr>
  </w:style>
  <w:style w:type="paragraph" w:styleId="Nivel5" w:customStyle="1">
    <w:name w:val="Nivel 5"/>
    <w:basedOn w:val="Nivel4"/>
    <w:qFormat/>
    <w:rsid w:val="002f5eff"/>
    <w:pPr>
      <w:tabs>
        <w:tab w:val="left" w:pos="360" w:leader="none"/>
      </w:tabs>
    </w:pPr>
    <w:rPr/>
  </w:style>
  <w:style w:type="paragraph" w:styleId="BalloonText">
    <w:name w:val="Balloon Text"/>
    <w:basedOn w:val="Normal"/>
    <w:link w:val="TextodebaloChar"/>
    <w:uiPriority w:val="99"/>
    <w:semiHidden/>
    <w:unhideWhenUsed/>
    <w:qFormat/>
    <w:rsid w:val="00731d60"/>
    <w:pPr/>
    <w:rPr>
      <w:rFonts w:ascii="Segoe UI" w:hAnsi="Segoe UI" w:cs="Segoe UI"/>
      <w:sz w:val="18"/>
      <w:szCs w:val="18"/>
    </w:rPr>
  </w:style>
  <w:style w:type="paragraph" w:styleId="Cabealho">
    <w:name w:val="Header"/>
    <w:basedOn w:val="Normal"/>
    <w:link w:val="CabealhoChar"/>
    <w:uiPriority w:val="99"/>
    <w:unhideWhenUsed/>
    <w:rsid w:val="00805244"/>
    <w:pPr>
      <w:tabs>
        <w:tab w:val="center" w:pos="4252" w:leader="none"/>
        <w:tab w:val="right" w:pos="8504" w:leader="none"/>
      </w:tabs>
    </w:pPr>
    <w:rPr/>
  </w:style>
  <w:style w:type="paragraph" w:styleId="Rodap">
    <w:name w:val="Footer"/>
    <w:basedOn w:val="Normal"/>
    <w:link w:val="RodapChar"/>
    <w:uiPriority w:val="99"/>
    <w:unhideWhenUsed/>
    <w:rsid w:val="00805244"/>
    <w:pPr>
      <w:tabs>
        <w:tab w:val="center" w:pos="4252" w:leader="none"/>
        <w:tab w:val="right" w:pos="8504" w:leader="none"/>
      </w:tabs>
    </w:pPr>
    <w:rPr/>
  </w:style>
  <w:style w:type="paragraph" w:styleId="Caption">
    <w:name w:val="caption"/>
    <w:basedOn w:val="Normal"/>
    <w:qFormat/>
    <w:pPr>
      <w:suppressLineNumbers/>
      <w:spacing w:before="120" w:after="120"/>
    </w:pPr>
    <w:rPr>
      <w:rFonts w:cs="Arial"/>
      <w:i/>
      <w:iCs/>
      <w:sz w:val="24"/>
      <w:szCs w:val="24"/>
    </w:rPr>
  </w:style>
  <w:style w:type="paragraph" w:styleId="Contedodatabela">
    <w:name w:val="Conteúdo da tabela"/>
    <w:basedOn w:val="Normal"/>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rsid w:val="002f5eff"/>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LEIS/L6404consol.htm" TargetMode="External"/><Relationship Id="rId4" Type="http://schemas.openxmlformats.org/officeDocument/2006/relationships/hyperlink" Target="http://www.portaldatransparencia.gov.br/ceis" TargetMode="External"/><Relationship Id="rId5" Type="http://schemas.openxmlformats.org/officeDocument/2006/relationships/hyperlink" Target="http://www.cnj.jus.br/improbidade_adm/consultar_requerido.php" TargetMode="External"/><Relationship Id="rId6" Type="http://schemas.openxmlformats.org/officeDocument/2006/relationships/hyperlink" Target="mailto:salc.raj@hotmai.com" TargetMode="External"/><Relationship Id="rId7" Type="http://schemas.openxmlformats.org/officeDocument/2006/relationships/hyperlink" Target="mailto:salc.raj@hotmail.com" TargetMode="External"/><Relationship Id="rId8" Type="http://schemas.openxmlformats.org/officeDocument/2006/relationships/hyperlink" Target="mailto:salc.raj@hotmai.com" TargetMode="Externa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Application>LibreOffice/5.3.0.3$Windows_X86_64 LibreOffice_project/7074905676c47b82bbcfbea1aeefc84afe1c50e1</Application>
  <Pages>12</Pages>
  <Words>4905</Words>
  <Characters>28059</Characters>
  <CharactersWithSpaces>32599</CharactersWithSpaces>
  <Paragraphs>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2021-08-05T16:35:00Z</dcterms:created>
  <dc:creator>Hugo Sales</dc:creator>
  <dc:description/>
  <dc:language>pt-BR</dc:language>
  <cp:lastModifiedBy/>
  <cp:lastPrinted>2021-11-05T05:35:01Z</cp:lastPrinted>
  <dcterms:modified xsi:type="dcterms:W3CDTF">2021-11-05T11:56:18Z</dcterms:modified>
  <cp:revision>63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