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B5C" w:rsidRDefault="00652E32">
      <w:pPr>
        <w:spacing w:line="276" w:lineRule="auto"/>
        <w:jc w:val="center"/>
        <w:rPr>
          <w:rFonts w:ascii="Times New Roman" w:hAnsi="Times New Roman" w:cs="Times New Roman"/>
          <w:b/>
          <w:color w:val="000001"/>
          <w:sz w:val="22"/>
          <w:szCs w:val="22"/>
          <w:highlight w:val="white"/>
        </w:rPr>
      </w:pPr>
      <w:r>
        <w:rPr>
          <w:noProof/>
        </w:rPr>
        <w:drawing>
          <wp:anchor distT="0" distB="0" distL="114935" distR="114935" simplePos="0" relativeHeight="251658240" behindDoc="0" locked="0" layoutInCell="1" allowOverlap="1">
            <wp:simplePos x="0" y="0"/>
            <wp:positionH relativeFrom="column">
              <wp:posOffset>2248062</wp:posOffset>
            </wp:positionH>
            <wp:positionV relativeFrom="paragraph">
              <wp:posOffset>0</wp:posOffset>
            </wp:positionV>
            <wp:extent cx="900430" cy="8890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1" t="-21" r="-21" b="-21"/>
                    <a:stretch>
                      <a:fillRect/>
                    </a:stretch>
                  </pic:blipFill>
                  <pic:spPr>
                    <a:xfrm>
                      <a:off x="0" y="0"/>
                      <a:ext cx="900430" cy="889000"/>
                    </a:xfrm>
                    <a:prstGeom prst="rect">
                      <a:avLst/>
                    </a:prstGeom>
                    <a:ln/>
                  </pic:spPr>
                </pic:pic>
              </a:graphicData>
            </a:graphic>
          </wp:anchor>
        </w:drawing>
      </w:r>
    </w:p>
    <w:p w:rsidR="00573B5C" w:rsidRDefault="00573B5C">
      <w:pPr>
        <w:spacing w:line="276" w:lineRule="auto"/>
        <w:jc w:val="center"/>
        <w:rPr>
          <w:rFonts w:ascii="Times New Roman" w:hAnsi="Times New Roman" w:cs="Times New Roman"/>
          <w:b/>
          <w:color w:val="000001"/>
          <w:sz w:val="22"/>
          <w:szCs w:val="22"/>
          <w:highlight w:val="white"/>
        </w:rPr>
      </w:pPr>
    </w:p>
    <w:p w:rsidR="00573B5C" w:rsidRDefault="00573B5C">
      <w:pPr>
        <w:spacing w:line="276" w:lineRule="auto"/>
        <w:jc w:val="center"/>
        <w:rPr>
          <w:rFonts w:ascii="Times New Roman" w:hAnsi="Times New Roman" w:cs="Times New Roman"/>
          <w:b/>
          <w:color w:val="000001"/>
          <w:sz w:val="22"/>
          <w:szCs w:val="22"/>
          <w:highlight w:val="white"/>
        </w:rPr>
      </w:pPr>
    </w:p>
    <w:p w:rsidR="00573B5C" w:rsidRDefault="00573B5C">
      <w:pPr>
        <w:spacing w:line="276" w:lineRule="auto"/>
        <w:jc w:val="center"/>
        <w:rPr>
          <w:rFonts w:ascii="Times New Roman" w:hAnsi="Times New Roman" w:cs="Times New Roman"/>
          <w:b/>
          <w:color w:val="000001"/>
          <w:sz w:val="22"/>
          <w:szCs w:val="22"/>
          <w:highlight w:val="white"/>
        </w:rPr>
      </w:pPr>
    </w:p>
    <w:p w:rsidR="00573B5C" w:rsidRDefault="00573B5C">
      <w:pPr>
        <w:spacing w:line="276" w:lineRule="auto"/>
        <w:jc w:val="center"/>
        <w:rPr>
          <w:rFonts w:ascii="Times New Roman" w:hAnsi="Times New Roman" w:cs="Times New Roman"/>
          <w:b/>
          <w:color w:val="000001"/>
          <w:sz w:val="22"/>
          <w:szCs w:val="22"/>
          <w:highlight w:val="white"/>
        </w:rPr>
      </w:pPr>
    </w:p>
    <w:p w:rsidR="00573B5C" w:rsidRDefault="00573B5C">
      <w:pPr>
        <w:spacing w:line="276" w:lineRule="auto"/>
        <w:jc w:val="center"/>
        <w:rPr>
          <w:rFonts w:ascii="Times New Roman" w:hAnsi="Times New Roman" w:cs="Times New Roman"/>
          <w:b/>
          <w:color w:val="000001"/>
          <w:sz w:val="22"/>
          <w:szCs w:val="22"/>
          <w:highlight w:val="white"/>
        </w:rPr>
      </w:pPr>
    </w:p>
    <w:p w:rsidR="00573B5C" w:rsidRDefault="00652E32">
      <w:pPr>
        <w:spacing w:line="276" w:lineRule="auto"/>
        <w:jc w:val="center"/>
        <w:rPr>
          <w:rFonts w:ascii="Times New Roman" w:hAnsi="Times New Roman" w:cs="Times New Roman"/>
          <w:b/>
          <w:color w:val="000001"/>
          <w:sz w:val="22"/>
          <w:szCs w:val="22"/>
          <w:highlight w:val="white"/>
        </w:rPr>
      </w:pPr>
      <w:r>
        <w:rPr>
          <w:rFonts w:ascii="Times New Roman" w:hAnsi="Times New Roman" w:cs="Times New Roman"/>
          <w:b/>
          <w:color w:val="000001"/>
          <w:sz w:val="22"/>
          <w:szCs w:val="22"/>
          <w:highlight w:val="white"/>
        </w:rPr>
        <w:t>MINISTÉRIO DA DEFESA</w:t>
      </w:r>
    </w:p>
    <w:p w:rsidR="00573B5C" w:rsidRDefault="00652E32">
      <w:pPr>
        <w:spacing w:line="276" w:lineRule="auto"/>
        <w:jc w:val="center"/>
        <w:rPr>
          <w:rFonts w:ascii="Times New Roman" w:hAnsi="Times New Roman" w:cs="Times New Roman"/>
          <w:b/>
          <w:color w:val="000001"/>
          <w:sz w:val="22"/>
          <w:szCs w:val="22"/>
          <w:highlight w:val="white"/>
        </w:rPr>
      </w:pPr>
      <w:r>
        <w:rPr>
          <w:rFonts w:ascii="Times New Roman" w:hAnsi="Times New Roman" w:cs="Times New Roman"/>
          <w:b/>
          <w:color w:val="000001"/>
          <w:sz w:val="22"/>
          <w:szCs w:val="22"/>
          <w:highlight w:val="white"/>
        </w:rPr>
        <w:t>EXÉRCITO BRASILEIRO</w:t>
      </w:r>
    </w:p>
    <w:p w:rsidR="00573B5C" w:rsidRDefault="00652E32">
      <w:pPr>
        <w:spacing w:line="276" w:lineRule="auto"/>
        <w:jc w:val="center"/>
        <w:rPr>
          <w:rFonts w:ascii="Times New Roman" w:hAnsi="Times New Roman" w:cs="Times New Roman"/>
          <w:b/>
          <w:color w:val="000001"/>
          <w:sz w:val="22"/>
          <w:szCs w:val="22"/>
          <w:highlight w:val="white"/>
        </w:rPr>
      </w:pPr>
      <w:r>
        <w:rPr>
          <w:rFonts w:ascii="Times New Roman" w:hAnsi="Times New Roman" w:cs="Times New Roman"/>
          <w:b/>
          <w:color w:val="000001"/>
          <w:sz w:val="22"/>
          <w:szCs w:val="22"/>
          <w:highlight w:val="white"/>
        </w:rPr>
        <w:t>CML – 1ª DE – AD/1</w:t>
      </w:r>
    </w:p>
    <w:p w:rsidR="00573B5C" w:rsidRDefault="00652E32">
      <w:pPr>
        <w:spacing w:line="276" w:lineRule="auto"/>
        <w:jc w:val="center"/>
        <w:rPr>
          <w:rFonts w:ascii="Times New Roman" w:hAnsi="Times New Roman" w:cs="Times New Roman"/>
          <w:b/>
          <w:color w:val="000001"/>
          <w:sz w:val="22"/>
          <w:szCs w:val="22"/>
          <w:highlight w:val="white"/>
        </w:rPr>
      </w:pPr>
      <w:r>
        <w:rPr>
          <w:rFonts w:ascii="Times New Roman" w:hAnsi="Times New Roman" w:cs="Times New Roman"/>
          <w:b/>
          <w:color w:val="000001"/>
          <w:sz w:val="22"/>
          <w:szCs w:val="22"/>
          <w:highlight w:val="white"/>
        </w:rPr>
        <w:t>21º GRUPO DE ARTILHARIA DE CAMPANHA</w:t>
      </w:r>
    </w:p>
    <w:p w:rsidR="00573B5C" w:rsidRDefault="00652E32">
      <w:pPr>
        <w:spacing w:line="276" w:lineRule="auto"/>
        <w:jc w:val="center"/>
        <w:rPr>
          <w:rFonts w:ascii="Times New Roman" w:hAnsi="Times New Roman" w:cs="Times New Roman"/>
          <w:b/>
          <w:color w:val="000001"/>
          <w:sz w:val="22"/>
          <w:szCs w:val="22"/>
          <w:highlight w:val="white"/>
        </w:rPr>
      </w:pPr>
      <w:r>
        <w:rPr>
          <w:rFonts w:ascii="Times New Roman" w:hAnsi="Times New Roman" w:cs="Times New Roman"/>
          <w:b/>
          <w:color w:val="000001"/>
          <w:sz w:val="22"/>
          <w:szCs w:val="22"/>
          <w:highlight w:val="white"/>
        </w:rPr>
        <w:t>(C Art do RJ/1736)GRUPO MONTE BASTIONE</w:t>
      </w:r>
    </w:p>
    <w:p w:rsidR="00573B5C" w:rsidRDefault="00573B5C">
      <w:pPr>
        <w:spacing w:line="276" w:lineRule="auto"/>
        <w:jc w:val="center"/>
        <w:rPr>
          <w:rFonts w:ascii="Times New Roman" w:hAnsi="Times New Roman" w:cs="Times New Roman"/>
          <w:b/>
          <w:color w:val="000001"/>
          <w:sz w:val="22"/>
          <w:szCs w:val="22"/>
          <w:highlight w:val="white"/>
        </w:rPr>
      </w:pPr>
    </w:p>
    <w:p w:rsidR="00573B5C" w:rsidRDefault="00573B5C">
      <w:pPr>
        <w:spacing w:line="276" w:lineRule="auto"/>
        <w:jc w:val="center"/>
        <w:rPr>
          <w:rFonts w:ascii="Times New Roman" w:hAnsi="Times New Roman" w:cs="Times New Roman"/>
          <w:b/>
          <w:i/>
          <w:color w:val="000001"/>
          <w:highlight w:val="white"/>
        </w:rPr>
      </w:pPr>
    </w:p>
    <w:p w:rsidR="00573B5C" w:rsidRDefault="00652E32">
      <w:pPr>
        <w:spacing w:line="276" w:lineRule="auto"/>
        <w:jc w:val="center"/>
        <w:rPr>
          <w:color w:val="000001"/>
          <w:highlight w:val="white"/>
        </w:rPr>
      </w:pPr>
      <w:r>
        <w:rPr>
          <w:rFonts w:ascii="Times New Roman" w:hAnsi="Times New Roman" w:cs="Times New Roman"/>
          <w:b/>
          <w:color w:val="000001"/>
          <w:highlight w:val="white"/>
        </w:rPr>
        <w:t>AVISO DE DISPENSA ELETRÔNICA Nº 51/2021</w:t>
      </w:r>
    </w:p>
    <w:p w:rsidR="00573B5C" w:rsidRDefault="00652E32">
      <w:pPr>
        <w:spacing w:after="120" w:line="276" w:lineRule="auto"/>
        <w:ind w:right="-15"/>
        <w:jc w:val="center"/>
        <w:rPr>
          <w:rFonts w:ascii="Times New Roman" w:hAnsi="Times New Roman" w:cs="Times New Roman"/>
          <w:color w:val="000001"/>
          <w:highlight w:val="white"/>
        </w:rPr>
      </w:pPr>
      <w:r>
        <w:rPr>
          <w:rFonts w:ascii="Times New Roman" w:hAnsi="Times New Roman" w:cs="Times New Roman"/>
          <w:b/>
          <w:color w:val="000001"/>
          <w:highlight w:val="white"/>
        </w:rPr>
        <w:t>(Processo Administrativo n.°</w:t>
      </w:r>
      <w:r>
        <w:rPr>
          <w:rFonts w:ascii="Times New Roman" w:hAnsi="Times New Roman" w:cs="Times New Roman"/>
          <w:color w:val="000001"/>
          <w:highlight w:val="white"/>
        </w:rPr>
        <w:t>64555.007308/2021-25</w:t>
      </w:r>
      <w:r>
        <w:rPr>
          <w:rFonts w:ascii="Times New Roman" w:hAnsi="Times New Roman" w:cs="Times New Roman"/>
          <w:b/>
          <w:color w:val="000001"/>
          <w:highlight w:val="white"/>
        </w:rPr>
        <w:t>)</w:t>
      </w:r>
    </w:p>
    <w:p w:rsidR="00573B5C" w:rsidRDefault="00573B5C">
      <w:pPr>
        <w:spacing w:line="276" w:lineRule="auto"/>
        <w:jc w:val="center"/>
        <w:rPr>
          <w:b/>
          <w:i/>
          <w:color w:val="000001"/>
          <w:highlight w:val="white"/>
        </w:rPr>
      </w:pPr>
    </w:p>
    <w:p w:rsidR="00573B5C" w:rsidRDefault="00573B5C">
      <w:pPr>
        <w:rPr>
          <w:color w:val="000001"/>
          <w:highlight w:val="white"/>
        </w:rPr>
      </w:pPr>
    </w:p>
    <w:p w:rsidR="00573B5C" w:rsidRDefault="00652E32">
      <w:pPr>
        <w:spacing w:after="120" w:line="276" w:lineRule="auto"/>
        <w:ind w:right="-30" w:firstLine="540"/>
        <w:jc w:val="both"/>
        <w:rPr>
          <w:color w:val="000001"/>
          <w:highlight w:val="white"/>
        </w:rPr>
      </w:pPr>
      <w:r>
        <w:rPr>
          <w:rFonts w:ascii="Times New Roman" w:hAnsi="Times New Roman" w:cs="Times New Roman"/>
          <w:color w:val="000001"/>
          <w:highlight w:val="white"/>
        </w:rPr>
        <w:t>Torna-se público que o 21º Grupo de Artilharia de Campanha, por meio da Seção de Aquisições, Licitações e Contratos, realizará Dispensa Eletrônica, com critério de julgamento</w:t>
      </w:r>
      <w:r>
        <w:rPr>
          <w:rFonts w:ascii="Times New Roman" w:hAnsi="Times New Roman" w:cs="Times New Roman"/>
          <w:b/>
          <w:color w:val="000001"/>
          <w:highlight w:val="white"/>
        </w:rPr>
        <w:t xml:space="preserve"> </w:t>
      </w:r>
      <w:r>
        <w:rPr>
          <w:rFonts w:ascii="Times New Roman" w:hAnsi="Times New Roman" w:cs="Times New Roman"/>
          <w:color w:val="000001"/>
          <w:highlight w:val="white"/>
        </w:rPr>
        <w:t>de menor preço</w:t>
      </w:r>
      <w:r>
        <w:rPr>
          <w:rFonts w:ascii="Times New Roman" w:hAnsi="Times New Roman" w:cs="Times New Roman"/>
          <w:b/>
          <w:color w:val="000001"/>
          <w:highlight w:val="white"/>
        </w:rPr>
        <w:t xml:space="preserve">, </w:t>
      </w:r>
      <w:r>
        <w:rPr>
          <w:rFonts w:ascii="Times New Roman" w:hAnsi="Times New Roman" w:cs="Times New Roman"/>
          <w:color w:val="000001"/>
          <w:highlight w:val="white"/>
        </w:rPr>
        <w:t xml:space="preserve">na hipótese do art. 75, inciso </w:t>
      </w:r>
      <w:r>
        <w:rPr>
          <w:rFonts w:ascii="Times New Roman" w:hAnsi="Times New Roman" w:cs="Times New Roman"/>
          <w:b/>
          <w:color w:val="000001"/>
          <w:highlight w:val="white"/>
        </w:rPr>
        <w:t>II</w:t>
      </w:r>
      <w:r>
        <w:rPr>
          <w:rFonts w:ascii="Times New Roman" w:hAnsi="Times New Roman" w:cs="Times New Roman"/>
          <w:color w:val="000001"/>
          <w:highlight w:val="white"/>
        </w:rPr>
        <w:t>, nos termos da Lei nº 14.133, de 1º de abril de 2021, da Instrução Normativa SEGES/ME nº 67/2021 e demais legislação aplicável.</w:t>
      </w:r>
    </w:p>
    <w:p w:rsidR="00573B5C" w:rsidRDefault="00573B5C">
      <w:pPr>
        <w:spacing w:line="276" w:lineRule="auto"/>
        <w:jc w:val="both"/>
        <w:rPr>
          <w:color w:val="000001"/>
          <w:highlight w:val="white"/>
        </w:rPr>
      </w:pPr>
    </w:p>
    <w:p w:rsidR="00573B5C" w:rsidRDefault="00652E32">
      <w:pPr>
        <w:spacing w:line="276" w:lineRule="auto"/>
        <w:jc w:val="both"/>
        <w:rPr>
          <w:color w:val="000001"/>
          <w:highlight w:val="white"/>
        </w:rPr>
      </w:pPr>
      <w:r>
        <w:rPr>
          <w:color w:val="000001"/>
          <w:highlight w:val="white"/>
        </w:rPr>
        <w:t>Data/horário: início de recebimento das propostas 09/11/2021- 08h00min(horário de brasília);</w:t>
      </w:r>
    </w:p>
    <w:p w:rsidR="00573B5C" w:rsidRDefault="00652E32">
      <w:pPr>
        <w:spacing w:line="276" w:lineRule="auto"/>
        <w:jc w:val="both"/>
        <w:rPr>
          <w:color w:val="000001"/>
          <w:highlight w:val="white"/>
        </w:rPr>
      </w:pPr>
      <w:r>
        <w:rPr>
          <w:color w:val="000001"/>
          <w:highlight w:val="white"/>
        </w:rPr>
        <w:t>Data/horário: término da sessão 12/11/2021- 14h00min(horário de brasília)</w:t>
      </w:r>
    </w:p>
    <w:p w:rsidR="00573B5C" w:rsidRDefault="00652E32">
      <w:pPr>
        <w:rPr>
          <w:color w:val="000001"/>
          <w:highlight w:val="white"/>
        </w:rPr>
      </w:pPr>
      <w:r>
        <w:rPr>
          <w:color w:val="000001"/>
          <w:highlight w:val="white"/>
        </w:rPr>
        <w:t>Link: Portal de compras do Governo Federal</w:t>
      </w:r>
    </w:p>
    <w:p w:rsidR="00573B5C" w:rsidRDefault="00652E32">
      <w:pPr>
        <w:rPr>
          <w:color w:val="000001"/>
          <w:highlight w:val="white"/>
        </w:rPr>
      </w:pPr>
      <w:r>
        <w:rPr>
          <w:color w:val="000001"/>
          <w:highlight w:val="white"/>
        </w:rPr>
        <w:t>www.comrpasgovernamentais.gov.br</w:t>
      </w:r>
    </w:p>
    <w:p w:rsidR="00573B5C" w:rsidRDefault="00652E32">
      <w:pPr>
        <w:rPr>
          <w:rFonts w:eastAsia="Arial" w:cs="Arial"/>
          <w:b/>
          <w:color w:val="000001"/>
          <w:szCs w:val="20"/>
          <w:highlight w:val="white"/>
        </w:rPr>
      </w:pPr>
      <w:r>
        <w:rPr>
          <w:color w:val="000001"/>
          <w:highlight w:val="white"/>
        </w:rPr>
        <w:t>Horário da Fase de Lances: 8:00 às 14:00hrs</w:t>
      </w:r>
    </w:p>
    <w:p w:rsidR="00573B5C" w:rsidRDefault="00652E32">
      <w:pPr>
        <w:keepNext/>
        <w:numPr>
          <w:ilvl w:val="0"/>
          <w:numId w:val="6"/>
        </w:numPr>
        <w:spacing w:before="120" w:after="120" w:line="276" w:lineRule="auto"/>
        <w:jc w:val="both"/>
        <w:rPr>
          <w:color w:val="000001"/>
          <w:highlight w:val="white"/>
        </w:rPr>
      </w:pPr>
      <w:r>
        <w:rPr>
          <w:rFonts w:ascii="Times New Roman" w:hAnsi="Times New Roman" w:cs="Times New Roman"/>
          <w:b/>
          <w:color w:val="000001"/>
          <w:highlight w:val="white"/>
        </w:rPr>
        <w:t>OBJETO DA CONTRATAÇÃO DIRETA</w:t>
      </w:r>
    </w:p>
    <w:p w:rsidR="00573B5C" w:rsidRDefault="00652E32">
      <w:pPr>
        <w:keepNext/>
        <w:numPr>
          <w:ilvl w:val="1"/>
          <w:numId w:val="6"/>
        </w:numPr>
        <w:spacing w:before="120" w:after="120" w:line="276" w:lineRule="auto"/>
        <w:jc w:val="both"/>
        <w:rPr>
          <w:color w:val="000001"/>
          <w:highlight w:val="white"/>
        </w:rPr>
      </w:pPr>
      <w:r>
        <w:rPr>
          <w:rFonts w:ascii="Times New Roman" w:hAnsi="Times New Roman" w:cs="Times New Roman"/>
          <w:color w:val="000001"/>
          <w:highlight w:val="white"/>
        </w:rPr>
        <w:t>O objeto da presente dispensa é a escolha da proposta mais vantajosa para a aquisição por dispensa de licitação de Gêneros Alimentícios para atender a demanda do Setor de Aprovisionamento do 21° Grupo de Artilharia de Campanha, conforme condições, quantidades e exigências estabelecidas neste Aviso de Contratação Direta e seus anexos.</w:t>
      </w:r>
    </w:p>
    <w:tbl>
      <w:tblPr>
        <w:tblStyle w:val="a"/>
        <w:tblW w:w="10745" w:type="dxa"/>
        <w:tblInd w:w="-112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400"/>
      </w:tblPr>
      <w:tblGrid>
        <w:gridCol w:w="745"/>
        <w:gridCol w:w="2010"/>
        <w:gridCol w:w="1125"/>
        <w:gridCol w:w="1200"/>
        <w:gridCol w:w="1530"/>
        <w:gridCol w:w="1425"/>
        <w:gridCol w:w="1356"/>
        <w:gridCol w:w="1354"/>
      </w:tblGrid>
      <w:tr w:rsidR="00573B5C">
        <w:trPr>
          <w:cantSplit/>
          <w:tblHeader/>
        </w:trPr>
        <w:tc>
          <w:tcPr>
            <w:tcW w:w="74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jc w:val="center"/>
              <w:rPr>
                <w:rFonts w:ascii="Times New Roman" w:hAnsi="Times New Roman" w:cs="Times New Roman"/>
                <w:b/>
                <w:color w:val="000001"/>
                <w:highlight w:val="white"/>
              </w:rPr>
            </w:pPr>
            <w:r>
              <w:rPr>
                <w:rFonts w:ascii="Times New Roman" w:hAnsi="Times New Roman" w:cs="Times New Roman"/>
                <w:b/>
                <w:color w:val="000001"/>
                <w:highlight w:val="white"/>
              </w:rPr>
              <w:t>ITEM</w:t>
            </w:r>
          </w:p>
          <w:p w:rsidR="00573B5C" w:rsidRDefault="00573B5C">
            <w:pPr>
              <w:widowControl w:val="0"/>
              <w:jc w:val="center"/>
              <w:rPr>
                <w:rFonts w:ascii="Times New Roman" w:hAnsi="Times New Roman" w:cs="Times New Roman"/>
                <w:b/>
                <w:color w:val="000001"/>
                <w:highlight w:val="white"/>
              </w:rPr>
            </w:pPr>
          </w:p>
        </w:tc>
        <w:tc>
          <w:tcPr>
            <w:tcW w:w="201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jc w:val="center"/>
              <w:rPr>
                <w:rFonts w:ascii="Times New Roman" w:hAnsi="Times New Roman" w:cs="Times New Roman"/>
                <w:b/>
                <w:color w:val="000001"/>
                <w:highlight w:val="white"/>
              </w:rPr>
            </w:pPr>
            <w:r>
              <w:rPr>
                <w:rFonts w:ascii="Times New Roman" w:hAnsi="Times New Roman" w:cs="Times New Roman"/>
                <w:b/>
                <w:color w:val="000001"/>
                <w:highlight w:val="white"/>
              </w:rPr>
              <w:t>DESCRIÇÃO/</w:t>
            </w:r>
          </w:p>
          <w:p w:rsidR="00573B5C" w:rsidRDefault="00652E32">
            <w:pPr>
              <w:widowControl w:val="0"/>
              <w:jc w:val="center"/>
              <w:rPr>
                <w:rFonts w:ascii="Times New Roman" w:hAnsi="Times New Roman" w:cs="Times New Roman"/>
                <w:color w:val="000001"/>
                <w:highlight w:val="white"/>
              </w:rPr>
            </w:pPr>
            <w:r>
              <w:rPr>
                <w:rFonts w:ascii="Times New Roman" w:hAnsi="Times New Roman" w:cs="Times New Roman"/>
                <w:b/>
                <w:color w:val="000001"/>
                <w:highlight w:val="white"/>
              </w:rPr>
              <w:t>ESPECIFICAÇÃO</w:t>
            </w:r>
          </w:p>
        </w:tc>
        <w:tc>
          <w:tcPr>
            <w:tcW w:w="11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jc w:val="center"/>
              <w:rPr>
                <w:rFonts w:ascii="Times New Roman" w:hAnsi="Times New Roman" w:cs="Times New Roman"/>
                <w:b/>
                <w:color w:val="000001"/>
                <w:highlight w:val="white"/>
              </w:rPr>
            </w:pPr>
            <w:r>
              <w:rPr>
                <w:rFonts w:ascii="Times New Roman" w:hAnsi="Times New Roman" w:cs="Times New Roman"/>
                <w:b/>
                <w:color w:val="000001"/>
                <w:highlight w:val="white"/>
              </w:rPr>
              <w:t>CATSER/</w:t>
            </w:r>
          </w:p>
          <w:p w:rsidR="00573B5C" w:rsidRDefault="00652E32">
            <w:pPr>
              <w:widowControl w:val="0"/>
              <w:jc w:val="center"/>
              <w:rPr>
                <w:rFonts w:ascii="Times New Roman" w:hAnsi="Times New Roman" w:cs="Times New Roman"/>
                <w:b/>
                <w:color w:val="000001"/>
                <w:highlight w:val="white"/>
              </w:rPr>
            </w:pPr>
            <w:r>
              <w:rPr>
                <w:rFonts w:ascii="Times New Roman" w:hAnsi="Times New Roman" w:cs="Times New Roman"/>
                <w:b/>
                <w:color w:val="000001"/>
                <w:highlight w:val="white"/>
              </w:rPr>
              <w:t>CATMAT</w:t>
            </w:r>
          </w:p>
        </w:tc>
        <w:tc>
          <w:tcPr>
            <w:tcW w:w="120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jc w:val="center"/>
              <w:rPr>
                <w:rFonts w:ascii="Times New Roman" w:hAnsi="Times New Roman" w:cs="Times New Roman"/>
                <w:color w:val="000001"/>
                <w:highlight w:val="white"/>
              </w:rPr>
            </w:pPr>
            <w:r>
              <w:rPr>
                <w:rFonts w:ascii="Times New Roman" w:hAnsi="Times New Roman" w:cs="Times New Roman"/>
                <w:b/>
                <w:color w:val="000001"/>
                <w:highlight w:val="white"/>
              </w:rPr>
              <w:t>UNIDADE DE MEDIDA</w:t>
            </w:r>
          </w:p>
        </w:tc>
        <w:tc>
          <w:tcPr>
            <w:tcW w:w="153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jc w:val="center"/>
              <w:rPr>
                <w:color w:val="000001"/>
                <w:highlight w:val="white"/>
              </w:rPr>
            </w:pPr>
            <w:r>
              <w:rPr>
                <w:rFonts w:ascii="Times New Roman" w:hAnsi="Times New Roman" w:cs="Times New Roman"/>
                <w:b/>
                <w:color w:val="000001"/>
                <w:highlight w:val="white"/>
              </w:rPr>
              <w:t>QUANTIDADE</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jc w:val="center"/>
              <w:rPr>
                <w:rFonts w:ascii="Times New Roman" w:hAnsi="Times New Roman" w:cs="Times New Roman"/>
                <w:b/>
                <w:color w:val="000001"/>
                <w:highlight w:val="white"/>
              </w:rPr>
            </w:pPr>
            <w:r>
              <w:rPr>
                <w:rFonts w:ascii="Times New Roman" w:hAnsi="Times New Roman" w:cs="Times New Roman"/>
                <w:b/>
                <w:color w:val="000001"/>
                <w:highlight w:val="white"/>
              </w:rPr>
              <w:t>PREÇO ESTIMADO</w:t>
            </w:r>
          </w:p>
        </w:tc>
        <w:tc>
          <w:tcPr>
            <w:tcW w:w="1356"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jc w:val="center"/>
              <w:rPr>
                <w:rFonts w:ascii="Times New Roman" w:hAnsi="Times New Roman" w:cs="Times New Roman"/>
                <w:b/>
                <w:color w:val="000001"/>
                <w:highlight w:val="white"/>
              </w:rPr>
            </w:pPr>
            <w:r>
              <w:rPr>
                <w:rFonts w:ascii="Times New Roman" w:hAnsi="Times New Roman" w:cs="Times New Roman"/>
                <w:b/>
                <w:color w:val="000001"/>
                <w:highlight w:val="white"/>
              </w:rPr>
              <w:t>LOCAL DE EXECUÇÃO</w:t>
            </w:r>
          </w:p>
        </w:tc>
        <w:tc>
          <w:tcPr>
            <w:tcW w:w="1354"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jc w:val="center"/>
              <w:rPr>
                <w:rFonts w:ascii="Times New Roman" w:hAnsi="Times New Roman" w:cs="Times New Roman"/>
                <w:b/>
                <w:color w:val="000001"/>
                <w:highlight w:val="white"/>
              </w:rPr>
            </w:pPr>
            <w:r>
              <w:rPr>
                <w:rFonts w:ascii="Times New Roman" w:hAnsi="Times New Roman" w:cs="Times New Roman"/>
                <w:b/>
                <w:color w:val="000001"/>
                <w:highlight w:val="white"/>
              </w:rPr>
              <w:t>PRAZO DE EXECUÇÃO</w:t>
            </w:r>
          </w:p>
        </w:tc>
      </w:tr>
      <w:tr w:rsidR="00573B5C">
        <w:trPr>
          <w:cantSplit/>
          <w:tblHeader/>
        </w:trPr>
        <w:tc>
          <w:tcPr>
            <w:tcW w:w="74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b/>
                <w:color w:val="000001"/>
                <w:highlight w:val="white"/>
              </w:rPr>
            </w:pPr>
            <w:r>
              <w:rPr>
                <w:rFonts w:ascii="Times New Roman" w:hAnsi="Times New Roman" w:cs="Times New Roman"/>
                <w:b/>
                <w:color w:val="000001"/>
                <w:highlight w:val="white"/>
              </w:rPr>
              <w:t>1</w:t>
            </w:r>
          </w:p>
        </w:tc>
        <w:tc>
          <w:tcPr>
            <w:tcW w:w="201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rPr>
                <w:rFonts w:ascii="Calibri" w:eastAsia="Calibri" w:hAnsi="Calibri" w:cs="Calibri"/>
                <w:color w:val="000001"/>
                <w:sz w:val="22"/>
                <w:szCs w:val="22"/>
                <w:highlight w:val="white"/>
              </w:rPr>
            </w:pPr>
            <w:r>
              <w:rPr>
                <w:rFonts w:ascii="Calibri" w:eastAsia="Calibri" w:hAnsi="Calibri" w:cs="Calibri"/>
                <w:color w:val="000001"/>
                <w:sz w:val="22"/>
                <w:szCs w:val="22"/>
                <w:highlight w:val="white"/>
              </w:rPr>
              <w:t xml:space="preserve">        Pão Careca </w:t>
            </w:r>
          </w:p>
        </w:tc>
        <w:tc>
          <w:tcPr>
            <w:tcW w:w="11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color w:val="000001"/>
                <w:highlight w:val="white"/>
              </w:rPr>
            </w:pPr>
            <w:r>
              <w:rPr>
                <w:rFonts w:ascii="Times New Roman" w:hAnsi="Times New Roman" w:cs="Times New Roman"/>
                <w:color w:val="000001"/>
                <w:highlight w:val="white"/>
              </w:rPr>
              <w:t>460385</w:t>
            </w:r>
          </w:p>
        </w:tc>
        <w:tc>
          <w:tcPr>
            <w:tcW w:w="120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Verdana" w:eastAsia="Verdana" w:hAnsi="Verdana" w:cs="Verdana"/>
                <w:color w:val="000001"/>
                <w:highlight w:val="white"/>
              </w:rPr>
            </w:pPr>
            <w:r>
              <w:rPr>
                <w:rFonts w:ascii="Verdana" w:eastAsia="Verdana" w:hAnsi="Verdana" w:cs="Verdana"/>
                <w:color w:val="000001"/>
                <w:highlight w:val="white"/>
              </w:rPr>
              <w:t>UND</w:t>
            </w:r>
          </w:p>
        </w:tc>
        <w:tc>
          <w:tcPr>
            <w:tcW w:w="153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Verdana" w:eastAsia="Verdana" w:hAnsi="Verdana" w:cs="Verdana"/>
                <w:color w:val="000001"/>
                <w:highlight w:val="white"/>
              </w:rPr>
            </w:pPr>
            <w:r>
              <w:rPr>
                <w:rFonts w:ascii="Verdana" w:eastAsia="Verdana" w:hAnsi="Verdana" w:cs="Verdana"/>
                <w:color w:val="000001"/>
                <w:highlight w:val="white"/>
              </w:rPr>
              <w:t>1600</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Calibri" w:eastAsia="Calibri" w:hAnsi="Calibri" w:cs="Calibri"/>
                <w:color w:val="000001"/>
                <w:sz w:val="22"/>
                <w:szCs w:val="22"/>
                <w:highlight w:val="white"/>
              </w:rPr>
            </w:pPr>
            <w:r>
              <w:rPr>
                <w:rFonts w:ascii="Calibri" w:eastAsia="Calibri" w:hAnsi="Calibri" w:cs="Calibri"/>
                <w:color w:val="000001"/>
                <w:sz w:val="22"/>
                <w:szCs w:val="22"/>
                <w:highlight w:val="white"/>
              </w:rPr>
              <w:t>1680,00</w:t>
            </w:r>
          </w:p>
        </w:tc>
        <w:tc>
          <w:tcPr>
            <w:tcW w:w="1356"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color w:val="000001"/>
                <w:highlight w:val="white"/>
              </w:rPr>
            </w:pPr>
            <w:bookmarkStart w:id="0" w:name="_heading=h.gjdgxs" w:colFirst="0" w:colLast="0"/>
            <w:bookmarkEnd w:id="0"/>
            <w:r>
              <w:rPr>
                <w:color w:val="000001"/>
                <w:highlight w:val="white"/>
              </w:rPr>
              <w:t>21° GAC</w:t>
            </w:r>
          </w:p>
        </w:tc>
        <w:tc>
          <w:tcPr>
            <w:tcW w:w="1354"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color w:val="000001"/>
                <w:highlight w:val="white"/>
              </w:rPr>
            </w:pPr>
            <w:r>
              <w:rPr>
                <w:rFonts w:ascii="Times New Roman" w:hAnsi="Times New Roman" w:cs="Times New Roman"/>
                <w:color w:val="000001"/>
                <w:highlight w:val="white"/>
              </w:rPr>
              <w:t>8( oito) dias</w:t>
            </w:r>
          </w:p>
        </w:tc>
      </w:tr>
      <w:tr w:rsidR="00573B5C">
        <w:trPr>
          <w:cantSplit/>
          <w:tblHeader/>
        </w:trPr>
        <w:tc>
          <w:tcPr>
            <w:tcW w:w="74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b/>
                <w:color w:val="000001"/>
                <w:highlight w:val="white"/>
              </w:rPr>
            </w:pPr>
            <w:r>
              <w:rPr>
                <w:rFonts w:ascii="Times New Roman" w:hAnsi="Times New Roman" w:cs="Times New Roman"/>
                <w:b/>
                <w:color w:val="000001"/>
                <w:highlight w:val="white"/>
              </w:rPr>
              <w:t>2</w:t>
            </w:r>
          </w:p>
        </w:tc>
        <w:tc>
          <w:tcPr>
            <w:tcW w:w="201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rPr>
                <w:rFonts w:ascii="Calibri" w:eastAsia="Calibri" w:hAnsi="Calibri" w:cs="Calibri"/>
                <w:color w:val="000001"/>
                <w:sz w:val="22"/>
                <w:szCs w:val="22"/>
                <w:highlight w:val="white"/>
              </w:rPr>
            </w:pPr>
            <w:r>
              <w:rPr>
                <w:rFonts w:ascii="Calibri" w:eastAsia="Calibri" w:hAnsi="Calibri" w:cs="Calibri"/>
                <w:color w:val="000001"/>
                <w:sz w:val="22"/>
                <w:szCs w:val="22"/>
                <w:highlight w:val="white"/>
              </w:rPr>
              <w:t xml:space="preserve">    Bolo de Padaria </w:t>
            </w:r>
          </w:p>
        </w:tc>
        <w:tc>
          <w:tcPr>
            <w:tcW w:w="11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Calibri" w:eastAsia="Calibri" w:hAnsi="Calibri" w:cs="Calibri"/>
                <w:color w:val="000001"/>
                <w:highlight w:val="white"/>
              </w:rPr>
            </w:pPr>
            <w:r>
              <w:rPr>
                <w:rFonts w:ascii="Calibri" w:eastAsia="Calibri" w:hAnsi="Calibri" w:cs="Calibri"/>
                <w:color w:val="000001"/>
                <w:highlight w:val="white"/>
              </w:rPr>
              <w:t>6262</w:t>
            </w:r>
          </w:p>
        </w:tc>
        <w:tc>
          <w:tcPr>
            <w:tcW w:w="120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Verdana" w:eastAsia="Verdana" w:hAnsi="Verdana" w:cs="Verdana"/>
                <w:color w:val="000001"/>
                <w:highlight w:val="white"/>
              </w:rPr>
            </w:pPr>
            <w:r>
              <w:rPr>
                <w:rFonts w:ascii="Verdana" w:eastAsia="Verdana" w:hAnsi="Verdana" w:cs="Verdana"/>
                <w:color w:val="000001"/>
                <w:highlight w:val="white"/>
              </w:rPr>
              <w:t xml:space="preserve">UND </w:t>
            </w:r>
          </w:p>
        </w:tc>
        <w:tc>
          <w:tcPr>
            <w:tcW w:w="153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Verdana" w:eastAsia="Verdana" w:hAnsi="Verdana" w:cs="Verdana"/>
                <w:color w:val="000001"/>
                <w:highlight w:val="white"/>
              </w:rPr>
            </w:pPr>
            <w:r>
              <w:rPr>
                <w:rFonts w:ascii="Verdana" w:eastAsia="Verdana" w:hAnsi="Verdana" w:cs="Verdana"/>
                <w:color w:val="000001"/>
                <w:highlight w:val="white"/>
              </w:rPr>
              <w:t>50</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Calibri" w:eastAsia="Calibri" w:hAnsi="Calibri" w:cs="Calibri"/>
                <w:color w:val="000001"/>
                <w:sz w:val="22"/>
                <w:szCs w:val="22"/>
                <w:highlight w:val="white"/>
              </w:rPr>
            </w:pPr>
            <w:r>
              <w:rPr>
                <w:rFonts w:ascii="Calibri" w:eastAsia="Calibri" w:hAnsi="Calibri" w:cs="Calibri"/>
                <w:color w:val="000001"/>
                <w:sz w:val="22"/>
                <w:szCs w:val="22"/>
                <w:highlight w:val="white"/>
              </w:rPr>
              <w:t>750,00</w:t>
            </w:r>
          </w:p>
        </w:tc>
        <w:tc>
          <w:tcPr>
            <w:tcW w:w="1356"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color w:val="000001"/>
                <w:highlight w:val="white"/>
              </w:rPr>
            </w:pPr>
            <w:r>
              <w:rPr>
                <w:color w:val="000001"/>
                <w:highlight w:val="white"/>
              </w:rPr>
              <w:t>21° GAC</w:t>
            </w:r>
          </w:p>
        </w:tc>
        <w:tc>
          <w:tcPr>
            <w:tcW w:w="1354"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color w:val="000001"/>
                <w:highlight w:val="white"/>
              </w:rPr>
            </w:pPr>
            <w:r>
              <w:rPr>
                <w:rFonts w:ascii="Times New Roman" w:hAnsi="Times New Roman" w:cs="Times New Roman"/>
                <w:color w:val="000001"/>
                <w:highlight w:val="white"/>
              </w:rPr>
              <w:t>8( oito) dias</w:t>
            </w:r>
          </w:p>
        </w:tc>
      </w:tr>
      <w:tr w:rsidR="00573B5C">
        <w:trPr>
          <w:cantSplit/>
          <w:tblHeader/>
        </w:trPr>
        <w:tc>
          <w:tcPr>
            <w:tcW w:w="74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b/>
                <w:color w:val="000001"/>
                <w:highlight w:val="white"/>
              </w:rPr>
            </w:pPr>
            <w:r>
              <w:rPr>
                <w:rFonts w:ascii="Times New Roman" w:hAnsi="Times New Roman" w:cs="Times New Roman"/>
                <w:b/>
                <w:color w:val="000001"/>
                <w:highlight w:val="white"/>
              </w:rPr>
              <w:t>3</w:t>
            </w:r>
          </w:p>
        </w:tc>
        <w:tc>
          <w:tcPr>
            <w:tcW w:w="201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rPr>
                <w:rFonts w:ascii="Calibri" w:eastAsia="Calibri" w:hAnsi="Calibri" w:cs="Calibri"/>
                <w:color w:val="000001"/>
                <w:sz w:val="22"/>
                <w:szCs w:val="22"/>
                <w:highlight w:val="white"/>
              </w:rPr>
            </w:pPr>
            <w:r>
              <w:rPr>
                <w:rFonts w:ascii="Calibri" w:eastAsia="Calibri" w:hAnsi="Calibri" w:cs="Calibri"/>
                <w:color w:val="000001"/>
                <w:sz w:val="22"/>
                <w:szCs w:val="22"/>
                <w:highlight w:val="white"/>
              </w:rPr>
              <w:t xml:space="preserve">    Pão Francês 50g</w:t>
            </w:r>
          </w:p>
        </w:tc>
        <w:tc>
          <w:tcPr>
            <w:tcW w:w="11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Calibri" w:eastAsia="Calibri" w:hAnsi="Calibri" w:cs="Calibri"/>
                <w:color w:val="000001"/>
                <w:highlight w:val="white"/>
              </w:rPr>
            </w:pPr>
            <w:r>
              <w:rPr>
                <w:rFonts w:ascii="Calibri" w:eastAsia="Calibri" w:hAnsi="Calibri" w:cs="Calibri"/>
                <w:color w:val="000001"/>
                <w:highlight w:val="white"/>
              </w:rPr>
              <w:t>232597</w:t>
            </w:r>
          </w:p>
        </w:tc>
        <w:tc>
          <w:tcPr>
            <w:tcW w:w="120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Verdana" w:eastAsia="Verdana" w:hAnsi="Verdana" w:cs="Verdana"/>
                <w:color w:val="000001"/>
                <w:highlight w:val="white"/>
              </w:rPr>
            </w:pPr>
            <w:r>
              <w:rPr>
                <w:rFonts w:ascii="Verdana" w:eastAsia="Verdana" w:hAnsi="Verdana" w:cs="Verdana"/>
                <w:color w:val="000001"/>
                <w:highlight w:val="white"/>
              </w:rPr>
              <w:t>UND</w:t>
            </w:r>
          </w:p>
        </w:tc>
        <w:tc>
          <w:tcPr>
            <w:tcW w:w="153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Verdana" w:eastAsia="Verdana" w:hAnsi="Verdana" w:cs="Verdana"/>
                <w:color w:val="000001"/>
                <w:highlight w:val="white"/>
              </w:rPr>
            </w:pPr>
            <w:r>
              <w:rPr>
                <w:rFonts w:ascii="Verdana" w:eastAsia="Verdana" w:hAnsi="Verdana" w:cs="Verdana"/>
                <w:color w:val="000001"/>
                <w:highlight w:val="white"/>
              </w:rPr>
              <w:t>1000</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Calibri" w:eastAsia="Calibri" w:hAnsi="Calibri" w:cs="Calibri"/>
                <w:color w:val="000001"/>
                <w:sz w:val="22"/>
                <w:szCs w:val="22"/>
                <w:highlight w:val="white"/>
              </w:rPr>
            </w:pPr>
            <w:r>
              <w:rPr>
                <w:rFonts w:ascii="Calibri" w:eastAsia="Calibri" w:hAnsi="Calibri" w:cs="Calibri"/>
                <w:color w:val="000001"/>
                <w:sz w:val="22"/>
                <w:szCs w:val="22"/>
                <w:highlight w:val="white"/>
              </w:rPr>
              <w:t>950,00</w:t>
            </w:r>
          </w:p>
        </w:tc>
        <w:tc>
          <w:tcPr>
            <w:tcW w:w="1356"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color w:val="000001"/>
                <w:highlight w:val="white"/>
              </w:rPr>
            </w:pPr>
            <w:r>
              <w:rPr>
                <w:color w:val="000001"/>
                <w:highlight w:val="white"/>
              </w:rPr>
              <w:t>21° GAC</w:t>
            </w:r>
          </w:p>
        </w:tc>
        <w:tc>
          <w:tcPr>
            <w:tcW w:w="1354"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color w:val="000001"/>
                <w:highlight w:val="white"/>
              </w:rPr>
            </w:pPr>
            <w:r>
              <w:rPr>
                <w:rFonts w:ascii="Times New Roman" w:hAnsi="Times New Roman" w:cs="Times New Roman"/>
                <w:color w:val="000001"/>
                <w:highlight w:val="white"/>
              </w:rPr>
              <w:t>8( oito) dias</w:t>
            </w:r>
          </w:p>
        </w:tc>
      </w:tr>
      <w:tr w:rsidR="00573B5C">
        <w:trPr>
          <w:cantSplit/>
          <w:tblHeader/>
        </w:trPr>
        <w:tc>
          <w:tcPr>
            <w:tcW w:w="74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b/>
                <w:color w:val="000001"/>
                <w:highlight w:val="white"/>
              </w:rPr>
            </w:pPr>
            <w:r>
              <w:rPr>
                <w:rFonts w:ascii="Times New Roman" w:hAnsi="Times New Roman" w:cs="Times New Roman"/>
                <w:b/>
                <w:color w:val="000001"/>
                <w:highlight w:val="white"/>
              </w:rPr>
              <w:t>4</w:t>
            </w:r>
          </w:p>
        </w:tc>
        <w:tc>
          <w:tcPr>
            <w:tcW w:w="201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rPr>
                <w:rFonts w:ascii="Calibri" w:eastAsia="Calibri" w:hAnsi="Calibri" w:cs="Calibri"/>
                <w:color w:val="000001"/>
                <w:sz w:val="22"/>
                <w:szCs w:val="22"/>
                <w:highlight w:val="white"/>
              </w:rPr>
            </w:pPr>
            <w:r>
              <w:rPr>
                <w:rFonts w:ascii="Calibri" w:eastAsia="Calibri" w:hAnsi="Calibri" w:cs="Calibri"/>
                <w:color w:val="000001"/>
                <w:sz w:val="22"/>
                <w:szCs w:val="22"/>
                <w:highlight w:val="white"/>
              </w:rPr>
              <w:t xml:space="preserve">       Pão Doce</w:t>
            </w:r>
          </w:p>
        </w:tc>
        <w:tc>
          <w:tcPr>
            <w:tcW w:w="11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Calibri" w:eastAsia="Calibri" w:hAnsi="Calibri" w:cs="Calibri"/>
                <w:color w:val="000001"/>
                <w:highlight w:val="white"/>
              </w:rPr>
            </w:pPr>
            <w:r>
              <w:rPr>
                <w:rFonts w:ascii="Calibri" w:eastAsia="Calibri" w:hAnsi="Calibri" w:cs="Calibri"/>
                <w:color w:val="000001"/>
                <w:highlight w:val="white"/>
              </w:rPr>
              <w:t>460391</w:t>
            </w:r>
          </w:p>
        </w:tc>
        <w:tc>
          <w:tcPr>
            <w:tcW w:w="120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Verdana" w:eastAsia="Verdana" w:hAnsi="Verdana" w:cs="Verdana"/>
                <w:color w:val="000001"/>
                <w:highlight w:val="white"/>
              </w:rPr>
            </w:pPr>
            <w:r>
              <w:rPr>
                <w:rFonts w:ascii="Verdana" w:eastAsia="Verdana" w:hAnsi="Verdana" w:cs="Verdana"/>
                <w:color w:val="000001"/>
                <w:highlight w:val="white"/>
              </w:rPr>
              <w:t>UND</w:t>
            </w:r>
          </w:p>
        </w:tc>
        <w:tc>
          <w:tcPr>
            <w:tcW w:w="153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Verdana" w:eastAsia="Verdana" w:hAnsi="Verdana" w:cs="Verdana"/>
                <w:color w:val="000001"/>
                <w:highlight w:val="white"/>
              </w:rPr>
            </w:pPr>
            <w:r>
              <w:rPr>
                <w:rFonts w:ascii="Verdana" w:eastAsia="Verdana" w:hAnsi="Verdana" w:cs="Verdana"/>
                <w:color w:val="000001"/>
                <w:highlight w:val="white"/>
              </w:rPr>
              <w:t>1000</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Calibri" w:eastAsia="Calibri" w:hAnsi="Calibri" w:cs="Calibri"/>
                <w:color w:val="000001"/>
                <w:sz w:val="22"/>
                <w:szCs w:val="22"/>
                <w:highlight w:val="white"/>
              </w:rPr>
            </w:pPr>
            <w:r>
              <w:rPr>
                <w:rFonts w:ascii="Calibri" w:eastAsia="Calibri" w:hAnsi="Calibri" w:cs="Calibri"/>
                <w:color w:val="000001"/>
                <w:sz w:val="22"/>
                <w:szCs w:val="22"/>
                <w:highlight w:val="white"/>
              </w:rPr>
              <w:t>1750,00</w:t>
            </w:r>
          </w:p>
        </w:tc>
        <w:tc>
          <w:tcPr>
            <w:tcW w:w="1356"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color w:val="000001"/>
                <w:highlight w:val="white"/>
              </w:rPr>
            </w:pPr>
            <w:r>
              <w:rPr>
                <w:color w:val="000001"/>
                <w:highlight w:val="white"/>
              </w:rPr>
              <w:t>21° GAC</w:t>
            </w:r>
          </w:p>
        </w:tc>
        <w:tc>
          <w:tcPr>
            <w:tcW w:w="1354"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color w:val="000001"/>
                <w:highlight w:val="white"/>
              </w:rPr>
            </w:pPr>
            <w:r>
              <w:rPr>
                <w:rFonts w:ascii="Times New Roman" w:hAnsi="Times New Roman" w:cs="Times New Roman"/>
                <w:color w:val="000001"/>
                <w:highlight w:val="white"/>
              </w:rPr>
              <w:t>8( oito) dias</w:t>
            </w:r>
          </w:p>
        </w:tc>
      </w:tr>
      <w:tr w:rsidR="00573B5C">
        <w:trPr>
          <w:cantSplit/>
          <w:tblHeader/>
        </w:trPr>
        <w:tc>
          <w:tcPr>
            <w:tcW w:w="74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b/>
                <w:color w:val="000001"/>
                <w:highlight w:val="white"/>
              </w:rPr>
            </w:pPr>
            <w:r>
              <w:rPr>
                <w:rFonts w:ascii="Times New Roman" w:hAnsi="Times New Roman" w:cs="Times New Roman"/>
                <w:b/>
                <w:color w:val="000001"/>
                <w:highlight w:val="white"/>
              </w:rPr>
              <w:t>5</w:t>
            </w:r>
          </w:p>
        </w:tc>
        <w:tc>
          <w:tcPr>
            <w:tcW w:w="201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rPr>
                <w:rFonts w:ascii="Calibri" w:eastAsia="Calibri" w:hAnsi="Calibri" w:cs="Calibri"/>
                <w:color w:val="000001"/>
                <w:sz w:val="22"/>
                <w:szCs w:val="22"/>
                <w:highlight w:val="white"/>
              </w:rPr>
            </w:pPr>
            <w:r>
              <w:rPr>
                <w:rFonts w:ascii="Calibri" w:eastAsia="Calibri" w:hAnsi="Calibri" w:cs="Calibri"/>
                <w:color w:val="000001"/>
                <w:highlight w:val="white"/>
              </w:rPr>
              <w:t xml:space="preserve">  </w:t>
            </w:r>
            <w:r>
              <w:rPr>
                <w:rFonts w:ascii="Calibri" w:eastAsia="Calibri" w:hAnsi="Calibri" w:cs="Calibri"/>
                <w:color w:val="000001"/>
                <w:sz w:val="22"/>
                <w:szCs w:val="22"/>
                <w:highlight w:val="white"/>
              </w:rPr>
              <w:t xml:space="preserve">  Gelo Saco 5Kg</w:t>
            </w:r>
          </w:p>
        </w:tc>
        <w:tc>
          <w:tcPr>
            <w:tcW w:w="11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4569A5">
            <w:pPr>
              <w:jc w:val="center"/>
              <w:rPr>
                <w:rFonts w:ascii="Calibri" w:eastAsia="Calibri" w:hAnsi="Calibri" w:cs="Calibri"/>
                <w:color w:val="000001"/>
                <w:highlight w:val="white"/>
              </w:rPr>
            </w:pPr>
            <w:r w:rsidRPr="004569A5">
              <w:rPr>
                <w:rFonts w:ascii="Calibri" w:eastAsia="Calibri" w:hAnsi="Calibri" w:cs="Calibri"/>
                <w:color w:val="000001"/>
              </w:rPr>
              <w:t>217777</w:t>
            </w:r>
          </w:p>
        </w:tc>
        <w:tc>
          <w:tcPr>
            <w:tcW w:w="120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Verdana" w:eastAsia="Verdana" w:hAnsi="Verdana" w:cs="Verdana"/>
                <w:color w:val="000001"/>
                <w:highlight w:val="white"/>
              </w:rPr>
            </w:pPr>
            <w:r>
              <w:rPr>
                <w:rFonts w:ascii="Verdana" w:eastAsia="Verdana" w:hAnsi="Verdana" w:cs="Verdana"/>
                <w:color w:val="000001"/>
                <w:highlight w:val="white"/>
              </w:rPr>
              <w:t>Saco 5Kg</w:t>
            </w:r>
          </w:p>
        </w:tc>
        <w:tc>
          <w:tcPr>
            <w:tcW w:w="153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Verdana" w:eastAsia="Verdana" w:hAnsi="Verdana" w:cs="Verdana"/>
                <w:color w:val="000001"/>
                <w:highlight w:val="white"/>
              </w:rPr>
            </w:pPr>
            <w:r>
              <w:rPr>
                <w:rFonts w:ascii="Verdana" w:eastAsia="Verdana" w:hAnsi="Verdana" w:cs="Verdana"/>
                <w:color w:val="000001"/>
                <w:highlight w:val="white"/>
              </w:rPr>
              <w:t>84</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Calibri" w:eastAsia="Calibri" w:hAnsi="Calibri" w:cs="Calibri"/>
                <w:color w:val="000001"/>
                <w:sz w:val="22"/>
                <w:szCs w:val="22"/>
                <w:highlight w:val="white"/>
              </w:rPr>
            </w:pPr>
            <w:r>
              <w:rPr>
                <w:rFonts w:ascii="Calibri" w:eastAsia="Calibri" w:hAnsi="Calibri" w:cs="Calibri"/>
                <w:color w:val="000001"/>
                <w:sz w:val="22"/>
                <w:szCs w:val="22"/>
                <w:highlight w:val="white"/>
              </w:rPr>
              <w:t>915,60</w:t>
            </w:r>
          </w:p>
        </w:tc>
        <w:tc>
          <w:tcPr>
            <w:tcW w:w="1356"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color w:val="000001"/>
                <w:highlight w:val="white"/>
              </w:rPr>
            </w:pPr>
            <w:r>
              <w:rPr>
                <w:color w:val="000001"/>
                <w:highlight w:val="white"/>
              </w:rPr>
              <w:t>21° GAC</w:t>
            </w:r>
          </w:p>
        </w:tc>
        <w:tc>
          <w:tcPr>
            <w:tcW w:w="1354"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color w:val="000001"/>
                <w:highlight w:val="white"/>
              </w:rPr>
            </w:pPr>
            <w:r>
              <w:rPr>
                <w:rFonts w:ascii="Times New Roman" w:hAnsi="Times New Roman" w:cs="Times New Roman"/>
                <w:color w:val="000001"/>
                <w:highlight w:val="white"/>
              </w:rPr>
              <w:t>8( oito) dias</w:t>
            </w:r>
          </w:p>
        </w:tc>
      </w:tr>
      <w:tr w:rsidR="00573B5C">
        <w:trPr>
          <w:cantSplit/>
          <w:tblHeader/>
        </w:trPr>
        <w:tc>
          <w:tcPr>
            <w:tcW w:w="74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b/>
                <w:color w:val="000001"/>
                <w:highlight w:val="white"/>
              </w:rPr>
            </w:pPr>
            <w:r>
              <w:rPr>
                <w:rFonts w:ascii="Times New Roman" w:hAnsi="Times New Roman" w:cs="Times New Roman"/>
                <w:b/>
                <w:color w:val="000001"/>
                <w:highlight w:val="white"/>
              </w:rPr>
              <w:t>6</w:t>
            </w:r>
          </w:p>
        </w:tc>
        <w:tc>
          <w:tcPr>
            <w:tcW w:w="201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rPr>
                <w:rFonts w:ascii="Calibri" w:eastAsia="Calibri" w:hAnsi="Calibri" w:cs="Calibri"/>
                <w:color w:val="000001"/>
                <w:highlight w:val="white"/>
              </w:rPr>
            </w:pPr>
            <w:r>
              <w:rPr>
                <w:rFonts w:ascii="Calibri" w:eastAsia="Calibri" w:hAnsi="Calibri" w:cs="Calibri"/>
                <w:color w:val="000001"/>
                <w:highlight w:val="white"/>
              </w:rPr>
              <w:t xml:space="preserve">    Suco Concentrado    Caju 1 L</w:t>
            </w:r>
          </w:p>
        </w:tc>
        <w:tc>
          <w:tcPr>
            <w:tcW w:w="11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Calibri" w:eastAsia="Calibri" w:hAnsi="Calibri" w:cs="Calibri"/>
                <w:color w:val="000001"/>
                <w:highlight w:val="white"/>
              </w:rPr>
            </w:pPr>
            <w:r>
              <w:rPr>
                <w:rFonts w:ascii="Calibri" w:eastAsia="Calibri" w:hAnsi="Calibri" w:cs="Calibri"/>
                <w:color w:val="000001"/>
                <w:highlight w:val="white"/>
              </w:rPr>
              <w:t>464758</w:t>
            </w:r>
          </w:p>
        </w:tc>
        <w:tc>
          <w:tcPr>
            <w:tcW w:w="120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Verdana" w:eastAsia="Verdana" w:hAnsi="Verdana" w:cs="Verdana"/>
                <w:color w:val="000001"/>
                <w:highlight w:val="white"/>
              </w:rPr>
            </w:pPr>
            <w:r>
              <w:rPr>
                <w:rFonts w:ascii="Calibri" w:eastAsia="Calibri" w:hAnsi="Calibri" w:cs="Calibri"/>
                <w:color w:val="000001"/>
                <w:highlight w:val="white"/>
              </w:rPr>
              <w:t>Garrafa 1 L</w:t>
            </w:r>
          </w:p>
        </w:tc>
        <w:tc>
          <w:tcPr>
            <w:tcW w:w="153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Verdana" w:eastAsia="Verdana" w:hAnsi="Verdana" w:cs="Verdana"/>
                <w:color w:val="000001"/>
                <w:highlight w:val="white"/>
              </w:rPr>
            </w:pPr>
            <w:r>
              <w:rPr>
                <w:rFonts w:ascii="Verdana" w:eastAsia="Verdana" w:hAnsi="Verdana" w:cs="Verdana"/>
                <w:color w:val="000001"/>
                <w:highlight w:val="white"/>
              </w:rPr>
              <w:t>125</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jc w:val="center"/>
              <w:rPr>
                <w:rFonts w:ascii="Calibri" w:eastAsia="Calibri" w:hAnsi="Calibri" w:cs="Calibri"/>
                <w:color w:val="000001"/>
                <w:sz w:val="22"/>
                <w:szCs w:val="22"/>
                <w:highlight w:val="white"/>
              </w:rPr>
            </w:pPr>
            <w:r>
              <w:rPr>
                <w:rFonts w:ascii="Calibri" w:eastAsia="Calibri" w:hAnsi="Calibri" w:cs="Calibri"/>
                <w:color w:val="000001"/>
                <w:sz w:val="22"/>
                <w:szCs w:val="22"/>
                <w:highlight w:val="white"/>
              </w:rPr>
              <w:t>1123,75</w:t>
            </w:r>
          </w:p>
        </w:tc>
        <w:tc>
          <w:tcPr>
            <w:tcW w:w="1356"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color w:val="000001"/>
                <w:highlight w:val="white"/>
              </w:rPr>
            </w:pPr>
            <w:r>
              <w:rPr>
                <w:color w:val="000001"/>
                <w:highlight w:val="white"/>
              </w:rPr>
              <w:t>21° GAC</w:t>
            </w:r>
          </w:p>
        </w:tc>
        <w:tc>
          <w:tcPr>
            <w:tcW w:w="1354"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573B5C" w:rsidRDefault="00652E32">
            <w:pPr>
              <w:widowControl w:val="0"/>
              <w:spacing w:after="120" w:line="276" w:lineRule="auto"/>
              <w:jc w:val="center"/>
              <w:rPr>
                <w:rFonts w:ascii="Times New Roman" w:hAnsi="Times New Roman" w:cs="Times New Roman"/>
                <w:color w:val="000001"/>
                <w:highlight w:val="white"/>
              </w:rPr>
            </w:pPr>
            <w:r>
              <w:rPr>
                <w:rFonts w:ascii="Times New Roman" w:hAnsi="Times New Roman" w:cs="Times New Roman"/>
                <w:color w:val="000001"/>
                <w:highlight w:val="white"/>
              </w:rPr>
              <w:t>8( oito) dias</w:t>
            </w:r>
          </w:p>
        </w:tc>
      </w:tr>
    </w:tbl>
    <w:p w:rsidR="00573B5C" w:rsidRDefault="00573B5C">
      <w:pPr>
        <w:keepNext/>
        <w:spacing w:before="120" w:after="120" w:line="276" w:lineRule="auto"/>
        <w:rPr>
          <w:b/>
          <w:color w:val="000001"/>
          <w:highlight w:val="white"/>
        </w:rPr>
      </w:pPr>
    </w:p>
    <w:p w:rsidR="00573B5C" w:rsidRDefault="00652E32">
      <w:pPr>
        <w:numPr>
          <w:ilvl w:val="2"/>
          <w:numId w:val="5"/>
        </w:numPr>
        <w:pBdr>
          <w:top w:val="nil"/>
          <w:left w:val="nil"/>
          <w:bottom w:val="nil"/>
          <w:right w:val="nil"/>
          <w:between w:val="nil"/>
        </w:pBdr>
        <w:spacing w:before="120" w:after="120" w:line="276" w:lineRule="auto"/>
        <w:jc w:val="both"/>
        <w:rPr>
          <w:rFonts w:eastAsia="Arial" w:cs="Arial"/>
          <w:color w:val="000001"/>
          <w:szCs w:val="20"/>
          <w:highlight w:val="white"/>
        </w:rPr>
      </w:pPr>
      <w:r>
        <w:rPr>
          <w:rFonts w:eastAsia="Arial" w:cs="Arial"/>
          <w:color w:val="000001"/>
          <w:szCs w:val="20"/>
          <w:highlight w:val="white"/>
        </w:rPr>
        <w:t>Havendo mais de item ou lote faculta-se ao fornecedor a participação em quantos forem de seu interesse. Entretanto, optando-se por participar de um lote, deve o fornecedor enviar proposta para todos os itens que o compõem.</w:t>
      </w:r>
    </w:p>
    <w:p w:rsidR="00573B5C" w:rsidRDefault="00652E32">
      <w:pPr>
        <w:numPr>
          <w:ilvl w:val="1"/>
          <w:numId w:val="5"/>
        </w:numPr>
        <w:pBdr>
          <w:top w:val="nil"/>
          <w:left w:val="nil"/>
          <w:bottom w:val="nil"/>
          <w:right w:val="nil"/>
          <w:between w:val="nil"/>
        </w:pBdr>
        <w:spacing w:before="120" w:after="120" w:line="276" w:lineRule="auto"/>
        <w:jc w:val="both"/>
        <w:rPr>
          <w:rFonts w:eastAsia="Arial" w:cs="Arial"/>
          <w:color w:val="000001"/>
          <w:szCs w:val="20"/>
          <w:highlight w:val="white"/>
        </w:rPr>
      </w:pPr>
      <w:r>
        <w:rPr>
          <w:rFonts w:eastAsia="Arial" w:cs="Arial"/>
          <w:color w:val="000001"/>
          <w:szCs w:val="20"/>
          <w:highlight w:val="white"/>
        </w:rPr>
        <w:lastRenderedPageBreak/>
        <w:t>O critério de julgamento adotado será o</w:t>
      </w:r>
      <w:r>
        <w:rPr>
          <w:rFonts w:eastAsia="Arial" w:cs="Arial"/>
          <w:i/>
          <w:color w:val="000001"/>
          <w:szCs w:val="20"/>
          <w:highlight w:val="white"/>
        </w:rPr>
        <w:t xml:space="preserve"> menor preço,</w:t>
      </w:r>
      <w:r>
        <w:rPr>
          <w:rFonts w:eastAsia="Arial" w:cs="Arial"/>
          <w:color w:val="000001"/>
          <w:szCs w:val="20"/>
          <w:highlight w:val="white"/>
        </w:rPr>
        <w:t xml:space="preserve"> observadas as exigências contidas neste Aviso de Contratação Direta e seus Anexos quanto às especificações do objeto.</w:t>
      </w:r>
    </w:p>
    <w:p w:rsidR="00573B5C" w:rsidRDefault="00652E32">
      <w:pPr>
        <w:numPr>
          <w:ilvl w:val="0"/>
          <w:numId w:val="5"/>
        </w:numPr>
        <w:pBdr>
          <w:top w:val="nil"/>
          <w:left w:val="nil"/>
          <w:bottom w:val="nil"/>
          <w:right w:val="nil"/>
          <w:between w:val="nil"/>
        </w:pBdr>
        <w:spacing w:before="120" w:after="120" w:line="276" w:lineRule="auto"/>
        <w:jc w:val="both"/>
        <w:rPr>
          <w:rFonts w:eastAsia="Arial" w:cs="Arial"/>
          <w:b/>
          <w:color w:val="000001"/>
          <w:szCs w:val="20"/>
          <w:highlight w:val="white"/>
        </w:rPr>
      </w:pPr>
      <w:r>
        <w:rPr>
          <w:rFonts w:eastAsia="Arial" w:cs="Arial"/>
          <w:b/>
          <w:color w:val="000001"/>
          <w:szCs w:val="20"/>
          <w:highlight w:val="white"/>
        </w:rPr>
        <w:t>PARTICIPAÇÃO NA DISPENSA ELETRÔNICA.</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 xml:space="preserve">A participação na presente dispensa eletrônica se dará mediante Sistema de Dispensa Eletrônica integrante do Sistema de Compras do Governo Federal – Comprasnet 4.0, disponível no endereço eletrônico </w:t>
      </w:r>
      <w:r>
        <w:rPr>
          <w:rFonts w:ascii="Times New Roman" w:hAnsi="Times New Roman" w:cs="Times New Roman"/>
          <w:color w:val="000001"/>
          <w:highlight w:val="white"/>
        </w:rPr>
        <w:t xml:space="preserve"> </w:t>
      </w:r>
      <w:r>
        <w:rPr>
          <w:rFonts w:ascii="Times New Roman" w:hAnsi="Times New Roman" w:cs="Times New Roman"/>
          <w:b/>
          <w:color w:val="000001"/>
          <w:highlight w:val="white"/>
          <w:u w:val="single"/>
        </w:rPr>
        <w:t>https://pncp.gov.br/</w:t>
      </w:r>
    </w:p>
    <w:p w:rsidR="00573B5C" w:rsidRDefault="00652E32">
      <w:pPr>
        <w:numPr>
          <w:ilvl w:val="2"/>
          <w:numId w:val="5"/>
        </w:numPr>
        <w:spacing w:before="120" w:after="120" w:line="276" w:lineRule="auto"/>
        <w:jc w:val="both"/>
        <w:rPr>
          <w:color w:val="000001"/>
          <w:highlight w:val="white"/>
        </w:rPr>
      </w:pPr>
      <w:r>
        <w:rPr>
          <w:color w:val="000001"/>
          <w:highlight w:val="white"/>
        </w:rPr>
        <w:t>Os fornecedores deverão atender aos procedimentos previstos no Manual do Sistema de Dispensa Eletrônica, disponível no Portal de Compras do Governo Federal, para acesso ao sistema e operacionalização.</w:t>
      </w:r>
    </w:p>
    <w:p w:rsidR="00573B5C" w:rsidRDefault="00652E32">
      <w:pPr>
        <w:numPr>
          <w:ilvl w:val="2"/>
          <w:numId w:val="5"/>
        </w:numPr>
        <w:spacing w:before="120" w:after="120" w:line="276" w:lineRule="auto"/>
        <w:jc w:val="both"/>
        <w:rPr>
          <w:color w:val="000001"/>
          <w:highlight w:val="white"/>
        </w:rPr>
      </w:pPr>
      <w:r>
        <w:rPr>
          <w:color w:val="000001"/>
          <w:highlight w:val="whit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Não poderão participar desta dispensa os fornecedores:</w:t>
      </w:r>
    </w:p>
    <w:p w:rsidR="00573B5C" w:rsidRDefault="00652E32">
      <w:pPr>
        <w:numPr>
          <w:ilvl w:val="2"/>
          <w:numId w:val="5"/>
        </w:numPr>
        <w:spacing w:before="120" w:after="120" w:line="276" w:lineRule="auto"/>
        <w:jc w:val="both"/>
        <w:rPr>
          <w:color w:val="000001"/>
          <w:highlight w:val="white"/>
        </w:rPr>
      </w:pPr>
      <w:r>
        <w:rPr>
          <w:color w:val="000001"/>
          <w:highlight w:val="white"/>
        </w:rPr>
        <w:t>que não atendam às condições deste Aviso de Contratação Direta e seu(s) anexo(s);</w:t>
      </w:r>
    </w:p>
    <w:p w:rsidR="00573B5C" w:rsidRDefault="00652E32">
      <w:pPr>
        <w:numPr>
          <w:ilvl w:val="2"/>
          <w:numId w:val="5"/>
        </w:numPr>
        <w:spacing w:before="120" w:after="120" w:line="276" w:lineRule="auto"/>
        <w:jc w:val="both"/>
        <w:rPr>
          <w:color w:val="000001"/>
          <w:highlight w:val="white"/>
        </w:rPr>
      </w:pPr>
      <w:r>
        <w:rPr>
          <w:color w:val="000001"/>
          <w:highlight w:val="white"/>
        </w:rPr>
        <w:t>estrangeiros que não tenham representação legal no Brasil com poderes expressos para receber citação e responder administrativa ou judicialmente;</w:t>
      </w:r>
    </w:p>
    <w:p w:rsidR="00573B5C" w:rsidRDefault="00652E32">
      <w:pPr>
        <w:numPr>
          <w:ilvl w:val="2"/>
          <w:numId w:val="5"/>
        </w:numPr>
        <w:spacing w:before="120" w:after="120" w:line="276" w:lineRule="auto"/>
        <w:jc w:val="both"/>
        <w:rPr>
          <w:color w:val="000001"/>
          <w:highlight w:val="white"/>
        </w:rPr>
      </w:pPr>
      <w:r>
        <w:rPr>
          <w:color w:val="000001"/>
          <w:highlight w:val="white"/>
        </w:rPr>
        <w:t>que se enquadrem nas seguintes vedações:</w:t>
      </w:r>
    </w:p>
    <w:p w:rsidR="00573B5C" w:rsidRDefault="00652E32">
      <w:pPr>
        <w:numPr>
          <w:ilvl w:val="3"/>
          <w:numId w:val="1"/>
        </w:numPr>
        <w:spacing w:before="120" w:after="120" w:line="276" w:lineRule="auto"/>
        <w:ind w:hanging="648"/>
        <w:jc w:val="both"/>
        <w:rPr>
          <w:color w:val="000001"/>
          <w:highlight w:val="white"/>
        </w:rPr>
      </w:pPr>
      <w:r>
        <w:rPr>
          <w:color w:val="000001"/>
          <w:highlight w:val="white"/>
        </w:rPr>
        <w:t>autor do anteprojeto, do projeto básico ou do projeto executivo, pessoa física ou jurídica, quando a contratação versar sobre obra, serviços ou fornecimento de bens a ele relacionados;</w:t>
      </w:r>
    </w:p>
    <w:p w:rsidR="00573B5C" w:rsidRDefault="00652E32">
      <w:pPr>
        <w:numPr>
          <w:ilvl w:val="3"/>
          <w:numId w:val="1"/>
        </w:numPr>
        <w:spacing w:before="120" w:after="120" w:line="276" w:lineRule="auto"/>
        <w:ind w:hanging="648"/>
        <w:jc w:val="both"/>
        <w:rPr>
          <w:color w:val="000001"/>
          <w:highlight w:val="white"/>
        </w:rPr>
      </w:pPr>
      <w:r>
        <w:rPr>
          <w:color w:val="000001"/>
          <w:highlight w:val="whit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573B5C" w:rsidRDefault="00652E32">
      <w:pPr>
        <w:numPr>
          <w:ilvl w:val="3"/>
          <w:numId w:val="1"/>
        </w:numPr>
        <w:spacing w:before="120" w:after="120" w:line="276" w:lineRule="auto"/>
        <w:ind w:hanging="648"/>
        <w:jc w:val="both"/>
        <w:rPr>
          <w:color w:val="000001"/>
          <w:highlight w:val="white"/>
        </w:rPr>
      </w:pPr>
      <w:r>
        <w:rPr>
          <w:color w:val="000001"/>
          <w:highlight w:val="white"/>
        </w:rPr>
        <w:t>pessoa física ou jurídica que se encontre, ao tempo da contratação, impossibilitada de contratar em decorrência de sanção que lhe foi imposta;</w:t>
      </w:r>
    </w:p>
    <w:p w:rsidR="00573B5C" w:rsidRDefault="00652E32">
      <w:pPr>
        <w:numPr>
          <w:ilvl w:val="3"/>
          <w:numId w:val="1"/>
        </w:numPr>
        <w:spacing w:before="120" w:after="120" w:line="276" w:lineRule="auto"/>
        <w:ind w:hanging="648"/>
        <w:jc w:val="both"/>
        <w:rPr>
          <w:color w:val="000001"/>
          <w:highlight w:val="white"/>
        </w:rPr>
      </w:pPr>
      <w:r>
        <w:rPr>
          <w:color w:val="000001"/>
          <w:highlight w:val="whit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73B5C" w:rsidRDefault="00652E32">
      <w:pPr>
        <w:numPr>
          <w:ilvl w:val="3"/>
          <w:numId w:val="1"/>
        </w:numPr>
        <w:spacing w:before="120" w:after="120" w:line="276" w:lineRule="auto"/>
        <w:ind w:hanging="648"/>
        <w:jc w:val="both"/>
        <w:rPr>
          <w:color w:val="000001"/>
          <w:highlight w:val="white"/>
        </w:rPr>
      </w:pPr>
      <w:r>
        <w:rPr>
          <w:color w:val="000001"/>
          <w:highlight w:val="white"/>
        </w:rPr>
        <w:t>empresas controladoras, controladas ou coligadas, nos termos da </w:t>
      </w:r>
      <w:hyperlink r:id="rId9">
        <w:r>
          <w:rPr>
            <w:color w:val="000001"/>
            <w:highlight w:val="white"/>
            <w:u w:val="single"/>
          </w:rPr>
          <w:t>Lei nº 6.404, de 15 de dezembro de 1976</w:t>
        </w:r>
      </w:hyperlink>
      <w:r>
        <w:rPr>
          <w:color w:val="000001"/>
          <w:highlight w:val="white"/>
        </w:rPr>
        <w:t>, concorrendo entre si;</w:t>
      </w:r>
    </w:p>
    <w:p w:rsidR="00573B5C" w:rsidRDefault="00652E32">
      <w:pPr>
        <w:numPr>
          <w:ilvl w:val="3"/>
          <w:numId w:val="1"/>
        </w:numPr>
        <w:spacing w:before="120" w:after="120" w:line="276" w:lineRule="auto"/>
        <w:ind w:hanging="648"/>
        <w:jc w:val="both"/>
        <w:rPr>
          <w:color w:val="000001"/>
          <w:highlight w:val="white"/>
        </w:rPr>
      </w:pPr>
      <w:r>
        <w:rPr>
          <w:color w:val="000001"/>
          <w:highlight w:val="whit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573B5C" w:rsidRDefault="00652E32">
      <w:pPr>
        <w:numPr>
          <w:ilvl w:val="3"/>
          <w:numId w:val="5"/>
        </w:numPr>
        <w:spacing w:before="120" w:after="120" w:line="276" w:lineRule="auto"/>
        <w:ind w:hanging="648"/>
        <w:jc w:val="both"/>
        <w:rPr>
          <w:color w:val="000001"/>
          <w:highlight w:val="white"/>
        </w:rPr>
      </w:pPr>
      <w:r>
        <w:rPr>
          <w:color w:val="000001"/>
          <w:highlight w:val="white"/>
        </w:rPr>
        <w:lastRenderedPageBreak/>
        <w:t>Equiparam-se aos autores do projeto as empresas integrantes do mesmo grupo econômico;</w:t>
      </w:r>
    </w:p>
    <w:p w:rsidR="00573B5C" w:rsidRDefault="00652E32">
      <w:pPr>
        <w:numPr>
          <w:ilvl w:val="3"/>
          <w:numId w:val="5"/>
        </w:numPr>
        <w:spacing w:before="120" w:after="120" w:line="276" w:lineRule="auto"/>
        <w:ind w:hanging="648"/>
        <w:jc w:val="both"/>
        <w:rPr>
          <w:color w:val="000001"/>
          <w:highlight w:val="white"/>
        </w:rPr>
      </w:pPr>
      <w:r>
        <w:rPr>
          <w:color w:val="000001"/>
          <w:highlight w:val="whit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573B5C" w:rsidRDefault="00652E32">
      <w:pPr>
        <w:numPr>
          <w:ilvl w:val="2"/>
          <w:numId w:val="5"/>
        </w:numPr>
        <w:spacing w:before="120" w:after="120" w:line="276" w:lineRule="auto"/>
        <w:jc w:val="both"/>
        <w:rPr>
          <w:color w:val="000001"/>
          <w:highlight w:val="white"/>
        </w:rPr>
      </w:pPr>
      <w:r>
        <w:rPr>
          <w:color w:val="000001"/>
          <w:highlight w:val="white"/>
        </w:rPr>
        <w:t>organizações da Sociedade Civil de Interesse Público - OSCIP, atuando nessa condição (Acórdão nº 746/2014-TCU-Plenário); e</w:t>
      </w:r>
    </w:p>
    <w:p w:rsidR="00573B5C" w:rsidRDefault="00652E32">
      <w:pPr>
        <w:numPr>
          <w:ilvl w:val="2"/>
          <w:numId w:val="5"/>
        </w:numPr>
        <w:spacing w:before="120" w:after="120" w:line="276" w:lineRule="auto"/>
        <w:jc w:val="both"/>
        <w:rPr>
          <w:i/>
          <w:color w:val="000001"/>
          <w:highlight w:val="white"/>
        </w:rPr>
      </w:pPr>
      <w:bookmarkStart w:id="1" w:name="_heading=h.30j0zll" w:colFirst="0" w:colLast="0"/>
      <w:bookmarkEnd w:id="1"/>
      <w:r>
        <w:rPr>
          <w:i/>
          <w:color w:val="000001"/>
          <w:highlight w:val="white"/>
        </w:rPr>
        <w:t>sociedades cooperativas.</w:t>
      </w:r>
    </w:p>
    <w:p w:rsidR="00573B5C" w:rsidRDefault="00652E32">
      <w:pPr>
        <w:numPr>
          <w:ilvl w:val="0"/>
          <w:numId w:val="5"/>
        </w:numPr>
        <w:pBdr>
          <w:top w:val="nil"/>
          <w:left w:val="nil"/>
          <w:bottom w:val="nil"/>
          <w:right w:val="nil"/>
          <w:between w:val="nil"/>
        </w:pBdr>
        <w:spacing w:before="120" w:after="120" w:line="276" w:lineRule="auto"/>
        <w:jc w:val="both"/>
        <w:rPr>
          <w:rFonts w:eastAsia="Arial" w:cs="Arial"/>
          <w:b/>
          <w:color w:val="000001"/>
          <w:szCs w:val="20"/>
          <w:highlight w:val="white"/>
        </w:rPr>
      </w:pPr>
      <w:r>
        <w:rPr>
          <w:rFonts w:eastAsia="Arial" w:cs="Arial"/>
          <w:b/>
          <w:color w:val="000001"/>
          <w:szCs w:val="20"/>
          <w:highlight w:val="white"/>
        </w:rPr>
        <w:t>INGRESSO NA DISPENSA ELETRÔNICA E CADASTRAMENTO DA PROPOSTA INICIAL</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O ingresso do fornecedor na disputa da dispensa eletrônica se dará com o cadastramento de sua proposta inicial, na forma deste item.</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573B5C" w:rsidRDefault="00652E32">
      <w:pPr>
        <w:numPr>
          <w:ilvl w:val="2"/>
          <w:numId w:val="5"/>
        </w:numPr>
        <w:spacing w:before="120" w:after="120" w:line="276" w:lineRule="auto"/>
        <w:jc w:val="both"/>
        <w:rPr>
          <w:color w:val="000001"/>
          <w:highlight w:val="white"/>
        </w:rPr>
      </w:pPr>
      <w:r>
        <w:rPr>
          <w:color w:val="000001"/>
          <w:highlight w:val="whit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Todas as especificações do objeto contidas na proposta, em especial o preço, vinculam a Contratada.</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Nos valores propostos estarão inclusos todos os custos operacionais, encargos previdenciários, trabalhistas, tributários, comerciais e quaisquer outros que incidam direta ou indiretamente na prestação dos serviços;</w:t>
      </w:r>
    </w:p>
    <w:p w:rsidR="00573B5C" w:rsidRDefault="00652E32">
      <w:pPr>
        <w:numPr>
          <w:ilvl w:val="2"/>
          <w:numId w:val="5"/>
        </w:numPr>
        <w:spacing w:before="120" w:after="120" w:line="276" w:lineRule="auto"/>
        <w:jc w:val="both"/>
        <w:rPr>
          <w:color w:val="000001"/>
          <w:highlight w:val="white"/>
        </w:rPr>
      </w:pPr>
      <w:r>
        <w:rPr>
          <w:color w:val="000001"/>
          <w:highlight w:val="white"/>
        </w:rPr>
        <w:t>Os preços ofertados, tanto na proposta inicial, quanto na etapa de lances, serão de exclusiva responsabilidade do fornecedor, não lhe assistindo o direito de pleitear qualquer alteração, sob alegação de erro, omissão ou qualquer outro pretexto.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 xml:space="preserve">Se o regime tributário da empresa implicar o recolhimento de tributos em percentuais variáveis, a cotação adequada será a que corresponde à média dos efetivos recolhimentos da empresa nos últimos doze meses. </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Independentemente do percentual de tributo inserido na planilha, no pagamento serão retidos na fonte os percentuais estabelecidos na legislação vigente.</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 xml:space="preserve">A apresentação das propostas implica obrigatoriedade do cumprimento das disposições nelas contidas, em conformidade com o que dispõe o </w:t>
      </w:r>
      <w:r>
        <w:rPr>
          <w:i/>
          <w:color w:val="000001"/>
          <w:highlight w:val="white"/>
        </w:rPr>
        <w:t>neste documento,</w:t>
      </w:r>
      <w:r>
        <w:rPr>
          <w:color w:val="000001"/>
          <w:highlight w:val="white"/>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 xml:space="preserve">Uma vez enviada a proposta no sistema, os fornecedores </w:t>
      </w:r>
      <w:r>
        <w:rPr>
          <w:b/>
          <w:color w:val="000001"/>
          <w:highlight w:val="white"/>
        </w:rPr>
        <w:t>NÃO</w:t>
      </w:r>
      <w:r>
        <w:rPr>
          <w:color w:val="000001"/>
          <w:highlight w:val="white"/>
        </w:rPr>
        <w:t xml:space="preserve"> poderão retirá-la, substituí-la ou modificá-la;</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lastRenderedPageBreak/>
        <w:t xml:space="preserve">No cadastramento da proposta inicial, o fornecedor deverá, também, assinalar “sim” ou “não” em campo próprio do sistema eletrônico, às seguintes declarações: </w:t>
      </w:r>
    </w:p>
    <w:p w:rsidR="00573B5C" w:rsidRDefault="00652E32">
      <w:pPr>
        <w:numPr>
          <w:ilvl w:val="2"/>
          <w:numId w:val="5"/>
        </w:numPr>
        <w:spacing w:before="120" w:after="120" w:line="276" w:lineRule="auto"/>
        <w:jc w:val="both"/>
        <w:rPr>
          <w:color w:val="000001"/>
          <w:highlight w:val="white"/>
        </w:rPr>
      </w:pPr>
      <w:r>
        <w:rPr>
          <w:color w:val="000001"/>
          <w:highlight w:val="white"/>
        </w:rPr>
        <w:t>que inexistem fatos impeditivos para sua habilitação no certame, ciente da obrigatoriedade de declarar ocorrências posteriores;</w:t>
      </w:r>
    </w:p>
    <w:p w:rsidR="00573B5C" w:rsidRDefault="00652E32">
      <w:pPr>
        <w:numPr>
          <w:ilvl w:val="2"/>
          <w:numId w:val="5"/>
        </w:numPr>
        <w:spacing w:before="120" w:after="120" w:line="276" w:lineRule="auto"/>
        <w:jc w:val="both"/>
        <w:rPr>
          <w:color w:val="000001"/>
          <w:highlight w:val="white"/>
        </w:rPr>
      </w:pPr>
      <w:r>
        <w:rPr>
          <w:color w:val="000001"/>
          <w:highlight w:val="white"/>
        </w:rPr>
        <w:t>que cumpre os requisitos estabelecidos no artigo 3° da Lei Complementar nº 123, de 2006, estando apto a usufruir do tratamento favorecido estabelecido em seus arts. 42 a 49.</w:t>
      </w:r>
    </w:p>
    <w:p w:rsidR="00573B5C" w:rsidRDefault="00652E32">
      <w:pPr>
        <w:numPr>
          <w:ilvl w:val="2"/>
          <w:numId w:val="5"/>
        </w:numPr>
        <w:spacing w:before="120" w:after="120" w:line="276" w:lineRule="auto"/>
        <w:jc w:val="both"/>
        <w:rPr>
          <w:color w:val="000001"/>
          <w:highlight w:val="white"/>
        </w:rPr>
      </w:pPr>
      <w:r>
        <w:rPr>
          <w:color w:val="000001"/>
          <w:highlight w:val="white"/>
        </w:rPr>
        <w:t>que está ciente e concorda com as condições contidas no Aviso de Contratação Direta e seus anexos;</w:t>
      </w:r>
    </w:p>
    <w:p w:rsidR="00573B5C" w:rsidRDefault="00652E32">
      <w:pPr>
        <w:numPr>
          <w:ilvl w:val="2"/>
          <w:numId w:val="5"/>
        </w:numPr>
        <w:spacing w:before="120" w:after="120" w:line="276" w:lineRule="auto"/>
        <w:jc w:val="both"/>
        <w:rPr>
          <w:color w:val="000001"/>
          <w:highlight w:val="white"/>
        </w:rPr>
      </w:pPr>
      <w:r>
        <w:rPr>
          <w:color w:val="000001"/>
          <w:highlight w:val="white"/>
        </w:rPr>
        <w:t>que assume a responsabilidade pelas transações que forem efetuadas no sistema, assumindo como firmes e verdadeiras;</w:t>
      </w:r>
    </w:p>
    <w:p w:rsidR="00573B5C" w:rsidRDefault="00652E32">
      <w:pPr>
        <w:numPr>
          <w:ilvl w:val="2"/>
          <w:numId w:val="5"/>
        </w:numPr>
        <w:spacing w:before="120" w:after="120" w:line="276" w:lineRule="auto"/>
        <w:jc w:val="both"/>
        <w:rPr>
          <w:color w:val="000001"/>
          <w:highlight w:val="white"/>
        </w:rPr>
      </w:pPr>
      <w:r>
        <w:rPr>
          <w:color w:val="000001"/>
          <w:highlight w:val="white"/>
        </w:rPr>
        <w:t>que cumpre as exigências de reserva de cargos para pessoa com deficiência e para reabilitado da Previdência Social, de que trata o art. 93 da Lei nº 8.213/91.</w:t>
      </w:r>
    </w:p>
    <w:p w:rsidR="00573B5C" w:rsidRDefault="00652E32">
      <w:pPr>
        <w:numPr>
          <w:ilvl w:val="2"/>
          <w:numId w:val="5"/>
        </w:numPr>
        <w:spacing w:before="120" w:after="120" w:line="276" w:lineRule="auto"/>
        <w:jc w:val="both"/>
        <w:rPr>
          <w:color w:val="000001"/>
          <w:highlight w:val="white"/>
        </w:rPr>
      </w:pPr>
      <w:r>
        <w:rPr>
          <w:color w:val="000001"/>
          <w:highlight w:val="white"/>
        </w:rPr>
        <w:t>que não emprega menor de 18 anos em trabalho noturno, perigoso ou insalubre e não emprega menor de 16 anos, salvo menor, a partir de 14 anos, na condição de aprendiz, nos termos do artigo 7°, XXXIII, da Constituição;</w:t>
      </w:r>
    </w:p>
    <w:p w:rsidR="00573B5C" w:rsidRDefault="00652E32">
      <w:pPr>
        <w:numPr>
          <w:ilvl w:val="1"/>
          <w:numId w:val="5"/>
        </w:numPr>
        <w:spacing w:before="120" w:after="120" w:line="276" w:lineRule="auto"/>
        <w:jc w:val="both"/>
        <w:rPr>
          <w:i/>
          <w:color w:val="000001"/>
          <w:highlight w:val="white"/>
        </w:rPr>
      </w:pPr>
      <w:r>
        <w:rPr>
          <w:i/>
          <w:color w:val="000001"/>
          <w:highlight w:val="white"/>
        </w:rPr>
        <w:t>Fica facultado ao fornecedor, ao cadastrar sua proposta inicial, a parametrização de valor final mínimo, com o registro do seu lance final aceitável (menor preço ou maior desconto, conforme o caso).</w:t>
      </w:r>
    </w:p>
    <w:p w:rsidR="00573B5C" w:rsidRDefault="00652E32">
      <w:pPr>
        <w:numPr>
          <w:ilvl w:val="2"/>
          <w:numId w:val="5"/>
        </w:numPr>
        <w:spacing w:before="120" w:after="120" w:line="276" w:lineRule="auto"/>
        <w:jc w:val="both"/>
        <w:rPr>
          <w:i/>
          <w:color w:val="000001"/>
          <w:highlight w:val="white"/>
        </w:rPr>
      </w:pPr>
      <w:r>
        <w:rPr>
          <w:i/>
          <w:color w:val="000001"/>
          <w:highlight w:val="white"/>
        </w:rPr>
        <w:t xml:space="preserve">Feita essa opção os lances serão enviados automaticamente pelo sistema, respeitados os limites cadastrados pelo fornecedor e o intervalo mínimo entre lances previsto neste aviso. </w:t>
      </w:r>
    </w:p>
    <w:p w:rsidR="00573B5C" w:rsidRDefault="00652E32">
      <w:pPr>
        <w:numPr>
          <w:ilvl w:val="3"/>
          <w:numId w:val="5"/>
        </w:numPr>
        <w:spacing w:before="120" w:after="120" w:line="276" w:lineRule="auto"/>
        <w:ind w:hanging="648"/>
        <w:jc w:val="both"/>
        <w:rPr>
          <w:i/>
          <w:color w:val="000001"/>
          <w:highlight w:val="white"/>
        </w:rPr>
      </w:pPr>
      <w:r>
        <w:rPr>
          <w:i/>
          <w:color w:val="000001"/>
          <w:highlight w:val="white"/>
        </w:rPr>
        <w:t>Sem prejuízo do disposto acima, os lances poderão ser enviados manualmente, na forma da seção respectiva deste Aviso de Contratação Direta;</w:t>
      </w:r>
    </w:p>
    <w:p w:rsidR="00573B5C" w:rsidRDefault="00652E32">
      <w:pPr>
        <w:numPr>
          <w:ilvl w:val="2"/>
          <w:numId w:val="5"/>
        </w:numPr>
        <w:spacing w:before="120" w:after="120" w:line="276" w:lineRule="auto"/>
        <w:jc w:val="both"/>
        <w:rPr>
          <w:i/>
          <w:color w:val="000001"/>
          <w:highlight w:val="white"/>
        </w:rPr>
      </w:pPr>
      <w:r>
        <w:rPr>
          <w:i/>
          <w:color w:val="000001"/>
          <w:highlight w:val="white"/>
        </w:rPr>
        <w:t>O valor final mínimo poderá ser alterado pelo fornecedor durante a fase de disputa, desde que não assuma valor superior a lance já registrado por ele no sistema.</w:t>
      </w:r>
    </w:p>
    <w:p w:rsidR="00573B5C" w:rsidRDefault="00652E32">
      <w:pPr>
        <w:numPr>
          <w:ilvl w:val="2"/>
          <w:numId w:val="5"/>
        </w:numPr>
        <w:spacing w:before="120" w:after="120" w:line="276" w:lineRule="auto"/>
        <w:jc w:val="both"/>
        <w:rPr>
          <w:i/>
          <w:color w:val="000001"/>
          <w:highlight w:val="white"/>
        </w:rPr>
      </w:pPr>
      <w:r>
        <w:rPr>
          <w:i/>
          <w:color w:val="000001"/>
          <w:highlight w:val="white"/>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573B5C" w:rsidRDefault="00652E32">
      <w:pPr>
        <w:numPr>
          <w:ilvl w:val="0"/>
          <w:numId w:val="5"/>
        </w:numPr>
        <w:pBdr>
          <w:top w:val="nil"/>
          <w:left w:val="nil"/>
          <w:bottom w:val="nil"/>
          <w:right w:val="nil"/>
          <w:between w:val="nil"/>
        </w:pBdr>
        <w:spacing w:before="120" w:after="120" w:line="276" w:lineRule="auto"/>
        <w:jc w:val="both"/>
        <w:rPr>
          <w:rFonts w:eastAsia="Arial" w:cs="Arial"/>
          <w:b/>
          <w:color w:val="000001"/>
          <w:szCs w:val="20"/>
          <w:highlight w:val="white"/>
        </w:rPr>
      </w:pPr>
      <w:r>
        <w:rPr>
          <w:rFonts w:eastAsia="Arial" w:cs="Arial"/>
          <w:b/>
          <w:color w:val="000001"/>
          <w:szCs w:val="20"/>
          <w:highlight w:val="white"/>
        </w:rPr>
        <w:t>FASE DE LANCES</w:t>
      </w:r>
    </w:p>
    <w:p w:rsidR="00573B5C" w:rsidRDefault="00652E32">
      <w:pPr>
        <w:numPr>
          <w:ilvl w:val="1"/>
          <w:numId w:val="5"/>
        </w:numPr>
        <w:pBdr>
          <w:top w:val="nil"/>
          <w:left w:val="nil"/>
          <w:bottom w:val="nil"/>
          <w:right w:val="nil"/>
          <w:between w:val="nil"/>
        </w:pBdr>
        <w:spacing w:before="120" w:line="276" w:lineRule="auto"/>
        <w:jc w:val="both"/>
        <w:rPr>
          <w:rFonts w:eastAsia="Arial" w:cs="Arial"/>
          <w:color w:val="000001"/>
          <w:szCs w:val="20"/>
          <w:highlight w:val="white"/>
        </w:rPr>
      </w:pPr>
      <w:r>
        <w:rPr>
          <w:rFonts w:eastAsia="Arial" w:cs="Arial"/>
          <w:color w:val="000001"/>
          <w:szCs w:val="20"/>
          <w:highlight w:val="whit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573B5C" w:rsidRDefault="00652E32">
      <w:pPr>
        <w:numPr>
          <w:ilvl w:val="1"/>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 xml:space="preserve">Iniciada a etapa competitiva, os fornecedores deverão encaminhar lances exclusivamente por meio de sistema eletrônico, sendo imediatamente informados do seu recebimento e do valor consignado no registro. </w:t>
      </w:r>
    </w:p>
    <w:p w:rsidR="00573B5C" w:rsidRDefault="00652E32">
      <w:pPr>
        <w:numPr>
          <w:ilvl w:val="2"/>
          <w:numId w:val="3"/>
        </w:numPr>
        <w:spacing w:line="276" w:lineRule="auto"/>
        <w:rPr>
          <w:rFonts w:eastAsia="Arial" w:cs="Arial"/>
          <w:color w:val="000001"/>
          <w:highlight w:val="white"/>
        </w:rPr>
      </w:pPr>
      <w:r>
        <w:rPr>
          <w:rFonts w:ascii="Times New Roman" w:hAnsi="Times New Roman" w:cs="Times New Roman"/>
          <w:b/>
          <w:i/>
          <w:color w:val="000001"/>
          <w:highlight w:val="white"/>
        </w:rPr>
        <w:t>O lance deverá ser ofertado pelo VALOR TOTAL DO ITEM, SEMPRE ATENTANDO PARA DUAS CASAS DECIMAIS.</w:t>
      </w:r>
    </w:p>
    <w:p w:rsidR="00573B5C" w:rsidRDefault="00652E32">
      <w:pPr>
        <w:numPr>
          <w:ilvl w:val="1"/>
          <w:numId w:val="5"/>
        </w:numPr>
        <w:pBdr>
          <w:top w:val="nil"/>
          <w:left w:val="nil"/>
          <w:bottom w:val="nil"/>
          <w:right w:val="nil"/>
          <w:between w:val="nil"/>
        </w:pBdr>
        <w:spacing w:before="120" w:line="276" w:lineRule="auto"/>
        <w:jc w:val="both"/>
        <w:rPr>
          <w:rFonts w:eastAsia="Arial" w:cs="Arial"/>
          <w:color w:val="000001"/>
          <w:szCs w:val="20"/>
          <w:highlight w:val="white"/>
        </w:rPr>
      </w:pPr>
      <w:r>
        <w:rPr>
          <w:rFonts w:eastAsia="Arial" w:cs="Arial"/>
          <w:color w:val="000001"/>
          <w:szCs w:val="20"/>
          <w:highlight w:val="white"/>
        </w:rPr>
        <w:t>O fornecedor somente poderá oferecer valor inferior ou maior percentual de desconto em relação ao último lance por ele ofertado e registrado pelo sistema.</w:t>
      </w:r>
    </w:p>
    <w:p w:rsidR="00573B5C" w:rsidRDefault="00652E32">
      <w:pPr>
        <w:numPr>
          <w:ilvl w:val="2"/>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 xml:space="preserve">O fornecedor poderá oferecer lances sucessivos iguais ou superiores ao lance que esteja vencendo o certame, desde que inferiores ao menor por ele ofertado e </w:t>
      </w:r>
      <w:r>
        <w:rPr>
          <w:rFonts w:eastAsia="Arial" w:cs="Arial"/>
          <w:color w:val="000001"/>
          <w:szCs w:val="20"/>
          <w:highlight w:val="white"/>
        </w:rPr>
        <w:lastRenderedPageBreak/>
        <w:t>registrado pelo sistema, sendo tais lances definidos como “lances intermediários” para os fins deste Aviso de Contratação Direta.</w:t>
      </w:r>
    </w:p>
    <w:p w:rsidR="00573B5C" w:rsidRDefault="00652E32">
      <w:pPr>
        <w:numPr>
          <w:ilvl w:val="2"/>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O intervalo mínimo de diferença de valores ou percentuais entre os lances, que incidirá tanto em relação aos lances intermediários quanto em relação ao que cobrir a melhor oferta é de</w:t>
      </w:r>
      <w:r>
        <w:rPr>
          <w:rFonts w:eastAsia="Arial" w:cs="Arial"/>
          <w:i/>
          <w:color w:val="000001"/>
          <w:szCs w:val="20"/>
          <w:highlight w:val="white"/>
        </w:rPr>
        <w:t xml:space="preserve"> </w:t>
      </w:r>
      <w:r>
        <w:rPr>
          <w:rFonts w:ascii="Times New Roman" w:hAnsi="Times New Roman" w:cs="Times New Roman"/>
          <w:i/>
          <w:color w:val="000001"/>
          <w:highlight w:val="white"/>
        </w:rPr>
        <w:t xml:space="preserve">R$ 0,01 </w:t>
      </w:r>
    </w:p>
    <w:p w:rsidR="00573B5C" w:rsidRDefault="00652E32">
      <w:pPr>
        <w:numPr>
          <w:ilvl w:val="1"/>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Havendo lances iguais ao menor já ofertado, prevalecerá aquele que for recebido e registrado primeiro no sistema.</w:t>
      </w:r>
    </w:p>
    <w:p w:rsidR="00573B5C" w:rsidRDefault="00652E32">
      <w:pPr>
        <w:numPr>
          <w:ilvl w:val="1"/>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Caso o fornecedor não apresente lances, concorrerá com o valor de sua proposta.</w:t>
      </w:r>
    </w:p>
    <w:p w:rsidR="00573B5C" w:rsidRDefault="00652E32">
      <w:pPr>
        <w:numPr>
          <w:ilvl w:val="1"/>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Durante o procedimento, os fornecedores serão informados, em tempo real, do valor do menor lance registrado, vedada a identificação do fornecedor.</w:t>
      </w:r>
    </w:p>
    <w:p w:rsidR="00573B5C" w:rsidRDefault="00652E32">
      <w:pPr>
        <w:numPr>
          <w:ilvl w:val="1"/>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Imediatamente após o término do prazo estabelecido para a fase de lances, haverá o seu encerramento, com o ordenamento e divulgação dos lances, pelo sistema, em ordem crescente de classificação.</w:t>
      </w:r>
    </w:p>
    <w:p w:rsidR="00573B5C" w:rsidRDefault="00652E32">
      <w:pPr>
        <w:numPr>
          <w:ilvl w:val="2"/>
          <w:numId w:val="5"/>
        </w:numPr>
        <w:pBdr>
          <w:top w:val="nil"/>
          <w:left w:val="nil"/>
          <w:bottom w:val="nil"/>
          <w:right w:val="nil"/>
          <w:between w:val="nil"/>
        </w:pBdr>
        <w:spacing w:after="120" w:line="276" w:lineRule="auto"/>
        <w:jc w:val="both"/>
        <w:rPr>
          <w:rFonts w:eastAsia="Arial" w:cs="Arial"/>
          <w:color w:val="000001"/>
          <w:szCs w:val="20"/>
          <w:highlight w:val="white"/>
        </w:rPr>
      </w:pPr>
      <w:r>
        <w:rPr>
          <w:rFonts w:eastAsia="Arial" w:cs="Arial"/>
          <w:color w:val="000001"/>
          <w:szCs w:val="20"/>
          <w:highlight w:val="white"/>
        </w:rPr>
        <w:t>O encerramento da fase de lances ocorrerá de forma automática pontualmente no horário indicado, sem qualquer possibilidade de prorrogação e não havendo tempo aleatório ou mecanismo similar.</w:t>
      </w:r>
    </w:p>
    <w:p w:rsidR="00573B5C" w:rsidRDefault="00652E32">
      <w:pPr>
        <w:numPr>
          <w:ilvl w:val="0"/>
          <w:numId w:val="5"/>
        </w:numPr>
        <w:pBdr>
          <w:top w:val="nil"/>
          <w:left w:val="nil"/>
          <w:bottom w:val="nil"/>
          <w:right w:val="nil"/>
          <w:between w:val="nil"/>
        </w:pBdr>
        <w:spacing w:before="120" w:after="120" w:line="276" w:lineRule="auto"/>
        <w:jc w:val="both"/>
        <w:rPr>
          <w:rFonts w:eastAsia="Arial" w:cs="Arial"/>
          <w:b/>
          <w:color w:val="000001"/>
          <w:szCs w:val="20"/>
          <w:highlight w:val="white"/>
        </w:rPr>
      </w:pPr>
      <w:r>
        <w:rPr>
          <w:rFonts w:eastAsia="Arial" w:cs="Arial"/>
          <w:b/>
          <w:color w:val="000001"/>
          <w:szCs w:val="20"/>
          <w:highlight w:val="white"/>
        </w:rPr>
        <w:t>JULGAMENTO DAS PROPOSTAS DE PREÇO</w:t>
      </w:r>
    </w:p>
    <w:p w:rsidR="00573B5C" w:rsidRDefault="00652E32">
      <w:pPr>
        <w:numPr>
          <w:ilvl w:val="1"/>
          <w:numId w:val="5"/>
        </w:numPr>
        <w:pBdr>
          <w:top w:val="nil"/>
          <w:left w:val="nil"/>
          <w:bottom w:val="nil"/>
          <w:right w:val="nil"/>
          <w:between w:val="nil"/>
        </w:pBdr>
        <w:spacing w:before="120" w:line="276" w:lineRule="auto"/>
        <w:jc w:val="both"/>
        <w:rPr>
          <w:rFonts w:eastAsia="Arial" w:cs="Arial"/>
          <w:color w:val="000001"/>
          <w:szCs w:val="20"/>
          <w:highlight w:val="white"/>
        </w:rPr>
      </w:pPr>
      <w:r>
        <w:rPr>
          <w:rFonts w:eastAsia="Arial" w:cs="Arial"/>
          <w:color w:val="000001"/>
          <w:szCs w:val="20"/>
          <w:highlight w:val="white"/>
        </w:rPr>
        <w:t>Encerrada a fase de lances, será verificada a conformidade da proposta classificada em primeiro lugar quanto à adequação do objeto e à compatibilidade do preço em relação ao estipulado para a contratação.</w:t>
      </w:r>
    </w:p>
    <w:p w:rsidR="00573B5C" w:rsidRDefault="00652E32">
      <w:pPr>
        <w:numPr>
          <w:ilvl w:val="1"/>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No caso de o preço da proposta vencedora estar acima do estimado pela Administração, poderá haver a negociação de condições mais vantajosas.</w:t>
      </w:r>
    </w:p>
    <w:p w:rsidR="00573B5C" w:rsidRDefault="00652E32">
      <w:pPr>
        <w:numPr>
          <w:ilvl w:val="2"/>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Neste caso, será encaminhada contraproposta ao fornecedor que tenha apresentado o melhor preço, para que seja obtida melhor proposta com preço compatível ao estimado pela Administração.</w:t>
      </w:r>
    </w:p>
    <w:p w:rsidR="00573B5C" w:rsidRDefault="00652E32">
      <w:pPr>
        <w:numPr>
          <w:ilvl w:val="2"/>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573B5C" w:rsidRDefault="00652E32">
      <w:pPr>
        <w:numPr>
          <w:ilvl w:val="2"/>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Em qualquer caso, concluída a negociação, o resultado será registrado na ata do procedimento da dispensa eletrônica.</w:t>
      </w:r>
    </w:p>
    <w:p w:rsidR="00573B5C" w:rsidRDefault="00652E32">
      <w:pPr>
        <w:numPr>
          <w:ilvl w:val="1"/>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Estando o preço compatível, será solicitado o envio da proposta e, se necessário, de documentos complementares, adequada ao último lance.</w:t>
      </w:r>
    </w:p>
    <w:p w:rsidR="00573B5C" w:rsidRDefault="00652E32">
      <w:pPr>
        <w:numPr>
          <w:ilvl w:val="2"/>
          <w:numId w:val="5"/>
        </w:numPr>
        <w:pBdr>
          <w:top w:val="nil"/>
          <w:left w:val="nil"/>
          <w:bottom w:val="nil"/>
          <w:right w:val="nil"/>
          <w:between w:val="nil"/>
        </w:pBdr>
        <w:spacing w:after="120" w:line="276" w:lineRule="auto"/>
        <w:jc w:val="both"/>
        <w:rPr>
          <w:rFonts w:eastAsia="Arial" w:cs="Arial"/>
          <w:i/>
          <w:color w:val="000001"/>
          <w:szCs w:val="20"/>
          <w:highlight w:val="white"/>
        </w:rPr>
      </w:pPr>
      <w:r>
        <w:rPr>
          <w:rFonts w:eastAsia="Arial" w:cs="Arial"/>
          <w:i/>
          <w:color w:val="000001"/>
          <w:szCs w:val="20"/>
          <w:highlight w:val="white"/>
        </w:rPr>
        <w:t>Além da documentação supracitada, o fornecedor com a melhor proposta deverá encaminhar planilha com indicação de custos unitários e formação de preços, conforme modelo anexo, com os valores adequados à proposta vencedora.</w:t>
      </w:r>
    </w:p>
    <w:p w:rsidR="00573B5C" w:rsidRDefault="00652E32">
      <w:pPr>
        <w:numPr>
          <w:ilvl w:val="1"/>
          <w:numId w:val="5"/>
        </w:numPr>
        <w:spacing w:before="120" w:after="120" w:line="276" w:lineRule="auto"/>
        <w:jc w:val="both"/>
        <w:rPr>
          <w:color w:val="000001"/>
          <w:highlight w:val="white"/>
        </w:rPr>
      </w:pPr>
      <w:r>
        <w:rPr>
          <w:color w:val="000001"/>
          <w:highlight w:val="white"/>
        </w:rPr>
        <w:t>O prazo de validade da proposta não será inferior a 60 (sessenta) dias</w:t>
      </w:r>
      <w:r>
        <w:rPr>
          <w:b/>
          <w:color w:val="000001"/>
          <w:highlight w:val="white"/>
        </w:rPr>
        <w:t>,</w:t>
      </w:r>
      <w:r>
        <w:rPr>
          <w:color w:val="000001"/>
          <w:highlight w:val="white"/>
        </w:rPr>
        <w:t xml:space="preserve"> a contar da data de sua apresentação.</w:t>
      </w:r>
    </w:p>
    <w:p w:rsidR="00573B5C" w:rsidRDefault="00652E32">
      <w:pPr>
        <w:numPr>
          <w:ilvl w:val="1"/>
          <w:numId w:val="5"/>
        </w:numPr>
        <w:pBdr>
          <w:top w:val="nil"/>
          <w:left w:val="nil"/>
          <w:bottom w:val="nil"/>
          <w:right w:val="nil"/>
          <w:between w:val="nil"/>
        </w:pBdr>
        <w:spacing w:before="120" w:line="276" w:lineRule="auto"/>
        <w:jc w:val="both"/>
        <w:rPr>
          <w:rFonts w:eastAsia="Arial" w:cs="Arial"/>
          <w:i/>
          <w:color w:val="000001"/>
          <w:szCs w:val="20"/>
          <w:highlight w:val="white"/>
        </w:rPr>
      </w:pPr>
      <w:r>
        <w:rPr>
          <w:rFonts w:eastAsia="Arial" w:cs="Arial"/>
          <w:color w:val="000001"/>
          <w:szCs w:val="20"/>
          <w:highlight w:val="white"/>
        </w:rPr>
        <w:t xml:space="preserve">Será desclassificada a proposta vencedora que: </w:t>
      </w:r>
    </w:p>
    <w:p w:rsidR="00573B5C" w:rsidRDefault="00652E32">
      <w:pPr>
        <w:numPr>
          <w:ilvl w:val="2"/>
          <w:numId w:val="5"/>
        </w:numPr>
        <w:pBdr>
          <w:top w:val="nil"/>
          <w:left w:val="nil"/>
          <w:bottom w:val="nil"/>
          <w:right w:val="nil"/>
          <w:between w:val="nil"/>
        </w:pBdr>
        <w:spacing w:line="276" w:lineRule="auto"/>
        <w:jc w:val="both"/>
        <w:rPr>
          <w:rFonts w:eastAsia="Arial" w:cs="Arial"/>
          <w:i/>
          <w:color w:val="000001"/>
          <w:szCs w:val="20"/>
          <w:highlight w:val="white"/>
        </w:rPr>
      </w:pPr>
      <w:r>
        <w:rPr>
          <w:rFonts w:eastAsia="Arial" w:cs="Arial"/>
          <w:color w:val="000001"/>
          <w:szCs w:val="20"/>
          <w:highlight w:val="white"/>
        </w:rPr>
        <w:t>contiver vícios insanáveis;</w:t>
      </w:r>
    </w:p>
    <w:p w:rsidR="00573B5C" w:rsidRDefault="00652E32">
      <w:pPr>
        <w:numPr>
          <w:ilvl w:val="2"/>
          <w:numId w:val="5"/>
        </w:numPr>
        <w:pBdr>
          <w:top w:val="nil"/>
          <w:left w:val="nil"/>
          <w:bottom w:val="nil"/>
          <w:right w:val="nil"/>
          <w:between w:val="nil"/>
        </w:pBdr>
        <w:spacing w:line="276" w:lineRule="auto"/>
        <w:jc w:val="both"/>
        <w:rPr>
          <w:rFonts w:eastAsia="Arial" w:cs="Arial"/>
          <w:i/>
          <w:color w:val="000001"/>
          <w:szCs w:val="20"/>
          <w:highlight w:val="white"/>
        </w:rPr>
      </w:pPr>
      <w:r>
        <w:rPr>
          <w:rFonts w:eastAsia="Arial" w:cs="Arial"/>
          <w:color w:val="000001"/>
          <w:szCs w:val="20"/>
          <w:highlight w:val="white"/>
        </w:rPr>
        <w:t>não obedecer às especificações técnicas pormenorizadas neste aviso ou em seus anexos;</w:t>
      </w:r>
    </w:p>
    <w:p w:rsidR="00573B5C" w:rsidRDefault="00652E32">
      <w:pPr>
        <w:numPr>
          <w:ilvl w:val="2"/>
          <w:numId w:val="5"/>
        </w:numPr>
        <w:pBdr>
          <w:top w:val="nil"/>
          <w:left w:val="nil"/>
          <w:bottom w:val="nil"/>
          <w:right w:val="nil"/>
          <w:between w:val="nil"/>
        </w:pBdr>
        <w:spacing w:line="276" w:lineRule="auto"/>
        <w:jc w:val="both"/>
        <w:rPr>
          <w:rFonts w:eastAsia="Arial" w:cs="Arial"/>
          <w:i/>
          <w:color w:val="000001"/>
          <w:szCs w:val="20"/>
          <w:highlight w:val="white"/>
        </w:rPr>
      </w:pPr>
      <w:r>
        <w:rPr>
          <w:rFonts w:eastAsia="Arial" w:cs="Arial"/>
          <w:color w:val="000001"/>
          <w:szCs w:val="20"/>
          <w:highlight w:val="white"/>
        </w:rPr>
        <w:t>apresentar preços inexequíveis ou permanecerem acima do preço máximo definido para a contratação;</w:t>
      </w:r>
    </w:p>
    <w:p w:rsidR="00573B5C" w:rsidRDefault="00652E32">
      <w:pPr>
        <w:numPr>
          <w:ilvl w:val="2"/>
          <w:numId w:val="5"/>
        </w:numPr>
        <w:pBdr>
          <w:top w:val="nil"/>
          <w:left w:val="nil"/>
          <w:bottom w:val="nil"/>
          <w:right w:val="nil"/>
          <w:between w:val="nil"/>
        </w:pBdr>
        <w:spacing w:line="276" w:lineRule="auto"/>
        <w:jc w:val="both"/>
        <w:rPr>
          <w:rFonts w:eastAsia="Arial" w:cs="Arial"/>
          <w:i/>
          <w:color w:val="000001"/>
          <w:szCs w:val="20"/>
          <w:highlight w:val="white"/>
        </w:rPr>
      </w:pPr>
      <w:r>
        <w:rPr>
          <w:rFonts w:eastAsia="Arial" w:cs="Arial"/>
          <w:color w:val="000001"/>
          <w:szCs w:val="20"/>
          <w:highlight w:val="white"/>
        </w:rPr>
        <w:t>não tiverem sua exequibilidade demonstrada, quando exigido pela Administração;</w:t>
      </w:r>
    </w:p>
    <w:p w:rsidR="00573B5C" w:rsidRDefault="00652E32">
      <w:pPr>
        <w:numPr>
          <w:ilvl w:val="2"/>
          <w:numId w:val="5"/>
        </w:numPr>
        <w:pBdr>
          <w:top w:val="nil"/>
          <w:left w:val="nil"/>
          <w:bottom w:val="nil"/>
          <w:right w:val="nil"/>
          <w:between w:val="nil"/>
        </w:pBdr>
        <w:spacing w:line="276" w:lineRule="auto"/>
        <w:jc w:val="both"/>
        <w:rPr>
          <w:rFonts w:eastAsia="Arial" w:cs="Arial"/>
          <w:i/>
          <w:color w:val="000001"/>
          <w:szCs w:val="20"/>
          <w:highlight w:val="white"/>
        </w:rPr>
      </w:pPr>
      <w:r>
        <w:rPr>
          <w:rFonts w:eastAsia="Arial" w:cs="Arial"/>
          <w:color w:val="000001"/>
          <w:szCs w:val="20"/>
          <w:highlight w:val="white"/>
        </w:rPr>
        <w:t>apresentar desconformidade com quaisquer outras exigências deste aviso ou seus anexos, desde que insanável.</w:t>
      </w:r>
    </w:p>
    <w:p w:rsidR="00573B5C" w:rsidRDefault="00652E32">
      <w:pPr>
        <w:numPr>
          <w:ilvl w:val="1"/>
          <w:numId w:val="5"/>
        </w:numPr>
        <w:pBdr>
          <w:top w:val="nil"/>
          <w:left w:val="nil"/>
          <w:bottom w:val="nil"/>
          <w:right w:val="nil"/>
          <w:between w:val="nil"/>
        </w:pBdr>
        <w:spacing w:line="276" w:lineRule="auto"/>
        <w:jc w:val="both"/>
        <w:rPr>
          <w:rFonts w:eastAsia="Arial" w:cs="Arial"/>
          <w:i/>
          <w:color w:val="000001"/>
          <w:szCs w:val="20"/>
          <w:highlight w:val="white"/>
        </w:rPr>
      </w:pPr>
      <w:r>
        <w:rPr>
          <w:rFonts w:eastAsia="Arial" w:cs="Arial"/>
          <w:color w:val="000001"/>
          <w:szCs w:val="20"/>
          <w:highlight w:val="white"/>
        </w:rPr>
        <w:t>Quando o fornecedor não conseguir comprovar que possui ou possuirá recursos suficientes para executar a contento o objeto, será considerada inexequível a proposta de preços ou menor lance que:</w:t>
      </w:r>
    </w:p>
    <w:p w:rsidR="00573B5C" w:rsidRDefault="00652E32">
      <w:pPr>
        <w:numPr>
          <w:ilvl w:val="2"/>
          <w:numId w:val="5"/>
        </w:numPr>
        <w:pBdr>
          <w:top w:val="nil"/>
          <w:left w:val="nil"/>
          <w:bottom w:val="nil"/>
          <w:right w:val="nil"/>
          <w:between w:val="nil"/>
        </w:pBdr>
        <w:spacing w:line="276" w:lineRule="auto"/>
        <w:jc w:val="both"/>
        <w:rPr>
          <w:rFonts w:eastAsia="Arial" w:cs="Arial"/>
          <w:i/>
          <w:color w:val="000001"/>
          <w:szCs w:val="20"/>
          <w:highlight w:val="white"/>
        </w:rPr>
      </w:pPr>
      <w:r>
        <w:rPr>
          <w:rFonts w:eastAsia="Arial" w:cs="Arial"/>
          <w:color w:val="000001"/>
          <w:szCs w:val="20"/>
          <w:highlight w:val="white"/>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573B5C" w:rsidRDefault="00652E32">
      <w:pPr>
        <w:numPr>
          <w:ilvl w:val="2"/>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apresentar um ou mais valores da planilha de custo que sejam inferiores àqueles fixados em instrumentos de caráter normativo obrigatório, tais como leis, medidas provisórias e convenções coletivas de trabalho vigentes.</w:t>
      </w:r>
    </w:p>
    <w:p w:rsidR="00573B5C" w:rsidRDefault="00573B5C">
      <w:pPr>
        <w:pBdr>
          <w:top w:val="nil"/>
          <w:left w:val="nil"/>
          <w:bottom w:val="nil"/>
          <w:right w:val="nil"/>
          <w:between w:val="nil"/>
        </w:pBdr>
        <w:spacing w:line="276" w:lineRule="auto"/>
        <w:ind w:right="-15"/>
        <w:jc w:val="both"/>
        <w:rPr>
          <w:rFonts w:eastAsia="Arial" w:cs="Arial"/>
          <w:i/>
          <w:color w:val="000001"/>
          <w:szCs w:val="20"/>
          <w:highlight w:val="white"/>
        </w:rPr>
      </w:pPr>
    </w:p>
    <w:p w:rsidR="00573B5C" w:rsidRDefault="00652E32">
      <w:pPr>
        <w:numPr>
          <w:ilvl w:val="2"/>
          <w:numId w:val="5"/>
        </w:numPr>
        <w:pBdr>
          <w:top w:val="nil"/>
          <w:left w:val="nil"/>
          <w:bottom w:val="nil"/>
          <w:right w:val="nil"/>
          <w:between w:val="nil"/>
        </w:pBdr>
        <w:spacing w:line="276" w:lineRule="auto"/>
        <w:ind w:right="-15"/>
        <w:jc w:val="both"/>
        <w:rPr>
          <w:rFonts w:eastAsia="Arial" w:cs="Arial"/>
          <w:i/>
          <w:color w:val="000001"/>
          <w:szCs w:val="20"/>
          <w:highlight w:val="white"/>
        </w:rPr>
      </w:pPr>
      <w:r>
        <w:rPr>
          <w:rFonts w:eastAsia="Arial" w:cs="Arial"/>
          <w:i/>
          <w:color w:val="000001"/>
          <w:szCs w:val="20"/>
          <w:highlight w:val="white"/>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rsidR="00573B5C" w:rsidRDefault="00652E32">
      <w:pPr>
        <w:numPr>
          <w:ilvl w:val="2"/>
          <w:numId w:val="5"/>
        </w:numPr>
        <w:pBdr>
          <w:top w:val="nil"/>
          <w:left w:val="nil"/>
          <w:bottom w:val="nil"/>
          <w:right w:val="nil"/>
          <w:between w:val="nil"/>
        </w:pBdr>
        <w:spacing w:line="276" w:lineRule="auto"/>
        <w:ind w:right="-15"/>
        <w:jc w:val="both"/>
        <w:rPr>
          <w:rFonts w:eastAsia="Arial" w:cs="Arial"/>
          <w:i/>
          <w:color w:val="000001"/>
          <w:szCs w:val="20"/>
          <w:highlight w:val="white"/>
        </w:rPr>
      </w:pPr>
      <w:r>
        <w:rPr>
          <w:rFonts w:eastAsia="Arial" w:cs="Arial"/>
          <w:i/>
          <w:color w:val="000001"/>
          <w:szCs w:val="20"/>
          <w:highlight w:val="white"/>
        </w:rPr>
        <w:t>serão consideradas inexequíveis as propostas cujos valores forem inferiores a 75% (setenta e cinco por cento) do valor orçado pela Administração.</w:t>
      </w:r>
    </w:p>
    <w:p w:rsidR="00573B5C" w:rsidRDefault="00652E32">
      <w:pPr>
        <w:numPr>
          <w:ilvl w:val="2"/>
          <w:numId w:val="5"/>
        </w:numPr>
        <w:pBdr>
          <w:top w:val="nil"/>
          <w:left w:val="nil"/>
          <w:bottom w:val="nil"/>
          <w:right w:val="nil"/>
          <w:between w:val="nil"/>
        </w:pBdr>
        <w:spacing w:after="120" w:line="276" w:lineRule="auto"/>
        <w:ind w:right="-15"/>
        <w:jc w:val="both"/>
        <w:rPr>
          <w:rFonts w:eastAsia="Arial" w:cs="Arial"/>
          <w:i/>
          <w:color w:val="000001"/>
          <w:szCs w:val="20"/>
          <w:highlight w:val="white"/>
        </w:rPr>
      </w:pPr>
      <w:r>
        <w:rPr>
          <w:rFonts w:eastAsia="Arial" w:cs="Arial"/>
          <w:i/>
          <w:color w:val="000001"/>
          <w:szCs w:val="20"/>
          <w:highlight w:val="whit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rsidR="00573B5C" w:rsidRDefault="00652E32">
      <w:pPr>
        <w:numPr>
          <w:ilvl w:val="1"/>
          <w:numId w:val="5"/>
        </w:numPr>
        <w:pBdr>
          <w:top w:val="nil"/>
          <w:left w:val="nil"/>
          <w:bottom w:val="nil"/>
          <w:right w:val="nil"/>
          <w:between w:val="nil"/>
        </w:pBdr>
        <w:spacing w:before="120" w:line="276" w:lineRule="auto"/>
        <w:ind w:right="-15"/>
        <w:jc w:val="both"/>
        <w:rPr>
          <w:rFonts w:eastAsia="Arial" w:cs="Arial"/>
          <w:color w:val="000001"/>
          <w:szCs w:val="20"/>
          <w:highlight w:val="white"/>
        </w:rPr>
      </w:pPr>
      <w:r>
        <w:rPr>
          <w:rFonts w:eastAsia="Arial" w:cs="Arial"/>
          <w:color w:val="000001"/>
          <w:szCs w:val="20"/>
          <w:highlight w:val="white"/>
        </w:rPr>
        <w:t xml:space="preserve">Se houver indícios de inexequibilidade da proposta de preço, ou em caso da necessidade de esclarecimentos complementares, poderão ser efetuadas diligências, para que a empresa comprove a exequibilidade da proposta.  </w:t>
      </w:r>
    </w:p>
    <w:p w:rsidR="00573B5C" w:rsidRDefault="00652E32">
      <w:pPr>
        <w:numPr>
          <w:ilvl w:val="1"/>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Erros no preenchimento da planilha não constituem motivo para a desclassificação da proposta. A planilha poderá ser ajustada pelo fornecedor, no prazo indicado pelo sistema, desde que não haja majoração do preço.</w:t>
      </w:r>
    </w:p>
    <w:p w:rsidR="00573B5C" w:rsidRDefault="00652E32">
      <w:pPr>
        <w:numPr>
          <w:ilvl w:val="2"/>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O ajuste de que trata este dispositivo se limita a sanar erros ou falhas que não alterem a substância das propostas;</w:t>
      </w:r>
    </w:p>
    <w:p w:rsidR="00573B5C" w:rsidRDefault="00652E32">
      <w:pPr>
        <w:numPr>
          <w:ilvl w:val="2"/>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Considera-se erro no preenchimento da planilha passível de correção a indicação de recolhimento de impostos e contribuições na forma do Simples Nacional, quando não cabível esse regime.</w:t>
      </w:r>
    </w:p>
    <w:p w:rsidR="00573B5C" w:rsidRDefault="00652E32">
      <w:pPr>
        <w:numPr>
          <w:ilvl w:val="1"/>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Para fins de análise da proposta quanto ao cumprimento das especificações do objeto, poderá ser colhida a manifestação escrita do setor requisitante do serviço ou da área especializada no objeto.</w:t>
      </w:r>
    </w:p>
    <w:p w:rsidR="00573B5C" w:rsidRDefault="00652E32">
      <w:pPr>
        <w:numPr>
          <w:ilvl w:val="1"/>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Se a proposta ou lance vencedor for desclassificado, será examinada a proposta ou lance subsequente, e, assim sucessivamente, na ordem de classificação.</w:t>
      </w:r>
    </w:p>
    <w:p w:rsidR="00573B5C" w:rsidRDefault="00652E32">
      <w:pPr>
        <w:numPr>
          <w:ilvl w:val="1"/>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Havendo necessidade, a sessão será suspensa, informando-se no “chat” a nova data e horário para a sua continuidade.</w:t>
      </w:r>
    </w:p>
    <w:p w:rsidR="00573B5C" w:rsidRDefault="00652E32">
      <w:pPr>
        <w:numPr>
          <w:ilvl w:val="1"/>
          <w:numId w:val="5"/>
        </w:numPr>
        <w:pBdr>
          <w:top w:val="nil"/>
          <w:left w:val="nil"/>
          <w:bottom w:val="nil"/>
          <w:right w:val="nil"/>
          <w:between w:val="nil"/>
        </w:pBdr>
        <w:spacing w:after="120" w:line="276" w:lineRule="auto"/>
        <w:jc w:val="both"/>
        <w:rPr>
          <w:rFonts w:eastAsia="Arial" w:cs="Arial"/>
          <w:color w:val="000001"/>
          <w:szCs w:val="20"/>
          <w:highlight w:val="white"/>
        </w:rPr>
      </w:pPr>
      <w:r>
        <w:rPr>
          <w:rFonts w:eastAsia="Arial" w:cs="Arial"/>
          <w:color w:val="000001"/>
          <w:szCs w:val="20"/>
          <w:highlight w:val="white"/>
        </w:rPr>
        <w:t>Encerrada a análise quanto à aceitação da proposta, se iniciará a fase de habilitação, observado o disposto neste Aviso de Contratação Direta. </w:t>
      </w:r>
    </w:p>
    <w:p w:rsidR="00573B5C" w:rsidRDefault="00652E32">
      <w:pPr>
        <w:numPr>
          <w:ilvl w:val="0"/>
          <w:numId w:val="5"/>
        </w:numPr>
        <w:pBdr>
          <w:top w:val="nil"/>
          <w:left w:val="nil"/>
          <w:bottom w:val="nil"/>
          <w:right w:val="nil"/>
          <w:between w:val="nil"/>
        </w:pBdr>
        <w:spacing w:before="120" w:after="120" w:line="276" w:lineRule="auto"/>
        <w:jc w:val="both"/>
        <w:rPr>
          <w:rFonts w:eastAsia="Arial" w:cs="Arial"/>
          <w:b/>
          <w:color w:val="000001"/>
          <w:szCs w:val="20"/>
          <w:highlight w:val="white"/>
        </w:rPr>
      </w:pPr>
      <w:r>
        <w:rPr>
          <w:rFonts w:eastAsia="Arial" w:cs="Arial"/>
          <w:b/>
          <w:color w:val="000001"/>
          <w:szCs w:val="20"/>
          <w:highlight w:val="white"/>
        </w:rPr>
        <w:t>HABILITAÇÃO</w:t>
      </w:r>
    </w:p>
    <w:p w:rsidR="00573B5C" w:rsidRDefault="00652E32">
      <w:pPr>
        <w:numPr>
          <w:ilvl w:val="1"/>
          <w:numId w:val="5"/>
        </w:numPr>
        <w:pBdr>
          <w:top w:val="nil"/>
          <w:left w:val="nil"/>
          <w:bottom w:val="nil"/>
          <w:right w:val="nil"/>
          <w:between w:val="nil"/>
        </w:pBdr>
        <w:spacing w:before="120" w:line="276" w:lineRule="auto"/>
        <w:ind w:hanging="574"/>
        <w:jc w:val="both"/>
        <w:rPr>
          <w:rFonts w:eastAsia="Arial" w:cs="Arial"/>
          <w:b/>
          <w:color w:val="000001"/>
          <w:szCs w:val="20"/>
          <w:highlight w:val="white"/>
        </w:rPr>
      </w:pPr>
      <w:r>
        <w:rPr>
          <w:rFonts w:eastAsia="Arial" w:cs="Arial"/>
          <w:color w:val="000001"/>
          <w:szCs w:val="20"/>
          <w:highlight w:val="white"/>
        </w:rPr>
        <w:t xml:space="preserve">Os documentos a serem exigidos para fins de habilitação constam do </w:t>
      </w:r>
      <w:r>
        <w:rPr>
          <w:rFonts w:eastAsia="Arial" w:cs="Arial"/>
          <w:b/>
          <w:color w:val="000001"/>
          <w:szCs w:val="20"/>
          <w:highlight w:val="white"/>
        </w:rPr>
        <w:t xml:space="preserve">ANEXO I – DOCUMENTAÇÃO EXIGIDA PARA HABILITAÇÃO </w:t>
      </w:r>
      <w:r>
        <w:rPr>
          <w:rFonts w:eastAsia="Arial" w:cs="Arial"/>
          <w:color w:val="000001"/>
          <w:szCs w:val="20"/>
          <w:highlight w:val="white"/>
        </w:rPr>
        <w:t>deste aviso e serão solicitados do fornecedor mais bem classificado da fase de lances.</w:t>
      </w:r>
    </w:p>
    <w:p w:rsidR="00573B5C" w:rsidRDefault="00652E32">
      <w:pPr>
        <w:numPr>
          <w:ilvl w:val="1"/>
          <w:numId w:val="5"/>
        </w:numPr>
        <w:pBdr>
          <w:top w:val="nil"/>
          <w:left w:val="nil"/>
          <w:bottom w:val="nil"/>
          <w:right w:val="nil"/>
          <w:between w:val="nil"/>
        </w:pBdr>
        <w:spacing w:line="276" w:lineRule="auto"/>
        <w:ind w:hanging="574"/>
        <w:jc w:val="both"/>
        <w:rPr>
          <w:rFonts w:eastAsia="Arial" w:cs="Arial"/>
          <w:b/>
          <w:color w:val="000001"/>
          <w:szCs w:val="20"/>
          <w:highlight w:val="white"/>
        </w:rPr>
      </w:pPr>
      <w:r>
        <w:rPr>
          <w:rFonts w:eastAsia="Arial" w:cs="Arial"/>
          <w:color w:val="000001"/>
          <w:szCs w:val="20"/>
          <w:highlight w:val="white"/>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573B5C" w:rsidRDefault="00652E32">
      <w:pPr>
        <w:pBdr>
          <w:top w:val="nil"/>
          <w:left w:val="nil"/>
          <w:bottom w:val="nil"/>
          <w:right w:val="nil"/>
          <w:between w:val="nil"/>
        </w:pBdr>
        <w:spacing w:line="276" w:lineRule="auto"/>
        <w:ind w:left="1134"/>
        <w:jc w:val="both"/>
        <w:rPr>
          <w:rFonts w:eastAsia="Arial" w:cs="Arial"/>
          <w:color w:val="000001"/>
          <w:szCs w:val="20"/>
          <w:highlight w:val="white"/>
        </w:rPr>
      </w:pPr>
      <w:r>
        <w:rPr>
          <w:rFonts w:eastAsia="Arial" w:cs="Arial"/>
          <w:color w:val="000001"/>
          <w:szCs w:val="20"/>
          <w:highlight w:val="white"/>
        </w:rPr>
        <w:lastRenderedPageBreak/>
        <w:t xml:space="preserve">a) SICAF;  </w:t>
      </w:r>
    </w:p>
    <w:p w:rsidR="00573B5C" w:rsidRDefault="00652E32">
      <w:pPr>
        <w:pBdr>
          <w:top w:val="nil"/>
          <w:left w:val="nil"/>
          <w:bottom w:val="nil"/>
          <w:right w:val="nil"/>
          <w:between w:val="nil"/>
        </w:pBdr>
        <w:spacing w:line="276" w:lineRule="auto"/>
        <w:ind w:left="1134"/>
        <w:jc w:val="both"/>
        <w:rPr>
          <w:rFonts w:eastAsia="Arial" w:cs="Arial"/>
          <w:color w:val="000001"/>
          <w:szCs w:val="20"/>
          <w:highlight w:val="white"/>
        </w:rPr>
      </w:pPr>
      <w:r>
        <w:rPr>
          <w:rFonts w:eastAsia="Arial" w:cs="Arial"/>
          <w:color w:val="000001"/>
          <w:szCs w:val="20"/>
          <w:highlight w:val="white"/>
        </w:rPr>
        <w:t>b) Cadastro Nacional de Empresas Inidôneas e Suspensas - CEIS, mantido pela Controladoria-Geral da União (</w:t>
      </w:r>
      <w:hyperlink r:id="rId10">
        <w:r>
          <w:rPr>
            <w:rFonts w:eastAsia="Arial" w:cs="Arial"/>
            <w:color w:val="000001"/>
            <w:szCs w:val="20"/>
            <w:highlight w:val="white"/>
            <w:u w:val="single"/>
          </w:rPr>
          <w:t>www.portaldatransparencia.gov.br/ceis</w:t>
        </w:r>
      </w:hyperlink>
      <w:r>
        <w:rPr>
          <w:rFonts w:eastAsia="Arial" w:cs="Arial"/>
          <w:color w:val="000001"/>
          <w:szCs w:val="20"/>
          <w:highlight w:val="white"/>
        </w:rPr>
        <w:t xml:space="preserve">);  </w:t>
      </w:r>
    </w:p>
    <w:p w:rsidR="00573B5C" w:rsidRDefault="00652E32">
      <w:pPr>
        <w:pBdr>
          <w:top w:val="nil"/>
          <w:left w:val="nil"/>
          <w:bottom w:val="nil"/>
          <w:right w:val="nil"/>
          <w:between w:val="nil"/>
        </w:pBdr>
        <w:spacing w:line="276" w:lineRule="auto"/>
        <w:ind w:left="1134"/>
        <w:jc w:val="both"/>
        <w:rPr>
          <w:rFonts w:eastAsia="Arial" w:cs="Arial"/>
          <w:color w:val="000001"/>
          <w:szCs w:val="20"/>
          <w:highlight w:val="white"/>
        </w:rPr>
      </w:pPr>
      <w:r>
        <w:rPr>
          <w:rFonts w:eastAsia="Arial" w:cs="Arial"/>
          <w:color w:val="000001"/>
          <w:szCs w:val="20"/>
          <w:highlight w:val="white"/>
        </w:rPr>
        <w:t>c) Cadastro Nacional de Condenações Cíveis por Atos de Improbidade Administrativa, mantido pelo Conselho Nacional de Justiça (</w:t>
      </w:r>
      <w:hyperlink r:id="rId11">
        <w:r>
          <w:rPr>
            <w:rFonts w:eastAsia="Arial" w:cs="Arial"/>
            <w:color w:val="000001"/>
            <w:szCs w:val="20"/>
            <w:highlight w:val="white"/>
            <w:u w:val="single"/>
          </w:rPr>
          <w:t>www.cnj.jus.br/improbidade_adm/consultar_requerido.php</w:t>
        </w:r>
      </w:hyperlink>
      <w:r>
        <w:rPr>
          <w:rFonts w:eastAsia="Arial" w:cs="Arial"/>
          <w:color w:val="000001"/>
          <w:szCs w:val="20"/>
          <w:highlight w:val="white"/>
        </w:rPr>
        <w:t xml:space="preserve">).  </w:t>
      </w:r>
    </w:p>
    <w:p w:rsidR="00573B5C" w:rsidRDefault="00652E32">
      <w:pPr>
        <w:pBdr>
          <w:top w:val="nil"/>
          <w:left w:val="nil"/>
          <w:bottom w:val="nil"/>
          <w:right w:val="nil"/>
          <w:between w:val="nil"/>
        </w:pBdr>
        <w:spacing w:line="276" w:lineRule="auto"/>
        <w:ind w:left="1134"/>
        <w:jc w:val="both"/>
        <w:rPr>
          <w:rFonts w:eastAsia="Arial" w:cs="Arial"/>
          <w:color w:val="000001"/>
          <w:szCs w:val="20"/>
          <w:highlight w:val="white"/>
        </w:rPr>
      </w:pPr>
      <w:r>
        <w:rPr>
          <w:rFonts w:eastAsia="Arial" w:cs="Arial"/>
          <w:color w:val="000001"/>
          <w:szCs w:val="20"/>
          <w:highlight w:val="white"/>
        </w:rPr>
        <w:t xml:space="preserve">d) Lista de Inidôneos mantida pelo Tribunal de Contas da União - TCU; </w:t>
      </w:r>
    </w:p>
    <w:p w:rsidR="00573B5C" w:rsidRDefault="00652E32">
      <w:pPr>
        <w:numPr>
          <w:ilvl w:val="2"/>
          <w:numId w:val="5"/>
        </w:numPr>
        <w:pBdr>
          <w:top w:val="nil"/>
          <w:left w:val="nil"/>
          <w:bottom w:val="nil"/>
          <w:right w:val="nil"/>
          <w:between w:val="nil"/>
        </w:pBdr>
        <w:spacing w:after="120" w:line="276" w:lineRule="auto"/>
        <w:jc w:val="both"/>
        <w:rPr>
          <w:rFonts w:eastAsia="Arial" w:cs="Arial"/>
          <w:b/>
          <w:color w:val="000001"/>
          <w:szCs w:val="20"/>
          <w:highlight w:val="white"/>
        </w:rPr>
      </w:pPr>
      <w:r>
        <w:rPr>
          <w:rFonts w:eastAsia="Arial" w:cs="Arial"/>
          <w:color w:val="000001"/>
          <w:szCs w:val="20"/>
          <w:highlight w:val="white"/>
        </w:rPr>
        <w:t>Para a consulta de fornecedores pessoa jurídica poderá haver a substituição das consultas das alíneas “b”, “c” e “d” acima pela Consulta Consolidada de Pessoa Jurídica do TCU (https://certidoesapf.apps.tcu.gov.br/)</w:t>
      </w:r>
    </w:p>
    <w:p w:rsidR="00573B5C" w:rsidRDefault="00652E32">
      <w:pPr>
        <w:numPr>
          <w:ilvl w:val="2"/>
          <w:numId w:val="5"/>
        </w:numPr>
        <w:pBdr>
          <w:top w:val="nil"/>
          <w:left w:val="nil"/>
          <w:bottom w:val="nil"/>
          <w:right w:val="nil"/>
          <w:between w:val="nil"/>
        </w:pBdr>
        <w:spacing w:before="120" w:line="276" w:lineRule="auto"/>
        <w:jc w:val="both"/>
        <w:rPr>
          <w:rFonts w:eastAsia="Arial" w:cs="Arial"/>
          <w:color w:val="000001"/>
          <w:szCs w:val="20"/>
          <w:highlight w:val="white"/>
        </w:rPr>
      </w:pPr>
      <w:r>
        <w:rPr>
          <w:rFonts w:eastAsia="Arial" w:cs="Arial"/>
          <w:color w:val="000001"/>
          <w:szCs w:val="20"/>
          <w:highlight w:val="white"/>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73B5C" w:rsidRDefault="00652E32">
      <w:pPr>
        <w:numPr>
          <w:ilvl w:val="3"/>
          <w:numId w:val="5"/>
        </w:numPr>
        <w:pBdr>
          <w:top w:val="nil"/>
          <w:left w:val="nil"/>
          <w:bottom w:val="nil"/>
          <w:right w:val="nil"/>
          <w:between w:val="nil"/>
        </w:pBdr>
        <w:spacing w:line="276" w:lineRule="auto"/>
        <w:ind w:hanging="648"/>
        <w:jc w:val="both"/>
        <w:rPr>
          <w:rFonts w:eastAsia="Arial" w:cs="Arial"/>
          <w:color w:val="000001"/>
          <w:szCs w:val="20"/>
          <w:highlight w:val="white"/>
        </w:rPr>
      </w:pPr>
      <w:r>
        <w:rPr>
          <w:rFonts w:eastAsia="Arial" w:cs="Arial"/>
          <w:color w:val="000001"/>
          <w:szCs w:val="20"/>
          <w:highlight w:val="white"/>
        </w:rPr>
        <w:t>Caso conste na Consulta de Situação do Fornecedor a existência de Ocorrências Impeditivas Indiretas, o gestor diligenciará para verificar se houve fraude por parte das empresas apontadas no Relatório de Ocorrências Impeditivas Indiretas.</w:t>
      </w:r>
    </w:p>
    <w:p w:rsidR="00573B5C" w:rsidRDefault="00652E32">
      <w:pPr>
        <w:numPr>
          <w:ilvl w:val="4"/>
          <w:numId w:val="5"/>
        </w:numPr>
        <w:pBdr>
          <w:top w:val="nil"/>
          <w:left w:val="nil"/>
          <w:bottom w:val="nil"/>
          <w:right w:val="nil"/>
          <w:between w:val="nil"/>
        </w:pBdr>
        <w:spacing w:line="276" w:lineRule="auto"/>
        <w:ind w:hanging="791"/>
        <w:jc w:val="both"/>
        <w:rPr>
          <w:rFonts w:eastAsia="Arial" w:cs="Arial"/>
          <w:color w:val="000001"/>
          <w:szCs w:val="20"/>
          <w:highlight w:val="white"/>
        </w:rPr>
      </w:pPr>
      <w:r>
        <w:rPr>
          <w:rFonts w:eastAsia="Arial" w:cs="Arial"/>
          <w:color w:val="000001"/>
          <w:szCs w:val="20"/>
          <w:highlight w:val="white"/>
        </w:rPr>
        <w:t>A tentativa de burla será verificada por meio dos vínculos societários, linhas de fornecimento similares, dentre outros.</w:t>
      </w:r>
    </w:p>
    <w:p w:rsidR="00573B5C" w:rsidRDefault="00652E32">
      <w:pPr>
        <w:numPr>
          <w:ilvl w:val="4"/>
          <w:numId w:val="5"/>
        </w:numPr>
        <w:pBdr>
          <w:top w:val="nil"/>
          <w:left w:val="nil"/>
          <w:bottom w:val="nil"/>
          <w:right w:val="nil"/>
          <w:between w:val="nil"/>
        </w:pBdr>
        <w:spacing w:line="276" w:lineRule="auto"/>
        <w:ind w:hanging="791"/>
        <w:jc w:val="both"/>
        <w:rPr>
          <w:rFonts w:eastAsia="Arial" w:cs="Arial"/>
          <w:color w:val="000001"/>
          <w:szCs w:val="20"/>
          <w:highlight w:val="white"/>
        </w:rPr>
      </w:pPr>
      <w:r>
        <w:rPr>
          <w:rFonts w:eastAsia="Arial" w:cs="Arial"/>
          <w:color w:val="000001"/>
          <w:szCs w:val="20"/>
          <w:highlight w:val="white"/>
        </w:rPr>
        <w:t>O fornecedor será convocado para manifestação previamente à sua desclassificação</w:t>
      </w:r>
    </w:p>
    <w:p w:rsidR="00573B5C" w:rsidRDefault="00652E32">
      <w:pPr>
        <w:numPr>
          <w:ilvl w:val="2"/>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Constatada a existência de sanção, o fornecedor será reputado inabilitado, por falta de condição de participação.</w:t>
      </w:r>
    </w:p>
    <w:p w:rsidR="00573B5C" w:rsidRDefault="00652E32">
      <w:pPr>
        <w:numPr>
          <w:ilvl w:val="1"/>
          <w:numId w:val="5"/>
        </w:numPr>
        <w:pBdr>
          <w:top w:val="nil"/>
          <w:left w:val="nil"/>
          <w:bottom w:val="nil"/>
          <w:right w:val="nil"/>
          <w:between w:val="nil"/>
        </w:pBdr>
        <w:spacing w:line="276" w:lineRule="auto"/>
        <w:ind w:hanging="574"/>
        <w:jc w:val="both"/>
        <w:rPr>
          <w:rFonts w:eastAsia="Arial" w:cs="Arial"/>
          <w:color w:val="000001"/>
          <w:szCs w:val="20"/>
          <w:highlight w:val="white"/>
        </w:rPr>
      </w:pPr>
      <w:r>
        <w:rPr>
          <w:rFonts w:eastAsia="Arial" w:cs="Arial"/>
          <w:color w:val="000001"/>
          <w:szCs w:val="20"/>
          <w:highlight w:val="white"/>
        </w:rPr>
        <w:t>Caso atendidas as condições de participação, a habilitação dos fornecedores será verificada por meio do SICAF, nos documentos por ele abrangidos.</w:t>
      </w:r>
    </w:p>
    <w:p w:rsidR="00573B5C" w:rsidRDefault="00652E32">
      <w:pPr>
        <w:numPr>
          <w:ilvl w:val="2"/>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É dever do fornecedor atualizar previamente as comprovações constantes do SICAF para que estejam vigentes na data da abertura da sessão pública, ou encaminhar, quando solicitado, a respectiva documentação atualizada.</w:t>
      </w:r>
    </w:p>
    <w:p w:rsidR="00573B5C" w:rsidRDefault="00652E32">
      <w:pPr>
        <w:numPr>
          <w:ilvl w:val="2"/>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O descumprimento do subitem acima implicará a inabilitação do fornecedor, exceto se a consulta aos sítios eletrônicos oficiais emissores de certidões lograr êxito em encontrar a(s) certidão(ões) válida(s).</w:t>
      </w:r>
    </w:p>
    <w:p w:rsidR="00573B5C" w:rsidRDefault="00652E32">
      <w:pPr>
        <w:numPr>
          <w:ilvl w:val="1"/>
          <w:numId w:val="5"/>
        </w:numPr>
        <w:pBdr>
          <w:top w:val="nil"/>
          <w:left w:val="nil"/>
          <w:bottom w:val="nil"/>
          <w:right w:val="nil"/>
          <w:between w:val="nil"/>
        </w:pBdr>
        <w:spacing w:line="276" w:lineRule="auto"/>
        <w:ind w:hanging="574"/>
        <w:jc w:val="both"/>
        <w:rPr>
          <w:rFonts w:eastAsia="Arial" w:cs="Arial"/>
          <w:color w:val="000001"/>
          <w:szCs w:val="20"/>
          <w:highlight w:val="white"/>
        </w:rPr>
      </w:pPr>
      <w:r>
        <w:rPr>
          <w:rFonts w:eastAsia="Arial" w:cs="Arial"/>
          <w:color w:val="000001"/>
          <w:szCs w:val="20"/>
          <w:highlight w:val="white"/>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573B5C" w:rsidRDefault="00652E32">
      <w:pPr>
        <w:numPr>
          <w:ilvl w:val="1"/>
          <w:numId w:val="5"/>
        </w:numPr>
        <w:pBdr>
          <w:top w:val="nil"/>
          <w:left w:val="nil"/>
          <w:bottom w:val="nil"/>
          <w:right w:val="nil"/>
          <w:between w:val="nil"/>
        </w:pBdr>
        <w:spacing w:line="276" w:lineRule="auto"/>
        <w:ind w:hanging="574"/>
        <w:jc w:val="both"/>
        <w:rPr>
          <w:rFonts w:eastAsia="Arial" w:cs="Arial"/>
          <w:color w:val="000001"/>
          <w:szCs w:val="20"/>
          <w:highlight w:val="white"/>
        </w:rPr>
      </w:pPr>
      <w:r>
        <w:rPr>
          <w:rFonts w:eastAsia="Arial" w:cs="Arial"/>
          <w:color w:val="000001"/>
          <w:szCs w:val="20"/>
          <w:highlight w:val="white"/>
        </w:rPr>
        <w:t>Somente haverá a necessidade de comprovação do preenchimento de requisitos mediante apresentação dos documentos originais não-digitais quando houver dúvida em relação à integridade do documento digital.</w:t>
      </w:r>
    </w:p>
    <w:p w:rsidR="00573B5C" w:rsidRDefault="00652E32">
      <w:pPr>
        <w:numPr>
          <w:ilvl w:val="1"/>
          <w:numId w:val="5"/>
        </w:numPr>
        <w:pBdr>
          <w:top w:val="nil"/>
          <w:left w:val="nil"/>
          <w:bottom w:val="nil"/>
          <w:right w:val="nil"/>
          <w:between w:val="nil"/>
        </w:pBdr>
        <w:spacing w:after="120" w:line="276" w:lineRule="auto"/>
        <w:ind w:hanging="574"/>
        <w:jc w:val="both"/>
        <w:rPr>
          <w:rFonts w:eastAsia="Arial" w:cs="Arial"/>
          <w:b/>
          <w:color w:val="000001"/>
          <w:szCs w:val="20"/>
          <w:highlight w:val="white"/>
        </w:rPr>
      </w:pPr>
      <w:r>
        <w:rPr>
          <w:rFonts w:eastAsia="Arial" w:cs="Arial"/>
          <w:color w:val="000001"/>
          <w:szCs w:val="20"/>
          <w:highlight w:val="whit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573B5C" w:rsidRDefault="00652E32">
      <w:pPr>
        <w:numPr>
          <w:ilvl w:val="1"/>
          <w:numId w:val="5"/>
        </w:numPr>
        <w:pBdr>
          <w:top w:val="nil"/>
          <w:left w:val="nil"/>
          <w:bottom w:val="nil"/>
          <w:right w:val="nil"/>
          <w:between w:val="nil"/>
        </w:pBdr>
        <w:spacing w:before="120" w:line="276" w:lineRule="auto"/>
        <w:ind w:hanging="574"/>
        <w:jc w:val="both"/>
        <w:rPr>
          <w:rFonts w:eastAsia="Arial" w:cs="Arial"/>
          <w:i/>
          <w:color w:val="000001"/>
          <w:szCs w:val="20"/>
          <w:highlight w:val="white"/>
        </w:rPr>
      </w:pPr>
      <w:r>
        <w:rPr>
          <w:rFonts w:eastAsia="Arial" w:cs="Arial"/>
          <w:i/>
          <w:color w:val="000001"/>
          <w:szCs w:val="20"/>
          <w:highlight w:val="white"/>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573B5C" w:rsidRDefault="00652E32">
      <w:pPr>
        <w:numPr>
          <w:ilvl w:val="2"/>
          <w:numId w:val="5"/>
        </w:numPr>
        <w:pBdr>
          <w:top w:val="nil"/>
          <w:left w:val="nil"/>
          <w:bottom w:val="nil"/>
          <w:right w:val="nil"/>
          <w:between w:val="nil"/>
        </w:pBdr>
        <w:spacing w:after="120" w:line="276" w:lineRule="auto"/>
        <w:jc w:val="both"/>
        <w:rPr>
          <w:rFonts w:eastAsia="Arial" w:cs="Arial"/>
          <w:i/>
          <w:color w:val="000001"/>
          <w:szCs w:val="20"/>
          <w:highlight w:val="white"/>
        </w:rPr>
      </w:pPr>
      <w:r>
        <w:rPr>
          <w:rFonts w:eastAsia="Arial" w:cs="Arial"/>
          <w:i/>
          <w:color w:val="000001"/>
          <w:szCs w:val="20"/>
          <w:highlight w:val="white"/>
        </w:rPr>
        <w:lastRenderedPageBreak/>
        <w:t>Não havendo a comprovação cumulativa dos requisitos de habilitação, a inabilitação recairá sobre o(s) item(ns) de menor(es) valor(es) cuja retirada(s) seja(m) suficiente(s) para a habilitação do fornecedor nos remanescentes.</w:t>
      </w:r>
    </w:p>
    <w:p w:rsidR="00573B5C" w:rsidRDefault="00652E32">
      <w:pPr>
        <w:numPr>
          <w:ilvl w:val="1"/>
          <w:numId w:val="5"/>
        </w:numPr>
        <w:pBdr>
          <w:top w:val="nil"/>
          <w:left w:val="nil"/>
          <w:bottom w:val="nil"/>
          <w:right w:val="nil"/>
          <w:between w:val="nil"/>
        </w:pBdr>
        <w:spacing w:before="120" w:line="276" w:lineRule="auto"/>
        <w:ind w:hanging="574"/>
        <w:jc w:val="both"/>
        <w:rPr>
          <w:rFonts w:eastAsia="Arial" w:cs="Arial"/>
          <w:color w:val="000001"/>
          <w:szCs w:val="20"/>
          <w:highlight w:val="white"/>
        </w:rPr>
      </w:pPr>
      <w:r>
        <w:rPr>
          <w:rFonts w:eastAsia="Arial" w:cs="Arial"/>
          <w:color w:val="000001"/>
          <w:szCs w:val="20"/>
          <w:highlight w:val="white"/>
        </w:rPr>
        <w:t>Havendo necessidade de analisar minuciosamente os documentos exigidos, a sessão será suspensa, sendo informada a nova data e horário para a sua continuidade.</w:t>
      </w:r>
    </w:p>
    <w:p w:rsidR="00573B5C" w:rsidRDefault="00652E32">
      <w:pPr>
        <w:numPr>
          <w:ilvl w:val="1"/>
          <w:numId w:val="5"/>
        </w:numPr>
        <w:pBdr>
          <w:top w:val="nil"/>
          <w:left w:val="nil"/>
          <w:bottom w:val="nil"/>
          <w:right w:val="nil"/>
          <w:between w:val="nil"/>
        </w:pBdr>
        <w:spacing w:line="276" w:lineRule="auto"/>
        <w:ind w:hanging="574"/>
        <w:jc w:val="both"/>
        <w:rPr>
          <w:rFonts w:eastAsia="Arial" w:cs="Arial"/>
          <w:color w:val="000001"/>
          <w:szCs w:val="20"/>
          <w:highlight w:val="white"/>
        </w:rPr>
      </w:pPr>
      <w:r>
        <w:rPr>
          <w:rFonts w:eastAsia="Arial" w:cs="Arial"/>
          <w:color w:val="000001"/>
          <w:szCs w:val="20"/>
          <w:highlight w:val="white"/>
        </w:rPr>
        <w:t>Será inabilitado o fornecedor que não comprovar sua habilitação, seja por não apresentar quaisquer dos documentos exigidos, ou apresentá-los em desacordo com o estabelecido neste Aviso de Contratação Direta.</w:t>
      </w:r>
    </w:p>
    <w:p w:rsidR="00573B5C" w:rsidRDefault="00652E32">
      <w:pPr>
        <w:numPr>
          <w:ilvl w:val="2"/>
          <w:numId w:val="5"/>
        </w:numPr>
        <w:pBdr>
          <w:top w:val="nil"/>
          <w:left w:val="nil"/>
          <w:bottom w:val="nil"/>
          <w:right w:val="nil"/>
          <w:between w:val="nil"/>
        </w:pBdr>
        <w:spacing w:line="276" w:lineRule="auto"/>
        <w:jc w:val="both"/>
        <w:rPr>
          <w:rFonts w:eastAsia="Arial" w:cs="Arial"/>
          <w:color w:val="000001"/>
          <w:szCs w:val="20"/>
          <w:highlight w:val="white"/>
        </w:rPr>
      </w:pPr>
      <w:r>
        <w:rPr>
          <w:rFonts w:eastAsia="Arial" w:cs="Arial"/>
          <w:color w:val="000001"/>
          <w:szCs w:val="20"/>
          <w:highlight w:val="whit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573B5C" w:rsidRDefault="00652E32">
      <w:pPr>
        <w:numPr>
          <w:ilvl w:val="1"/>
          <w:numId w:val="5"/>
        </w:numPr>
        <w:pBdr>
          <w:top w:val="nil"/>
          <w:left w:val="nil"/>
          <w:bottom w:val="nil"/>
          <w:right w:val="nil"/>
          <w:between w:val="nil"/>
        </w:pBdr>
        <w:spacing w:after="120" w:line="276" w:lineRule="auto"/>
        <w:ind w:hanging="574"/>
        <w:jc w:val="both"/>
        <w:rPr>
          <w:rFonts w:eastAsia="Arial" w:cs="Arial"/>
          <w:color w:val="000001"/>
          <w:szCs w:val="20"/>
          <w:highlight w:val="white"/>
        </w:rPr>
      </w:pPr>
      <w:r>
        <w:rPr>
          <w:rFonts w:eastAsia="Arial" w:cs="Arial"/>
          <w:color w:val="000001"/>
          <w:szCs w:val="20"/>
          <w:highlight w:val="white"/>
        </w:rPr>
        <w:t>Constatado o atendimento às exigências de habilitação, o fornecedor será habilitado</w:t>
      </w:r>
    </w:p>
    <w:p w:rsidR="00573B5C" w:rsidRDefault="00652E32">
      <w:pPr>
        <w:numPr>
          <w:ilvl w:val="0"/>
          <w:numId w:val="5"/>
        </w:numPr>
        <w:pBdr>
          <w:top w:val="nil"/>
          <w:left w:val="nil"/>
          <w:bottom w:val="nil"/>
          <w:right w:val="nil"/>
          <w:between w:val="nil"/>
        </w:pBdr>
        <w:spacing w:before="120" w:after="120" w:line="276" w:lineRule="auto"/>
        <w:jc w:val="both"/>
        <w:rPr>
          <w:rFonts w:eastAsia="Arial" w:cs="Arial"/>
          <w:b/>
          <w:color w:val="000001"/>
          <w:szCs w:val="20"/>
          <w:highlight w:val="white"/>
        </w:rPr>
      </w:pPr>
      <w:r>
        <w:rPr>
          <w:rFonts w:eastAsia="Arial" w:cs="Arial"/>
          <w:b/>
          <w:color w:val="000001"/>
          <w:szCs w:val="20"/>
          <w:highlight w:val="white"/>
        </w:rPr>
        <w:t>CONTRATAÇÃO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Após a homologação e adjudicação, caso se conclua pela contratação, será firmado Termo de Contrato ou emitido instrumento equivalente.</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 xml:space="preserve">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573B5C" w:rsidRDefault="00652E32">
      <w:pPr>
        <w:numPr>
          <w:ilvl w:val="2"/>
          <w:numId w:val="5"/>
        </w:numPr>
        <w:spacing w:before="120" w:after="120" w:line="276" w:lineRule="auto"/>
        <w:jc w:val="both"/>
        <w:rPr>
          <w:i/>
          <w:color w:val="000001"/>
          <w:highlight w:val="white"/>
        </w:rPr>
      </w:pPr>
      <w:r>
        <w:rPr>
          <w:i/>
          <w:color w:val="000001"/>
          <w:highlight w:val="white"/>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2(dois) dias, a contar da data de seu recebimento. </w:t>
      </w:r>
    </w:p>
    <w:p w:rsidR="00573B5C" w:rsidRDefault="00652E32">
      <w:pPr>
        <w:numPr>
          <w:ilvl w:val="2"/>
          <w:numId w:val="5"/>
        </w:numPr>
        <w:spacing w:before="120" w:after="120" w:line="276" w:lineRule="auto"/>
        <w:jc w:val="both"/>
        <w:rPr>
          <w:color w:val="000001"/>
          <w:highlight w:val="white"/>
        </w:rPr>
      </w:pPr>
      <w:r>
        <w:rPr>
          <w:color w:val="000001"/>
          <w:highlight w:val="white"/>
        </w:rPr>
        <w:t>O prazo previsto para assinatura do contrato ou aceitação da nota de empenho ou instrumento equivalente poderá ser prorrogado 1 (uma) vez, por igual período, por solicitação justificada do adjudicatário e aceita pela Administração.</w:t>
      </w:r>
    </w:p>
    <w:p w:rsidR="00573B5C" w:rsidRDefault="00652E32">
      <w:pPr>
        <w:numPr>
          <w:ilvl w:val="1"/>
          <w:numId w:val="5"/>
        </w:numPr>
        <w:spacing w:before="120" w:after="120" w:line="276" w:lineRule="auto"/>
        <w:ind w:left="425" w:firstLine="0"/>
        <w:jc w:val="both"/>
        <w:rPr>
          <w:i/>
          <w:color w:val="000001"/>
          <w:highlight w:val="white"/>
        </w:rPr>
      </w:pPr>
      <w:r>
        <w:rPr>
          <w:i/>
          <w:color w:val="000001"/>
          <w:highlight w:val="white"/>
        </w:rPr>
        <w:t>O Aceite da Nota de Empenho ou do instrumento equivalente, emitida à empresa adjudicada, implica no reconhecimento de que:</w:t>
      </w:r>
    </w:p>
    <w:p w:rsidR="00573B5C" w:rsidRDefault="00652E32">
      <w:pPr>
        <w:numPr>
          <w:ilvl w:val="2"/>
          <w:numId w:val="5"/>
        </w:numPr>
        <w:spacing w:before="120" w:after="120" w:line="276" w:lineRule="auto"/>
        <w:jc w:val="both"/>
        <w:rPr>
          <w:i/>
          <w:color w:val="000001"/>
          <w:highlight w:val="white"/>
        </w:rPr>
      </w:pPr>
      <w:r>
        <w:rPr>
          <w:i/>
          <w:color w:val="000001"/>
          <w:highlight w:val="white"/>
        </w:rPr>
        <w:t>referida Nota está substituindo o contrato, aplicando-se à relação de negócios ali estabelecida as disposições da Lei nº 14.133, de 2021;</w:t>
      </w:r>
    </w:p>
    <w:p w:rsidR="00573B5C" w:rsidRDefault="00652E32">
      <w:pPr>
        <w:numPr>
          <w:ilvl w:val="2"/>
          <w:numId w:val="5"/>
        </w:numPr>
        <w:spacing w:before="120" w:after="120" w:line="276" w:lineRule="auto"/>
        <w:jc w:val="both"/>
        <w:rPr>
          <w:i/>
          <w:color w:val="000001"/>
          <w:highlight w:val="white"/>
        </w:rPr>
      </w:pPr>
      <w:r>
        <w:rPr>
          <w:i/>
          <w:color w:val="000001"/>
          <w:highlight w:val="white"/>
        </w:rPr>
        <w:t>a contratada se vincula à sua proposta e às previsões contidas no Aviso de Contratação Direta e seus anexos;</w:t>
      </w:r>
    </w:p>
    <w:p w:rsidR="00573B5C" w:rsidRDefault="00652E32">
      <w:pPr>
        <w:numPr>
          <w:ilvl w:val="2"/>
          <w:numId w:val="5"/>
        </w:numPr>
        <w:spacing w:before="120" w:after="120" w:line="276" w:lineRule="auto"/>
        <w:jc w:val="both"/>
        <w:rPr>
          <w:i/>
          <w:color w:val="000001"/>
          <w:highlight w:val="white"/>
        </w:rPr>
      </w:pPr>
      <w:r>
        <w:rPr>
          <w:i/>
          <w:color w:val="000001"/>
          <w:highlight w:val="white"/>
        </w:rPr>
        <w:t>a contratada reconhece que as hipóteses de rescisão são aquelas previstas nos artigos 137 e 138 da Lei nº 14.133/21 e reconhece os direitos da Administração previstos nos artigos 137 a 139 da mesma Lei.</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 xml:space="preserve">O prazo de vigência da contratação é de 90 (noventa) dias, prorrogável conforme previsão nos anexos a este Aviso de Contratação Direta. </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Na assinatura do contrato ou do instrumento equivalente será exigida a comprovação das condições de habilitação e contratação consignadas neste aviso, que deverão ser mantidas pelo fornecedor durante a vigência do contrato.</w:t>
      </w:r>
    </w:p>
    <w:p w:rsidR="00573B5C" w:rsidRDefault="00652E32">
      <w:pPr>
        <w:numPr>
          <w:ilvl w:val="0"/>
          <w:numId w:val="5"/>
        </w:numPr>
        <w:pBdr>
          <w:top w:val="nil"/>
          <w:left w:val="nil"/>
          <w:bottom w:val="nil"/>
          <w:right w:val="nil"/>
          <w:between w:val="nil"/>
        </w:pBdr>
        <w:spacing w:before="120" w:after="120" w:line="276" w:lineRule="auto"/>
        <w:jc w:val="both"/>
        <w:rPr>
          <w:rFonts w:eastAsia="Arial" w:cs="Arial"/>
          <w:b/>
          <w:color w:val="000001"/>
          <w:szCs w:val="20"/>
          <w:highlight w:val="white"/>
        </w:rPr>
      </w:pPr>
      <w:r>
        <w:rPr>
          <w:rFonts w:eastAsia="Arial" w:cs="Arial"/>
          <w:b/>
          <w:color w:val="000001"/>
          <w:szCs w:val="20"/>
          <w:highlight w:val="white"/>
        </w:rPr>
        <w:t>SANÇÕES</w:t>
      </w:r>
    </w:p>
    <w:p w:rsidR="00573B5C" w:rsidRDefault="00652E32">
      <w:pPr>
        <w:numPr>
          <w:ilvl w:val="1"/>
          <w:numId w:val="5"/>
        </w:numPr>
        <w:spacing w:before="120" w:after="120" w:line="276" w:lineRule="auto"/>
        <w:ind w:left="425" w:firstLine="0"/>
        <w:jc w:val="both"/>
        <w:rPr>
          <w:b/>
          <w:color w:val="000001"/>
          <w:highlight w:val="white"/>
        </w:rPr>
      </w:pPr>
      <w:r>
        <w:rPr>
          <w:color w:val="000001"/>
          <w:highlight w:val="white"/>
        </w:rPr>
        <w:t xml:space="preserve">Comete infração administrativa o fornecedor que cometer quaisquer das infrações previstas no art. 155 da Lei nº 14.133, de 2021, quais sejam: </w:t>
      </w:r>
    </w:p>
    <w:p w:rsidR="00573B5C" w:rsidRDefault="00652E32">
      <w:pPr>
        <w:numPr>
          <w:ilvl w:val="2"/>
          <w:numId w:val="5"/>
        </w:numPr>
        <w:spacing w:before="120" w:after="120" w:line="276" w:lineRule="auto"/>
        <w:jc w:val="both"/>
        <w:rPr>
          <w:color w:val="000001"/>
          <w:highlight w:val="white"/>
        </w:rPr>
      </w:pPr>
      <w:r>
        <w:rPr>
          <w:color w:val="000001"/>
          <w:highlight w:val="white"/>
        </w:rPr>
        <w:lastRenderedPageBreak/>
        <w:t>dar causa à inexecução parcial do contrato;</w:t>
      </w:r>
    </w:p>
    <w:p w:rsidR="00573B5C" w:rsidRDefault="00652E32">
      <w:pPr>
        <w:numPr>
          <w:ilvl w:val="2"/>
          <w:numId w:val="5"/>
        </w:numPr>
        <w:spacing w:before="120" w:after="120" w:line="276" w:lineRule="auto"/>
        <w:jc w:val="both"/>
        <w:rPr>
          <w:color w:val="000001"/>
          <w:highlight w:val="white"/>
        </w:rPr>
      </w:pPr>
      <w:r>
        <w:rPr>
          <w:color w:val="000001"/>
          <w:highlight w:val="white"/>
        </w:rPr>
        <w:t>dar causa à inexecução parcial do contrato que cause grave dano à Administração, ao funcionamento dos serviços públicos ou ao interesse coletivo;</w:t>
      </w:r>
    </w:p>
    <w:p w:rsidR="00573B5C" w:rsidRDefault="00652E32">
      <w:pPr>
        <w:numPr>
          <w:ilvl w:val="2"/>
          <w:numId w:val="5"/>
        </w:numPr>
        <w:spacing w:before="120" w:after="120" w:line="276" w:lineRule="auto"/>
        <w:jc w:val="both"/>
        <w:rPr>
          <w:color w:val="000001"/>
          <w:highlight w:val="white"/>
        </w:rPr>
      </w:pPr>
      <w:r>
        <w:rPr>
          <w:color w:val="000001"/>
          <w:highlight w:val="white"/>
        </w:rPr>
        <w:t>dar causa à inexecução total do contrato;</w:t>
      </w:r>
    </w:p>
    <w:p w:rsidR="00573B5C" w:rsidRDefault="00652E32">
      <w:pPr>
        <w:numPr>
          <w:ilvl w:val="2"/>
          <w:numId w:val="5"/>
        </w:numPr>
        <w:spacing w:before="120" w:after="120" w:line="276" w:lineRule="auto"/>
        <w:jc w:val="both"/>
        <w:rPr>
          <w:color w:val="000001"/>
          <w:highlight w:val="white"/>
        </w:rPr>
      </w:pPr>
      <w:r>
        <w:rPr>
          <w:color w:val="000001"/>
          <w:highlight w:val="white"/>
        </w:rPr>
        <w:t>deixar de entregar a documentação exigida para o certame;</w:t>
      </w:r>
    </w:p>
    <w:p w:rsidR="00573B5C" w:rsidRDefault="00652E32">
      <w:pPr>
        <w:numPr>
          <w:ilvl w:val="2"/>
          <w:numId w:val="5"/>
        </w:numPr>
        <w:spacing w:before="120" w:after="120" w:line="276" w:lineRule="auto"/>
        <w:jc w:val="both"/>
        <w:rPr>
          <w:color w:val="000001"/>
          <w:highlight w:val="white"/>
        </w:rPr>
      </w:pPr>
      <w:r>
        <w:rPr>
          <w:color w:val="000001"/>
          <w:highlight w:val="white"/>
        </w:rPr>
        <w:t>não manter a proposta, salvo em decorrência de fato superveniente devidamente justificado;</w:t>
      </w:r>
    </w:p>
    <w:p w:rsidR="00573B5C" w:rsidRDefault="00652E32">
      <w:pPr>
        <w:numPr>
          <w:ilvl w:val="2"/>
          <w:numId w:val="5"/>
        </w:numPr>
        <w:spacing w:before="120" w:after="120" w:line="276" w:lineRule="auto"/>
        <w:jc w:val="both"/>
        <w:rPr>
          <w:color w:val="000001"/>
          <w:highlight w:val="white"/>
        </w:rPr>
      </w:pPr>
      <w:r>
        <w:rPr>
          <w:color w:val="000001"/>
          <w:highlight w:val="white"/>
        </w:rPr>
        <w:t>não celebrar o contrato ou não entregar a documentação exigida para a contratação, quando convocado dentro do prazo de validade de sua proposta;</w:t>
      </w:r>
    </w:p>
    <w:p w:rsidR="00573B5C" w:rsidRDefault="00652E32">
      <w:pPr>
        <w:numPr>
          <w:ilvl w:val="2"/>
          <w:numId w:val="5"/>
        </w:numPr>
        <w:spacing w:before="120" w:after="120" w:line="276" w:lineRule="auto"/>
        <w:jc w:val="both"/>
        <w:rPr>
          <w:color w:val="000001"/>
          <w:highlight w:val="white"/>
        </w:rPr>
      </w:pPr>
      <w:r>
        <w:rPr>
          <w:color w:val="000001"/>
          <w:highlight w:val="white"/>
        </w:rPr>
        <w:t> ensejar o retardamento da execução ou da entrega do objeto da licitação sem motivo justificado;</w:t>
      </w:r>
    </w:p>
    <w:p w:rsidR="00573B5C" w:rsidRDefault="00652E32">
      <w:pPr>
        <w:numPr>
          <w:ilvl w:val="2"/>
          <w:numId w:val="5"/>
        </w:numPr>
        <w:spacing w:before="120" w:after="120" w:line="276" w:lineRule="auto"/>
        <w:jc w:val="both"/>
        <w:rPr>
          <w:color w:val="000001"/>
          <w:highlight w:val="white"/>
        </w:rPr>
      </w:pPr>
      <w:r>
        <w:rPr>
          <w:color w:val="000001"/>
          <w:highlight w:val="white"/>
        </w:rPr>
        <w:t>apresentar declaração ou documentação falsa exigida para o certame ou prestar declaração falsa durante a dispensa eletrônica ou a execução do contrato;</w:t>
      </w:r>
    </w:p>
    <w:p w:rsidR="00573B5C" w:rsidRDefault="00652E32">
      <w:pPr>
        <w:numPr>
          <w:ilvl w:val="2"/>
          <w:numId w:val="5"/>
        </w:numPr>
        <w:spacing w:before="120" w:after="120" w:line="276" w:lineRule="auto"/>
        <w:jc w:val="both"/>
        <w:rPr>
          <w:color w:val="000001"/>
          <w:highlight w:val="white"/>
        </w:rPr>
      </w:pPr>
      <w:r>
        <w:rPr>
          <w:color w:val="000001"/>
          <w:highlight w:val="white"/>
        </w:rPr>
        <w:t>fraudar a dispensa eletrônica ou praticar ato fraudulento na execução do contrato;</w:t>
      </w:r>
    </w:p>
    <w:p w:rsidR="00573B5C" w:rsidRDefault="00652E32">
      <w:pPr>
        <w:numPr>
          <w:ilvl w:val="2"/>
          <w:numId w:val="5"/>
        </w:numPr>
        <w:spacing w:before="120" w:after="120" w:line="276" w:lineRule="auto"/>
        <w:jc w:val="both"/>
        <w:rPr>
          <w:color w:val="000001"/>
          <w:highlight w:val="white"/>
        </w:rPr>
      </w:pPr>
      <w:r>
        <w:rPr>
          <w:color w:val="000001"/>
          <w:highlight w:val="white"/>
        </w:rPr>
        <w:t> comportar-se de modo inidôneo ou cometer fraude de qualquer natureza;</w:t>
      </w:r>
    </w:p>
    <w:p w:rsidR="00573B5C" w:rsidRDefault="00652E32">
      <w:pPr>
        <w:numPr>
          <w:ilvl w:val="3"/>
          <w:numId w:val="5"/>
        </w:numPr>
        <w:pBdr>
          <w:top w:val="nil"/>
          <w:left w:val="nil"/>
          <w:bottom w:val="nil"/>
          <w:right w:val="nil"/>
          <w:between w:val="nil"/>
        </w:pBdr>
        <w:spacing w:before="120" w:after="120" w:line="276" w:lineRule="auto"/>
        <w:ind w:hanging="648"/>
        <w:jc w:val="both"/>
        <w:rPr>
          <w:rFonts w:eastAsia="Arial" w:cs="Arial"/>
          <w:color w:val="000001"/>
          <w:szCs w:val="20"/>
          <w:highlight w:val="white"/>
        </w:rPr>
      </w:pPr>
      <w:r>
        <w:rPr>
          <w:rFonts w:eastAsia="Arial" w:cs="Arial"/>
          <w:color w:val="000001"/>
          <w:szCs w:val="20"/>
          <w:highlight w:val="white"/>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573B5C" w:rsidRDefault="00652E32">
      <w:pPr>
        <w:numPr>
          <w:ilvl w:val="2"/>
          <w:numId w:val="5"/>
        </w:numPr>
        <w:spacing w:before="120" w:after="120" w:line="276" w:lineRule="auto"/>
        <w:jc w:val="both"/>
        <w:rPr>
          <w:color w:val="000001"/>
          <w:highlight w:val="white"/>
        </w:rPr>
      </w:pPr>
      <w:r>
        <w:rPr>
          <w:color w:val="000001"/>
          <w:highlight w:val="white"/>
        </w:rPr>
        <w:t> praticar atos ilícitos com vistas a frustrar os objetivos deste certame.</w:t>
      </w:r>
    </w:p>
    <w:p w:rsidR="00573B5C" w:rsidRDefault="00652E32">
      <w:pPr>
        <w:numPr>
          <w:ilvl w:val="2"/>
          <w:numId w:val="5"/>
        </w:numPr>
        <w:spacing w:before="120" w:after="120" w:line="276" w:lineRule="auto"/>
        <w:jc w:val="both"/>
        <w:rPr>
          <w:color w:val="000001"/>
          <w:highlight w:val="white"/>
        </w:rPr>
      </w:pPr>
      <w:r>
        <w:rPr>
          <w:color w:val="000001"/>
          <w:highlight w:val="white"/>
        </w:rPr>
        <w:t>praticar ato lesivo previsto no </w:t>
      </w:r>
      <w:hyperlink r:id="rId12" w:anchor="art5">
        <w:r>
          <w:rPr>
            <w:color w:val="000001"/>
            <w:highlight w:val="white"/>
          </w:rPr>
          <w:t>art. 5º da Lei nº 12.846, de 1º de agosto de 2013.</w:t>
        </w:r>
      </w:hyperlink>
    </w:p>
    <w:p w:rsidR="00573B5C" w:rsidRDefault="00652E32">
      <w:pPr>
        <w:numPr>
          <w:ilvl w:val="1"/>
          <w:numId w:val="5"/>
        </w:numPr>
        <w:spacing w:before="120" w:after="120" w:line="276" w:lineRule="auto"/>
        <w:ind w:left="425" w:firstLine="0"/>
        <w:jc w:val="both"/>
        <w:rPr>
          <w:b/>
          <w:color w:val="000001"/>
          <w:highlight w:val="white"/>
        </w:rPr>
      </w:pPr>
      <w:r>
        <w:rPr>
          <w:color w:val="000001"/>
          <w:highlight w:val="white"/>
        </w:rPr>
        <w:t>O fornecedor que cometer qualquer das infrações discriminadas nos subitens anteriores ficará sujeito, sem prejuízo da responsabilidade civil e criminal, às seguintes sanções:</w:t>
      </w:r>
    </w:p>
    <w:p w:rsidR="00573B5C" w:rsidRDefault="00652E32">
      <w:pPr>
        <w:numPr>
          <w:ilvl w:val="2"/>
          <w:numId w:val="2"/>
        </w:numPr>
        <w:spacing w:before="120" w:after="120" w:line="276" w:lineRule="auto"/>
        <w:jc w:val="both"/>
        <w:rPr>
          <w:color w:val="000001"/>
          <w:highlight w:val="white"/>
        </w:rPr>
      </w:pPr>
      <w:r>
        <w:rPr>
          <w:color w:val="000001"/>
          <w:highlight w:val="white"/>
        </w:rPr>
        <w:t>Advertência pela falta do subitem 8.1.1 deste Aviso de Contratação Direta, quando não se justificar a imposição de penalidade mais grave;</w:t>
      </w:r>
    </w:p>
    <w:p w:rsidR="00573B5C" w:rsidRDefault="00652E32">
      <w:pPr>
        <w:numPr>
          <w:ilvl w:val="2"/>
          <w:numId w:val="2"/>
        </w:numPr>
        <w:spacing w:before="120" w:after="120" w:line="276" w:lineRule="auto"/>
        <w:jc w:val="both"/>
        <w:rPr>
          <w:color w:val="000001"/>
          <w:highlight w:val="white"/>
        </w:rPr>
      </w:pPr>
      <w:r>
        <w:rPr>
          <w:color w:val="000001"/>
          <w:highlight w:val="white"/>
        </w:rPr>
        <w:t>Multa de 10% (10 por cento) sobre o valor estimado do(s) item(s) prejudicado(s) pela conduta do fornecedor, por qualquer das infrações dos subitens 8.1.1 a 8.1.12;</w:t>
      </w:r>
    </w:p>
    <w:p w:rsidR="00573B5C" w:rsidRDefault="00652E32">
      <w:pPr>
        <w:numPr>
          <w:ilvl w:val="2"/>
          <w:numId w:val="2"/>
        </w:numPr>
        <w:spacing w:before="120" w:after="120" w:line="276" w:lineRule="auto"/>
        <w:jc w:val="both"/>
        <w:rPr>
          <w:color w:val="000001"/>
          <w:highlight w:val="white"/>
        </w:rPr>
      </w:pPr>
      <w:r>
        <w:rPr>
          <w:color w:val="000001"/>
          <w:highlight w:val="white"/>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573B5C" w:rsidRDefault="00652E32">
      <w:pPr>
        <w:numPr>
          <w:ilvl w:val="2"/>
          <w:numId w:val="2"/>
        </w:numPr>
        <w:spacing w:before="120" w:after="120" w:line="276" w:lineRule="auto"/>
        <w:jc w:val="both"/>
        <w:rPr>
          <w:color w:val="000001"/>
          <w:highlight w:val="white"/>
        </w:rPr>
      </w:pPr>
      <w:r>
        <w:rPr>
          <w:color w:val="000001"/>
          <w:highlight w:val="whit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573B5C" w:rsidRDefault="00652E32">
      <w:pPr>
        <w:numPr>
          <w:ilvl w:val="1"/>
          <w:numId w:val="5"/>
        </w:numPr>
        <w:spacing w:before="120" w:after="120" w:line="276" w:lineRule="auto"/>
        <w:jc w:val="both"/>
        <w:rPr>
          <w:color w:val="000001"/>
          <w:highlight w:val="white"/>
        </w:rPr>
      </w:pPr>
      <w:r>
        <w:rPr>
          <w:color w:val="000001"/>
          <w:highlight w:val="white"/>
        </w:rPr>
        <w:t>Na aplicação das sanções serão considerados:</w:t>
      </w:r>
    </w:p>
    <w:p w:rsidR="00573B5C" w:rsidRDefault="00652E32">
      <w:pPr>
        <w:numPr>
          <w:ilvl w:val="2"/>
          <w:numId w:val="5"/>
        </w:numPr>
        <w:spacing w:before="120" w:after="120" w:line="276" w:lineRule="auto"/>
        <w:jc w:val="both"/>
        <w:rPr>
          <w:color w:val="000001"/>
          <w:highlight w:val="white"/>
        </w:rPr>
      </w:pPr>
      <w:r>
        <w:rPr>
          <w:color w:val="000001"/>
          <w:highlight w:val="white"/>
        </w:rPr>
        <w:t>a natureza e a gravidade da infração cometida;</w:t>
      </w:r>
    </w:p>
    <w:p w:rsidR="00573B5C" w:rsidRDefault="00652E32">
      <w:pPr>
        <w:numPr>
          <w:ilvl w:val="2"/>
          <w:numId w:val="5"/>
        </w:numPr>
        <w:spacing w:before="120" w:after="120" w:line="276" w:lineRule="auto"/>
        <w:jc w:val="both"/>
        <w:rPr>
          <w:color w:val="000001"/>
          <w:highlight w:val="white"/>
        </w:rPr>
      </w:pPr>
      <w:r>
        <w:rPr>
          <w:color w:val="000001"/>
          <w:highlight w:val="white"/>
        </w:rPr>
        <w:t>as peculiaridades do caso concreto;</w:t>
      </w:r>
    </w:p>
    <w:p w:rsidR="00573B5C" w:rsidRDefault="00652E32">
      <w:pPr>
        <w:numPr>
          <w:ilvl w:val="2"/>
          <w:numId w:val="5"/>
        </w:numPr>
        <w:spacing w:before="120" w:after="120" w:line="276" w:lineRule="auto"/>
        <w:jc w:val="both"/>
        <w:rPr>
          <w:color w:val="000001"/>
          <w:highlight w:val="white"/>
        </w:rPr>
      </w:pPr>
      <w:r>
        <w:rPr>
          <w:color w:val="000001"/>
          <w:highlight w:val="white"/>
        </w:rPr>
        <w:t>as circunstâncias agravantes ou atenuantes;</w:t>
      </w:r>
    </w:p>
    <w:p w:rsidR="00573B5C" w:rsidRDefault="00652E32">
      <w:pPr>
        <w:numPr>
          <w:ilvl w:val="2"/>
          <w:numId w:val="5"/>
        </w:numPr>
        <w:spacing w:before="120" w:after="120" w:line="276" w:lineRule="auto"/>
        <w:jc w:val="both"/>
        <w:rPr>
          <w:color w:val="000001"/>
          <w:highlight w:val="white"/>
        </w:rPr>
      </w:pPr>
      <w:r>
        <w:rPr>
          <w:color w:val="000001"/>
          <w:highlight w:val="white"/>
        </w:rPr>
        <w:t>os danos que dela provierem para a Administração Pública;</w:t>
      </w:r>
    </w:p>
    <w:p w:rsidR="00573B5C" w:rsidRDefault="00652E32">
      <w:pPr>
        <w:numPr>
          <w:ilvl w:val="2"/>
          <w:numId w:val="5"/>
        </w:numPr>
        <w:spacing w:before="120" w:after="120" w:line="276" w:lineRule="auto"/>
        <w:jc w:val="both"/>
        <w:rPr>
          <w:color w:val="000001"/>
          <w:highlight w:val="white"/>
        </w:rPr>
      </w:pPr>
      <w:r>
        <w:rPr>
          <w:color w:val="000001"/>
          <w:highlight w:val="white"/>
        </w:rPr>
        <w:lastRenderedPageBreak/>
        <w:t>a implantação ou o aperfeiçoamento de programa de integridade, conforme normas e orientações dos órgãos de controle.</w:t>
      </w:r>
    </w:p>
    <w:p w:rsidR="00573B5C" w:rsidRDefault="00652E32">
      <w:pPr>
        <w:numPr>
          <w:ilvl w:val="1"/>
          <w:numId w:val="5"/>
        </w:numPr>
        <w:spacing w:before="120" w:after="120" w:line="276" w:lineRule="auto"/>
        <w:ind w:left="425" w:firstLine="0"/>
        <w:jc w:val="both"/>
        <w:rPr>
          <w:color w:val="000001"/>
          <w:highlight w:val="white"/>
        </w:rPr>
      </w:pPr>
      <w:bookmarkStart w:id="2" w:name="bookmark=id.1fob9te" w:colFirst="0" w:colLast="0"/>
      <w:bookmarkStart w:id="3" w:name="bookmark=id.2et92p0" w:colFirst="0" w:colLast="0"/>
      <w:bookmarkStart w:id="4" w:name="bookmark=id.3znysh7" w:colFirst="0" w:colLast="0"/>
      <w:bookmarkEnd w:id="2"/>
      <w:bookmarkEnd w:id="3"/>
      <w:bookmarkEnd w:id="4"/>
      <w:r>
        <w:rPr>
          <w:color w:val="000001"/>
          <w:highlight w:val="white"/>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573B5C" w:rsidRDefault="00652E32">
      <w:pPr>
        <w:numPr>
          <w:ilvl w:val="1"/>
          <w:numId w:val="5"/>
        </w:numPr>
        <w:spacing w:before="120" w:after="120" w:line="276" w:lineRule="auto"/>
        <w:ind w:left="425" w:firstLine="0"/>
        <w:jc w:val="both"/>
        <w:rPr>
          <w:color w:val="000001"/>
          <w:highlight w:val="white"/>
        </w:rPr>
      </w:pPr>
      <w:bookmarkStart w:id="5" w:name="bookmark=id.tyjcwt" w:colFirst="0" w:colLast="0"/>
      <w:bookmarkEnd w:id="5"/>
      <w:r>
        <w:rPr>
          <w:color w:val="000001"/>
          <w:highlight w:val="white"/>
        </w:rPr>
        <w:t>A aplicação das sanções previstas neste Aviso de Contratação Direta, em hipótese alguma, a obrigação de reparação integral do dano causado à Administração Pública.</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A penalidade de multa pode ser aplicada cumulativamente com as demais sanções.</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As sanções por atos praticados no decorrer da contratação estão previstas nos anexos a este Aviso.</w:t>
      </w:r>
    </w:p>
    <w:p w:rsidR="00573B5C" w:rsidRDefault="00573B5C">
      <w:pPr>
        <w:spacing w:before="120" w:after="120" w:line="276" w:lineRule="auto"/>
        <w:ind w:left="425"/>
        <w:jc w:val="both"/>
        <w:rPr>
          <w:color w:val="000001"/>
          <w:highlight w:val="white"/>
        </w:rPr>
      </w:pPr>
    </w:p>
    <w:p w:rsidR="00573B5C" w:rsidRDefault="00652E32">
      <w:pPr>
        <w:keepNext/>
        <w:numPr>
          <w:ilvl w:val="0"/>
          <w:numId w:val="5"/>
        </w:numPr>
        <w:tabs>
          <w:tab w:val="left" w:pos="959"/>
        </w:tabs>
        <w:spacing w:before="120" w:after="120"/>
        <w:rPr>
          <w:rFonts w:ascii="Times New Roman" w:hAnsi="Times New Roman" w:cs="Times New Roman"/>
          <w:color w:val="000001"/>
          <w:sz w:val="22"/>
          <w:szCs w:val="22"/>
          <w:highlight w:val="white"/>
        </w:rPr>
      </w:pPr>
      <w:r>
        <w:rPr>
          <w:rFonts w:ascii="Times New Roman" w:hAnsi="Times New Roman" w:cs="Times New Roman"/>
          <w:b/>
          <w:color w:val="000001"/>
          <w:sz w:val="22"/>
          <w:szCs w:val="22"/>
          <w:highlight w:val="white"/>
        </w:rPr>
        <w:t>DO LOCAL E PRAZO PARA ENTREGA DO OBJETO</w:t>
      </w:r>
    </w:p>
    <w:p w:rsidR="00573B5C" w:rsidRDefault="00652E32">
      <w:pPr>
        <w:keepNext/>
        <w:tabs>
          <w:tab w:val="left" w:pos="959"/>
        </w:tabs>
        <w:spacing w:before="120" w:after="120" w:line="276" w:lineRule="auto"/>
        <w:ind w:left="360"/>
        <w:jc w:val="both"/>
        <w:rPr>
          <w:color w:val="000001"/>
          <w:highlight w:val="white"/>
        </w:rPr>
      </w:pPr>
      <w:r>
        <w:rPr>
          <w:color w:val="000001"/>
          <w:sz w:val="22"/>
          <w:szCs w:val="22"/>
          <w:highlight w:val="white"/>
        </w:rPr>
        <w:t xml:space="preserve">    9.1.  </w:t>
      </w:r>
      <w:r>
        <w:rPr>
          <w:color w:val="000001"/>
          <w:highlight w:val="white"/>
        </w:rPr>
        <w:t>Rodovia Presidente Dutra, km 306, Centro, Resende – Rio de Janeiro – CEP: 27534-970- AMAN - Academia Militar das Agulhas Negras - Fone/Fax (21) 96777- 4663  – deposito21gac@gmail.com. O prazo de entrega dos bens é de 2 (dois) dias, contados após o envio da NOTA DE EMPENHO para o fornecedor e solicitação dos pedidos para a empresa, respeitando o horário de funcionamento de segunda-feira a Domingo, de 05:00 às 12:00 e  mediante prévio  aviso, ocasião em que, se for o caso, os bens serão encaminhados aos Setores competentes.</w:t>
      </w:r>
    </w:p>
    <w:p w:rsidR="00573B5C" w:rsidRDefault="00573B5C">
      <w:pPr>
        <w:keepNext/>
        <w:tabs>
          <w:tab w:val="left" w:pos="959"/>
        </w:tabs>
        <w:spacing w:before="120" w:after="120" w:line="276" w:lineRule="auto"/>
        <w:ind w:left="360"/>
        <w:jc w:val="both"/>
        <w:rPr>
          <w:color w:val="000001"/>
          <w:highlight w:val="white"/>
        </w:rPr>
      </w:pPr>
    </w:p>
    <w:p w:rsidR="00573B5C" w:rsidRDefault="00652E32">
      <w:pPr>
        <w:numPr>
          <w:ilvl w:val="0"/>
          <w:numId w:val="5"/>
        </w:numPr>
        <w:pBdr>
          <w:top w:val="nil"/>
          <w:left w:val="nil"/>
          <w:bottom w:val="nil"/>
          <w:right w:val="nil"/>
          <w:between w:val="nil"/>
        </w:pBdr>
        <w:spacing w:before="120" w:after="120" w:line="276" w:lineRule="auto"/>
        <w:jc w:val="both"/>
        <w:rPr>
          <w:rFonts w:eastAsia="Arial" w:cs="Arial"/>
          <w:b/>
          <w:color w:val="000001"/>
          <w:szCs w:val="20"/>
          <w:highlight w:val="white"/>
        </w:rPr>
      </w:pPr>
      <w:r>
        <w:rPr>
          <w:rFonts w:eastAsia="Arial" w:cs="Arial"/>
          <w:b/>
          <w:color w:val="000001"/>
          <w:szCs w:val="20"/>
          <w:highlight w:val="white"/>
        </w:rPr>
        <w:t>DAS DISPOSIÇÕES GERAIS</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lastRenderedPageBreak/>
        <w:t>No caso de todos os fornecedores restarem desclassificados ou inabilitados (procedimento fracassado), a Administração poderá:</w:t>
      </w:r>
    </w:p>
    <w:p w:rsidR="00573B5C" w:rsidRDefault="00652E32">
      <w:pPr>
        <w:numPr>
          <w:ilvl w:val="2"/>
          <w:numId w:val="5"/>
        </w:numPr>
        <w:spacing w:before="120" w:after="120" w:line="276" w:lineRule="auto"/>
        <w:jc w:val="both"/>
        <w:rPr>
          <w:color w:val="000001"/>
          <w:highlight w:val="white"/>
        </w:rPr>
      </w:pPr>
      <w:r>
        <w:rPr>
          <w:color w:val="000001"/>
          <w:highlight w:val="white"/>
        </w:rPr>
        <w:t>republicar o presente aviso com uma nova data;</w:t>
      </w:r>
    </w:p>
    <w:p w:rsidR="00573B5C" w:rsidRDefault="00652E32">
      <w:pPr>
        <w:numPr>
          <w:ilvl w:val="2"/>
          <w:numId w:val="5"/>
        </w:numPr>
        <w:spacing w:before="120" w:after="120" w:line="276" w:lineRule="auto"/>
        <w:jc w:val="both"/>
        <w:rPr>
          <w:color w:val="000001"/>
          <w:highlight w:val="white"/>
        </w:rPr>
      </w:pPr>
      <w:r>
        <w:rPr>
          <w:color w:val="000001"/>
          <w:highlight w:val="white"/>
        </w:rPr>
        <w:t>valer-se, para a contratação, de proposta obtida na pesquisa de preços que serviu de base ao procedimento, se houver, privilegiando-se os menores preços, sempre que possível, e desde que atendidas às condições de habilitação exigidas.</w:t>
      </w:r>
    </w:p>
    <w:p w:rsidR="00573B5C" w:rsidRDefault="00652E32">
      <w:pPr>
        <w:numPr>
          <w:ilvl w:val="3"/>
          <w:numId w:val="5"/>
        </w:numPr>
        <w:spacing w:before="120" w:after="120" w:line="276" w:lineRule="auto"/>
        <w:ind w:hanging="648"/>
        <w:jc w:val="both"/>
        <w:rPr>
          <w:color w:val="000001"/>
          <w:highlight w:val="white"/>
        </w:rPr>
      </w:pPr>
      <w:r>
        <w:rPr>
          <w:color w:val="000001"/>
          <w:highlight w:val="white"/>
        </w:rPr>
        <w:t>No caso do subitem anterior, a contratação será operacionalizada fora deste procedimento.</w:t>
      </w:r>
    </w:p>
    <w:p w:rsidR="00573B5C" w:rsidRDefault="00652E32">
      <w:pPr>
        <w:numPr>
          <w:ilvl w:val="2"/>
          <w:numId w:val="5"/>
        </w:numPr>
        <w:spacing w:before="120" w:after="120" w:line="276" w:lineRule="auto"/>
        <w:jc w:val="both"/>
        <w:rPr>
          <w:color w:val="000001"/>
          <w:highlight w:val="white"/>
        </w:rPr>
      </w:pPr>
      <w:r>
        <w:rPr>
          <w:color w:val="000001"/>
          <w:highlight w:val="white"/>
        </w:rPr>
        <w:t>fixar prazo para que possa haver adequação das propostas ou da documentação de habilitação, conforme o caso.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As providências dos subitens 9.2.1 e 9.2.2 acima poderão ser utilizadas se não houver o comparecimento de quaisquer fornecedores interessados (procedimento deserto)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Havendo a necessidade de realização de ato de qualquer natureza pelos fornecedores, cujo prazo não conste deste Aviso de Contratação Direta, deverá ser atendido o prazo indicado pelo agente competente da Administração na respectiva notificação.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Caberá ao fornecedor acompanhar as operações, ficando responsável pelo ônus decorrente da perda do negócio diante da inobservância de quaisquer mensagens emitidas pela Administração ou de sua desconexão.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Os horários estabelecidos na divulgação deste procedimento e durante o envio de lances observarão o horário de Brasília-DF, inclusive para contagem de tempo e registro no Sistema e na documentação relativa ao procedimento.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Os fornecedores assumem todos os custos de preparação e apresentação de suas propostas e a Administração não será, em nenhum caso, responsável por esses custos, independentemente da condução ou do resultado do processo de contratação.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Em caso de divergência entre disposições deste Aviso de Contratação Direta e de seus anexos ou demais peças que compõem o processo, prevalecerá as deste Aviso.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Da sessão pública será divulgada Ata no sistema eletrônico.</w:t>
      </w:r>
    </w:p>
    <w:p w:rsidR="00573B5C" w:rsidRDefault="00652E32">
      <w:pPr>
        <w:numPr>
          <w:ilvl w:val="1"/>
          <w:numId w:val="5"/>
        </w:numPr>
        <w:spacing w:before="120" w:after="120" w:line="276" w:lineRule="auto"/>
        <w:ind w:left="425" w:firstLine="0"/>
        <w:jc w:val="both"/>
        <w:rPr>
          <w:color w:val="000001"/>
          <w:highlight w:val="white"/>
        </w:rPr>
      </w:pPr>
      <w:r>
        <w:rPr>
          <w:color w:val="000001"/>
          <w:highlight w:val="white"/>
        </w:rPr>
        <w:t>Integram este Aviso de Contratação Direta, para todos os fins e efeitos, os seguintes anexos:</w:t>
      </w:r>
    </w:p>
    <w:p w:rsidR="00573B5C" w:rsidRDefault="00652E32">
      <w:pPr>
        <w:numPr>
          <w:ilvl w:val="2"/>
          <w:numId w:val="5"/>
        </w:numPr>
        <w:spacing w:before="120" w:after="120" w:line="276" w:lineRule="auto"/>
        <w:jc w:val="both"/>
        <w:rPr>
          <w:color w:val="000001"/>
          <w:highlight w:val="white"/>
        </w:rPr>
      </w:pPr>
      <w:r>
        <w:rPr>
          <w:color w:val="000001"/>
          <w:highlight w:val="white"/>
        </w:rPr>
        <w:t>ANEXO I – Documentação exigida para Habilitação</w:t>
      </w:r>
    </w:p>
    <w:p w:rsidR="00573B5C" w:rsidRDefault="00652E32">
      <w:pPr>
        <w:numPr>
          <w:ilvl w:val="2"/>
          <w:numId w:val="5"/>
        </w:numPr>
        <w:spacing w:before="120" w:after="120" w:line="276" w:lineRule="auto"/>
        <w:jc w:val="both"/>
        <w:rPr>
          <w:color w:val="000001"/>
          <w:highlight w:val="white"/>
        </w:rPr>
      </w:pPr>
      <w:r>
        <w:rPr>
          <w:color w:val="000001"/>
          <w:highlight w:val="white"/>
        </w:rPr>
        <w:t>ANEXO II -</w:t>
      </w:r>
      <w:r>
        <w:rPr>
          <w:i/>
          <w:color w:val="000001"/>
          <w:highlight w:val="white"/>
        </w:rPr>
        <w:t>Estudo Técnico Preliminar;</w:t>
      </w:r>
    </w:p>
    <w:p w:rsidR="00573B5C" w:rsidRDefault="00573B5C">
      <w:pPr>
        <w:spacing w:after="120" w:line="276" w:lineRule="auto"/>
        <w:ind w:left="360" w:right="-15"/>
        <w:jc w:val="both"/>
        <w:rPr>
          <w:color w:val="000001"/>
          <w:highlight w:val="white"/>
        </w:rPr>
      </w:pPr>
    </w:p>
    <w:p w:rsidR="00573B5C" w:rsidRDefault="00573B5C">
      <w:pPr>
        <w:spacing w:after="120" w:line="276" w:lineRule="auto"/>
        <w:ind w:left="360" w:right="-15"/>
        <w:jc w:val="both"/>
        <w:rPr>
          <w:color w:val="000001"/>
          <w:highlight w:val="white"/>
        </w:rPr>
      </w:pPr>
    </w:p>
    <w:p w:rsidR="00573B5C" w:rsidRDefault="00573B5C">
      <w:pPr>
        <w:spacing w:after="120" w:line="276" w:lineRule="auto"/>
        <w:ind w:left="360" w:right="-15"/>
        <w:jc w:val="both"/>
        <w:rPr>
          <w:color w:val="000001"/>
          <w:highlight w:val="white"/>
        </w:rPr>
      </w:pPr>
    </w:p>
    <w:p w:rsidR="00573B5C" w:rsidRDefault="00573B5C">
      <w:pPr>
        <w:spacing w:after="120" w:line="276" w:lineRule="auto"/>
        <w:ind w:left="360" w:right="-15"/>
        <w:jc w:val="both"/>
        <w:rPr>
          <w:color w:val="000001"/>
          <w:highlight w:val="white"/>
        </w:rPr>
      </w:pPr>
    </w:p>
    <w:p w:rsidR="00573B5C" w:rsidRDefault="00573B5C">
      <w:pPr>
        <w:spacing w:after="120" w:line="276" w:lineRule="auto"/>
        <w:ind w:left="360" w:right="-15"/>
        <w:jc w:val="both"/>
        <w:rPr>
          <w:color w:val="000001"/>
          <w:highlight w:val="white"/>
        </w:rPr>
      </w:pPr>
    </w:p>
    <w:p w:rsidR="00573B5C" w:rsidRDefault="00652E32">
      <w:pPr>
        <w:spacing w:after="120" w:line="276" w:lineRule="auto"/>
        <w:ind w:left="360" w:right="-15"/>
        <w:jc w:val="both"/>
        <w:rPr>
          <w:color w:val="000001"/>
          <w:highlight w:val="white"/>
        </w:rPr>
      </w:pPr>
      <w:r>
        <w:rPr>
          <w:color w:val="000001"/>
          <w:highlight w:val="white"/>
        </w:rPr>
        <w:t xml:space="preserve">                                       Niterói -RJ, 05 de Novembro de 2021</w:t>
      </w:r>
    </w:p>
    <w:p w:rsidR="00573B5C" w:rsidRDefault="00573B5C">
      <w:pPr>
        <w:jc w:val="center"/>
        <w:rPr>
          <w:b/>
          <w:color w:val="000001"/>
          <w:highlight w:val="white"/>
        </w:rPr>
      </w:pPr>
    </w:p>
    <w:p w:rsidR="00573B5C" w:rsidRDefault="00573B5C">
      <w:pPr>
        <w:jc w:val="center"/>
        <w:rPr>
          <w:b/>
          <w:color w:val="000001"/>
          <w:highlight w:val="white"/>
        </w:rPr>
      </w:pPr>
    </w:p>
    <w:p w:rsidR="00573B5C" w:rsidRDefault="00573B5C">
      <w:pPr>
        <w:jc w:val="center"/>
        <w:rPr>
          <w:b/>
          <w:color w:val="000001"/>
          <w:highlight w:val="white"/>
        </w:rPr>
      </w:pPr>
    </w:p>
    <w:p w:rsidR="00573B5C" w:rsidRDefault="00573B5C">
      <w:pPr>
        <w:jc w:val="center"/>
        <w:rPr>
          <w:b/>
          <w:color w:val="000001"/>
          <w:highlight w:val="white"/>
        </w:rPr>
      </w:pPr>
    </w:p>
    <w:p w:rsidR="00573B5C" w:rsidRDefault="00573B5C">
      <w:pPr>
        <w:jc w:val="center"/>
        <w:rPr>
          <w:b/>
          <w:color w:val="000001"/>
          <w:highlight w:val="white"/>
        </w:rPr>
      </w:pPr>
    </w:p>
    <w:p w:rsidR="00573B5C" w:rsidRDefault="00652E32">
      <w:pPr>
        <w:jc w:val="center"/>
        <w:rPr>
          <w:color w:val="000001"/>
          <w:highlight w:val="white"/>
        </w:rPr>
      </w:pPr>
      <w:r>
        <w:rPr>
          <w:color w:val="000001"/>
          <w:highlight w:val="white"/>
        </w:rPr>
        <w:tab/>
        <w:t xml:space="preserve"> </w:t>
      </w:r>
      <w:r>
        <w:rPr>
          <w:color w:val="000001"/>
          <w:highlight w:val="white"/>
        </w:rPr>
        <w:tab/>
        <w:t xml:space="preserve"> </w:t>
      </w:r>
      <w:r>
        <w:rPr>
          <w:color w:val="000001"/>
          <w:highlight w:val="white"/>
        </w:rPr>
        <w:tab/>
        <w:t xml:space="preserve"> </w:t>
      </w:r>
      <w:r>
        <w:rPr>
          <w:color w:val="000001"/>
          <w:highlight w:val="white"/>
        </w:rPr>
        <w:tab/>
      </w:r>
    </w:p>
    <w:p w:rsidR="00573B5C" w:rsidRDefault="00652E32">
      <w:pPr>
        <w:ind w:left="720"/>
        <w:jc w:val="center"/>
        <w:rPr>
          <w:b/>
          <w:highlight w:val="white"/>
        </w:rPr>
      </w:pPr>
      <w:r>
        <w:rPr>
          <w:highlight w:val="white"/>
        </w:rPr>
        <w:t xml:space="preserve">ALEXANDRE </w:t>
      </w:r>
      <w:r>
        <w:rPr>
          <w:b/>
          <w:highlight w:val="white"/>
        </w:rPr>
        <w:t>AUGUSTO</w:t>
      </w:r>
      <w:r>
        <w:rPr>
          <w:highlight w:val="white"/>
        </w:rPr>
        <w:t xml:space="preserve"> JOSÉ ROSSA </w:t>
      </w:r>
      <w:r>
        <w:rPr>
          <w:b/>
          <w:highlight w:val="white"/>
        </w:rPr>
        <w:t>– CEL</w:t>
      </w:r>
    </w:p>
    <w:p w:rsidR="00573B5C" w:rsidRDefault="00652E32">
      <w:pPr>
        <w:ind w:left="720"/>
        <w:jc w:val="center"/>
        <w:rPr>
          <w:color w:val="000001"/>
          <w:highlight w:val="white"/>
        </w:rPr>
      </w:pPr>
      <w:r>
        <w:rPr>
          <w:color w:val="000001"/>
          <w:highlight w:val="white"/>
        </w:rPr>
        <w:t>Ordenador de Despesas</w:t>
      </w:r>
    </w:p>
    <w:p w:rsidR="00573B5C" w:rsidRDefault="00573B5C">
      <w:pPr>
        <w:jc w:val="center"/>
        <w:rPr>
          <w:b/>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color w:val="000001"/>
          <w:highlight w:val="white"/>
        </w:rPr>
      </w:pPr>
    </w:p>
    <w:p w:rsidR="00573B5C" w:rsidRDefault="00573B5C">
      <w:pPr>
        <w:jc w:val="center"/>
        <w:rPr>
          <w:b/>
          <w:color w:val="000001"/>
          <w:highlight w:val="white"/>
        </w:rPr>
      </w:pPr>
    </w:p>
    <w:p w:rsidR="00573B5C" w:rsidRDefault="00573B5C">
      <w:pPr>
        <w:jc w:val="center"/>
        <w:rPr>
          <w:b/>
          <w:color w:val="000001"/>
          <w:highlight w:val="white"/>
        </w:rPr>
      </w:pPr>
    </w:p>
    <w:p w:rsidR="00573B5C" w:rsidRDefault="00652E32">
      <w:pPr>
        <w:jc w:val="center"/>
        <w:rPr>
          <w:b/>
          <w:color w:val="000001"/>
          <w:highlight w:val="white"/>
        </w:rPr>
      </w:pPr>
      <w:r>
        <w:rPr>
          <w:b/>
          <w:color w:val="000001"/>
          <w:highlight w:val="white"/>
        </w:rPr>
        <w:t>ANEXO I – DOCUMENTAÇÃO EXIGIDA PARA HABILITAÇÃO</w:t>
      </w:r>
    </w:p>
    <w:p w:rsidR="00573B5C" w:rsidRDefault="00573B5C">
      <w:pPr>
        <w:rPr>
          <w:color w:val="000001"/>
          <w:highlight w:val="white"/>
        </w:rPr>
      </w:pPr>
    </w:p>
    <w:p w:rsidR="00573B5C" w:rsidRDefault="00652E32">
      <w:pPr>
        <w:numPr>
          <w:ilvl w:val="0"/>
          <w:numId w:val="4"/>
        </w:numPr>
        <w:pBdr>
          <w:top w:val="nil"/>
          <w:left w:val="nil"/>
          <w:bottom w:val="nil"/>
          <w:right w:val="nil"/>
          <w:between w:val="nil"/>
        </w:pBdr>
        <w:shd w:val="clear" w:color="auto" w:fill="FFFFFF"/>
        <w:spacing w:before="120" w:after="120" w:line="276" w:lineRule="auto"/>
        <w:jc w:val="both"/>
        <w:rPr>
          <w:rFonts w:eastAsia="Arial" w:cs="Arial"/>
          <w:color w:val="000001"/>
          <w:szCs w:val="20"/>
          <w:highlight w:val="white"/>
        </w:rPr>
      </w:pPr>
      <w:r>
        <w:rPr>
          <w:rFonts w:eastAsia="Arial" w:cs="Arial"/>
          <w:b/>
          <w:color w:val="000001"/>
          <w:szCs w:val="20"/>
          <w:highlight w:val="white"/>
        </w:rPr>
        <w:t xml:space="preserve">Habilitação jurídica: </w:t>
      </w:r>
    </w:p>
    <w:p w:rsidR="00573B5C" w:rsidRDefault="00652E32">
      <w:pPr>
        <w:numPr>
          <w:ilvl w:val="1"/>
          <w:numId w:val="4"/>
        </w:numPr>
        <w:tabs>
          <w:tab w:val="left" w:pos="1440"/>
        </w:tabs>
        <w:spacing w:before="120" w:after="120" w:line="276" w:lineRule="auto"/>
        <w:jc w:val="both"/>
        <w:rPr>
          <w:color w:val="000001"/>
          <w:highlight w:val="white"/>
        </w:rPr>
      </w:pPr>
      <w:r>
        <w:rPr>
          <w:color w:val="000001"/>
          <w:highlight w:val="white"/>
        </w:rPr>
        <w:t>no caso de empresário individual, inscrição no Registro Público de Empresas Mercantis, a cargo da Junta Comercial da respectiva sede;</w:t>
      </w:r>
    </w:p>
    <w:p w:rsidR="00573B5C" w:rsidRDefault="00652E32">
      <w:pPr>
        <w:numPr>
          <w:ilvl w:val="1"/>
          <w:numId w:val="4"/>
        </w:numPr>
        <w:pBdr>
          <w:top w:val="nil"/>
          <w:left w:val="nil"/>
          <w:bottom w:val="nil"/>
          <w:right w:val="nil"/>
          <w:between w:val="nil"/>
        </w:pBdr>
        <w:tabs>
          <w:tab w:val="left" w:pos="1440"/>
        </w:tabs>
        <w:spacing w:before="120" w:after="120" w:line="276" w:lineRule="auto"/>
        <w:jc w:val="both"/>
        <w:rPr>
          <w:rFonts w:eastAsia="Arial" w:cs="Arial"/>
          <w:color w:val="000001"/>
          <w:szCs w:val="20"/>
          <w:highlight w:val="white"/>
        </w:rPr>
      </w:pPr>
      <w:r>
        <w:rPr>
          <w:rFonts w:eastAsia="Arial" w:cs="Arial"/>
          <w:color w:val="000001"/>
          <w:szCs w:val="20"/>
          <w:highlight w:val="white"/>
        </w:rPr>
        <w:t>Em se tratando de Microempreendedor Individual – MEI: Certificado da Condição de Microempreendedor Individual - CCMEI, cuja aceitação ficará condicionada à verificação da autenticidade no sítio www.portaldoempreendedor.gov.br;</w:t>
      </w:r>
    </w:p>
    <w:p w:rsidR="00573B5C" w:rsidRDefault="00652E32">
      <w:pPr>
        <w:numPr>
          <w:ilvl w:val="1"/>
          <w:numId w:val="4"/>
        </w:numPr>
        <w:tabs>
          <w:tab w:val="left" w:pos="1440"/>
        </w:tabs>
        <w:spacing w:before="120" w:after="120" w:line="276" w:lineRule="auto"/>
        <w:jc w:val="both"/>
        <w:rPr>
          <w:color w:val="000001"/>
          <w:highlight w:val="white"/>
        </w:rPr>
      </w:pPr>
      <w:r>
        <w:rPr>
          <w:color w:val="000001"/>
          <w:highlight w:val="whit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573B5C" w:rsidRDefault="00652E32">
      <w:pPr>
        <w:numPr>
          <w:ilvl w:val="1"/>
          <w:numId w:val="4"/>
        </w:numPr>
        <w:tabs>
          <w:tab w:val="left" w:pos="1440"/>
        </w:tabs>
        <w:spacing w:before="120" w:after="120" w:line="276" w:lineRule="auto"/>
        <w:jc w:val="both"/>
        <w:rPr>
          <w:color w:val="000001"/>
          <w:highlight w:val="white"/>
        </w:rPr>
      </w:pPr>
      <w:r>
        <w:rPr>
          <w:color w:val="000001"/>
          <w:highlight w:val="white"/>
        </w:rPr>
        <w:t>inscrição no Registro Público de Empresas Mercantis onde opera, com averbação no Registro onde tem sede a matriz, no caso de ser o participante sucursal, filial ou agência;</w:t>
      </w:r>
    </w:p>
    <w:p w:rsidR="00573B5C" w:rsidRDefault="00652E32">
      <w:pPr>
        <w:numPr>
          <w:ilvl w:val="1"/>
          <w:numId w:val="4"/>
        </w:numPr>
        <w:tabs>
          <w:tab w:val="left" w:pos="1440"/>
        </w:tabs>
        <w:spacing w:before="120" w:after="120" w:line="276" w:lineRule="auto"/>
        <w:jc w:val="both"/>
        <w:rPr>
          <w:color w:val="000001"/>
          <w:highlight w:val="white"/>
        </w:rPr>
      </w:pPr>
      <w:r>
        <w:rPr>
          <w:color w:val="000001"/>
          <w:highlight w:val="white"/>
        </w:rPr>
        <w:lastRenderedPageBreak/>
        <w:t>No caso de sociedade simples: inscrição do ato constitutivo no Registro Civil das Pessoas Jurídicas do local de sua sede, acompanhada de prova da indicação dos seus administradores;</w:t>
      </w:r>
    </w:p>
    <w:p w:rsidR="00573B5C" w:rsidRDefault="00652E32">
      <w:pPr>
        <w:numPr>
          <w:ilvl w:val="1"/>
          <w:numId w:val="4"/>
        </w:numPr>
        <w:tabs>
          <w:tab w:val="left" w:pos="1440"/>
        </w:tabs>
        <w:spacing w:before="120" w:after="120" w:line="276" w:lineRule="auto"/>
        <w:jc w:val="both"/>
        <w:rPr>
          <w:color w:val="000001"/>
          <w:highlight w:val="white"/>
        </w:rPr>
      </w:pPr>
      <w:r>
        <w:rPr>
          <w:color w:val="000001"/>
          <w:highlight w:val="white"/>
        </w:rPr>
        <w:t>decreto de autorização, em se tratando de sociedade empresária estrangeira em funcionamento no País;</w:t>
      </w:r>
    </w:p>
    <w:p w:rsidR="00573B5C" w:rsidRDefault="00652E32">
      <w:pPr>
        <w:numPr>
          <w:ilvl w:val="1"/>
          <w:numId w:val="4"/>
        </w:numPr>
        <w:tabs>
          <w:tab w:val="left" w:pos="1440"/>
        </w:tabs>
        <w:spacing w:before="120" w:after="120" w:line="276" w:lineRule="auto"/>
        <w:jc w:val="both"/>
        <w:rPr>
          <w:color w:val="000001"/>
          <w:highlight w:val="white"/>
        </w:rPr>
      </w:pPr>
      <w:r>
        <w:rPr>
          <w:i/>
          <w:color w:val="000001"/>
          <w:highlight w:val="white"/>
        </w:rPr>
        <w:t>no caso de exercício de atividade de ............: ato de registro ou autorização para funcionamento expedido pelo órgão competente, nos termos do art. ..... da (Lei/Decreto) n° ........</w:t>
      </w:r>
    </w:p>
    <w:p w:rsidR="00573B5C" w:rsidRDefault="00573B5C">
      <w:pPr>
        <w:rPr>
          <w:color w:val="000001"/>
          <w:highlight w:val="white"/>
        </w:rPr>
      </w:pPr>
    </w:p>
    <w:p w:rsidR="00573B5C" w:rsidRDefault="00652E32">
      <w:pPr>
        <w:numPr>
          <w:ilvl w:val="1"/>
          <w:numId w:val="4"/>
        </w:numPr>
        <w:pBdr>
          <w:top w:val="nil"/>
          <w:left w:val="nil"/>
          <w:bottom w:val="nil"/>
          <w:right w:val="nil"/>
          <w:between w:val="nil"/>
        </w:pBdr>
        <w:spacing w:before="120" w:line="276" w:lineRule="auto"/>
        <w:jc w:val="both"/>
        <w:rPr>
          <w:rFonts w:eastAsia="Arial" w:cs="Arial"/>
          <w:color w:val="000001"/>
          <w:szCs w:val="20"/>
          <w:highlight w:val="white"/>
        </w:rPr>
      </w:pPr>
      <w:r>
        <w:rPr>
          <w:rFonts w:eastAsia="Arial" w:cs="Arial"/>
          <w:color w:val="000001"/>
          <w:szCs w:val="20"/>
          <w:highlight w:val="white"/>
        </w:rPr>
        <w:t>Os documentos acima deverão estar acompanhados de todas as alterações ou da consolidação respectiva.</w:t>
      </w:r>
    </w:p>
    <w:p w:rsidR="00573B5C" w:rsidRDefault="00573B5C">
      <w:pPr>
        <w:pBdr>
          <w:top w:val="nil"/>
          <w:left w:val="nil"/>
          <w:bottom w:val="nil"/>
          <w:right w:val="nil"/>
          <w:between w:val="nil"/>
        </w:pBdr>
        <w:spacing w:after="120" w:line="276" w:lineRule="auto"/>
        <w:ind w:left="1134"/>
        <w:jc w:val="both"/>
        <w:rPr>
          <w:rFonts w:eastAsia="Arial" w:cs="Arial"/>
          <w:color w:val="000001"/>
          <w:szCs w:val="20"/>
          <w:highlight w:val="white"/>
        </w:rPr>
      </w:pPr>
    </w:p>
    <w:p w:rsidR="00573B5C" w:rsidRDefault="00652E32">
      <w:pPr>
        <w:numPr>
          <w:ilvl w:val="0"/>
          <w:numId w:val="4"/>
        </w:numPr>
        <w:pBdr>
          <w:top w:val="nil"/>
          <w:left w:val="nil"/>
          <w:bottom w:val="nil"/>
          <w:right w:val="nil"/>
          <w:between w:val="nil"/>
        </w:pBdr>
        <w:shd w:val="clear" w:color="auto" w:fill="FFFFFF"/>
        <w:spacing w:before="120" w:after="120" w:line="276" w:lineRule="auto"/>
        <w:jc w:val="both"/>
        <w:rPr>
          <w:rFonts w:eastAsia="Arial" w:cs="Arial"/>
          <w:color w:val="000001"/>
          <w:szCs w:val="20"/>
          <w:highlight w:val="white"/>
        </w:rPr>
      </w:pPr>
      <w:r>
        <w:rPr>
          <w:rFonts w:eastAsia="Arial" w:cs="Arial"/>
          <w:b/>
          <w:color w:val="000001"/>
          <w:szCs w:val="20"/>
          <w:highlight w:val="white"/>
        </w:rPr>
        <w:t xml:space="preserve"> Regularidade fiscal, social e trabalhista:</w:t>
      </w:r>
    </w:p>
    <w:p w:rsidR="00573B5C" w:rsidRDefault="00652E32">
      <w:pPr>
        <w:numPr>
          <w:ilvl w:val="1"/>
          <w:numId w:val="4"/>
        </w:numPr>
        <w:tabs>
          <w:tab w:val="left" w:pos="1440"/>
        </w:tabs>
        <w:spacing w:before="120" w:after="120" w:line="276" w:lineRule="auto"/>
        <w:jc w:val="both"/>
        <w:rPr>
          <w:color w:val="000001"/>
          <w:highlight w:val="white"/>
        </w:rPr>
      </w:pPr>
      <w:r>
        <w:rPr>
          <w:color w:val="000001"/>
          <w:highlight w:val="white"/>
        </w:rPr>
        <w:t>prova de inscrição no Cadastro Nacional de Pessoas Jurídicas ou no Cadastro de Pessoas Físicas, conforme o caso;</w:t>
      </w:r>
    </w:p>
    <w:p w:rsidR="00573B5C" w:rsidRDefault="00652E32">
      <w:pPr>
        <w:numPr>
          <w:ilvl w:val="1"/>
          <w:numId w:val="4"/>
        </w:numPr>
        <w:tabs>
          <w:tab w:val="left" w:pos="1440"/>
        </w:tabs>
        <w:spacing w:before="120" w:after="120" w:line="276" w:lineRule="auto"/>
        <w:jc w:val="both"/>
        <w:rPr>
          <w:color w:val="000001"/>
          <w:highlight w:val="white"/>
        </w:rPr>
      </w:pPr>
      <w:r>
        <w:rPr>
          <w:color w:val="000001"/>
          <w:highlight w:val="whit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573B5C" w:rsidRDefault="00652E32">
      <w:pPr>
        <w:numPr>
          <w:ilvl w:val="1"/>
          <w:numId w:val="4"/>
        </w:numPr>
        <w:tabs>
          <w:tab w:val="left" w:pos="1440"/>
        </w:tabs>
        <w:spacing w:before="120" w:after="120" w:line="276" w:lineRule="auto"/>
        <w:jc w:val="both"/>
        <w:rPr>
          <w:color w:val="000001"/>
          <w:highlight w:val="white"/>
        </w:rPr>
      </w:pPr>
      <w:r>
        <w:rPr>
          <w:color w:val="000001"/>
          <w:highlight w:val="white"/>
        </w:rPr>
        <w:t>prova de regularidade com o Fundo de Garantia do Tempo de Serviço (FGTS);</w:t>
      </w:r>
    </w:p>
    <w:p w:rsidR="00573B5C" w:rsidRDefault="00652E32">
      <w:pPr>
        <w:numPr>
          <w:ilvl w:val="1"/>
          <w:numId w:val="4"/>
        </w:numPr>
        <w:tabs>
          <w:tab w:val="left" w:pos="1440"/>
        </w:tabs>
        <w:spacing w:before="120" w:after="120" w:line="276" w:lineRule="auto"/>
        <w:jc w:val="both"/>
        <w:rPr>
          <w:color w:val="000001"/>
          <w:highlight w:val="white"/>
        </w:rPr>
      </w:pPr>
      <w:r>
        <w:rPr>
          <w:color w:val="000001"/>
          <w:highlight w:val="whit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73B5C" w:rsidRDefault="00652E32">
      <w:pPr>
        <w:numPr>
          <w:ilvl w:val="1"/>
          <w:numId w:val="4"/>
        </w:numPr>
        <w:tabs>
          <w:tab w:val="left" w:pos="1440"/>
        </w:tabs>
        <w:spacing w:before="120" w:after="120" w:line="276" w:lineRule="auto"/>
        <w:jc w:val="both"/>
        <w:rPr>
          <w:color w:val="000001"/>
          <w:highlight w:val="white"/>
        </w:rPr>
      </w:pPr>
      <w:r>
        <w:rPr>
          <w:color w:val="000001"/>
          <w:highlight w:val="white"/>
        </w:rPr>
        <w:t xml:space="preserve">prova de inscrição no cadastro de contribuintes </w:t>
      </w:r>
      <w:r>
        <w:rPr>
          <w:i/>
          <w:color w:val="000001"/>
          <w:highlight w:val="white"/>
        </w:rPr>
        <w:t>estadual e/ou municipal</w:t>
      </w:r>
      <w:r>
        <w:rPr>
          <w:color w:val="000001"/>
          <w:highlight w:val="white"/>
        </w:rPr>
        <w:t xml:space="preserve">, relativo ao domicílio ou sede do fornecedor, pertinente ao seu ramo de atividade e compatível com o objeto contratual; </w:t>
      </w:r>
    </w:p>
    <w:p w:rsidR="00573B5C" w:rsidRDefault="00652E32">
      <w:pPr>
        <w:numPr>
          <w:ilvl w:val="1"/>
          <w:numId w:val="4"/>
        </w:numPr>
        <w:tabs>
          <w:tab w:val="left" w:pos="1440"/>
        </w:tabs>
        <w:spacing w:before="120" w:after="120" w:line="276" w:lineRule="auto"/>
        <w:jc w:val="both"/>
        <w:rPr>
          <w:b/>
          <w:color w:val="000001"/>
          <w:highlight w:val="white"/>
        </w:rPr>
      </w:pPr>
      <w:r>
        <w:rPr>
          <w:color w:val="000001"/>
          <w:highlight w:val="white"/>
        </w:rPr>
        <w:t xml:space="preserve">prova de regularidade com a Fazenda </w:t>
      </w:r>
      <w:r>
        <w:rPr>
          <w:i/>
          <w:color w:val="000001"/>
          <w:highlight w:val="white"/>
        </w:rPr>
        <w:t>Estadual e/ou Municipal</w:t>
      </w:r>
      <w:r>
        <w:rPr>
          <w:color w:val="000001"/>
          <w:highlight w:val="white"/>
        </w:rPr>
        <w:t xml:space="preserve"> do domicílio ou sede do fornecedor, relativa à atividade em cujo exercício contrata ou concorre; </w:t>
      </w:r>
    </w:p>
    <w:p w:rsidR="00573B5C" w:rsidRDefault="00652E32">
      <w:pPr>
        <w:numPr>
          <w:ilvl w:val="1"/>
          <w:numId w:val="4"/>
        </w:numPr>
        <w:tabs>
          <w:tab w:val="left" w:pos="1440"/>
        </w:tabs>
        <w:spacing w:before="120" w:after="120" w:line="276" w:lineRule="auto"/>
        <w:jc w:val="both"/>
        <w:rPr>
          <w:b/>
          <w:color w:val="000001"/>
          <w:highlight w:val="white"/>
        </w:rPr>
      </w:pPr>
      <w:r>
        <w:rPr>
          <w:color w:val="000001"/>
          <w:highlight w:val="white"/>
        </w:rPr>
        <w:t xml:space="preserve">caso o fornecedor seja considerado isento dos tributos </w:t>
      </w:r>
      <w:r>
        <w:rPr>
          <w:i/>
          <w:color w:val="000001"/>
          <w:highlight w:val="white"/>
        </w:rPr>
        <w:t xml:space="preserve">estaduais </w:t>
      </w:r>
      <w:r>
        <w:rPr>
          <w:b/>
          <w:i/>
          <w:color w:val="000001"/>
          <w:highlight w:val="white"/>
          <w:u w:val="single"/>
        </w:rPr>
        <w:t>ou</w:t>
      </w:r>
      <w:r>
        <w:rPr>
          <w:i/>
          <w:color w:val="000001"/>
          <w:highlight w:val="white"/>
        </w:rPr>
        <w:t xml:space="preserve"> municipais</w:t>
      </w:r>
      <w:r>
        <w:rPr>
          <w:color w:val="000001"/>
          <w:highlight w:val="white"/>
        </w:rPr>
        <w:t xml:space="preserve"> relacionados ao objeto contratual, deverá comprovar tal condição mediante a apresentação de declaração da Fazenda respectiva do seu domicílio ou sede, ou outra equivalente, na forma da lei; </w:t>
      </w:r>
    </w:p>
    <w:p w:rsidR="00573B5C" w:rsidRDefault="00652E32">
      <w:pPr>
        <w:numPr>
          <w:ilvl w:val="0"/>
          <w:numId w:val="4"/>
        </w:numPr>
        <w:pBdr>
          <w:top w:val="nil"/>
          <w:left w:val="nil"/>
          <w:bottom w:val="nil"/>
          <w:right w:val="nil"/>
          <w:between w:val="nil"/>
        </w:pBdr>
        <w:shd w:val="clear" w:color="auto" w:fill="FFFFFF"/>
        <w:spacing w:before="120" w:after="120" w:line="276" w:lineRule="auto"/>
        <w:jc w:val="both"/>
        <w:rPr>
          <w:rFonts w:eastAsia="Arial" w:cs="Arial"/>
          <w:color w:val="000001"/>
          <w:szCs w:val="20"/>
          <w:highlight w:val="white"/>
        </w:rPr>
      </w:pPr>
      <w:r>
        <w:rPr>
          <w:rFonts w:eastAsia="Arial" w:cs="Arial"/>
          <w:b/>
          <w:color w:val="000001"/>
          <w:szCs w:val="20"/>
          <w:highlight w:val="white"/>
        </w:rPr>
        <w:t xml:space="preserve">Qualificação Econômico-Financeira: </w:t>
      </w:r>
    </w:p>
    <w:p w:rsidR="00573B5C" w:rsidRDefault="00652E32">
      <w:pPr>
        <w:numPr>
          <w:ilvl w:val="1"/>
          <w:numId w:val="4"/>
        </w:numPr>
        <w:pBdr>
          <w:top w:val="nil"/>
          <w:left w:val="nil"/>
          <w:bottom w:val="nil"/>
          <w:right w:val="nil"/>
          <w:between w:val="nil"/>
        </w:pBdr>
        <w:tabs>
          <w:tab w:val="left" w:pos="1440"/>
        </w:tabs>
        <w:spacing w:before="120" w:after="120" w:line="276" w:lineRule="auto"/>
        <w:jc w:val="both"/>
        <w:rPr>
          <w:rFonts w:eastAsia="Arial" w:cs="Arial"/>
          <w:color w:val="000001"/>
          <w:szCs w:val="20"/>
          <w:highlight w:val="white"/>
        </w:rPr>
      </w:pPr>
      <w:r>
        <w:rPr>
          <w:rFonts w:eastAsia="Arial" w:cs="Arial"/>
          <w:color w:val="000001"/>
          <w:szCs w:val="20"/>
          <w:highlight w:val="white"/>
        </w:rPr>
        <w:t>certidão negativa de falência expedida pelo distribuidor da sede do fornecedor;</w:t>
      </w:r>
    </w:p>
    <w:p w:rsidR="00573B5C" w:rsidRDefault="00652E32">
      <w:pPr>
        <w:numPr>
          <w:ilvl w:val="1"/>
          <w:numId w:val="4"/>
        </w:numPr>
        <w:tabs>
          <w:tab w:val="left" w:pos="1440"/>
        </w:tabs>
        <w:spacing w:before="120" w:after="120" w:line="276" w:lineRule="auto"/>
        <w:jc w:val="both"/>
        <w:rPr>
          <w:color w:val="000001"/>
          <w:highlight w:val="white"/>
        </w:rPr>
      </w:pPr>
      <w:r>
        <w:rPr>
          <w:color w:val="000001"/>
          <w:highlight w:val="white"/>
        </w:rPr>
        <w:t>balanço patrimonial, demonstração de resultado de exercício e demais demonstrações contábeis dos 2 (dois) últimos exercícios sociais;</w:t>
      </w:r>
    </w:p>
    <w:p w:rsidR="00573B5C" w:rsidRDefault="00652E32">
      <w:pPr>
        <w:numPr>
          <w:ilvl w:val="2"/>
          <w:numId w:val="4"/>
        </w:numPr>
        <w:spacing w:before="120" w:after="120" w:line="276" w:lineRule="auto"/>
        <w:jc w:val="both"/>
        <w:rPr>
          <w:color w:val="000001"/>
          <w:highlight w:val="white"/>
        </w:rPr>
      </w:pPr>
      <w:r>
        <w:rPr>
          <w:color w:val="000001"/>
          <w:highlight w:val="white"/>
        </w:rPr>
        <w:t>As empresas criadas no exercício financeiro da dispensa deverão atender a todas as exigências da habilitação e poderão substituir os demonstrativos contábeis pelo balanço de abertura.</w:t>
      </w:r>
    </w:p>
    <w:p w:rsidR="00573B5C" w:rsidRDefault="00652E32">
      <w:pPr>
        <w:numPr>
          <w:ilvl w:val="2"/>
          <w:numId w:val="4"/>
        </w:numPr>
        <w:spacing w:before="120" w:after="120" w:line="276" w:lineRule="auto"/>
        <w:jc w:val="both"/>
        <w:rPr>
          <w:color w:val="000001"/>
          <w:highlight w:val="white"/>
        </w:rPr>
      </w:pPr>
      <w:r>
        <w:rPr>
          <w:color w:val="000001"/>
          <w:highlight w:val="white"/>
        </w:rPr>
        <w:t>Os documentos referidos acima limitar-se-ão ao último exercício no caso de a pessoa jurídica ter sido constituída há menos de 2 (dois) anos.</w:t>
      </w:r>
    </w:p>
    <w:p w:rsidR="00573B5C" w:rsidRDefault="00652E32">
      <w:pPr>
        <w:numPr>
          <w:ilvl w:val="2"/>
          <w:numId w:val="4"/>
        </w:numPr>
        <w:pBdr>
          <w:top w:val="nil"/>
          <w:left w:val="nil"/>
          <w:bottom w:val="nil"/>
          <w:right w:val="nil"/>
          <w:between w:val="nil"/>
        </w:pBdr>
        <w:spacing w:before="120" w:after="120" w:line="276" w:lineRule="auto"/>
        <w:jc w:val="both"/>
        <w:rPr>
          <w:rFonts w:eastAsia="Arial" w:cs="Arial"/>
          <w:i/>
          <w:color w:val="000001"/>
          <w:szCs w:val="20"/>
          <w:highlight w:val="white"/>
        </w:rPr>
      </w:pPr>
      <w:r>
        <w:rPr>
          <w:rFonts w:eastAsia="Arial" w:cs="Arial"/>
          <w:i/>
          <w:color w:val="000001"/>
          <w:szCs w:val="20"/>
          <w:highlight w:val="white"/>
        </w:rPr>
        <w:lastRenderedPageBreak/>
        <w:t>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573B5C" w:rsidRDefault="00652E32">
      <w:pPr>
        <w:numPr>
          <w:ilvl w:val="1"/>
          <w:numId w:val="4"/>
        </w:numPr>
        <w:tabs>
          <w:tab w:val="left" w:pos="1440"/>
        </w:tabs>
        <w:spacing w:before="120" w:after="120" w:line="276" w:lineRule="auto"/>
        <w:jc w:val="both"/>
        <w:rPr>
          <w:color w:val="000001"/>
          <w:highlight w:val="white"/>
        </w:rPr>
      </w:pPr>
      <w:r>
        <w:rPr>
          <w:color w:val="000001"/>
          <w:highlight w:val="white"/>
        </w:rPr>
        <w:t xml:space="preserve">comprovação da boa situação financeira da empresa mediante obtenção de índices de Liquidez Geral (LG), Solvência Geral (SG) e Liquidez Corrente (LC), superiores a 1 (um), obtidos pela aplicação das seguintes fórmulas: </w:t>
      </w:r>
    </w:p>
    <w:tbl>
      <w:tblPr>
        <w:tblStyle w:val="a0"/>
        <w:tblW w:w="6487" w:type="dxa"/>
        <w:tblInd w:w="1134" w:type="dxa"/>
        <w:tblBorders>
          <w:top w:val="nil"/>
          <w:left w:val="nil"/>
          <w:bottom w:val="nil"/>
          <w:right w:val="nil"/>
          <w:insideH w:val="nil"/>
          <w:insideV w:val="nil"/>
        </w:tblBorders>
        <w:tblLayout w:type="fixed"/>
        <w:tblLook w:val="0400"/>
      </w:tblPr>
      <w:tblGrid>
        <w:gridCol w:w="2235"/>
        <w:gridCol w:w="4252"/>
      </w:tblGrid>
      <w:tr w:rsidR="00573B5C">
        <w:trPr>
          <w:cantSplit/>
          <w:tblHeader/>
        </w:trPr>
        <w:tc>
          <w:tcPr>
            <w:tcW w:w="2235" w:type="dxa"/>
            <w:vMerge w:val="restart"/>
            <w:vAlign w:val="center"/>
          </w:tcPr>
          <w:p w:rsidR="00573B5C" w:rsidRDefault="00652E32">
            <w:pPr>
              <w:tabs>
                <w:tab w:val="left" w:pos="1440"/>
              </w:tabs>
              <w:spacing w:line="276" w:lineRule="auto"/>
              <w:jc w:val="both"/>
              <w:rPr>
                <w:color w:val="000001"/>
                <w:highlight w:val="white"/>
              </w:rPr>
            </w:pPr>
            <w:r>
              <w:rPr>
                <w:color w:val="000001"/>
                <w:highlight w:val="white"/>
              </w:rPr>
              <w:t>LG =</w:t>
            </w:r>
          </w:p>
        </w:tc>
        <w:tc>
          <w:tcPr>
            <w:tcW w:w="4252" w:type="dxa"/>
            <w:tcBorders>
              <w:bottom w:val="single" w:sz="4" w:space="0" w:color="000000"/>
            </w:tcBorders>
            <w:vAlign w:val="bottom"/>
          </w:tcPr>
          <w:p w:rsidR="00573B5C" w:rsidRDefault="00652E32">
            <w:pPr>
              <w:tabs>
                <w:tab w:val="left" w:pos="1440"/>
              </w:tabs>
              <w:spacing w:line="276" w:lineRule="auto"/>
              <w:jc w:val="both"/>
              <w:rPr>
                <w:color w:val="000001"/>
                <w:highlight w:val="white"/>
              </w:rPr>
            </w:pPr>
            <w:r>
              <w:rPr>
                <w:color w:val="000001"/>
                <w:highlight w:val="white"/>
              </w:rPr>
              <w:t>Ativo Circulante + Realizável a Longo Prazo</w:t>
            </w:r>
          </w:p>
        </w:tc>
      </w:tr>
      <w:tr w:rsidR="00573B5C">
        <w:trPr>
          <w:cantSplit/>
          <w:tblHeader/>
        </w:trPr>
        <w:tc>
          <w:tcPr>
            <w:tcW w:w="2235" w:type="dxa"/>
            <w:vMerge/>
            <w:vAlign w:val="center"/>
          </w:tcPr>
          <w:p w:rsidR="00573B5C" w:rsidRDefault="00573B5C">
            <w:pPr>
              <w:widowControl w:val="0"/>
              <w:pBdr>
                <w:top w:val="nil"/>
                <w:left w:val="nil"/>
                <w:bottom w:val="nil"/>
                <w:right w:val="nil"/>
                <w:between w:val="nil"/>
              </w:pBdr>
              <w:spacing w:line="276" w:lineRule="auto"/>
              <w:rPr>
                <w:color w:val="000001"/>
                <w:highlight w:val="white"/>
              </w:rPr>
            </w:pPr>
          </w:p>
        </w:tc>
        <w:tc>
          <w:tcPr>
            <w:tcW w:w="4252" w:type="dxa"/>
            <w:tcBorders>
              <w:top w:val="single" w:sz="4" w:space="0" w:color="000000"/>
            </w:tcBorders>
          </w:tcPr>
          <w:p w:rsidR="00573B5C" w:rsidRDefault="00652E32">
            <w:pPr>
              <w:tabs>
                <w:tab w:val="left" w:pos="1440"/>
              </w:tabs>
              <w:spacing w:line="276" w:lineRule="auto"/>
              <w:jc w:val="both"/>
              <w:rPr>
                <w:color w:val="000001"/>
                <w:highlight w:val="white"/>
              </w:rPr>
            </w:pPr>
            <w:r>
              <w:rPr>
                <w:color w:val="000001"/>
                <w:highlight w:val="white"/>
              </w:rPr>
              <w:t>Passivo Circulante + Passivo Não Circulante</w:t>
            </w:r>
          </w:p>
        </w:tc>
      </w:tr>
    </w:tbl>
    <w:p w:rsidR="00573B5C" w:rsidRDefault="00573B5C">
      <w:pPr>
        <w:tabs>
          <w:tab w:val="left" w:pos="1440"/>
        </w:tabs>
        <w:spacing w:line="276" w:lineRule="auto"/>
        <w:ind w:left="1134"/>
        <w:jc w:val="both"/>
        <w:rPr>
          <w:color w:val="000001"/>
          <w:highlight w:val="white"/>
        </w:rPr>
      </w:pPr>
    </w:p>
    <w:tbl>
      <w:tblPr>
        <w:tblStyle w:val="a1"/>
        <w:tblW w:w="6629" w:type="dxa"/>
        <w:tblInd w:w="1134" w:type="dxa"/>
        <w:tblBorders>
          <w:top w:val="nil"/>
          <w:left w:val="nil"/>
          <w:bottom w:val="nil"/>
          <w:right w:val="nil"/>
          <w:insideH w:val="nil"/>
          <w:insideV w:val="nil"/>
        </w:tblBorders>
        <w:tblLayout w:type="fixed"/>
        <w:tblLook w:val="0400"/>
      </w:tblPr>
      <w:tblGrid>
        <w:gridCol w:w="2235"/>
        <w:gridCol w:w="4394"/>
      </w:tblGrid>
      <w:tr w:rsidR="00573B5C">
        <w:trPr>
          <w:cantSplit/>
          <w:tblHeader/>
        </w:trPr>
        <w:tc>
          <w:tcPr>
            <w:tcW w:w="2235" w:type="dxa"/>
            <w:vMerge w:val="restart"/>
            <w:vAlign w:val="center"/>
          </w:tcPr>
          <w:p w:rsidR="00573B5C" w:rsidRDefault="00652E32">
            <w:pPr>
              <w:tabs>
                <w:tab w:val="left" w:pos="1440"/>
              </w:tabs>
              <w:spacing w:line="276" w:lineRule="auto"/>
              <w:jc w:val="both"/>
              <w:rPr>
                <w:color w:val="000001"/>
                <w:highlight w:val="white"/>
              </w:rPr>
            </w:pPr>
            <w:r>
              <w:rPr>
                <w:color w:val="000001"/>
                <w:highlight w:val="white"/>
              </w:rPr>
              <w:t>SG =</w:t>
            </w:r>
          </w:p>
        </w:tc>
        <w:tc>
          <w:tcPr>
            <w:tcW w:w="4394" w:type="dxa"/>
            <w:tcBorders>
              <w:bottom w:val="single" w:sz="4" w:space="0" w:color="000000"/>
            </w:tcBorders>
            <w:vAlign w:val="bottom"/>
          </w:tcPr>
          <w:p w:rsidR="00573B5C" w:rsidRDefault="00652E32">
            <w:pPr>
              <w:tabs>
                <w:tab w:val="left" w:pos="1440"/>
              </w:tabs>
              <w:spacing w:line="276" w:lineRule="auto"/>
              <w:jc w:val="both"/>
              <w:rPr>
                <w:color w:val="000001"/>
                <w:highlight w:val="white"/>
              </w:rPr>
            </w:pPr>
            <w:r>
              <w:rPr>
                <w:color w:val="000001"/>
                <w:highlight w:val="white"/>
              </w:rPr>
              <w:t>Ativo Total</w:t>
            </w:r>
          </w:p>
        </w:tc>
      </w:tr>
      <w:tr w:rsidR="00573B5C">
        <w:trPr>
          <w:cantSplit/>
          <w:tblHeader/>
        </w:trPr>
        <w:tc>
          <w:tcPr>
            <w:tcW w:w="2235" w:type="dxa"/>
            <w:vMerge/>
            <w:vAlign w:val="center"/>
          </w:tcPr>
          <w:p w:rsidR="00573B5C" w:rsidRDefault="00573B5C">
            <w:pPr>
              <w:widowControl w:val="0"/>
              <w:pBdr>
                <w:top w:val="nil"/>
                <w:left w:val="nil"/>
                <w:bottom w:val="nil"/>
                <w:right w:val="nil"/>
                <w:between w:val="nil"/>
              </w:pBdr>
              <w:spacing w:line="276" w:lineRule="auto"/>
              <w:rPr>
                <w:color w:val="000001"/>
                <w:highlight w:val="white"/>
              </w:rPr>
            </w:pPr>
          </w:p>
        </w:tc>
        <w:tc>
          <w:tcPr>
            <w:tcW w:w="4394" w:type="dxa"/>
            <w:tcBorders>
              <w:top w:val="single" w:sz="4" w:space="0" w:color="000000"/>
            </w:tcBorders>
          </w:tcPr>
          <w:p w:rsidR="00573B5C" w:rsidRDefault="00652E32">
            <w:pPr>
              <w:tabs>
                <w:tab w:val="left" w:pos="1440"/>
              </w:tabs>
              <w:spacing w:line="276" w:lineRule="auto"/>
              <w:jc w:val="both"/>
              <w:rPr>
                <w:color w:val="000001"/>
                <w:highlight w:val="white"/>
              </w:rPr>
            </w:pPr>
            <w:r>
              <w:rPr>
                <w:color w:val="000001"/>
                <w:highlight w:val="white"/>
              </w:rPr>
              <w:t>Passivo Circulante + Passivo Não Circulante</w:t>
            </w:r>
          </w:p>
        </w:tc>
      </w:tr>
    </w:tbl>
    <w:p w:rsidR="00573B5C" w:rsidRDefault="00573B5C">
      <w:pPr>
        <w:tabs>
          <w:tab w:val="left" w:pos="1440"/>
        </w:tabs>
        <w:spacing w:line="276" w:lineRule="auto"/>
        <w:ind w:left="1134"/>
        <w:jc w:val="both"/>
        <w:rPr>
          <w:color w:val="000001"/>
          <w:highlight w:val="white"/>
        </w:rPr>
      </w:pPr>
    </w:p>
    <w:tbl>
      <w:tblPr>
        <w:tblStyle w:val="a2"/>
        <w:tblW w:w="4786" w:type="dxa"/>
        <w:tblInd w:w="1134" w:type="dxa"/>
        <w:tblBorders>
          <w:top w:val="nil"/>
          <w:left w:val="nil"/>
          <w:bottom w:val="nil"/>
          <w:right w:val="nil"/>
          <w:insideH w:val="nil"/>
          <w:insideV w:val="nil"/>
        </w:tblBorders>
        <w:tblLayout w:type="fixed"/>
        <w:tblLook w:val="0400"/>
      </w:tblPr>
      <w:tblGrid>
        <w:gridCol w:w="2235"/>
        <w:gridCol w:w="2551"/>
      </w:tblGrid>
      <w:tr w:rsidR="00573B5C">
        <w:trPr>
          <w:cantSplit/>
          <w:tblHeader/>
        </w:trPr>
        <w:tc>
          <w:tcPr>
            <w:tcW w:w="2235" w:type="dxa"/>
            <w:vMerge w:val="restart"/>
            <w:vAlign w:val="center"/>
          </w:tcPr>
          <w:p w:rsidR="00573B5C" w:rsidRDefault="00652E32">
            <w:pPr>
              <w:tabs>
                <w:tab w:val="left" w:pos="1440"/>
              </w:tabs>
              <w:spacing w:line="276" w:lineRule="auto"/>
              <w:jc w:val="both"/>
              <w:rPr>
                <w:color w:val="000001"/>
                <w:highlight w:val="white"/>
              </w:rPr>
            </w:pPr>
            <w:r>
              <w:rPr>
                <w:color w:val="000001"/>
                <w:highlight w:val="white"/>
              </w:rPr>
              <w:t>LC =</w:t>
            </w:r>
          </w:p>
        </w:tc>
        <w:tc>
          <w:tcPr>
            <w:tcW w:w="2551" w:type="dxa"/>
            <w:tcBorders>
              <w:bottom w:val="single" w:sz="4" w:space="0" w:color="000000"/>
            </w:tcBorders>
            <w:vAlign w:val="bottom"/>
          </w:tcPr>
          <w:p w:rsidR="00573B5C" w:rsidRDefault="00652E32">
            <w:pPr>
              <w:tabs>
                <w:tab w:val="left" w:pos="1440"/>
              </w:tabs>
              <w:spacing w:line="276" w:lineRule="auto"/>
              <w:jc w:val="both"/>
              <w:rPr>
                <w:color w:val="000001"/>
                <w:highlight w:val="white"/>
              </w:rPr>
            </w:pPr>
            <w:r>
              <w:rPr>
                <w:color w:val="000001"/>
                <w:highlight w:val="white"/>
              </w:rPr>
              <w:t>Ativo Circulante</w:t>
            </w:r>
          </w:p>
        </w:tc>
      </w:tr>
      <w:tr w:rsidR="00573B5C">
        <w:trPr>
          <w:cantSplit/>
          <w:tblHeader/>
        </w:trPr>
        <w:tc>
          <w:tcPr>
            <w:tcW w:w="2235" w:type="dxa"/>
            <w:vMerge/>
            <w:vAlign w:val="center"/>
          </w:tcPr>
          <w:p w:rsidR="00573B5C" w:rsidRDefault="00573B5C">
            <w:pPr>
              <w:widowControl w:val="0"/>
              <w:pBdr>
                <w:top w:val="nil"/>
                <w:left w:val="nil"/>
                <w:bottom w:val="nil"/>
                <w:right w:val="nil"/>
                <w:between w:val="nil"/>
              </w:pBdr>
              <w:spacing w:line="276" w:lineRule="auto"/>
              <w:rPr>
                <w:color w:val="000001"/>
                <w:highlight w:val="white"/>
              </w:rPr>
            </w:pPr>
          </w:p>
        </w:tc>
        <w:tc>
          <w:tcPr>
            <w:tcW w:w="2551" w:type="dxa"/>
            <w:tcBorders>
              <w:top w:val="single" w:sz="4" w:space="0" w:color="000000"/>
            </w:tcBorders>
          </w:tcPr>
          <w:p w:rsidR="00573B5C" w:rsidRDefault="00652E32">
            <w:pPr>
              <w:tabs>
                <w:tab w:val="left" w:pos="1440"/>
              </w:tabs>
              <w:spacing w:line="276" w:lineRule="auto"/>
              <w:jc w:val="both"/>
              <w:rPr>
                <w:color w:val="000001"/>
                <w:highlight w:val="white"/>
              </w:rPr>
            </w:pPr>
            <w:r>
              <w:rPr>
                <w:color w:val="000001"/>
                <w:highlight w:val="white"/>
              </w:rPr>
              <w:t>Passivo Circulante</w:t>
            </w:r>
          </w:p>
        </w:tc>
      </w:tr>
    </w:tbl>
    <w:p w:rsidR="00573B5C" w:rsidRDefault="00652E32">
      <w:pPr>
        <w:numPr>
          <w:ilvl w:val="2"/>
          <w:numId w:val="4"/>
        </w:numPr>
        <w:tabs>
          <w:tab w:val="left" w:pos="1440"/>
        </w:tabs>
        <w:spacing w:before="120" w:after="120" w:line="276" w:lineRule="auto"/>
        <w:jc w:val="both"/>
        <w:rPr>
          <w:color w:val="000001"/>
          <w:highlight w:val="white"/>
        </w:rPr>
      </w:pPr>
      <w:r>
        <w:rPr>
          <w:color w:val="000001"/>
          <w:highlight w:val="white"/>
        </w:rPr>
        <w:t>As empresas, que apresentarem resultado inferior ou igual a 1(um) em qualquer dos índices de Liquidez Geral (LG), Solvência Geral (SG) e Liquidez Corrente (LC), deverão comprovar capital ou patrimônio líquido mínimo de</w:t>
      </w:r>
      <w:r>
        <w:rPr>
          <w:i/>
          <w:color w:val="000001"/>
          <w:highlight w:val="white"/>
        </w:rPr>
        <w:t xml:space="preserve"> 10% (dez) </w:t>
      </w:r>
      <w:r>
        <w:rPr>
          <w:color w:val="000001"/>
          <w:highlight w:val="white"/>
        </w:rPr>
        <w:t xml:space="preserve">do valor total estimado da contratação ou do item pertinente. </w:t>
      </w:r>
    </w:p>
    <w:p w:rsidR="00573B5C" w:rsidRDefault="00652E32">
      <w:pPr>
        <w:numPr>
          <w:ilvl w:val="2"/>
          <w:numId w:val="4"/>
        </w:numPr>
        <w:tabs>
          <w:tab w:val="left" w:pos="1440"/>
        </w:tabs>
        <w:spacing w:before="120" w:after="120" w:line="276" w:lineRule="auto"/>
        <w:jc w:val="both"/>
        <w:rPr>
          <w:i/>
          <w:color w:val="000001"/>
          <w:highlight w:val="white"/>
        </w:rPr>
      </w:pPr>
      <w:r>
        <w:rPr>
          <w:i/>
          <w:color w:val="000001"/>
          <w:highlight w:val="white"/>
        </w:rPr>
        <w:t>O atendimento dos índices econômicos previstos neste item deverá ser atestado mediante declaração assinada por profissional habilitado da área contábil, apresentada pelo fornecedor.</w:t>
      </w:r>
    </w:p>
    <w:p w:rsidR="00573B5C" w:rsidRDefault="00573B5C">
      <w:pPr>
        <w:pBdr>
          <w:top w:val="nil"/>
          <w:left w:val="nil"/>
          <w:bottom w:val="nil"/>
          <w:right w:val="nil"/>
          <w:between w:val="nil"/>
        </w:pBdr>
        <w:shd w:val="clear" w:color="auto" w:fill="FFFFFF"/>
        <w:spacing w:before="120" w:after="120" w:line="276" w:lineRule="auto"/>
        <w:jc w:val="both"/>
        <w:rPr>
          <w:rFonts w:eastAsia="Arial" w:cs="Arial"/>
          <w:i/>
          <w:color w:val="000001"/>
          <w:szCs w:val="20"/>
          <w:highlight w:val="white"/>
        </w:rPr>
      </w:pPr>
    </w:p>
    <w:sectPr w:rsidR="00573B5C" w:rsidSect="00573B5C">
      <w:footerReference w:type="default" r:id="rId13"/>
      <w:pgSz w:w="11906" w:h="16838"/>
      <w:pgMar w:top="1417" w:right="1701" w:bottom="1417" w:left="1701"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6B34" w:rsidRDefault="00D06B34" w:rsidP="00573B5C">
      <w:r>
        <w:separator/>
      </w:r>
    </w:p>
  </w:endnote>
  <w:endnote w:type="continuationSeparator" w:id="1">
    <w:p w:rsidR="00D06B34" w:rsidRDefault="00D06B34" w:rsidP="00573B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panose1 w:val="00000000000000000000"/>
    <w:charset w:val="00"/>
    <w:family w:val="roman"/>
    <w:notTrueType/>
    <w:pitch w:val="default"/>
    <w:sig w:usb0="00000000" w:usb1="00000000" w:usb2="00000000" w:usb3="00000000" w:csb0="00000000"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3B5C" w:rsidRDefault="00652E32">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Câmara Nacional de Modelos de Licitações e Contratos – CNMLC/CGU/AGU</w:t>
    </w:r>
  </w:p>
  <w:p w:rsidR="00573B5C" w:rsidRDefault="00652E32">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Aviso de Dispensa Eletrônica – Lei nº 14.133/21 e IN SEGES/ME nº 67/2021</w:t>
    </w:r>
  </w:p>
  <w:p w:rsidR="00573B5C" w:rsidRDefault="00652E32">
    <w:pPr>
      <w:pBdr>
        <w:top w:val="nil"/>
        <w:left w:val="nil"/>
        <w:bottom w:val="nil"/>
        <w:right w:val="nil"/>
        <w:between w:val="nil"/>
      </w:pBdr>
      <w:tabs>
        <w:tab w:val="center" w:pos="4252"/>
        <w:tab w:val="right" w:pos="8504"/>
      </w:tabs>
      <w:rPr>
        <w:rFonts w:eastAsia="Arial" w:cs="Arial"/>
        <w:color w:val="000000"/>
        <w:szCs w:val="20"/>
      </w:rPr>
    </w:pPr>
    <w:r>
      <w:rPr>
        <w:rFonts w:eastAsia="Arial" w:cs="Arial"/>
        <w:color w:val="000000"/>
        <w:sz w:val="12"/>
        <w:szCs w:val="12"/>
      </w:rPr>
      <w:t>Versão: Agosto/2021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6B34" w:rsidRDefault="00D06B34" w:rsidP="00573B5C">
      <w:r>
        <w:separator/>
      </w:r>
    </w:p>
  </w:footnote>
  <w:footnote w:type="continuationSeparator" w:id="1">
    <w:p w:rsidR="00D06B34" w:rsidRDefault="00D06B34" w:rsidP="00573B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53470"/>
    <w:multiLevelType w:val="multilevel"/>
    <w:tmpl w:val="7F684278"/>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eastAsia="Arial" w:hAnsi="Arial" w:cs="Arial"/>
        <w:b w:val="0"/>
        <w:i w:val="0"/>
        <w:color w:val="00000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CBA4E88"/>
    <w:multiLevelType w:val="multilevel"/>
    <w:tmpl w:val="E4BA3ADA"/>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792" w:hanging="432"/>
      </w:pPr>
      <w:rPr>
        <w:rFonts w:ascii="Times New Roman" w:eastAsia="Times New Roman" w:hAnsi="Times New Roman" w:cs="Times New Roman"/>
        <w:b/>
        <w:i w:val="0"/>
      </w:rPr>
    </w:lvl>
    <w:lvl w:ilvl="2">
      <w:start w:val="1"/>
      <w:numFmt w:val="decimal"/>
      <w:lvlText w:val="%1.%2.%3."/>
      <w:lvlJc w:val="left"/>
      <w:pPr>
        <w:ind w:left="1224" w:hanging="504"/>
      </w:pPr>
      <w:rPr>
        <w:rFonts w:ascii="Times New Roman" w:eastAsia="Times New Roman" w:hAnsi="Times New Roman" w:cs="Times New Roman"/>
        <w:b/>
        <w:i w:val="0"/>
        <w:color w:val="00000A"/>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7DC6BE7"/>
    <w:multiLevelType w:val="multilevel"/>
    <w:tmpl w:val="98321D54"/>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792" w:hanging="432"/>
      </w:pPr>
      <w:rPr>
        <w:rFonts w:ascii="Times New Roman" w:eastAsia="Times New Roman" w:hAnsi="Times New Roman" w:cs="Times New Roman"/>
        <w:b/>
        <w:i w:val="0"/>
      </w:rPr>
    </w:lvl>
    <w:lvl w:ilvl="2">
      <w:start w:val="1"/>
      <w:numFmt w:val="decimal"/>
      <w:lvlText w:val="%1.%2.%3."/>
      <w:lvlJc w:val="left"/>
      <w:pPr>
        <w:ind w:left="1224" w:hanging="504"/>
      </w:pPr>
      <w:rPr>
        <w:rFonts w:ascii="Times New Roman" w:eastAsia="Times New Roman" w:hAnsi="Times New Roman" w:cs="Times New Roman"/>
        <w:b/>
        <w:i w:val="0"/>
        <w:color w:val="00000A"/>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E75AFE"/>
    <w:multiLevelType w:val="multilevel"/>
    <w:tmpl w:val="0B0E87C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37D4A3E"/>
    <w:multiLevelType w:val="multilevel"/>
    <w:tmpl w:val="E6CCA382"/>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eastAsia="Arial" w:hAnsi="Arial" w:cs="Arial"/>
        <w:b w:val="0"/>
        <w:i w:val="0"/>
        <w:color w:val="00000A"/>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B7C1AE8"/>
    <w:multiLevelType w:val="multilevel"/>
    <w:tmpl w:val="CE148602"/>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nsid w:val="659A1367"/>
    <w:multiLevelType w:val="multilevel"/>
    <w:tmpl w:val="19147D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3"/>
  </w:num>
  <w:num w:numId="3">
    <w:abstractNumId w:val="2"/>
  </w:num>
  <w:num w:numId="4">
    <w:abstractNumId w:val="5"/>
  </w:num>
  <w:num w:numId="5">
    <w:abstractNumId w:val="4"/>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characterSpacingControl w:val="doNotCompress"/>
  <w:footnotePr>
    <w:footnote w:id="0"/>
    <w:footnote w:id="1"/>
  </w:footnotePr>
  <w:endnotePr>
    <w:endnote w:id="0"/>
    <w:endnote w:id="1"/>
  </w:endnotePr>
  <w:compat/>
  <w:rsids>
    <w:rsidRoot w:val="00573B5C"/>
    <w:rsid w:val="002F2B34"/>
    <w:rsid w:val="004569A5"/>
    <w:rsid w:val="00573B5C"/>
    <w:rsid w:val="00652E32"/>
    <w:rsid w:val="008870EB"/>
    <w:rsid w:val="00D06B3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eastAsia="Times New Roman" w:cs="Tahoma"/>
      <w:szCs w:val="24"/>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0"/>
    <w:next w:val="normal0"/>
    <w:rsid w:val="00573B5C"/>
    <w:pPr>
      <w:keepNext/>
      <w:keepLines/>
      <w:spacing w:before="360" w:after="80"/>
      <w:outlineLvl w:val="1"/>
    </w:pPr>
    <w:rPr>
      <w:b/>
      <w:sz w:val="36"/>
      <w:szCs w:val="36"/>
    </w:rPr>
  </w:style>
  <w:style w:type="paragraph" w:styleId="Ttulo3">
    <w:name w:val="heading 3"/>
    <w:basedOn w:val="normal0"/>
    <w:next w:val="normal0"/>
    <w:rsid w:val="00573B5C"/>
    <w:pPr>
      <w:keepNext/>
      <w:keepLines/>
      <w:spacing w:before="280" w:after="80"/>
      <w:outlineLvl w:val="2"/>
    </w:pPr>
    <w:rPr>
      <w:b/>
      <w:sz w:val="28"/>
      <w:szCs w:val="28"/>
    </w:rPr>
  </w:style>
  <w:style w:type="paragraph" w:styleId="Ttulo4">
    <w:name w:val="heading 4"/>
    <w:basedOn w:val="normal0"/>
    <w:next w:val="normal0"/>
    <w:rsid w:val="00573B5C"/>
    <w:pPr>
      <w:keepNext/>
      <w:keepLines/>
      <w:spacing w:before="240" w:after="40"/>
      <w:outlineLvl w:val="3"/>
    </w:pPr>
    <w:rPr>
      <w:b/>
      <w:sz w:val="24"/>
      <w:szCs w:val="24"/>
    </w:rPr>
  </w:style>
  <w:style w:type="paragraph" w:styleId="Ttulo5">
    <w:name w:val="heading 5"/>
    <w:basedOn w:val="normal0"/>
    <w:next w:val="normal0"/>
    <w:rsid w:val="00573B5C"/>
    <w:pPr>
      <w:keepNext/>
      <w:keepLines/>
      <w:spacing w:before="220" w:after="40"/>
      <w:outlineLvl w:val="4"/>
    </w:pPr>
    <w:rPr>
      <w:b/>
      <w:sz w:val="22"/>
      <w:szCs w:val="22"/>
    </w:rPr>
  </w:style>
  <w:style w:type="paragraph" w:styleId="Ttulo6">
    <w:name w:val="heading 6"/>
    <w:basedOn w:val="normal0"/>
    <w:next w:val="normal0"/>
    <w:rsid w:val="00573B5C"/>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573B5C"/>
  </w:style>
  <w:style w:type="table" w:customStyle="1" w:styleId="TableNormal">
    <w:name w:val="Table Normal"/>
    <w:rsid w:val="00573B5C"/>
    <w:tblPr>
      <w:tblCellMar>
        <w:top w:w="0" w:type="dxa"/>
        <w:left w:w="0" w:type="dxa"/>
        <w:bottom w:w="0" w:type="dxa"/>
        <w:right w:w="0" w:type="dxa"/>
      </w:tblCellMar>
    </w:tblPr>
  </w:style>
  <w:style w:type="paragraph" w:styleId="Ttulo">
    <w:name w:val="Title"/>
    <w:basedOn w:val="normal0"/>
    <w:next w:val="normal0"/>
    <w:rsid w:val="00573B5C"/>
    <w:pPr>
      <w:keepNext/>
      <w:keepLines/>
      <w:spacing w:before="480" w:after="120"/>
    </w:pPr>
    <w:rPr>
      <w:b/>
      <w:sz w:val="72"/>
      <w:szCs w:val="72"/>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rPr>
      <w:rFonts w:ascii="Times New Roman" w:eastAsiaTheme="minorEastAsia"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tabs>
        <w:tab w:val="num" w:pos="1440"/>
      </w:tabs>
      <w:spacing w:before="120" w:after="120" w:line="276" w:lineRule="auto"/>
      <w:ind w:left="1440" w:hanging="720"/>
      <w:jc w:val="both"/>
    </w:pPr>
    <w:rPr>
      <w:rFonts w:ascii="Ecofont_Spranq_eco_Sans" w:eastAsia="Arial Unicode MS" w:hAnsi="Ecofont_Spranq_eco_Sans" w:cs="Times New Roman"/>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F5EFF"/>
    <w:pPr>
      <w:numPr>
        <w:ilvl w:val="3"/>
      </w:numPr>
      <w:tabs>
        <w:tab w:val="num" w:pos="1440"/>
      </w:tabs>
      <w:ind w:left="1440" w:hanging="720"/>
    </w:pPr>
    <w:rPr>
      <w:color w:val="auto"/>
    </w:rPr>
  </w:style>
  <w:style w:type="paragraph" w:customStyle="1" w:styleId="Nivel5">
    <w:name w:val="Nivel 5"/>
    <w:basedOn w:val="Nivel4"/>
    <w:qFormat/>
    <w:rsid w:val="002F5EFF"/>
    <w:pPr>
      <w:numPr>
        <w:ilvl w:val="4"/>
      </w:numPr>
      <w:tabs>
        <w:tab w:val="num" w:pos="360"/>
        <w:tab w:val="num" w:pos="1440"/>
      </w:tabs>
      <w:ind w:left="1440" w:hanging="720"/>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Subttulo">
    <w:name w:val="Subtitle"/>
    <w:basedOn w:val="Normal"/>
    <w:next w:val="Normal"/>
    <w:rsid w:val="00573B5C"/>
    <w:pPr>
      <w:keepNext/>
      <w:keepLines/>
      <w:spacing w:before="360" w:after="80"/>
    </w:pPr>
    <w:rPr>
      <w:rFonts w:ascii="Georgia" w:eastAsia="Georgia" w:hAnsi="Georgia" w:cs="Georgia"/>
      <w:i/>
      <w:color w:val="666666"/>
      <w:sz w:val="48"/>
      <w:szCs w:val="48"/>
    </w:rPr>
  </w:style>
  <w:style w:type="table" w:customStyle="1" w:styleId="a">
    <w:basedOn w:val="TableNormal"/>
    <w:rsid w:val="00573B5C"/>
    <w:tblPr>
      <w:tblStyleRowBandSize w:val="1"/>
      <w:tblStyleColBandSize w:val="1"/>
      <w:tblCellMar>
        <w:top w:w="0" w:type="dxa"/>
        <w:left w:w="98" w:type="dxa"/>
        <w:bottom w:w="0" w:type="dxa"/>
        <w:right w:w="108" w:type="dxa"/>
      </w:tblCellMar>
    </w:tblPr>
  </w:style>
  <w:style w:type="table" w:customStyle="1" w:styleId="a0">
    <w:basedOn w:val="TableNormal"/>
    <w:rsid w:val="00573B5C"/>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1">
    <w:basedOn w:val="TableNormal"/>
    <w:rsid w:val="00573B5C"/>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2">
    <w:basedOn w:val="TableNormal"/>
    <w:rsid w:val="00573B5C"/>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9KpVYtMWz4BM9mrzOa6n0tJ3qg==">AMUW2mWPhDT+b6/iCpPEAA+6iv+W9PS5yDU8gVqh/kCZhUNKmyqrNsIoUyabTTtXs8fRZHeIARzGDHivHeO+aGI5+QmiHwwpGgQujeteynRmlFXGOWoUrWamDXoiOkntY583n74XgUVW8/MiToBmD1HAIrfr36LUPgRyhAI5M4l3uDsMhxcSjJLA9AnfkE/ZNFlO3ivmBqkA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5871</Words>
  <Characters>31706</Characters>
  <Application>Microsoft Office Word</Application>
  <DocSecurity>0</DocSecurity>
  <Lines>264</Lines>
  <Paragraphs>75</Paragraphs>
  <ScaleCrop>false</ScaleCrop>
  <Company/>
  <LinksUpToDate>false</LinksUpToDate>
  <CharactersWithSpaces>37502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User</cp:lastModifiedBy>
  <cp:revision>3</cp:revision>
  <dcterms:created xsi:type="dcterms:W3CDTF">2021-08-05T16:35:00Z</dcterms:created>
  <dcterms:modified xsi:type="dcterms:W3CDTF">2021-11-08T14:27:00Z</dcterms:modified>
</cp:coreProperties>
</file>