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3116" w:rsidRDefault="00BC39E3">
      <w:pPr>
        <w:spacing w:line="276" w:lineRule="auto"/>
        <w:jc w:val="center"/>
        <w:rPr>
          <w:rFonts w:cs="Arial"/>
          <w:b/>
          <w:bCs/>
          <w:i/>
          <w:iCs/>
          <w:color w:val="FF0000"/>
          <w:szCs w:val="20"/>
        </w:rPr>
      </w:pPr>
      <w:r>
        <w:rPr>
          <w:rFonts w:cs="Arial"/>
          <w:b/>
          <w:bCs/>
          <w:i/>
          <w:iCs/>
          <w:noProof/>
          <w:color w:val="FF0000"/>
          <w:szCs w:val="20"/>
        </w:rPr>
        <w:drawing>
          <wp:anchor distT="0" distB="7620" distL="0" distR="7620" simplePos="0" relativeHeight="2" behindDoc="0" locked="0" layoutInCell="1" allowOverlap="1">
            <wp:simplePos x="0" y="0"/>
            <wp:positionH relativeFrom="column">
              <wp:posOffset>2978150</wp:posOffset>
            </wp:positionH>
            <wp:positionV relativeFrom="paragraph">
              <wp:posOffset>635</wp:posOffset>
            </wp:positionV>
            <wp:extent cx="716280" cy="716280"/>
            <wp:effectExtent l="0" t="0" r="0" b="0"/>
            <wp:wrapSquare wrapText="larges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9"/>
                    <a:srcRect l="-42" t="-38" r="-42" b="-38"/>
                    <a:stretch>
                      <a:fillRect/>
                    </a:stretch>
                  </pic:blipFill>
                  <pic:spPr bwMode="auto">
                    <a:xfrm>
                      <a:off x="0" y="0"/>
                      <a:ext cx="716280" cy="716280"/>
                    </a:xfrm>
                    <a:prstGeom prst="rect">
                      <a:avLst/>
                    </a:prstGeom>
                  </pic:spPr>
                </pic:pic>
              </a:graphicData>
            </a:graphic>
          </wp:anchor>
        </w:drawing>
      </w:r>
    </w:p>
    <w:p w:rsidR="005D3116" w:rsidRDefault="005D3116">
      <w:pPr>
        <w:jc w:val="center"/>
        <w:rPr>
          <w:rFonts w:ascii="Times New Roman" w:hAnsi="Times New Roman" w:cs="Times New Roman"/>
          <w:b/>
          <w:bCs/>
          <w:szCs w:val="20"/>
        </w:rPr>
      </w:pPr>
    </w:p>
    <w:p w:rsidR="005D3116" w:rsidRDefault="005D3116">
      <w:pPr>
        <w:ind w:left="360"/>
        <w:jc w:val="center"/>
        <w:rPr>
          <w:rFonts w:ascii="Times New Roman" w:hAnsi="Times New Roman" w:cs="Times New Roman"/>
          <w:b/>
          <w:bCs/>
          <w:szCs w:val="20"/>
        </w:rPr>
      </w:pPr>
    </w:p>
    <w:p w:rsidR="005D3116" w:rsidRDefault="005D3116">
      <w:pPr>
        <w:ind w:left="360"/>
        <w:jc w:val="center"/>
        <w:rPr>
          <w:rFonts w:ascii="Times New Roman" w:hAnsi="Times New Roman" w:cs="Times New Roman"/>
          <w:b/>
          <w:bCs/>
          <w:szCs w:val="20"/>
        </w:rPr>
      </w:pPr>
    </w:p>
    <w:p w:rsidR="005D3116" w:rsidRDefault="005D3116">
      <w:pPr>
        <w:rPr>
          <w:rFonts w:ascii="Times New Roman" w:hAnsi="Times New Roman" w:cs="Times New Roman"/>
          <w:b/>
          <w:bCs/>
          <w:szCs w:val="20"/>
        </w:rPr>
      </w:pPr>
    </w:p>
    <w:p w:rsidR="005D3116" w:rsidRDefault="00BC39E3">
      <w:pPr>
        <w:ind w:left="360"/>
        <w:jc w:val="center"/>
        <w:rPr>
          <w:rFonts w:cs="Arial"/>
        </w:rPr>
      </w:pPr>
      <w:r>
        <w:rPr>
          <w:rFonts w:cs="Arial"/>
          <w:b/>
          <w:bCs/>
          <w:szCs w:val="20"/>
        </w:rPr>
        <w:t>MINISTÉRIO DA DEFESA</w:t>
      </w:r>
    </w:p>
    <w:p w:rsidR="005D3116" w:rsidRDefault="00BC39E3">
      <w:pPr>
        <w:ind w:left="360"/>
        <w:jc w:val="center"/>
        <w:rPr>
          <w:rFonts w:cs="Arial"/>
        </w:rPr>
      </w:pPr>
      <w:r>
        <w:rPr>
          <w:rFonts w:cs="Arial"/>
          <w:b/>
          <w:bCs/>
          <w:szCs w:val="20"/>
        </w:rPr>
        <w:t>EXÉRCITO BRASILEIRO</w:t>
      </w:r>
    </w:p>
    <w:p w:rsidR="005D3116" w:rsidRDefault="00BC39E3">
      <w:pPr>
        <w:ind w:left="360"/>
        <w:jc w:val="center"/>
        <w:rPr>
          <w:rFonts w:cs="Arial"/>
        </w:rPr>
      </w:pPr>
      <w:r>
        <w:rPr>
          <w:rFonts w:cs="Arial"/>
          <w:b/>
          <w:bCs/>
          <w:szCs w:val="20"/>
        </w:rPr>
        <w:t>22ª BRIGADA DE INFANTARIA DE SELVA</w:t>
      </w:r>
    </w:p>
    <w:p w:rsidR="005D3116" w:rsidRDefault="005D3116">
      <w:pPr>
        <w:spacing w:line="276" w:lineRule="auto"/>
        <w:jc w:val="center"/>
        <w:rPr>
          <w:rFonts w:cs="Arial"/>
          <w:b/>
          <w:bCs/>
          <w:i/>
          <w:iCs/>
          <w:color w:val="FF0000"/>
          <w:szCs w:val="20"/>
        </w:rPr>
      </w:pPr>
    </w:p>
    <w:p w:rsidR="005D3116" w:rsidRDefault="00BC39E3">
      <w:pPr>
        <w:spacing w:line="276" w:lineRule="auto"/>
        <w:jc w:val="center"/>
        <w:rPr>
          <w:rFonts w:cs="Arial"/>
          <w:b/>
          <w:bCs/>
          <w:color w:val="000000" w:themeColor="text1"/>
          <w:szCs w:val="20"/>
        </w:rPr>
      </w:pPr>
      <w:r>
        <w:rPr>
          <w:rFonts w:cs="Arial"/>
          <w:b/>
          <w:bCs/>
          <w:color w:val="000000" w:themeColor="text1"/>
          <w:szCs w:val="20"/>
        </w:rPr>
        <w:t xml:space="preserve">AVISO DE DISPENSA ELETRÔNICA Nº </w:t>
      </w:r>
      <w:r w:rsidR="009A34AD">
        <w:rPr>
          <w:rFonts w:cs="Arial"/>
          <w:b/>
          <w:bCs/>
          <w:color w:val="000000" w:themeColor="text1"/>
          <w:szCs w:val="20"/>
        </w:rPr>
        <w:t>120</w:t>
      </w:r>
      <w:r>
        <w:rPr>
          <w:rFonts w:cs="Arial"/>
          <w:b/>
          <w:bCs/>
          <w:color w:val="000000" w:themeColor="text1"/>
          <w:szCs w:val="20"/>
        </w:rPr>
        <w:t>/2021</w:t>
      </w:r>
    </w:p>
    <w:p w:rsidR="005D3116" w:rsidRDefault="00BC39E3">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proofErr w:type="spellStart"/>
      <w:r>
        <w:rPr>
          <w:rFonts w:cs="Arial"/>
          <w:b/>
          <w:bCs/>
          <w:color w:val="000000" w:themeColor="text1"/>
          <w:szCs w:val="20"/>
        </w:rPr>
        <w:t>n.°</w:t>
      </w:r>
      <w:proofErr w:type="spellEnd"/>
      <w:r>
        <w:rPr>
          <w:rFonts w:cs="Arial"/>
          <w:b/>
          <w:bCs/>
          <w:color w:val="000000" w:themeColor="text1"/>
          <w:szCs w:val="20"/>
        </w:rPr>
        <w:t xml:space="preserve"> </w:t>
      </w:r>
      <w:r w:rsidR="009A34AD">
        <w:rPr>
          <w:rFonts w:cs="Arial"/>
          <w:b/>
          <w:bCs/>
          <w:color w:val="000000" w:themeColor="text1"/>
          <w:szCs w:val="20"/>
        </w:rPr>
        <w:t>64271.007472/2021-19</w:t>
      </w:r>
      <w:r>
        <w:rPr>
          <w:rFonts w:cs="Arial"/>
          <w:b/>
          <w:bCs/>
          <w:color w:val="000000" w:themeColor="text1"/>
          <w:szCs w:val="20"/>
        </w:rPr>
        <w:t>)</w:t>
      </w:r>
    </w:p>
    <w:p w:rsidR="005D3116" w:rsidRDefault="005D3116">
      <w:pPr>
        <w:rPr>
          <w:rFonts w:cs="Arial"/>
        </w:rPr>
      </w:pPr>
    </w:p>
    <w:p w:rsidR="005D3116" w:rsidRDefault="00BC39E3">
      <w:pPr>
        <w:snapToGrid w:val="0"/>
        <w:spacing w:after="120" w:line="276" w:lineRule="auto"/>
        <w:ind w:right="-30" w:firstLine="540"/>
        <w:jc w:val="both"/>
        <w:rPr>
          <w:rFonts w:cs="Arial"/>
          <w:color w:val="000000"/>
          <w:szCs w:val="20"/>
        </w:rPr>
      </w:pPr>
      <w:r>
        <w:rPr>
          <w:rFonts w:cs="Arial"/>
          <w:color w:val="000000" w:themeColor="text1"/>
          <w:szCs w:val="20"/>
        </w:rPr>
        <w:t>Torna-se público que o(a)</w:t>
      </w:r>
      <w:r>
        <w:rPr>
          <w:rFonts w:eastAsia="Arial" w:cs="Arial"/>
          <w:color w:val="000000" w:themeColor="text1"/>
          <w:szCs w:val="20"/>
        </w:rPr>
        <w:t xml:space="preserve"> </w:t>
      </w:r>
      <w:r>
        <w:rPr>
          <w:rFonts w:cs="Arial"/>
          <w:b/>
          <w:bCs/>
          <w:color w:val="000000"/>
          <w:szCs w:val="20"/>
        </w:rPr>
        <w:t>22ª Brigada de Infantaria de Selva</w:t>
      </w:r>
      <w:r>
        <w:rPr>
          <w:rFonts w:cs="Arial"/>
          <w:b/>
          <w:bCs/>
          <w:szCs w:val="20"/>
        </w:rPr>
        <w:t>, Subseção de Licitações</w:t>
      </w:r>
      <w:r>
        <w:rPr>
          <w:rFonts w:cs="Arial"/>
          <w:b/>
          <w:bCs/>
          <w:szCs w:val="20"/>
        </w:rPr>
        <w:t xml:space="preserve"> e Contratos - SALC, sediado na Rua Mestre Júlio ; S/N ; Bairro do Alvorada – CEP: 68906-651 - Macapá/AP</w:t>
      </w:r>
      <w:r>
        <w:rPr>
          <w:rFonts w:cs="Arial"/>
          <w:szCs w:val="20"/>
        </w:rPr>
        <w:t xml:space="preserve">, realizará </w:t>
      </w:r>
      <w:r>
        <w:rPr>
          <w:rFonts w:cs="Arial"/>
          <w:b/>
          <w:szCs w:val="20"/>
        </w:rPr>
        <w:t>DISPENSA ELETRÔNICA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Pr>
          <w:rFonts w:cs="Arial"/>
          <w:i/>
          <w:szCs w:val="20"/>
        </w:rPr>
        <w:t>menor preço</w:t>
      </w:r>
      <w:r>
        <w:rPr>
          <w:rFonts w:cs="Arial"/>
          <w:b/>
          <w:bCs/>
          <w:i/>
          <w:szCs w:val="20"/>
        </w:rPr>
        <w:t>,</w:t>
      </w:r>
      <w:r>
        <w:rPr>
          <w:rFonts w:cs="Arial"/>
          <w:b/>
          <w:bCs/>
          <w:i/>
          <w:color w:val="FF0000"/>
          <w:szCs w:val="20"/>
        </w:rPr>
        <w:t xml:space="preserve"> </w:t>
      </w:r>
      <w:r>
        <w:rPr>
          <w:rFonts w:cs="Arial"/>
          <w:color w:val="000000" w:themeColor="text1"/>
          <w:szCs w:val="20"/>
        </w:rPr>
        <w:t xml:space="preserve">na hipótese </w:t>
      </w:r>
      <w:bookmarkStart w:id="0" w:name="_Hlk87537911"/>
      <w:r>
        <w:rPr>
          <w:rFonts w:cs="Arial"/>
          <w:color w:val="000000" w:themeColor="text1"/>
          <w:szCs w:val="20"/>
        </w:rPr>
        <w:t>do art. 75</w:t>
      </w:r>
      <w:r>
        <w:rPr>
          <w:rFonts w:cs="Arial"/>
          <w:i/>
          <w:iCs/>
          <w:color w:val="000000" w:themeColor="text1"/>
          <w:szCs w:val="20"/>
        </w:rPr>
        <w:t xml:space="preserve">, </w:t>
      </w:r>
      <w:r>
        <w:rPr>
          <w:rFonts w:cs="Arial"/>
          <w:i/>
          <w:iCs/>
          <w:szCs w:val="20"/>
        </w:rPr>
        <w:t>inciso</w:t>
      </w:r>
      <w:r>
        <w:rPr>
          <w:rFonts w:cs="Arial"/>
          <w:b/>
          <w:i/>
          <w:iCs/>
          <w:szCs w:val="20"/>
        </w:rPr>
        <w:t xml:space="preserve"> II</w:t>
      </w:r>
      <w:r>
        <w:rPr>
          <w:rFonts w:cs="Arial"/>
          <w:i/>
          <w:iCs/>
          <w:szCs w:val="20"/>
        </w:rPr>
        <w:t>,</w:t>
      </w:r>
      <w:r>
        <w:rPr>
          <w:rFonts w:cs="Arial"/>
          <w:color w:val="FF0000"/>
          <w:szCs w:val="20"/>
        </w:rPr>
        <w:t xml:space="preserve"> </w:t>
      </w:r>
      <w:r>
        <w:rPr>
          <w:rFonts w:cs="Arial"/>
          <w:bCs/>
          <w:szCs w:val="20"/>
        </w:rPr>
        <w:t xml:space="preserve">nos termos da Lei nº 14.133, de 1º de abril </w:t>
      </w:r>
      <w:r>
        <w:rPr>
          <w:rFonts w:cs="Arial"/>
          <w:bCs/>
          <w:szCs w:val="20"/>
        </w:rPr>
        <w:t>de 2021, da Instrução Normativa SEGES/ME nº 67/2021 e demais legislação aplicável</w:t>
      </w:r>
      <w:r>
        <w:rPr>
          <w:rFonts w:cs="Arial"/>
          <w:color w:val="000000"/>
          <w:szCs w:val="20"/>
        </w:rPr>
        <w:t>.</w:t>
      </w:r>
      <w:bookmarkEnd w:id="0"/>
    </w:p>
    <w:p w:rsidR="005D3116" w:rsidRDefault="005D3116">
      <w:pPr>
        <w:spacing w:line="276" w:lineRule="auto"/>
        <w:jc w:val="both"/>
        <w:rPr>
          <w:rFonts w:cs="Arial"/>
          <w:color w:val="000000" w:themeColor="text1"/>
          <w:szCs w:val="20"/>
        </w:rPr>
      </w:pPr>
    </w:p>
    <w:p w:rsidR="005D3116" w:rsidRDefault="00BC39E3">
      <w:pPr>
        <w:snapToGrid w:val="0"/>
        <w:ind w:right="-30"/>
        <w:jc w:val="both"/>
        <w:rPr>
          <w:rFonts w:cs="Arial"/>
          <w:szCs w:val="20"/>
        </w:rPr>
      </w:pPr>
      <w:r>
        <w:rPr>
          <w:rFonts w:cs="Arial"/>
          <w:b/>
          <w:szCs w:val="20"/>
        </w:rPr>
        <w:t xml:space="preserve">UASG: 160026 – </w:t>
      </w:r>
      <w:r>
        <w:rPr>
          <w:rFonts w:cs="Arial"/>
          <w:b/>
          <w:color w:val="000000"/>
          <w:szCs w:val="20"/>
        </w:rPr>
        <w:t>22ª Brigada de Infantaria de Selva</w:t>
      </w:r>
    </w:p>
    <w:p w:rsidR="005D3116" w:rsidRDefault="00BC39E3">
      <w:pPr>
        <w:snapToGrid w:val="0"/>
        <w:ind w:right="-30"/>
        <w:jc w:val="both"/>
        <w:rPr>
          <w:rFonts w:cs="Arial"/>
          <w:szCs w:val="20"/>
        </w:rPr>
      </w:pPr>
      <w:r>
        <w:rPr>
          <w:rFonts w:cs="Arial"/>
          <w:b/>
          <w:szCs w:val="20"/>
        </w:rPr>
        <w:t xml:space="preserve">Data da abertura da sessão: </w:t>
      </w:r>
      <w:r w:rsidR="009A34AD">
        <w:rPr>
          <w:rFonts w:cs="Arial"/>
          <w:b/>
          <w:szCs w:val="20"/>
        </w:rPr>
        <w:t>29/11</w:t>
      </w:r>
      <w:r>
        <w:rPr>
          <w:rFonts w:cs="Arial"/>
          <w:b/>
          <w:szCs w:val="20"/>
        </w:rPr>
        <w:t>/2021</w:t>
      </w:r>
    </w:p>
    <w:p w:rsidR="005D3116" w:rsidRDefault="00BC39E3">
      <w:pPr>
        <w:rPr>
          <w:rFonts w:cs="Arial"/>
          <w:szCs w:val="20"/>
        </w:rPr>
      </w:pPr>
      <w:r>
        <w:rPr>
          <w:rFonts w:cs="Arial"/>
          <w:szCs w:val="20"/>
        </w:rPr>
        <w:t xml:space="preserve">Horário da abertura: </w:t>
      </w:r>
      <w:r w:rsidR="009A34AD">
        <w:rPr>
          <w:rFonts w:cs="Arial"/>
          <w:b/>
          <w:bCs/>
          <w:szCs w:val="20"/>
        </w:rPr>
        <w:t>08:00</w:t>
      </w:r>
      <w:r>
        <w:rPr>
          <w:rFonts w:cs="Arial"/>
          <w:b/>
          <w:bCs/>
          <w:szCs w:val="20"/>
        </w:rPr>
        <w:t>hs</w:t>
      </w:r>
    </w:p>
    <w:p w:rsidR="005D3116" w:rsidRDefault="00BC39E3">
      <w:pPr>
        <w:rPr>
          <w:rFonts w:cs="Arial"/>
          <w:szCs w:val="20"/>
        </w:rPr>
      </w:pPr>
      <w:r>
        <w:rPr>
          <w:rFonts w:cs="Arial"/>
          <w:b/>
          <w:szCs w:val="20"/>
        </w:rPr>
        <w:t xml:space="preserve">Data do término da sessão: </w:t>
      </w:r>
      <w:r w:rsidR="009A34AD">
        <w:rPr>
          <w:rFonts w:cs="Arial"/>
          <w:b/>
          <w:szCs w:val="20"/>
        </w:rPr>
        <w:t>02/12</w:t>
      </w:r>
      <w:r>
        <w:rPr>
          <w:rFonts w:cs="Arial"/>
          <w:b/>
          <w:szCs w:val="20"/>
        </w:rPr>
        <w:t>/2021</w:t>
      </w:r>
    </w:p>
    <w:p w:rsidR="005D3116" w:rsidRDefault="00BC39E3">
      <w:pPr>
        <w:rPr>
          <w:rFonts w:cs="Arial"/>
          <w:szCs w:val="20"/>
        </w:rPr>
      </w:pPr>
      <w:r>
        <w:rPr>
          <w:rFonts w:cs="Arial"/>
          <w:szCs w:val="20"/>
        </w:rPr>
        <w:t xml:space="preserve">Horário do término: </w:t>
      </w:r>
      <w:r w:rsidR="009A34AD">
        <w:rPr>
          <w:rFonts w:cs="Arial"/>
          <w:b/>
          <w:bCs/>
          <w:szCs w:val="20"/>
        </w:rPr>
        <w:t xml:space="preserve">14:00 </w:t>
      </w:r>
      <w:proofErr w:type="spellStart"/>
      <w:r>
        <w:rPr>
          <w:rFonts w:cs="Arial"/>
          <w:b/>
          <w:bCs/>
          <w:szCs w:val="20"/>
        </w:rPr>
        <w:t>hs</w:t>
      </w:r>
      <w:proofErr w:type="spellEnd"/>
    </w:p>
    <w:p w:rsidR="005D3116" w:rsidRDefault="00BC39E3">
      <w:pPr>
        <w:rPr>
          <w:rFonts w:cs="Arial"/>
          <w:szCs w:val="20"/>
        </w:rPr>
      </w:pPr>
      <w:r>
        <w:rPr>
          <w:rFonts w:cs="Arial"/>
          <w:szCs w:val="20"/>
        </w:rPr>
        <w:t>*Por interesse da Administração, a data de término poderá ser alterada, conforme necessidade.</w:t>
      </w:r>
    </w:p>
    <w:p w:rsidR="005D3116" w:rsidRDefault="00BC39E3">
      <w:pPr>
        <w:ind w:right="-15"/>
        <w:jc w:val="both"/>
      </w:pPr>
      <w:r>
        <w:rPr>
          <w:rFonts w:cs="Arial"/>
          <w:b/>
          <w:szCs w:val="20"/>
        </w:rPr>
        <w:t>Local:</w:t>
      </w:r>
      <w:r>
        <w:rPr>
          <w:rFonts w:cs="Arial"/>
          <w:szCs w:val="20"/>
        </w:rPr>
        <w:t xml:space="preserve"> </w:t>
      </w:r>
      <w:r>
        <w:rPr>
          <w:rFonts w:cs="Arial"/>
          <w:b/>
          <w:szCs w:val="20"/>
        </w:rPr>
        <w:t>Portal de Compras do Governo Federal</w:t>
      </w:r>
      <w:r>
        <w:rPr>
          <w:rFonts w:cs="Arial"/>
          <w:szCs w:val="20"/>
        </w:rPr>
        <w:t xml:space="preserve"> – </w:t>
      </w:r>
      <w:hyperlink r:id="rId10">
        <w:r>
          <w:rPr>
            <w:rStyle w:val="ListLabel2"/>
            <w:rFonts w:cs="Arial"/>
            <w:sz w:val="20"/>
            <w:szCs w:val="20"/>
          </w:rPr>
          <w:t>www.comprasgovernamentais.gov.br</w:t>
        </w:r>
      </w:hyperlink>
      <w:r>
        <w:rPr>
          <w:rFonts w:cs="Arial"/>
          <w:i/>
          <w:szCs w:val="20"/>
        </w:rPr>
        <w:t>.</w:t>
      </w:r>
    </w:p>
    <w:p w:rsidR="005D3116" w:rsidRDefault="005D3116">
      <w:pPr>
        <w:pStyle w:val="PADRO"/>
        <w:keepNext w:val="0"/>
        <w:widowControl/>
        <w:shd w:val="clear" w:color="auto" w:fill="auto"/>
        <w:spacing w:before="120" w:after="120"/>
        <w:ind w:left="360" w:firstLine="0"/>
        <w:rPr>
          <w:rFonts w:ascii="Arial" w:hAnsi="Arial" w:cs="Arial"/>
          <w:b/>
          <w:szCs w:val="20"/>
        </w:rPr>
      </w:pPr>
    </w:p>
    <w:p w:rsidR="005D3116" w:rsidRDefault="00BC39E3">
      <w:pPr>
        <w:pStyle w:val="PADRO"/>
        <w:keepNext w:val="0"/>
        <w:widowControl/>
        <w:numPr>
          <w:ilvl w:val="0"/>
          <w:numId w:val="1"/>
        </w:numPr>
        <w:shd w:val="clear" w:color="auto" w:fill="auto"/>
        <w:spacing w:before="120" w:after="120"/>
        <w:rPr>
          <w:rFonts w:ascii="Arial" w:hAnsi="Arial" w:cs="Arial"/>
          <w:b/>
        </w:rPr>
      </w:pPr>
      <w:r>
        <w:rPr>
          <w:rFonts w:ascii="Arial" w:hAnsi="Arial" w:cs="Arial"/>
          <w:b/>
        </w:rPr>
        <w:t>OBJETO DA CONTRATAÇÃO DIRETA</w:t>
      </w:r>
    </w:p>
    <w:p w:rsidR="005D3116" w:rsidRDefault="00BC39E3">
      <w:pPr>
        <w:pStyle w:val="PADRO"/>
        <w:keepNext w:val="0"/>
        <w:widowControl/>
        <w:numPr>
          <w:ilvl w:val="1"/>
          <w:numId w:val="1"/>
        </w:numPr>
        <w:shd w:val="clear" w:color="auto" w:fill="auto"/>
        <w:spacing w:before="120" w:after="120"/>
      </w:pPr>
      <w:r>
        <w:rPr>
          <w:rFonts w:ascii="Arial" w:hAnsi="Arial" w:cs="Arial"/>
          <w:color w:val="000000" w:themeColor="text1"/>
          <w:szCs w:val="20"/>
        </w:rPr>
        <w:t xml:space="preserve">O objeto da presente dispensa é a escolha da proposta mais vantajosa para </w:t>
      </w:r>
      <w:r>
        <w:rPr>
          <w:rFonts w:ascii="Arial" w:hAnsi="Arial" w:cs="Arial"/>
          <w:szCs w:val="20"/>
        </w:rPr>
        <w:t>aquisição de tintas</w:t>
      </w:r>
      <w:r>
        <w:rPr>
          <w:rFonts w:ascii="Arial" w:hAnsi="Arial" w:cs="Arial"/>
          <w:b/>
          <w:bCs/>
          <w:szCs w:val="20"/>
        </w:rPr>
        <w:t>,</w:t>
      </w:r>
      <w:r>
        <w:rPr>
          <w:rFonts w:ascii="Arial" w:hAnsi="Arial" w:cs="Arial"/>
          <w:szCs w:val="20"/>
        </w:rPr>
        <w:t xml:space="preserve"> c</w:t>
      </w:r>
      <w:r>
        <w:rPr>
          <w:rFonts w:ascii="Arial" w:hAnsi="Arial" w:cs="Arial"/>
          <w:color w:val="000000" w:themeColor="text1"/>
          <w:szCs w:val="20"/>
        </w:rPr>
        <w:t xml:space="preserve">onforme condições, quantidades e exigências estabelecidas neste Aviso de Contratação Direta e </w:t>
      </w:r>
      <w:r>
        <w:rPr>
          <w:rFonts w:ascii="Arial" w:hAnsi="Arial" w:cs="Arial"/>
          <w:color w:val="000000" w:themeColor="text1"/>
          <w:szCs w:val="20"/>
        </w:rPr>
        <w:t>seus anexos.</w:t>
      </w:r>
    </w:p>
    <w:p w:rsidR="005D3116" w:rsidRDefault="00BC39E3">
      <w:pPr>
        <w:pStyle w:val="PADRO"/>
        <w:keepNext w:val="0"/>
        <w:widowControl/>
        <w:numPr>
          <w:ilvl w:val="1"/>
          <w:numId w:val="1"/>
        </w:numPr>
        <w:shd w:val="clear" w:color="auto" w:fill="auto"/>
        <w:spacing w:before="120" w:after="120"/>
        <w:rPr>
          <w:rFonts w:ascii="Arial" w:hAnsi="Arial" w:cs="Arial"/>
          <w:szCs w:val="20"/>
        </w:rPr>
      </w:pPr>
      <w:r>
        <w:rPr>
          <w:rFonts w:ascii="Arial" w:hAnsi="Arial" w:cs="Arial"/>
          <w:i/>
          <w:iCs/>
          <w:szCs w:val="20"/>
        </w:rPr>
        <w:t>A contratação será dividida em itens</w:t>
      </w:r>
      <w:r>
        <w:rPr>
          <w:rFonts w:ascii="Arial" w:hAnsi="Arial" w:cs="Arial"/>
          <w:b/>
          <w:bCs/>
          <w:i/>
          <w:iCs/>
          <w:szCs w:val="20"/>
        </w:rPr>
        <w:t>,</w:t>
      </w:r>
      <w:r>
        <w:rPr>
          <w:rFonts w:ascii="Arial" w:hAnsi="Arial" w:cs="Arial"/>
          <w:i/>
          <w:iCs/>
          <w:szCs w:val="20"/>
        </w:rPr>
        <w:t xml:space="preserve"> conforme tabela constante abaixo.</w:t>
      </w:r>
    </w:p>
    <w:tbl>
      <w:tblPr>
        <w:tblW w:w="102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4"/>
        <w:gridCol w:w="2637"/>
        <w:gridCol w:w="928"/>
        <w:gridCol w:w="991"/>
        <w:gridCol w:w="834"/>
        <w:gridCol w:w="1133"/>
        <w:gridCol w:w="1412"/>
        <w:gridCol w:w="1689"/>
      </w:tblGrid>
      <w:tr w:rsidR="005D3116">
        <w:trPr>
          <w:jc w:val="center"/>
        </w:trPr>
        <w:tc>
          <w:tcPr>
            <w:tcW w:w="628" w:type="dxa"/>
            <w:tcBorders>
              <w:top w:val="single" w:sz="4" w:space="0" w:color="000000"/>
              <w:left w:val="single" w:sz="4" w:space="0" w:color="000000"/>
              <w:bottom w:val="single" w:sz="4" w:space="0" w:color="000000"/>
              <w:right w:val="single" w:sz="4" w:space="0" w:color="000000"/>
            </w:tcBorders>
            <w:shd w:val="clear" w:color="auto" w:fill="auto"/>
          </w:tcPr>
          <w:p w:rsidR="005D3116" w:rsidRDefault="00BC39E3">
            <w:pPr>
              <w:widowControl w:val="0"/>
              <w:suppressAutoHyphens/>
              <w:jc w:val="center"/>
              <w:rPr>
                <w:rFonts w:cs="Arial"/>
                <w:b/>
                <w:bCs/>
                <w:color w:val="000000"/>
                <w:sz w:val="14"/>
                <w:szCs w:val="14"/>
              </w:rPr>
            </w:pPr>
            <w:r>
              <w:rPr>
                <w:rFonts w:ascii="Times New Roman" w:hAnsi="Times New Roman" w:cs="Arial"/>
                <w:b/>
                <w:bCs/>
                <w:color w:val="000000"/>
                <w:sz w:val="16"/>
                <w:szCs w:val="16"/>
              </w:rPr>
              <w:t>ITEM</w:t>
            </w:r>
          </w:p>
          <w:p w:rsidR="005D3116" w:rsidRDefault="005D3116">
            <w:pPr>
              <w:widowControl w:val="0"/>
              <w:suppressAutoHyphens/>
              <w:jc w:val="center"/>
              <w:rPr>
                <w:rFonts w:ascii="Times New Roman" w:hAnsi="Times New Roman" w:cs="Arial"/>
                <w:b/>
                <w:color w:val="000000"/>
                <w:sz w:val="16"/>
                <w:szCs w:val="16"/>
              </w:rPr>
            </w:pP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rsidR="005D3116" w:rsidRDefault="00BC39E3">
            <w:pPr>
              <w:jc w:val="center"/>
              <w:rPr>
                <w:rFonts w:cs="Arial"/>
                <w:b/>
                <w:bCs/>
                <w:color w:val="000000"/>
                <w:sz w:val="14"/>
                <w:szCs w:val="14"/>
              </w:rPr>
            </w:pPr>
            <w:r>
              <w:rPr>
                <w:rFonts w:ascii="Times New Roman" w:hAnsi="Times New Roman" w:cs="Arial"/>
                <w:b/>
                <w:bCs/>
                <w:color w:val="000000"/>
                <w:sz w:val="16"/>
                <w:szCs w:val="16"/>
              </w:rPr>
              <w:t>DESCRIÇÃO/</w:t>
            </w:r>
          </w:p>
          <w:p w:rsidR="005D3116" w:rsidRDefault="00BC39E3">
            <w:pPr>
              <w:widowControl w:val="0"/>
              <w:suppressAutoHyphens/>
              <w:jc w:val="center"/>
              <w:rPr>
                <w:rFonts w:cs="Arial"/>
                <w:color w:val="000000"/>
                <w:sz w:val="14"/>
                <w:szCs w:val="14"/>
              </w:rPr>
            </w:pPr>
            <w:r>
              <w:rPr>
                <w:rFonts w:ascii="Times New Roman" w:hAnsi="Times New Roman" w:cs="Arial"/>
                <w:b/>
                <w:bCs/>
                <w:color w:val="000000"/>
                <w:sz w:val="16"/>
                <w:szCs w:val="16"/>
              </w:rPr>
              <w:t>ESPECIFICAÇÃO</w:t>
            </w:r>
          </w:p>
        </w:tc>
        <w:tc>
          <w:tcPr>
            <w:tcW w:w="916" w:type="dxa"/>
            <w:tcBorders>
              <w:top w:val="single" w:sz="4" w:space="0" w:color="000000"/>
              <w:left w:val="single" w:sz="4" w:space="0" w:color="000000"/>
              <w:bottom w:val="single" w:sz="4" w:space="0" w:color="000000"/>
              <w:right w:val="single" w:sz="4" w:space="0" w:color="000000"/>
            </w:tcBorders>
            <w:shd w:val="clear" w:color="auto" w:fill="auto"/>
          </w:tcPr>
          <w:p w:rsidR="005D3116" w:rsidRDefault="00BC39E3">
            <w:pPr>
              <w:widowControl w:val="0"/>
              <w:suppressAutoHyphens/>
              <w:jc w:val="center"/>
              <w:rPr>
                <w:rFonts w:cs="Arial"/>
                <w:b/>
                <w:bCs/>
                <w:color w:val="000000"/>
                <w:sz w:val="14"/>
                <w:szCs w:val="14"/>
              </w:rPr>
            </w:pPr>
            <w:r>
              <w:rPr>
                <w:rFonts w:ascii="Times New Roman" w:hAnsi="Times New Roman" w:cs="Arial"/>
                <w:b/>
                <w:bCs/>
                <w:color w:val="000000"/>
                <w:sz w:val="16"/>
                <w:szCs w:val="16"/>
              </w:rPr>
              <w:t>CATSER/</w:t>
            </w:r>
          </w:p>
          <w:p w:rsidR="005D3116" w:rsidRDefault="00BC39E3">
            <w:pPr>
              <w:widowControl w:val="0"/>
              <w:suppressAutoHyphens/>
              <w:jc w:val="center"/>
              <w:rPr>
                <w:rFonts w:cs="Arial"/>
                <w:b/>
                <w:bCs/>
                <w:color w:val="000000"/>
                <w:sz w:val="14"/>
                <w:szCs w:val="14"/>
              </w:rPr>
            </w:pPr>
            <w:r>
              <w:rPr>
                <w:rFonts w:ascii="Times New Roman" w:hAnsi="Times New Roman" w:cs="Arial"/>
                <w:b/>
                <w:bCs/>
                <w:color w:val="000000"/>
                <w:sz w:val="16"/>
                <w:szCs w:val="16"/>
              </w:rPr>
              <w:t>CATMAT</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5D3116" w:rsidRDefault="00BC39E3">
            <w:pPr>
              <w:widowControl w:val="0"/>
              <w:suppressAutoHyphens/>
              <w:jc w:val="center"/>
              <w:rPr>
                <w:rFonts w:cs="Arial"/>
                <w:color w:val="000000"/>
                <w:sz w:val="14"/>
                <w:szCs w:val="14"/>
              </w:rPr>
            </w:pPr>
            <w:r>
              <w:rPr>
                <w:rFonts w:ascii="Times New Roman" w:hAnsi="Times New Roman" w:cs="Arial"/>
                <w:b/>
                <w:bCs/>
                <w:color w:val="000000"/>
                <w:sz w:val="16"/>
                <w:szCs w:val="16"/>
              </w:rPr>
              <w:t>UNIDADE DE MEDIDA</w:t>
            </w:r>
          </w:p>
        </w:tc>
        <w:tc>
          <w:tcPr>
            <w:tcW w:w="818" w:type="dxa"/>
            <w:tcBorders>
              <w:top w:val="single" w:sz="4" w:space="0" w:color="000000"/>
              <w:left w:val="single" w:sz="4" w:space="0" w:color="000000"/>
              <w:bottom w:val="single" w:sz="4" w:space="0" w:color="000000"/>
              <w:right w:val="single" w:sz="4" w:space="0" w:color="000000"/>
            </w:tcBorders>
            <w:shd w:val="clear" w:color="auto" w:fill="auto"/>
          </w:tcPr>
          <w:p w:rsidR="005D3116" w:rsidRDefault="005D3116">
            <w:pPr>
              <w:widowControl w:val="0"/>
              <w:suppressAutoHyphens/>
              <w:jc w:val="center"/>
              <w:rPr>
                <w:rFonts w:cs="Arial"/>
                <w:b/>
                <w:bCs/>
                <w:color w:val="000000"/>
                <w:sz w:val="16"/>
                <w:szCs w:val="16"/>
              </w:rPr>
            </w:pPr>
          </w:p>
          <w:p w:rsidR="005D3116" w:rsidRDefault="00BC39E3">
            <w:pPr>
              <w:widowControl w:val="0"/>
              <w:suppressAutoHyphens/>
              <w:jc w:val="center"/>
              <w:rPr>
                <w:rFonts w:cs="Arial"/>
                <w:color w:val="000000"/>
                <w:sz w:val="14"/>
                <w:szCs w:val="14"/>
              </w:rPr>
            </w:pPr>
            <w:r>
              <w:rPr>
                <w:rFonts w:ascii="Times New Roman" w:hAnsi="Times New Roman" w:cs="Arial"/>
                <w:b/>
                <w:bCs/>
                <w:color w:val="000000"/>
                <w:sz w:val="16"/>
                <w:szCs w:val="16"/>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5D3116" w:rsidRDefault="00BC39E3">
            <w:pPr>
              <w:widowControl w:val="0"/>
              <w:suppressAutoHyphens/>
              <w:jc w:val="center"/>
              <w:rPr>
                <w:rFonts w:cs="Arial"/>
                <w:b/>
                <w:bCs/>
                <w:color w:val="000000"/>
                <w:sz w:val="14"/>
                <w:szCs w:val="14"/>
              </w:rPr>
            </w:pPr>
            <w:r>
              <w:rPr>
                <w:rFonts w:ascii="Times New Roman" w:hAnsi="Times New Roman" w:cs="Arial"/>
                <w:b/>
                <w:bCs/>
                <w:color w:val="000000"/>
                <w:sz w:val="16"/>
                <w:szCs w:val="16"/>
              </w:rPr>
              <w:t>PREÇO ESTIMADO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5D3116" w:rsidRDefault="00BC39E3">
            <w:pPr>
              <w:widowControl w:val="0"/>
              <w:suppressAutoHyphens/>
              <w:jc w:val="center"/>
              <w:rPr>
                <w:rFonts w:cs="Arial"/>
                <w:b/>
                <w:bCs/>
                <w:color w:val="000000"/>
                <w:sz w:val="14"/>
                <w:szCs w:val="14"/>
              </w:rPr>
            </w:pPr>
            <w:r>
              <w:rPr>
                <w:rFonts w:ascii="Times New Roman" w:hAnsi="Times New Roman" w:cs="Arial"/>
                <w:b/>
                <w:bCs/>
                <w:color w:val="000000"/>
                <w:sz w:val="16"/>
                <w:szCs w:val="16"/>
              </w:rPr>
              <w:t>LOCAL DE EXECUÇÃO</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5D3116" w:rsidRDefault="00BC39E3">
            <w:pPr>
              <w:widowControl w:val="0"/>
              <w:suppressAutoHyphens/>
              <w:jc w:val="center"/>
              <w:rPr>
                <w:rFonts w:cs="Arial"/>
                <w:b/>
                <w:bCs/>
                <w:color w:val="000000"/>
                <w:sz w:val="14"/>
                <w:szCs w:val="14"/>
              </w:rPr>
            </w:pPr>
            <w:r>
              <w:rPr>
                <w:rFonts w:ascii="Times New Roman" w:hAnsi="Times New Roman" w:cs="Arial"/>
                <w:b/>
                <w:bCs/>
                <w:color w:val="000000"/>
                <w:sz w:val="16"/>
                <w:szCs w:val="16"/>
              </w:rPr>
              <w:t>PRAZO DE EXECUÇÃO</w:t>
            </w:r>
          </w:p>
        </w:tc>
      </w:tr>
      <w:tr w:rsidR="005D3116">
        <w:trPr>
          <w:trHeight w:val="1157"/>
          <w:jc w:val="center"/>
        </w:trPr>
        <w:tc>
          <w:tcPr>
            <w:tcW w:w="6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3116" w:rsidRDefault="00BC39E3">
            <w:pPr>
              <w:pStyle w:val="Contedodatabela"/>
              <w:jc w:val="center"/>
              <w:rPr>
                <w:rFonts w:ascii="Times New Roman" w:hAnsi="Times New Roman"/>
                <w:sz w:val="18"/>
                <w:szCs w:val="18"/>
              </w:rPr>
            </w:pPr>
            <w:r>
              <w:rPr>
                <w:rFonts w:ascii="Times New Roman" w:hAnsi="Times New Roman"/>
                <w:sz w:val="18"/>
                <w:szCs w:val="18"/>
              </w:rPr>
              <w:t>1</w:t>
            </w:r>
          </w:p>
        </w:tc>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3116" w:rsidRDefault="00BC39E3">
            <w:pPr>
              <w:pStyle w:val="Contedodatabela"/>
              <w:jc w:val="center"/>
              <w:rPr>
                <w:rFonts w:ascii="Times New Roman" w:hAnsi="Times New Roman"/>
                <w:sz w:val="18"/>
                <w:szCs w:val="18"/>
              </w:rPr>
            </w:pPr>
            <w:r>
              <w:rPr>
                <w:rFonts w:ascii="Times New Roman" w:hAnsi="Times New Roman"/>
                <w:sz w:val="18"/>
                <w:szCs w:val="18"/>
              </w:rPr>
              <w:t xml:space="preserve">Tinta </w:t>
            </w:r>
            <w:proofErr w:type="gramStart"/>
            <w:r>
              <w:rPr>
                <w:rFonts w:ascii="Times New Roman" w:hAnsi="Times New Roman"/>
                <w:sz w:val="18"/>
                <w:szCs w:val="18"/>
              </w:rPr>
              <w:t>acrílica  para</w:t>
            </w:r>
            <w:proofErr w:type="gramEnd"/>
            <w:r>
              <w:rPr>
                <w:rFonts w:ascii="Times New Roman" w:hAnsi="Times New Roman"/>
                <w:sz w:val="18"/>
                <w:szCs w:val="18"/>
              </w:rPr>
              <w:t xml:space="preserve"> parede </w:t>
            </w:r>
            <w:proofErr w:type="spellStart"/>
            <w:r>
              <w:rPr>
                <w:rFonts w:ascii="Times New Roman" w:hAnsi="Times New Roman"/>
                <w:sz w:val="18"/>
                <w:szCs w:val="18"/>
              </w:rPr>
              <w:t>semi-brilho</w:t>
            </w:r>
            <w:proofErr w:type="spellEnd"/>
            <w:r>
              <w:rPr>
                <w:rFonts w:ascii="Times New Roman" w:hAnsi="Times New Roman"/>
                <w:sz w:val="18"/>
                <w:szCs w:val="18"/>
              </w:rPr>
              <w:t xml:space="preserve">, cor </w:t>
            </w:r>
            <w:r>
              <w:rPr>
                <w:rFonts w:ascii="Times New Roman" w:hAnsi="Times New Roman"/>
                <w:sz w:val="18"/>
                <w:szCs w:val="18"/>
              </w:rPr>
              <w:t>branco neve.</w:t>
            </w:r>
          </w:p>
        </w:tc>
        <w:tc>
          <w:tcPr>
            <w:tcW w:w="9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3116" w:rsidRDefault="00BC39E3">
            <w:pPr>
              <w:widowControl w:val="0"/>
              <w:suppressAutoHyphens/>
              <w:spacing w:after="120" w:line="276" w:lineRule="auto"/>
              <w:jc w:val="center"/>
            </w:pPr>
            <w:r>
              <w:rPr>
                <w:rFonts w:ascii="Times New Roman" w:hAnsi="Times New Roman"/>
                <w:sz w:val="18"/>
                <w:szCs w:val="18"/>
              </w:rPr>
              <w:t>111368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3116" w:rsidRDefault="00BC39E3">
            <w:pPr>
              <w:widowControl w:val="0"/>
              <w:suppressAutoHyphens/>
              <w:spacing w:after="120" w:line="276" w:lineRule="auto"/>
              <w:jc w:val="center"/>
              <w:rPr>
                <w:rFonts w:ascii="Times New Roman" w:hAnsi="Times New Roman"/>
                <w:sz w:val="18"/>
                <w:szCs w:val="18"/>
              </w:rPr>
            </w:pPr>
            <w:proofErr w:type="spellStart"/>
            <w:r>
              <w:rPr>
                <w:rFonts w:ascii="Times New Roman" w:hAnsi="Times New Roman" w:cs="Arial"/>
                <w:color w:val="000000"/>
                <w:sz w:val="18"/>
                <w:szCs w:val="18"/>
              </w:rPr>
              <w:t>Und</w:t>
            </w:r>
            <w:proofErr w:type="spellEnd"/>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3116" w:rsidRDefault="00BC39E3">
            <w:pPr>
              <w:pStyle w:val="Corpodetexto"/>
              <w:spacing w:after="0"/>
              <w:jc w:val="center"/>
              <w:rPr>
                <w:rFonts w:ascii="Times New Roman" w:hAnsi="Times New Roman"/>
                <w:sz w:val="18"/>
                <w:szCs w:val="18"/>
              </w:rPr>
            </w:pPr>
            <w:r>
              <w:rPr>
                <w:rFonts w:ascii="Times New Roman" w:eastAsiaTheme="minorHAnsi" w:hAnsi="Times New Roman" w:cs="Times New Roman"/>
                <w:sz w:val="18"/>
                <w:szCs w:val="18"/>
                <w:lang w:eastAsia="en-US"/>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3116" w:rsidRDefault="00BC39E3">
            <w:pPr>
              <w:pStyle w:val="Contedodatabela"/>
              <w:jc w:val="center"/>
              <w:rPr>
                <w:rFonts w:ascii="Times New Roman" w:hAnsi="Times New Roman"/>
                <w:sz w:val="18"/>
                <w:szCs w:val="18"/>
              </w:rPr>
            </w:pPr>
            <w:r>
              <w:rPr>
                <w:rFonts w:ascii="Times New Roman" w:hAnsi="Times New Roman"/>
                <w:sz w:val="18"/>
                <w:szCs w:val="18"/>
              </w:rPr>
              <w:t>R$ 296,99</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3116" w:rsidRDefault="00BC39E3">
            <w:pPr>
              <w:widowControl w:val="0"/>
              <w:suppressAutoHyphens/>
              <w:spacing w:after="120" w:line="276" w:lineRule="auto"/>
              <w:jc w:val="center"/>
              <w:rPr>
                <w:rFonts w:cs="Arial"/>
                <w:b/>
                <w:sz w:val="14"/>
                <w:szCs w:val="18"/>
                <w:highlight w:val="yellow"/>
              </w:rPr>
            </w:pPr>
            <w:proofErr w:type="spellStart"/>
            <w:r>
              <w:rPr>
                <w:rFonts w:ascii="Times New Roman" w:hAnsi="Times New Roman"/>
                <w:b/>
                <w:sz w:val="18"/>
                <w:szCs w:val="18"/>
                <w:highlight w:val="yellow"/>
              </w:rPr>
              <w:t>Cmdo</w:t>
            </w:r>
            <w:proofErr w:type="spellEnd"/>
            <w:r>
              <w:rPr>
                <w:rFonts w:ascii="Times New Roman" w:hAnsi="Times New Roman"/>
                <w:b/>
                <w:sz w:val="18"/>
                <w:szCs w:val="18"/>
                <w:highlight w:val="yellow"/>
              </w:rPr>
              <w:t xml:space="preserve"> 22 </w:t>
            </w:r>
            <w:proofErr w:type="spellStart"/>
            <w:r>
              <w:rPr>
                <w:rFonts w:ascii="Times New Roman" w:hAnsi="Times New Roman"/>
                <w:b/>
                <w:sz w:val="18"/>
                <w:szCs w:val="18"/>
                <w:highlight w:val="yellow"/>
              </w:rPr>
              <w:t>Bda</w:t>
            </w:r>
            <w:proofErr w:type="spellEnd"/>
            <w:r>
              <w:rPr>
                <w:rFonts w:ascii="Times New Roman" w:hAnsi="Times New Roman"/>
                <w:b/>
                <w:sz w:val="18"/>
                <w:szCs w:val="18"/>
                <w:highlight w:val="yellow"/>
              </w:rPr>
              <w:t xml:space="preserve"> </w:t>
            </w:r>
            <w:proofErr w:type="spellStart"/>
            <w:r>
              <w:rPr>
                <w:rFonts w:ascii="Times New Roman" w:hAnsi="Times New Roman"/>
                <w:b/>
                <w:sz w:val="18"/>
                <w:szCs w:val="18"/>
                <w:highlight w:val="yellow"/>
              </w:rPr>
              <w:t>inf</w:t>
            </w:r>
            <w:proofErr w:type="spellEnd"/>
            <w:r>
              <w:rPr>
                <w:rFonts w:ascii="Times New Roman" w:hAnsi="Times New Roman"/>
                <w:b/>
                <w:sz w:val="18"/>
                <w:szCs w:val="18"/>
                <w:highlight w:val="yellow"/>
              </w:rPr>
              <w:t xml:space="preserve"> </w:t>
            </w:r>
            <w:proofErr w:type="spellStart"/>
            <w:r>
              <w:rPr>
                <w:rFonts w:ascii="Times New Roman" w:hAnsi="Times New Roman"/>
                <w:b/>
                <w:sz w:val="18"/>
                <w:szCs w:val="18"/>
                <w:highlight w:val="yellow"/>
              </w:rPr>
              <w:t>sl</w:t>
            </w:r>
            <w:proofErr w:type="spellEnd"/>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3116" w:rsidRDefault="00BC39E3">
            <w:pPr>
              <w:widowControl w:val="0"/>
              <w:suppressAutoHyphens/>
              <w:spacing w:after="120" w:line="276" w:lineRule="auto"/>
              <w:jc w:val="center"/>
              <w:rPr>
                <w:rFonts w:ascii="Times New Roman" w:hAnsi="Times New Roman"/>
                <w:sz w:val="22"/>
                <w:szCs w:val="22"/>
              </w:rPr>
            </w:pPr>
            <w:r>
              <w:rPr>
                <w:rFonts w:ascii="Times New Roman" w:hAnsi="Times New Roman" w:cs="Arial"/>
                <w:b/>
                <w:sz w:val="18"/>
                <w:szCs w:val="18"/>
                <w:highlight w:val="yellow"/>
              </w:rPr>
              <w:t>5 dias APÓS A EMISSÃO DA NOTA DE EMPENHO</w:t>
            </w:r>
          </w:p>
        </w:tc>
      </w:tr>
      <w:tr w:rsidR="005D3116">
        <w:trPr>
          <w:trHeight w:val="1125"/>
          <w:jc w:val="center"/>
        </w:trPr>
        <w:tc>
          <w:tcPr>
            <w:tcW w:w="628" w:type="dxa"/>
            <w:tcBorders>
              <w:left w:val="single" w:sz="4" w:space="0" w:color="000000"/>
              <w:bottom w:val="single" w:sz="4" w:space="0" w:color="000000"/>
              <w:right w:val="single" w:sz="4" w:space="0" w:color="000000"/>
            </w:tcBorders>
            <w:shd w:val="clear" w:color="auto" w:fill="auto"/>
            <w:vAlign w:val="center"/>
          </w:tcPr>
          <w:p w:rsidR="005D3116" w:rsidRDefault="00BC39E3">
            <w:pPr>
              <w:pStyle w:val="Contedodatabela"/>
              <w:jc w:val="center"/>
              <w:rPr>
                <w:rFonts w:ascii="Times New Roman" w:hAnsi="Times New Roman"/>
                <w:sz w:val="18"/>
                <w:szCs w:val="18"/>
              </w:rPr>
            </w:pPr>
            <w:r>
              <w:rPr>
                <w:rFonts w:ascii="Times New Roman" w:hAnsi="Times New Roman"/>
                <w:sz w:val="18"/>
                <w:szCs w:val="18"/>
              </w:rPr>
              <w:t>2</w:t>
            </w:r>
          </w:p>
        </w:tc>
        <w:tc>
          <w:tcPr>
            <w:tcW w:w="2660" w:type="dxa"/>
            <w:tcBorders>
              <w:left w:val="single" w:sz="4" w:space="0" w:color="000000"/>
              <w:bottom w:val="single" w:sz="4" w:space="0" w:color="000000"/>
              <w:right w:val="single" w:sz="4" w:space="0" w:color="000000"/>
            </w:tcBorders>
            <w:shd w:val="clear" w:color="auto" w:fill="auto"/>
            <w:vAlign w:val="center"/>
          </w:tcPr>
          <w:p w:rsidR="005D3116" w:rsidRDefault="00BC39E3">
            <w:pPr>
              <w:pStyle w:val="Contedodatabela"/>
              <w:jc w:val="center"/>
              <w:rPr>
                <w:rFonts w:ascii="Times New Roman" w:hAnsi="Times New Roman"/>
                <w:sz w:val="18"/>
                <w:szCs w:val="18"/>
              </w:rPr>
            </w:pPr>
            <w:r>
              <w:rPr>
                <w:rFonts w:ascii="Times New Roman" w:hAnsi="Times New Roman"/>
                <w:sz w:val="18"/>
                <w:szCs w:val="18"/>
              </w:rPr>
              <w:t xml:space="preserve">Tinta </w:t>
            </w:r>
            <w:proofErr w:type="gramStart"/>
            <w:r>
              <w:rPr>
                <w:rFonts w:ascii="Times New Roman" w:hAnsi="Times New Roman"/>
                <w:sz w:val="18"/>
                <w:szCs w:val="18"/>
              </w:rPr>
              <w:t>acrílica  para</w:t>
            </w:r>
            <w:proofErr w:type="gramEnd"/>
            <w:r>
              <w:rPr>
                <w:rFonts w:ascii="Times New Roman" w:hAnsi="Times New Roman"/>
                <w:sz w:val="18"/>
                <w:szCs w:val="18"/>
              </w:rPr>
              <w:t xml:space="preserve"> parede </w:t>
            </w:r>
            <w:proofErr w:type="spellStart"/>
            <w:r>
              <w:rPr>
                <w:rFonts w:ascii="Times New Roman" w:hAnsi="Times New Roman"/>
                <w:sz w:val="18"/>
                <w:szCs w:val="18"/>
              </w:rPr>
              <w:t>semi-brilho</w:t>
            </w:r>
            <w:proofErr w:type="spellEnd"/>
            <w:r>
              <w:rPr>
                <w:rFonts w:ascii="Times New Roman" w:hAnsi="Times New Roman"/>
                <w:sz w:val="18"/>
                <w:szCs w:val="18"/>
              </w:rPr>
              <w:t>, cor palha.</w:t>
            </w:r>
          </w:p>
        </w:tc>
        <w:tc>
          <w:tcPr>
            <w:tcW w:w="916" w:type="dxa"/>
            <w:tcBorders>
              <w:left w:val="single" w:sz="4" w:space="0" w:color="000000"/>
              <w:bottom w:val="single" w:sz="4" w:space="0" w:color="000000"/>
              <w:right w:val="single" w:sz="4" w:space="0" w:color="000000"/>
            </w:tcBorders>
            <w:shd w:val="clear" w:color="auto" w:fill="auto"/>
            <w:vAlign w:val="center"/>
          </w:tcPr>
          <w:p w:rsidR="005D3116" w:rsidRDefault="00BC39E3">
            <w:pPr>
              <w:widowControl w:val="0"/>
              <w:suppressAutoHyphens/>
              <w:spacing w:after="120" w:line="276" w:lineRule="auto"/>
              <w:jc w:val="center"/>
              <w:rPr>
                <w:rFonts w:ascii="Times New Roman" w:hAnsi="Times New Roman"/>
                <w:sz w:val="18"/>
                <w:szCs w:val="18"/>
              </w:rPr>
            </w:pPr>
            <w:r>
              <w:rPr>
                <w:rFonts w:ascii="Times New Roman" w:hAnsi="Times New Roman"/>
                <w:sz w:val="18"/>
                <w:szCs w:val="18"/>
              </w:rPr>
              <w:t>111368</w:t>
            </w:r>
          </w:p>
        </w:tc>
        <w:tc>
          <w:tcPr>
            <w:tcW w:w="992" w:type="dxa"/>
            <w:tcBorders>
              <w:left w:val="single" w:sz="4" w:space="0" w:color="000000"/>
              <w:bottom w:val="single" w:sz="4" w:space="0" w:color="000000"/>
              <w:right w:val="single" w:sz="4" w:space="0" w:color="000000"/>
            </w:tcBorders>
            <w:shd w:val="clear" w:color="auto" w:fill="auto"/>
            <w:vAlign w:val="center"/>
          </w:tcPr>
          <w:p w:rsidR="005D3116" w:rsidRDefault="00BC39E3">
            <w:pPr>
              <w:widowControl w:val="0"/>
              <w:suppressAutoHyphens/>
              <w:spacing w:after="120" w:line="276" w:lineRule="auto"/>
              <w:jc w:val="center"/>
              <w:rPr>
                <w:rFonts w:ascii="Times New Roman" w:hAnsi="Times New Roman"/>
                <w:sz w:val="18"/>
                <w:szCs w:val="18"/>
              </w:rPr>
            </w:pPr>
            <w:proofErr w:type="spellStart"/>
            <w:r>
              <w:rPr>
                <w:rFonts w:ascii="Times New Roman" w:hAnsi="Times New Roman" w:cs="Arial"/>
                <w:color w:val="000000"/>
                <w:sz w:val="18"/>
                <w:szCs w:val="18"/>
              </w:rPr>
              <w:t>Und</w:t>
            </w:r>
            <w:proofErr w:type="spellEnd"/>
          </w:p>
        </w:tc>
        <w:tc>
          <w:tcPr>
            <w:tcW w:w="818" w:type="dxa"/>
            <w:tcBorders>
              <w:left w:val="single" w:sz="4" w:space="0" w:color="000000"/>
              <w:bottom w:val="single" w:sz="4" w:space="0" w:color="000000"/>
              <w:right w:val="single" w:sz="4" w:space="0" w:color="000000"/>
            </w:tcBorders>
            <w:shd w:val="clear" w:color="auto" w:fill="auto"/>
            <w:vAlign w:val="center"/>
          </w:tcPr>
          <w:p w:rsidR="005D3116" w:rsidRDefault="00BC39E3">
            <w:pPr>
              <w:pStyle w:val="Corpodetexto"/>
              <w:spacing w:after="0"/>
              <w:jc w:val="center"/>
              <w:rPr>
                <w:rFonts w:ascii="Times New Roman" w:hAnsi="Times New Roman"/>
                <w:sz w:val="18"/>
                <w:szCs w:val="18"/>
              </w:rPr>
            </w:pPr>
            <w:r>
              <w:rPr>
                <w:rFonts w:ascii="Times New Roman" w:hAnsi="Times New Roman"/>
                <w:sz w:val="18"/>
                <w:szCs w:val="18"/>
              </w:rPr>
              <w:t>8</w:t>
            </w:r>
          </w:p>
        </w:tc>
        <w:tc>
          <w:tcPr>
            <w:tcW w:w="1134" w:type="dxa"/>
            <w:tcBorders>
              <w:left w:val="single" w:sz="4" w:space="0" w:color="000000"/>
              <w:bottom w:val="single" w:sz="4" w:space="0" w:color="000000"/>
              <w:right w:val="single" w:sz="4" w:space="0" w:color="000000"/>
            </w:tcBorders>
            <w:shd w:val="clear" w:color="auto" w:fill="auto"/>
            <w:vAlign w:val="center"/>
          </w:tcPr>
          <w:p w:rsidR="005D3116" w:rsidRDefault="00BC39E3">
            <w:pPr>
              <w:pStyle w:val="Contedodatabela"/>
              <w:jc w:val="center"/>
              <w:rPr>
                <w:rFonts w:ascii="Times New Roman" w:hAnsi="Times New Roman"/>
                <w:sz w:val="18"/>
                <w:szCs w:val="18"/>
              </w:rPr>
            </w:pPr>
            <w:r>
              <w:rPr>
                <w:rFonts w:ascii="Times New Roman" w:hAnsi="Times New Roman"/>
                <w:sz w:val="18"/>
                <w:szCs w:val="18"/>
              </w:rPr>
              <w:t>R$ 412,99</w:t>
            </w:r>
          </w:p>
        </w:tc>
        <w:tc>
          <w:tcPr>
            <w:tcW w:w="1418" w:type="dxa"/>
            <w:tcBorders>
              <w:left w:val="single" w:sz="4" w:space="0" w:color="000000"/>
              <w:bottom w:val="single" w:sz="4" w:space="0" w:color="000000"/>
              <w:right w:val="single" w:sz="4" w:space="0" w:color="000000"/>
            </w:tcBorders>
            <w:shd w:val="clear" w:color="auto" w:fill="auto"/>
            <w:vAlign w:val="center"/>
          </w:tcPr>
          <w:p w:rsidR="005D3116" w:rsidRDefault="00BC39E3">
            <w:pPr>
              <w:widowControl w:val="0"/>
              <w:suppressAutoHyphens/>
              <w:spacing w:after="120" w:line="276" w:lineRule="auto"/>
              <w:jc w:val="center"/>
              <w:rPr>
                <w:rFonts w:ascii="Times New Roman" w:hAnsi="Times New Roman"/>
                <w:sz w:val="18"/>
                <w:szCs w:val="18"/>
              </w:rPr>
            </w:pPr>
            <w:proofErr w:type="spellStart"/>
            <w:r>
              <w:rPr>
                <w:rFonts w:ascii="Times New Roman" w:hAnsi="Times New Roman"/>
                <w:b/>
                <w:sz w:val="18"/>
                <w:szCs w:val="18"/>
                <w:highlight w:val="yellow"/>
              </w:rPr>
              <w:t>Cmdo</w:t>
            </w:r>
            <w:proofErr w:type="spellEnd"/>
            <w:r>
              <w:rPr>
                <w:rFonts w:ascii="Times New Roman" w:hAnsi="Times New Roman"/>
                <w:b/>
                <w:sz w:val="18"/>
                <w:szCs w:val="18"/>
                <w:highlight w:val="yellow"/>
              </w:rPr>
              <w:t xml:space="preserve"> 22 </w:t>
            </w:r>
            <w:proofErr w:type="spellStart"/>
            <w:r>
              <w:rPr>
                <w:rFonts w:ascii="Times New Roman" w:hAnsi="Times New Roman"/>
                <w:b/>
                <w:sz w:val="18"/>
                <w:szCs w:val="18"/>
                <w:highlight w:val="yellow"/>
              </w:rPr>
              <w:t>Bda</w:t>
            </w:r>
            <w:proofErr w:type="spellEnd"/>
            <w:r>
              <w:rPr>
                <w:rFonts w:ascii="Times New Roman" w:hAnsi="Times New Roman"/>
                <w:b/>
                <w:sz w:val="18"/>
                <w:szCs w:val="18"/>
                <w:highlight w:val="yellow"/>
              </w:rPr>
              <w:t xml:space="preserve"> </w:t>
            </w:r>
            <w:proofErr w:type="spellStart"/>
            <w:r>
              <w:rPr>
                <w:rFonts w:ascii="Times New Roman" w:hAnsi="Times New Roman"/>
                <w:b/>
                <w:sz w:val="18"/>
                <w:szCs w:val="18"/>
                <w:highlight w:val="yellow"/>
              </w:rPr>
              <w:t>inf</w:t>
            </w:r>
            <w:proofErr w:type="spellEnd"/>
            <w:r>
              <w:rPr>
                <w:rFonts w:ascii="Times New Roman" w:hAnsi="Times New Roman"/>
                <w:b/>
                <w:sz w:val="18"/>
                <w:szCs w:val="18"/>
                <w:highlight w:val="yellow"/>
              </w:rPr>
              <w:t xml:space="preserve"> </w:t>
            </w:r>
            <w:proofErr w:type="spellStart"/>
            <w:r>
              <w:rPr>
                <w:rFonts w:ascii="Times New Roman" w:hAnsi="Times New Roman"/>
                <w:b/>
                <w:sz w:val="18"/>
                <w:szCs w:val="18"/>
                <w:highlight w:val="yellow"/>
              </w:rPr>
              <w:t>sl</w:t>
            </w:r>
            <w:proofErr w:type="spellEnd"/>
          </w:p>
        </w:tc>
        <w:tc>
          <w:tcPr>
            <w:tcW w:w="1700" w:type="dxa"/>
            <w:tcBorders>
              <w:left w:val="single" w:sz="4" w:space="0" w:color="000000"/>
              <w:bottom w:val="single" w:sz="4" w:space="0" w:color="000000"/>
              <w:right w:val="single" w:sz="4" w:space="0" w:color="000000"/>
            </w:tcBorders>
            <w:shd w:val="clear" w:color="auto" w:fill="auto"/>
            <w:vAlign w:val="center"/>
          </w:tcPr>
          <w:p w:rsidR="005D3116" w:rsidRDefault="00BC39E3">
            <w:pPr>
              <w:widowControl w:val="0"/>
              <w:suppressAutoHyphens/>
              <w:spacing w:after="120" w:line="276" w:lineRule="auto"/>
              <w:jc w:val="center"/>
              <w:rPr>
                <w:rFonts w:ascii="Times New Roman" w:hAnsi="Times New Roman"/>
                <w:sz w:val="18"/>
                <w:szCs w:val="18"/>
              </w:rPr>
            </w:pPr>
            <w:r>
              <w:rPr>
                <w:rFonts w:ascii="Times New Roman" w:hAnsi="Times New Roman" w:cs="Arial"/>
                <w:b/>
                <w:sz w:val="18"/>
                <w:szCs w:val="18"/>
                <w:highlight w:val="yellow"/>
              </w:rPr>
              <w:t>5 dias APÓS A EMISSÃO DA NOTA DE EMPENHO</w:t>
            </w:r>
          </w:p>
        </w:tc>
      </w:tr>
      <w:tr w:rsidR="005D3116">
        <w:trPr>
          <w:trHeight w:val="1125"/>
          <w:jc w:val="center"/>
        </w:trPr>
        <w:tc>
          <w:tcPr>
            <w:tcW w:w="628" w:type="dxa"/>
            <w:tcBorders>
              <w:left w:val="single" w:sz="4" w:space="0" w:color="000000"/>
              <w:bottom w:val="single" w:sz="4" w:space="0" w:color="000000"/>
              <w:right w:val="single" w:sz="4" w:space="0" w:color="000000"/>
            </w:tcBorders>
            <w:shd w:val="clear" w:color="auto" w:fill="auto"/>
            <w:vAlign w:val="center"/>
          </w:tcPr>
          <w:p w:rsidR="005D3116" w:rsidRDefault="00BC39E3">
            <w:pPr>
              <w:pStyle w:val="Contedodatabela"/>
              <w:jc w:val="center"/>
              <w:rPr>
                <w:rFonts w:ascii="Times New Roman" w:hAnsi="Times New Roman"/>
                <w:sz w:val="18"/>
                <w:szCs w:val="18"/>
              </w:rPr>
            </w:pPr>
            <w:r>
              <w:rPr>
                <w:rFonts w:ascii="Times New Roman" w:hAnsi="Times New Roman"/>
                <w:sz w:val="18"/>
                <w:szCs w:val="18"/>
              </w:rPr>
              <w:t>3</w:t>
            </w:r>
          </w:p>
        </w:tc>
        <w:tc>
          <w:tcPr>
            <w:tcW w:w="2660" w:type="dxa"/>
            <w:tcBorders>
              <w:left w:val="single" w:sz="4" w:space="0" w:color="000000"/>
              <w:bottom w:val="single" w:sz="4" w:space="0" w:color="000000"/>
              <w:right w:val="single" w:sz="4" w:space="0" w:color="000000"/>
            </w:tcBorders>
            <w:shd w:val="clear" w:color="auto" w:fill="auto"/>
            <w:vAlign w:val="center"/>
          </w:tcPr>
          <w:p w:rsidR="005D3116" w:rsidRDefault="00BC39E3">
            <w:pPr>
              <w:pStyle w:val="Contedodatabela"/>
              <w:jc w:val="center"/>
              <w:rPr>
                <w:rFonts w:ascii="Times New Roman" w:hAnsi="Times New Roman"/>
                <w:sz w:val="18"/>
                <w:szCs w:val="18"/>
              </w:rPr>
            </w:pPr>
            <w:r>
              <w:rPr>
                <w:rFonts w:ascii="Times New Roman" w:hAnsi="Times New Roman"/>
                <w:sz w:val="18"/>
                <w:szCs w:val="18"/>
              </w:rPr>
              <w:t xml:space="preserve">Tinta para piso, </w:t>
            </w:r>
            <w:r>
              <w:rPr>
                <w:rFonts w:ascii="Times New Roman" w:hAnsi="Times New Roman"/>
                <w:sz w:val="18"/>
                <w:szCs w:val="18"/>
              </w:rPr>
              <w:t>cor cinza escuro</w:t>
            </w:r>
          </w:p>
        </w:tc>
        <w:tc>
          <w:tcPr>
            <w:tcW w:w="916" w:type="dxa"/>
            <w:tcBorders>
              <w:left w:val="single" w:sz="4" w:space="0" w:color="000000"/>
              <w:bottom w:val="single" w:sz="4" w:space="0" w:color="000000"/>
              <w:right w:val="single" w:sz="4" w:space="0" w:color="000000"/>
            </w:tcBorders>
            <w:shd w:val="clear" w:color="auto" w:fill="auto"/>
            <w:vAlign w:val="center"/>
          </w:tcPr>
          <w:p w:rsidR="005D3116" w:rsidRDefault="00BC39E3">
            <w:pPr>
              <w:widowControl w:val="0"/>
              <w:suppressAutoHyphens/>
              <w:spacing w:after="120" w:line="276" w:lineRule="auto"/>
              <w:jc w:val="center"/>
              <w:rPr>
                <w:rFonts w:ascii="Times New Roman" w:hAnsi="Times New Roman"/>
                <w:sz w:val="18"/>
                <w:szCs w:val="18"/>
              </w:rPr>
            </w:pPr>
            <w:r>
              <w:rPr>
                <w:rFonts w:ascii="Times New Roman" w:hAnsi="Times New Roman"/>
                <w:sz w:val="18"/>
                <w:szCs w:val="18"/>
              </w:rPr>
              <w:t>111368</w:t>
            </w:r>
          </w:p>
        </w:tc>
        <w:tc>
          <w:tcPr>
            <w:tcW w:w="992" w:type="dxa"/>
            <w:tcBorders>
              <w:left w:val="single" w:sz="4" w:space="0" w:color="000000"/>
              <w:bottom w:val="single" w:sz="4" w:space="0" w:color="000000"/>
              <w:right w:val="single" w:sz="4" w:space="0" w:color="000000"/>
            </w:tcBorders>
            <w:shd w:val="clear" w:color="auto" w:fill="auto"/>
            <w:vAlign w:val="center"/>
          </w:tcPr>
          <w:p w:rsidR="005D3116" w:rsidRDefault="00BC39E3">
            <w:pPr>
              <w:widowControl w:val="0"/>
              <w:suppressAutoHyphens/>
              <w:spacing w:after="120" w:line="276" w:lineRule="auto"/>
              <w:jc w:val="center"/>
              <w:rPr>
                <w:rFonts w:ascii="Times New Roman" w:hAnsi="Times New Roman"/>
                <w:sz w:val="18"/>
                <w:szCs w:val="18"/>
              </w:rPr>
            </w:pPr>
            <w:proofErr w:type="spellStart"/>
            <w:r>
              <w:rPr>
                <w:rFonts w:ascii="Times New Roman" w:hAnsi="Times New Roman" w:cs="Arial"/>
                <w:color w:val="000000"/>
                <w:sz w:val="18"/>
                <w:szCs w:val="18"/>
              </w:rPr>
              <w:t>Und</w:t>
            </w:r>
            <w:proofErr w:type="spellEnd"/>
          </w:p>
        </w:tc>
        <w:tc>
          <w:tcPr>
            <w:tcW w:w="818" w:type="dxa"/>
            <w:tcBorders>
              <w:left w:val="single" w:sz="4" w:space="0" w:color="000000"/>
              <w:bottom w:val="single" w:sz="4" w:space="0" w:color="000000"/>
              <w:right w:val="single" w:sz="4" w:space="0" w:color="000000"/>
            </w:tcBorders>
            <w:shd w:val="clear" w:color="auto" w:fill="auto"/>
            <w:vAlign w:val="center"/>
          </w:tcPr>
          <w:p w:rsidR="005D3116" w:rsidRDefault="00BC39E3">
            <w:pPr>
              <w:pStyle w:val="Corpodetexto"/>
              <w:spacing w:after="0"/>
              <w:jc w:val="center"/>
              <w:rPr>
                <w:rFonts w:ascii="Times New Roman" w:hAnsi="Times New Roman"/>
                <w:sz w:val="18"/>
                <w:szCs w:val="18"/>
              </w:rPr>
            </w:pPr>
            <w:r>
              <w:rPr>
                <w:rFonts w:ascii="Times New Roman" w:hAnsi="Times New Roman"/>
                <w:sz w:val="18"/>
                <w:szCs w:val="18"/>
              </w:rPr>
              <w:t>10</w:t>
            </w:r>
          </w:p>
        </w:tc>
        <w:tc>
          <w:tcPr>
            <w:tcW w:w="1134" w:type="dxa"/>
            <w:tcBorders>
              <w:left w:val="single" w:sz="4" w:space="0" w:color="000000"/>
              <w:bottom w:val="single" w:sz="4" w:space="0" w:color="000000"/>
              <w:right w:val="single" w:sz="4" w:space="0" w:color="000000"/>
            </w:tcBorders>
            <w:shd w:val="clear" w:color="auto" w:fill="auto"/>
            <w:vAlign w:val="center"/>
          </w:tcPr>
          <w:p w:rsidR="005D3116" w:rsidRDefault="00BC39E3">
            <w:pPr>
              <w:pStyle w:val="Contedodatabela"/>
              <w:jc w:val="center"/>
              <w:rPr>
                <w:rFonts w:ascii="Times New Roman" w:hAnsi="Times New Roman"/>
                <w:sz w:val="18"/>
                <w:szCs w:val="18"/>
              </w:rPr>
            </w:pPr>
            <w:r>
              <w:rPr>
                <w:rFonts w:ascii="Times New Roman" w:hAnsi="Times New Roman"/>
                <w:sz w:val="18"/>
                <w:szCs w:val="18"/>
              </w:rPr>
              <w:t>R$ 286,98</w:t>
            </w:r>
          </w:p>
        </w:tc>
        <w:tc>
          <w:tcPr>
            <w:tcW w:w="1418" w:type="dxa"/>
            <w:tcBorders>
              <w:left w:val="single" w:sz="4" w:space="0" w:color="000000"/>
              <w:bottom w:val="single" w:sz="4" w:space="0" w:color="000000"/>
              <w:right w:val="single" w:sz="4" w:space="0" w:color="000000"/>
            </w:tcBorders>
            <w:shd w:val="clear" w:color="auto" w:fill="auto"/>
            <w:vAlign w:val="center"/>
          </w:tcPr>
          <w:p w:rsidR="005D3116" w:rsidRDefault="00BC39E3">
            <w:pPr>
              <w:widowControl w:val="0"/>
              <w:suppressAutoHyphens/>
              <w:spacing w:after="120" w:line="276" w:lineRule="auto"/>
              <w:jc w:val="center"/>
              <w:rPr>
                <w:rFonts w:ascii="Times New Roman" w:hAnsi="Times New Roman"/>
                <w:sz w:val="18"/>
                <w:szCs w:val="18"/>
              </w:rPr>
            </w:pPr>
            <w:proofErr w:type="spellStart"/>
            <w:r>
              <w:rPr>
                <w:rFonts w:ascii="Times New Roman" w:hAnsi="Times New Roman"/>
                <w:b/>
                <w:sz w:val="18"/>
                <w:szCs w:val="18"/>
                <w:highlight w:val="yellow"/>
              </w:rPr>
              <w:t>Cmdo</w:t>
            </w:r>
            <w:proofErr w:type="spellEnd"/>
            <w:r>
              <w:rPr>
                <w:rFonts w:ascii="Times New Roman" w:hAnsi="Times New Roman"/>
                <w:b/>
                <w:sz w:val="18"/>
                <w:szCs w:val="18"/>
                <w:highlight w:val="yellow"/>
              </w:rPr>
              <w:t xml:space="preserve"> 22 </w:t>
            </w:r>
            <w:proofErr w:type="spellStart"/>
            <w:r>
              <w:rPr>
                <w:rFonts w:ascii="Times New Roman" w:hAnsi="Times New Roman"/>
                <w:b/>
                <w:sz w:val="18"/>
                <w:szCs w:val="18"/>
                <w:highlight w:val="yellow"/>
              </w:rPr>
              <w:t>Bda</w:t>
            </w:r>
            <w:proofErr w:type="spellEnd"/>
            <w:r>
              <w:rPr>
                <w:rFonts w:ascii="Times New Roman" w:hAnsi="Times New Roman"/>
                <w:b/>
                <w:sz w:val="18"/>
                <w:szCs w:val="18"/>
                <w:highlight w:val="yellow"/>
              </w:rPr>
              <w:t xml:space="preserve"> </w:t>
            </w:r>
            <w:proofErr w:type="spellStart"/>
            <w:r>
              <w:rPr>
                <w:rFonts w:ascii="Times New Roman" w:hAnsi="Times New Roman"/>
                <w:b/>
                <w:sz w:val="18"/>
                <w:szCs w:val="18"/>
                <w:highlight w:val="yellow"/>
              </w:rPr>
              <w:t>inf</w:t>
            </w:r>
            <w:proofErr w:type="spellEnd"/>
            <w:r>
              <w:rPr>
                <w:rFonts w:ascii="Times New Roman" w:hAnsi="Times New Roman"/>
                <w:b/>
                <w:sz w:val="18"/>
                <w:szCs w:val="18"/>
                <w:highlight w:val="yellow"/>
              </w:rPr>
              <w:t xml:space="preserve"> </w:t>
            </w:r>
            <w:proofErr w:type="spellStart"/>
            <w:r>
              <w:rPr>
                <w:rFonts w:ascii="Times New Roman" w:hAnsi="Times New Roman"/>
                <w:b/>
                <w:sz w:val="18"/>
                <w:szCs w:val="18"/>
                <w:highlight w:val="yellow"/>
              </w:rPr>
              <w:t>sl</w:t>
            </w:r>
            <w:proofErr w:type="spellEnd"/>
          </w:p>
        </w:tc>
        <w:tc>
          <w:tcPr>
            <w:tcW w:w="1700" w:type="dxa"/>
            <w:tcBorders>
              <w:left w:val="single" w:sz="4" w:space="0" w:color="000000"/>
              <w:bottom w:val="single" w:sz="4" w:space="0" w:color="000000"/>
              <w:right w:val="single" w:sz="4" w:space="0" w:color="000000"/>
            </w:tcBorders>
            <w:shd w:val="clear" w:color="auto" w:fill="auto"/>
            <w:vAlign w:val="center"/>
          </w:tcPr>
          <w:p w:rsidR="005D3116" w:rsidRDefault="00BC39E3">
            <w:pPr>
              <w:widowControl w:val="0"/>
              <w:suppressAutoHyphens/>
              <w:spacing w:after="120" w:line="276" w:lineRule="auto"/>
              <w:jc w:val="center"/>
              <w:rPr>
                <w:rFonts w:ascii="Times New Roman" w:hAnsi="Times New Roman"/>
                <w:sz w:val="18"/>
                <w:szCs w:val="18"/>
              </w:rPr>
            </w:pPr>
            <w:r>
              <w:rPr>
                <w:rFonts w:ascii="Times New Roman" w:hAnsi="Times New Roman" w:cs="Arial"/>
                <w:b/>
                <w:sz w:val="18"/>
                <w:szCs w:val="18"/>
                <w:highlight w:val="yellow"/>
              </w:rPr>
              <w:t>5 dias APÓS A EMISSÃO DA NOTA DE EMPENHO</w:t>
            </w:r>
          </w:p>
        </w:tc>
      </w:tr>
    </w:tbl>
    <w:p w:rsidR="005D3116" w:rsidRDefault="00BC39E3">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 xml:space="preserve">Havendo mais de um item ou lote faculta-se ao fornecedor a participação em quantos forem de seu interesse. Entretanto, optando-se por participar de um </w:t>
      </w:r>
      <w:r>
        <w:rPr>
          <w:rFonts w:ascii="Arial" w:hAnsi="Arial" w:cs="Arial"/>
          <w:szCs w:val="20"/>
        </w:rPr>
        <w:t>lote, deve o fornecedor enviar proposta para todos os itens que o compõem.</w:t>
      </w:r>
    </w:p>
    <w:p w:rsidR="005D3116" w:rsidRDefault="00BC39E3">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menor preço,</w:t>
      </w:r>
      <w:r>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rsidR="005D3116" w:rsidRDefault="00BC39E3">
      <w:pPr>
        <w:pStyle w:val="PADRO"/>
        <w:keepNext w:val="0"/>
        <w:widowControl/>
        <w:numPr>
          <w:ilvl w:val="0"/>
          <w:numId w:val="1"/>
        </w:numPr>
        <w:shd w:val="clear" w:color="auto" w:fill="auto"/>
        <w:spacing w:before="120" w:after="120"/>
        <w:rPr>
          <w:rFonts w:ascii="Arial" w:hAnsi="Arial" w:cs="Arial"/>
          <w:b/>
        </w:rPr>
      </w:pPr>
      <w:r>
        <w:rPr>
          <w:rFonts w:ascii="Arial" w:hAnsi="Arial" w:cs="Arial"/>
          <w:b/>
        </w:rPr>
        <w:t>PARTICIPAÇÃO NA DISP</w:t>
      </w:r>
      <w:bookmarkStart w:id="1" w:name="_GoBack"/>
      <w:bookmarkEnd w:id="1"/>
      <w:r>
        <w:rPr>
          <w:rFonts w:ascii="Arial" w:hAnsi="Arial" w:cs="Arial"/>
          <w:b/>
        </w:rPr>
        <w:t>ENSA ELETRÔNICA.</w:t>
      </w:r>
    </w:p>
    <w:p w:rsidR="005D3116" w:rsidRDefault="00BC39E3">
      <w:pPr>
        <w:numPr>
          <w:ilvl w:val="1"/>
          <w:numId w:val="1"/>
        </w:numPr>
        <w:snapToGrid w:val="0"/>
        <w:spacing w:before="240" w:after="120" w:line="276" w:lineRule="auto"/>
        <w:ind w:left="425" w:firstLine="0"/>
        <w:jc w:val="both"/>
      </w:pPr>
      <w:r>
        <w:rPr>
          <w:rFonts w:cs="Arial"/>
          <w:szCs w:val="20"/>
        </w:rPr>
        <w:lastRenderedPageBreak/>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w:t>
      </w:r>
      <w:proofErr w:type="spellStart"/>
      <w:r>
        <w:rPr>
          <w:rFonts w:cs="Arial"/>
          <w:szCs w:val="20"/>
        </w:rPr>
        <w:t>Comprasnet</w:t>
      </w:r>
      <w:proofErr w:type="spellEnd"/>
      <w:r>
        <w:rPr>
          <w:rFonts w:cs="Arial"/>
          <w:szCs w:val="20"/>
        </w:rPr>
        <w:t xml:space="preserve"> 4.0, disponível no </w:t>
      </w:r>
      <w:r>
        <w:rPr>
          <w:rFonts w:cs="Arial"/>
          <w:bCs/>
          <w:szCs w:val="20"/>
        </w:rPr>
        <w:t>endereço eletrônico (</w:t>
      </w:r>
      <w:hyperlink r:id="rId11">
        <w:r>
          <w:rPr>
            <w:rStyle w:val="ListLabel2"/>
            <w:rFonts w:cs="Arial"/>
            <w:color w:val="000000" w:themeColor="text1"/>
            <w:sz w:val="20"/>
            <w:szCs w:val="20"/>
            <w:u w:val="single"/>
          </w:rPr>
          <w:t>www.comprasgovernamentais.gov.br</w:t>
        </w:r>
      </w:hyperlink>
      <w:r>
        <w:rPr>
          <w:rFonts w:cs="Arial"/>
          <w:i/>
          <w:szCs w:val="20"/>
        </w:rPr>
        <w:t>.)</w:t>
      </w:r>
    </w:p>
    <w:p w:rsidR="005D3116" w:rsidRDefault="00BC39E3">
      <w:pPr>
        <w:numPr>
          <w:ilvl w:val="2"/>
          <w:numId w:val="1"/>
        </w:numPr>
        <w:snapToGrid w:val="0"/>
        <w:spacing w:before="120" w:after="120" w:line="276" w:lineRule="auto"/>
        <w:jc w:val="both"/>
        <w:rPr>
          <w:rFonts w:cs="Arial"/>
          <w:szCs w:val="20"/>
        </w:rPr>
      </w:pPr>
      <w:r>
        <w:rPr>
          <w:rFonts w:cs="Arial"/>
          <w:szCs w:val="20"/>
        </w:rPr>
        <w:t>Os fornecedores deverão atender aos procedimentos previstos no Manual do Sistema de Dispensa Eletrônica, disponível no Portal de Compras do Governo Federal, para a</w:t>
      </w:r>
      <w:r>
        <w:rPr>
          <w:rFonts w:cs="Arial"/>
          <w:szCs w:val="20"/>
        </w:rPr>
        <w:t>cesso ao sistema e operacionalização.</w:t>
      </w:r>
    </w:p>
    <w:p w:rsidR="005D3116" w:rsidRDefault="00BC39E3">
      <w:pPr>
        <w:numPr>
          <w:ilvl w:val="2"/>
          <w:numId w:val="1"/>
        </w:numPr>
        <w:snapToGrid w:val="0"/>
        <w:spacing w:before="120" w:after="120" w:line="276" w:lineRule="auto"/>
        <w:jc w:val="both"/>
        <w:rPr>
          <w:rFonts w:cs="Arial"/>
          <w:szCs w:val="20"/>
        </w:rPr>
      </w:pPr>
      <w:r>
        <w:rPr>
          <w:rFonts w:cs="Arial"/>
          <w:szCs w:val="20"/>
        </w:rPr>
        <w:t xml:space="preserve">O fornecedor é o responsável por qualquer transação efetuada diretamente ou por seu representante no Sistema de Dispensa Eletrônica, não cabendo ao provedor do Sistema ou ao órgão / entidade promotor do procedimento a </w:t>
      </w:r>
      <w:r>
        <w:rPr>
          <w:rFonts w:cs="Arial"/>
          <w:szCs w:val="20"/>
        </w:rPr>
        <w:t>responsabilidade por eventuais danos decorrentes de uso indevido da senha, ainda que por terceiros não autorizados.</w:t>
      </w:r>
    </w:p>
    <w:p w:rsidR="005D3116" w:rsidRDefault="00BC39E3">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os fornecedores:</w:t>
      </w:r>
    </w:p>
    <w:p w:rsidR="005D3116" w:rsidRDefault="00BC39E3">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rsidR="005D3116" w:rsidRDefault="00BC39E3">
      <w:pPr>
        <w:numPr>
          <w:ilvl w:val="2"/>
          <w:numId w:val="1"/>
        </w:numPr>
        <w:spacing w:before="120" w:after="120" w:line="276" w:lineRule="auto"/>
        <w:jc w:val="both"/>
        <w:rPr>
          <w:rFonts w:cs="Arial"/>
          <w:color w:val="000000" w:themeColor="text1"/>
          <w:szCs w:val="20"/>
        </w:rPr>
      </w:pPr>
      <w:r>
        <w:rPr>
          <w:rFonts w:cs="Arial"/>
          <w:color w:val="000000" w:themeColor="text1"/>
          <w:szCs w:val="20"/>
        </w:rPr>
        <w:t>est</w:t>
      </w:r>
      <w:r>
        <w:rPr>
          <w:rFonts w:cs="Arial"/>
          <w:color w:val="000000" w:themeColor="text1"/>
          <w:szCs w:val="20"/>
        </w:rPr>
        <w:t>rangeiros que não tenham representação legal no Brasil com poderes expressos para receber citação e responder administrativa ou judicialmente;</w:t>
      </w:r>
    </w:p>
    <w:p w:rsidR="005D3116" w:rsidRDefault="00BC39E3">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rsidR="005D3116" w:rsidRDefault="00BC39E3">
      <w:pPr>
        <w:numPr>
          <w:ilvl w:val="3"/>
          <w:numId w:val="2"/>
        </w:numPr>
        <w:spacing w:before="120" w:after="120" w:line="276" w:lineRule="auto"/>
        <w:jc w:val="both"/>
        <w:rPr>
          <w:rFonts w:cs="Arial"/>
          <w:color w:val="000000" w:themeColor="text1"/>
          <w:szCs w:val="20"/>
        </w:rPr>
      </w:pPr>
      <w:r>
        <w:rPr>
          <w:rFonts w:cs="Arial"/>
          <w:color w:val="000000"/>
          <w:szCs w:val="20"/>
        </w:rPr>
        <w:t xml:space="preserve">autor do anteprojeto, do projeto básico ou do projeto executivo, pessoa </w:t>
      </w:r>
      <w:r>
        <w:rPr>
          <w:rFonts w:cs="Arial"/>
          <w:color w:val="000000"/>
          <w:szCs w:val="20"/>
        </w:rPr>
        <w:t>física ou jurídica, quando a contratação versar sobre obra, serviços ou fornecimento de bens a ele relacionados;</w:t>
      </w:r>
    </w:p>
    <w:p w:rsidR="005D3116" w:rsidRDefault="00BC39E3">
      <w:pPr>
        <w:numPr>
          <w:ilvl w:val="3"/>
          <w:numId w:val="2"/>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w:t>
      </w:r>
      <w:r>
        <w:rPr>
          <w:rFonts w:cs="Arial"/>
          <w:color w:val="000000"/>
          <w:szCs w:val="20"/>
        </w:rPr>
        <w:t>jeto seja dirigente, gerente, controlador, acionista ou detentor de mais de 5% (cinco por cento) do capital com direito a voto, responsável técnico ou subcontratado, quando a contratação versar sobre obra, serviços ou fornecimento de bens a ela necessários</w:t>
      </w:r>
      <w:r>
        <w:rPr>
          <w:rFonts w:cs="Arial"/>
          <w:color w:val="000000"/>
          <w:szCs w:val="20"/>
        </w:rPr>
        <w:t>;</w:t>
      </w:r>
    </w:p>
    <w:p w:rsidR="005D3116" w:rsidRDefault="00BC39E3">
      <w:pPr>
        <w:numPr>
          <w:ilvl w:val="3"/>
          <w:numId w:val="2"/>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rsidR="005D3116" w:rsidRDefault="00BC39E3">
      <w:pPr>
        <w:numPr>
          <w:ilvl w:val="3"/>
          <w:numId w:val="2"/>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w:t>
      </w:r>
      <w:r>
        <w:rPr>
          <w:rFonts w:cs="Arial"/>
          <w:color w:val="000000"/>
          <w:szCs w:val="20"/>
        </w:rPr>
        <w:t>igente do órgão ou entidade contratante ou com agente público que desempenhe função na licitação ou atue na fiscalização ou na gestão do contrato, ou que deles seja cônjuge, companheiro ou parente em linha reta, colateral ou por afinidade, até o terceiro g</w:t>
      </w:r>
      <w:r>
        <w:rPr>
          <w:rFonts w:cs="Arial"/>
          <w:color w:val="000000"/>
          <w:szCs w:val="20"/>
        </w:rPr>
        <w:t>rau;</w:t>
      </w:r>
    </w:p>
    <w:p w:rsidR="005D3116" w:rsidRDefault="00BC39E3">
      <w:pPr>
        <w:numPr>
          <w:ilvl w:val="3"/>
          <w:numId w:val="2"/>
        </w:numPr>
        <w:spacing w:before="120" w:after="120" w:line="276" w:lineRule="auto"/>
        <w:jc w:val="both"/>
      </w:pPr>
      <w:r>
        <w:rPr>
          <w:rFonts w:cs="Arial"/>
          <w:color w:val="000000"/>
          <w:szCs w:val="20"/>
        </w:rPr>
        <w:t>empresas controladoras, controladas ou coligadas, nos termos da </w:t>
      </w:r>
      <w:hyperlink r:id="rId12">
        <w:r>
          <w:rPr>
            <w:rStyle w:val="LinkdaInternet"/>
            <w:rFonts w:eastAsia="Calibri" w:cs="Arial"/>
            <w:szCs w:val="20"/>
          </w:rPr>
          <w:t>Lei nº 6.404, de 15 de dezembro de 1976</w:t>
        </w:r>
      </w:hyperlink>
      <w:r>
        <w:rPr>
          <w:rFonts w:cs="Arial"/>
          <w:color w:val="000000"/>
          <w:szCs w:val="20"/>
        </w:rPr>
        <w:t>, concorrendo entre si;</w:t>
      </w:r>
    </w:p>
    <w:p w:rsidR="005D3116" w:rsidRDefault="00BC39E3">
      <w:pPr>
        <w:numPr>
          <w:ilvl w:val="3"/>
          <w:numId w:val="2"/>
        </w:numPr>
        <w:spacing w:before="120" w:after="120" w:line="276" w:lineRule="auto"/>
        <w:jc w:val="both"/>
        <w:rPr>
          <w:rFonts w:cs="Arial"/>
          <w:color w:val="000000" w:themeColor="text1"/>
          <w:szCs w:val="20"/>
        </w:rPr>
      </w:pPr>
      <w:r>
        <w:rPr>
          <w:rFonts w:cs="Arial"/>
          <w:color w:val="000000"/>
          <w:szCs w:val="20"/>
        </w:rPr>
        <w:t>pessoa física ou jurídica que, nos 5 (cinco) an</w:t>
      </w:r>
      <w:r>
        <w:rPr>
          <w:rFonts w:cs="Arial"/>
          <w:color w:val="000000"/>
          <w:szCs w:val="20"/>
        </w:rPr>
        <w:t>os anteriores à divulgação do aviso, tenha sido condenada judicialmente, com trânsito em julgado, por exploração de trabalho infantil, por submissão de trabalhadores a condições análogas às de escravo ou por contratação de adolescentes nos casos vedados pe</w:t>
      </w:r>
      <w:r>
        <w:rPr>
          <w:rFonts w:cs="Arial"/>
          <w:color w:val="000000"/>
          <w:szCs w:val="20"/>
        </w:rPr>
        <w:t>la legislação trabalhista</w:t>
      </w:r>
    </w:p>
    <w:p w:rsidR="005D3116" w:rsidRDefault="00BC39E3">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rsidR="005D3116" w:rsidRDefault="00BC39E3">
      <w:pPr>
        <w:numPr>
          <w:ilvl w:val="3"/>
          <w:numId w:val="1"/>
        </w:numPr>
        <w:spacing w:before="120" w:after="120" w:line="276" w:lineRule="auto"/>
        <w:jc w:val="both"/>
        <w:rPr>
          <w:rFonts w:cs="Arial"/>
          <w:color w:val="000000" w:themeColor="text1"/>
          <w:szCs w:val="20"/>
        </w:rPr>
      </w:pPr>
      <w:r>
        <w:rPr>
          <w:rFonts w:cs="Arial"/>
          <w:color w:val="000000"/>
          <w:szCs w:val="20"/>
        </w:rPr>
        <w:t xml:space="preserve">aplica-se o disposto na alínea “c” também ao fornecedor que atue em substituição a outra pessoa, física ou jurídica, com o intuito de burlar a </w:t>
      </w:r>
      <w:r>
        <w:rPr>
          <w:rFonts w:cs="Arial"/>
          <w:color w:val="000000"/>
          <w:szCs w:val="20"/>
        </w:rPr>
        <w:t>efetividade da sanção a ela aplicada, inclusive a sua controladora, controlada ou coligada, desde que devidamente comprovado o ilícito ou a utilização fraudulenta da personalidade jurídica do fornecedor;</w:t>
      </w:r>
    </w:p>
    <w:p w:rsidR="005D3116" w:rsidRDefault="00BC39E3">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w:t>
      </w:r>
      <w:r>
        <w:rPr>
          <w:rFonts w:cs="Arial"/>
          <w:color w:val="000000"/>
          <w:szCs w:val="20"/>
        </w:rPr>
        <w:t xml:space="preserve"> - OSCIP, atuando nessa condição (Acórdão nº 746/2014-TCU-Plenário); e</w:t>
      </w:r>
    </w:p>
    <w:p w:rsidR="005D3116" w:rsidRDefault="00BC39E3">
      <w:pPr>
        <w:numPr>
          <w:ilvl w:val="2"/>
          <w:numId w:val="1"/>
        </w:numPr>
        <w:spacing w:before="120" w:after="120" w:line="276" w:lineRule="auto"/>
        <w:jc w:val="both"/>
        <w:rPr>
          <w:rFonts w:cs="Arial"/>
          <w:i/>
          <w:color w:val="FF0000"/>
          <w:szCs w:val="20"/>
        </w:rPr>
      </w:pPr>
      <w:r>
        <w:rPr>
          <w:rFonts w:cs="Arial"/>
          <w:i/>
          <w:color w:val="FF0000"/>
          <w:szCs w:val="20"/>
        </w:rPr>
        <w:t>sociedades cooperativas.</w:t>
      </w:r>
      <w:bookmarkStart w:id="2" w:name="_Hlk519667815"/>
      <w:bookmarkEnd w:id="2"/>
    </w:p>
    <w:p w:rsidR="005D3116" w:rsidRDefault="00BC39E3">
      <w:pPr>
        <w:pStyle w:val="PADRO"/>
        <w:keepNext w:val="0"/>
        <w:widowControl/>
        <w:numPr>
          <w:ilvl w:val="0"/>
          <w:numId w:val="1"/>
        </w:numPr>
        <w:shd w:val="clear" w:color="auto" w:fill="auto"/>
        <w:spacing w:before="120" w:after="120"/>
        <w:rPr>
          <w:rFonts w:ascii="Arial" w:hAnsi="Arial" w:cs="Arial"/>
          <w:b/>
        </w:rPr>
      </w:pPr>
      <w:r>
        <w:rPr>
          <w:rFonts w:ascii="Arial" w:hAnsi="Arial" w:cs="Arial"/>
          <w:b/>
        </w:rPr>
        <w:t>INGRESSO NA DISPENSA ELETRÔNICA E CADASTRAMENTO DA PROPOSTA INICIAL</w:t>
      </w:r>
    </w:p>
    <w:p w:rsidR="005D3116" w:rsidRDefault="00BC39E3">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se dará com o cadastramento de su</w:t>
      </w:r>
      <w:r>
        <w:rPr>
          <w:rFonts w:cs="Arial"/>
          <w:color w:val="000000" w:themeColor="text1"/>
          <w:szCs w:val="20"/>
        </w:rPr>
        <w:t>a proposta inicial, na forma deste item.</w:t>
      </w:r>
    </w:p>
    <w:p w:rsidR="005D3116" w:rsidRDefault="00BC39E3">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meio do Sistema de Dispensa Eletrônica, a proposta com a descrição do objeto ofertado, </w:t>
      </w:r>
      <w:r>
        <w:rPr>
          <w:rFonts w:cs="Arial"/>
          <w:color w:val="000000" w:themeColor="text1"/>
          <w:szCs w:val="20"/>
        </w:rPr>
        <w:lastRenderedPageBreak/>
        <w:t xml:space="preserve">a marca do produto, </w:t>
      </w:r>
      <w:r>
        <w:rPr>
          <w:rFonts w:cs="Arial"/>
          <w:color w:val="000000" w:themeColor="text1"/>
          <w:szCs w:val="20"/>
        </w:rPr>
        <w:t>quando for o caso, e o preço, até a data e o horário estabelecidos para abertura do procedimento.</w:t>
      </w:r>
    </w:p>
    <w:p w:rsidR="005D3116" w:rsidRDefault="00BC39E3">
      <w:pPr>
        <w:numPr>
          <w:ilvl w:val="2"/>
          <w:numId w:val="1"/>
        </w:numPr>
        <w:spacing w:before="120" w:after="120" w:line="276" w:lineRule="auto"/>
        <w:jc w:val="both"/>
        <w:rPr>
          <w:rFonts w:cs="Arial"/>
          <w:szCs w:val="20"/>
        </w:rPr>
      </w:pPr>
      <w:r>
        <w:rPr>
          <w:rFonts w:cs="Arial"/>
          <w:szCs w:val="20"/>
        </w:rPr>
        <w:t>A proposta também deverá conter declaração de que compreende a integralidade dos custos para atendimento dos direitos trabalhistas assegurados na Constituição</w:t>
      </w:r>
      <w:r>
        <w:rPr>
          <w:rFonts w:cs="Arial"/>
          <w:szCs w:val="20"/>
        </w:rPr>
        <w:t xml:space="preserve"> Federal, nas leis trabalhistas, nas normas infralegais, nas convenções coletivas de trabalho e nos termos de ajustamento de conduta vigentes na data de entrega das propostas.</w:t>
      </w:r>
    </w:p>
    <w:p w:rsidR="005D3116" w:rsidRDefault="00BC39E3">
      <w:pPr>
        <w:numPr>
          <w:ilvl w:val="1"/>
          <w:numId w:val="1"/>
        </w:numPr>
        <w:spacing w:before="120" w:after="120" w:line="276" w:lineRule="auto"/>
        <w:ind w:left="425" w:firstLine="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w:t>
      </w:r>
      <w:r>
        <w:rPr>
          <w:rFonts w:cs="Arial"/>
          <w:szCs w:val="20"/>
        </w:rPr>
        <w:t>culam a Contratada.</w:t>
      </w:r>
    </w:p>
    <w:p w:rsidR="005D3116" w:rsidRDefault="00BC39E3">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rsidR="005D3116" w:rsidRDefault="00BC39E3">
      <w:pPr>
        <w:numPr>
          <w:ilvl w:val="2"/>
          <w:numId w:val="1"/>
        </w:numPr>
        <w:spacing w:before="120" w:after="120" w:line="276" w:lineRule="auto"/>
        <w:jc w:val="both"/>
        <w:rPr>
          <w:rFonts w:cs="Arial"/>
          <w:szCs w:val="20"/>
        </w:rPr>
      </w:pPr>
      <w:r>
        <w:rPr>
          <w:rFonts w:cs="Arial"/>
          <w:szCs w:val="20"/>
        </w:rPr>
        <w:t xml:space="preserve">Os preços ofertados, </w:t>
      </w:r>
      <w:r>
        <w:rPr>
          <w:rFonts w:cs="Arial"/>
          <w:szCs w:val="20"/>
        </w:rPr>
        <w:t>tanto na proposta inicial, quanto na etapa de lances, serão de exclusiva responsabilidade do fornecedor, não lhe assistindo o direito de pleitear qualquer alteração, sob alegação de erro, omissão ou qualquer outro pretexto.</w:t>
      </w:r>
    </w:p>
    <w:p w:rsidR="005D3116" w:rsidRDefault="00BC39E3">
      <w:pPr>
        <w:numPr>
          <w:ilvl w:val="1"/>
          <w:numId w:val="1"/>
        </w:numPr>
        <w:spacing w:before="120" w:after="120" w:line="276" w:lineRule="auto"/>
        <w:ind w:left="425" w:firstLine="0"/>
        <w:jc w:val="both"/>
        <w:rPr>
          <w:rFonts w:cs="Arial"/>
          <w:szCs w:val="20"/>
        </w:rPr>
      </w:pPr>
      <w:r>
        <w:rPr>
          <w:rFonts w:cs="Arial"/>
          <w:szCs w:val="20"/>
        </w:rPr>
        <w:t>Se o regime tributário da empres</w:t>
      </w:r>
      <w:r>
        <w:rPr>
          <w:rFonts w:cs="Arial"/>
          <w:szCs w:val="20"/>
        </w:rPr>
        <w:t xml:space="preserve">a implicar o recolhimento de tributos em percentuais variáveis, a cotação adequada será a que corresponde à média dos efetivos recolhimentos da empresa nos últimos doze meses. </w:t>
      </w:r>
    </w:p>
    <w:p w:rsidR="005D3116" w:rsidRDefault="00BC39E3">
      <w:pPr>
        <w:numPr>
          <w:ilvl w:val="1"/>
          <w:numId w:val="1"/>
        </w:numPr>
        <w:spacing w:before="120" w:after="120" w:line="276" w:lineRule="auto"/>
        <w:ind w:left="425" w:firstLine="0"/>
        <w:jc w:val="both"/>
        <w:rPr>
          <w:rFonts w:cs="Arial"/>
          <w:szCs w:val="20"/>
        </w:rPr>
      </w:pPr>
      <w:r>
        <w:rPr>
          <w:rFonts w:cs="Arial"/>
          <w:szCs w:val="20"/>
        </w:rPr>
        <w:t>Independentemente do percentual de tributo inserido na planilha, no pagamento s</w:t>
      </w:r>
      <w:r>
        <w:rPr>
          <w:rFonts w:cs="Arial"/>
          <w:szCs w:val="20"/>
        </w:rPr>
        <w:t>erão retidos na fonte os percentuais estabelecidos na legislação vigente.</w:t>
      </w:r>
    </w:p>
    <w:p w:rsidR="005D3116" w:rsidRDefault="00BC39E3">
      <w:pPr>
        <w:numPr>
          <w:ilvl w:val="1"/>
          <w:numId w:val="1"/>
        </w:numPr>
        <w:spacing w:before="120" w:after="120" w:line="276" w:lineRule="auto"/>
        <w:ind w:left="425" w:firstLine="0"/>
        <w:jc w:val="both"/>
        <w:rPr>
          <w:rFonts w:cs="Arial"/>
          <w:szCs w:val="20"/>
        </w:rPr>
      </w:pPr>
      <w:r>
        <w:rPr>
          <w:rFonts w:cs="Arial"/>
          <w:szCs w:val="20"/>
        </w:rPr>
        <w:t>A apresentação das propostas implica obrigatoriedade do cumprimento das disposições nelas contidas, bem como de fornecer os materiais, equipamentos, ferramentas e utensílios necessár</w:t>
      </w:r>
      <w:r>
        <w:rPr>
          <w:rFonts w:cs="Arial"/>
          <w:szCs w:val="20"/>
        </w:rPr>
        <w:t>ios, em quantidades e qualidades adequadas à perfeita execução contratual, promovendo, quando requerido, sua substituição.</w:t>
      </w:r>
    </w:p>
    <w:p w:rsidR="005D3116" w:rsidRDefault="00BC39E3">
      <w:pPr>
        <w:numPr>
          <w:ilvl w:val="1"/>
          <w:numId w:val="1"/>
        </w:numPr>
        <w:spacing w:before="120" w:after="120" w:line="276" w:lineRule="auto"/>
        <w:ind w:left="425" w:firstLine="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rsidR="005D3116" w:rsidRDefault="00BC39E3">
      <w:pPr>
        <w:numPr>
          <w:ilvl w:val="1"/>
          <w:numId w:val="1"/>
        </w:numPr>
        <w:spacing w:before="120" w:after="120" w:line="276" w:lineRule="auto"/>
        <w:ind w:left="425" w:firstLine="0"/>
        <w:jc w:val="both"/>
        <w:rPr>
          <w:rFonts w:cs="Arial"/>
          <w:color w:val="000000" w:themeColor="text1"/>
          <w:szCs w:val="20"/>
        </w:rPr>
      </w:pPr>
      <w:r>
        <w:rPr>
          <w:rFonts w:cs="Arial"/>
          <w:color w:val="000000"/>
          <w:szCs w:val="20"/>
        </w:rPr>
        <w:t>No cadastramento da propos</w:t>
      </w:r>
      <w:r>
        <w:rPr>
          <w:rFonts w:cs="Arial"/>
          <w:color w:val="000000"/>
          <w:szCs w:val="20"/>
        </w:rPr>
        <w:t xml:space="preserve">ta inicial, o fornecedor deverá, também, assinalar “sim” ou “não” em campo </w:t>
      </w:r>
      <w:r>
        <w:rPr>
          <w:rFonts w:cs="Arial"/>
          <w:szCs w:val="20"/>
        </w:rPr>
        <w:t>próprio</w:t>
      </w:r>
      <w:r>
        <w:rPr>
          <w:rFonts w:cs="Arial"/>
          <w:color w:val="000000"/>
          <w:szCs w:val="20"/>
        </w:rPr>
        <w:t xml:space="preserve"> do sistema eletrônico, às seguintes declarações:</w:t>
      </w:r>
      <w:r>
        <w:rPr>
          <w:rFonts w:eastAsia="Zurich BT" w:cs="Arial"/>
          <w:color w:val="000000"/>
          <w:szCs w:val="20"/>
        </w:rPr>
        <w:t xml:space="preserve"> </w:t>
      </w:r>
    </w:p>
    <w:p w:rsidR="005D3116" w:rsidRDefault="005D3116">
      <w:pPr>
        <w:pStyle w:val="PargrafodaLista"/>
        <w:numPr>
          <w:ilvl w:val="0"/>
          <w:numId w:val="3"/>
        </w:numPr>
        <w:tabs>
          <w:tab w:val="left" w:pos="1440"/>
        </w:tabs>
        <w:snapToGrid w:val="0"/>
        <w:spacing w:before="120" w:after="120" w:line="276" w:lineRule="auto"/>
        <w:jc w:val="both"/>
        <w:rPr>
          <w:rFonts w:cs="Arial"/>
          <w:bCs/>
          <w:vanish/>
          <w:color w:val="000000"/>
          <w:szCs w:val="20"/>
        </w:rPr>
      </w:pPr>
    </w:p>
    <w:p w:rsidR="005D3116" w:rsidRDefault="005D3116">
      <w:pPr>
        <w:pStyle w:val="PargrafodaLista"/>
        <w:numPr>
          <w:ilvl w:val="1"/>
          <w:numId w:val="3"/>
        </w:numPr>
        <w:tabs>
          <w:tab w:val="left" w:pos="1440"/>
        </w:tabs>
        <w:snapToGrid w:val="0"/>
        <w:spacing w:before="120" w:after="120" w:line="276" w:lineRule="auto"/>
        <w:jc w:val="both"/>
        <w:rPr>
          <w:rFonts w:cs="Arial"/>
          <w:bCs/>
          <w:vanish/>
          <w:color w:val="000000"/>
          <w:szCs w:val="20"/>
        </w:rPr>
      </w:pPr>
    </w:p>
    <w:p w:rsidR="005D3116" w:rsidRDefault="005D3116">
      <w:pPr>
        <w:pStyle w:val="PargrafodaLista"/>
        <w:numPr>
          <w:ilvl w:val="1"/>
          <w:numId w:val="3"/>
        </w:numPr>
        <w:tabs>
          <w:tab w:val="left" w:pos="1440"/>
        </w:tabs>
        <w:snapToGrid w:val="0"/>
        <w:spacing w:before="120" w:after="120" w:line="276" w:lineRule="auto"/>
        <w:jc w:val="both"/>
        <w:rPr>
          <w:rFonts w:cs="Arial"/>
          <w:bCs/>
          <w:vanish/>
          <w:color w:val="000000"/>
          <w:szCs w:val="20"/>
        </w:rPr>
      </w:pPr>
    </w:p>
    <w:p w:rsidR="005D3116" w:rsidRDefault="005D3116">
      <w:pPr>
        <w:pStyle w:val="PargrafodaLista"/>
        <w:numPr>
          <w:ilvl w:val="1"/>
          <w:numId w:val="3"/>
        </w:numPr>
        <w:tabs>
          <w:tab w:val="left" w:pos="1440"/>
        </w:tabs>
        <w:snapToGrid w:val="0"/>
        <w:spacing w:before="120" w:after="120" w:line="276" w:lineRule="auto"/>
        <w:jc w:val="both"/>
        <w:rPr>
          <w:rFonts w:cs="Arial"/>
          <w:bCs/>
          <w:vanish/>
          <w:color w:val="000000"/>
          <w:szCs w:val="20"/>
        </w:rPr>
      </w:pPr>
    </w:p>
    <w:p w:rsidR="005D3116" w:rsidRDefault="00BC39E3">
      <w:pPr>
        <w:numPr>
          <w:ilvl w:val="2"/>
          <w:numId w:val="1"/>
        </w:numPr>
        <w:spacing w:before="120" w:after="120" w:line="276" w:lineRule="auto"/>
        <w:jc w:val="both"/>
        <w:rPr>
          <w:rFonts w:cs="Arial"/>
          <w:color w:val="000000" w:themeColor="text1"/>
          <w:szCs w:val="20"/>
        </w:rPr>
      </w:pPr>
      <w:r>
        <w:rPr>
          <w:rFonts w:cs="Arial"/>
          <w:color w:val="000000" w:themeColor="text1"/>
          <w:szCs w:val="20"/>
        </w:rPr>
        <w:t xml:space="preserve">que inexistem fatos impeditivos para sua habilitação no certame, ciente da obrigatoriedade de declarar ocorrências </w:t>
      </w:r>
      <w:r>
        <w:rPr>
          <w:rFonts w:cs="Arial"/>
          <w:color w:val="000000" w:themeColor="text1"/>
          <w:szCs w:val="20"/>
        </w:rPr>
        <w:t>posteriores;</w:t>
      </w:r>
    </w:p>
    <w:p w:rsidR="005D3116" w:rsidRDefault="00BC39E3">
      <w:pPr>
        <w:numPr>
          <w:ilvl w:val="2"/>
          <w:numId w:val="1"/>
        </w:numPr>
        <w:spacing w:before="120" w:after="120" w:line="276" w:lineRule="auto"/>
        <w:jc w:val="both"/>
        <w:rPr>
          <w:rFonts w:cs="Arial"/>
          <w:color w:val="000000" w:themeColor="text1"/>
          <w:szCs w:val="20"/>
        </w:rPr>
      </w:pPr>
      <w:r>
        <w:rPr>
          <w:rFonts w:cs="Arial"/>
          <w:color w:val="000000" w:themeColor="text1"/>
          <w:szCs w:val="20"/>
        </w:rPr>
        <w:t xml:space="preserve">que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w:t>
      </w:r>
      <w:proofErr w:type="spellStart"/>
      <w:r>
        <w:rPr>
          <w:rFonts w:cs="Arial"/>
          <w:color w:val="000000" w:themeColor="text1"/>
          <w:szCs w:val="20"/>
        </w:rPr>
        <w:t>arts</w:t>
      </w:r>
      <w:proofErr w:type="spellEnd"/>
      <w:r>
        <w:rPr>
          <w:rFonts w:cs="Arial"/>
          <w:color w:val="000000" w:themeColor="text1"/>
          <w:szCs w:val="20"/>
        </w:rPr>
        <w:t>. 42 a 49.</w:t>
      </w:r>
    </w:p>
    <w:p w:rsidR="005D3116" w:rsidRDefault="00BC39E3">
      <w:pPr>
        <w:numPr>
          <w:ilvl w:val="2"/>
          <w:numId w:val="1"/>
        </w:numPr>
        <w:spacing w:before="120" w:after="120" w:line="276" w:lineRule="auto"/>
        <w:jc w:val="both"/>
        <w:rPr>
          <w:rFonts w:cs="Arial"/>
          <w:color w:val="000000" w:themeColor="text1"/>
          <w:szCs w:val="20"/>
        </w:rPr>
      </w:pPr>
      <w:r>
        <w:rPr>
          <w:rFonts w:cs="Arial"/>
          <w:color w:val="000000" w:themeColor="text1"/>
          <w:szCs w:val="20"/>
        </w:rPr>
        <w:t>que está ciente e concorda com as condições contidas no Aviso de Cont</w:t>
      </w:r>
      <w:r>
        <w:rPr>
          <w:rFonts w:cs="Arial"/>
          <w:color w:val="000000" w:themeColor="text1"/>
          <w:szCs w:val="20"/>
        </w:rPr>
        <w:t>ratação Direta e seus anexos;</w:t>
      </w:r>
    </w:p>
    <w:p w:rsidR="005D3116" w:rsidRDefault="00BC39E3">
      <w:pPr>
        <w:numPr>
          <w:ilvl w:val="2"/>
          <w:numId w:val="1"/>
        </w:numPr>
        <w:spacing w:before="120" w:after="120" w:line="276" w:lineRule="auto"/>
        <w:jc w:val="both"/>
        <w:rPr>
          <w:rFonts w:cs="Arial"/>
          <w:color w:val="000000" w:themeColor="text1"/>
          <w:szCs w:val="20"/>
        </w:rPr>
      </w:pPr>
      <w:r>
        <w:rPr>
          <w:rFonts w:cs="Arial"/>
          <w:color w:val="000000" w:themeColor="text1"/>
          <w:szCs w:val="20"/>
        </w:rPr>
        <w:t>que assume a responsabilidade pelas transações que forem efetuadas no sistema, assumindo como firmes e verdadeiras;</w:t>
      </w:r>
    </w:p>
    <w:p w:rsidR="005D3116" w:rsidRDefault="00BC39E3">
      <w:pPr>
        <w:numPr>
          <w:ilvl w:val="2"/>
          <w:numId w:val="1"/>
        </w:numPr>
        <w:spacing w:before="120" w:after="120" w:line="276" w:lineRule="auto"/>
        <w:jc w:val="both"/>
        <w:rPr>
          <w:rFonts w:cs="Arial"/>
          <w:color w:val="000000" w:themeColor="text1"/>
          <w:szCs w:val="20"/>
        </w:rPr>
      </w:pPr>
      <w:r>
        <w:rPr>
          <w:rFonts w:cs="Arial"/>
          <w:color w:val="000000" w:themeColor="text1"/>
          <w:szCs w:val="20"/>
        </w:rPr>
        <w:t>que cumpre as exigências de reserva de cargos para pessoa com deficiência e para reabilitado da Previdência So</w:t>
      </w:r>
      <w:r>
        <w:rPr>
          <w:rFonts w:cs="Arial"/>
          <w:color w:val="000000" w:themeColor="text1"/>
          <w:szCs w:val="20"/>
        </w:rPr>
        <w:t>cial, de que trata o art. 93 da Lei nº 8.213/91.</w:t>
      </w:r>
    </w:p>
    <w:p w:rsidR="005D3116" w:rsidRDefault="00BC39E3">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w:t>
      </w:r>
      <w:r>
        <w:rPr>
          <w:rFonts w:cs="Arial"/>
          <w:color w:val="000000" w:themeColor="text1"/>
          <w:szCs w:val="20"/>
        </w:rPr>
        <w:t>tituição;</w:t>
      </w:r>
    </w:p>
    <w:p w:rsidR="005D3116" w:rsidRDefault="00BC39E3">
      <w:pPr>
        <w:numPr>
          <w:ilvl w:val="1"/>
          <w:numId w:val="1"/>
        </w:numPr>
        <w:spacing w:before="120" w:after="120" w:line="276" w:lineRule="auto"/>
        <w:jc w:val="both"/>
        <w:rPr>
          <w:rFonts w:cs="Arial"/>
          <w:i/>
          <w:color w:val="FF0000"/>
          <w:szCs w:val="20"/>
        </w:rPr>
      </w:pPr>
      <w:r>
        <w:rPr>
          <w:rFonts w:cs="Arial"/>
          <w:i/>
          <w:color w:val="FF0000"/>
          <w:szCs w:val="20"/>
        </w:rPr>
        <w:t>Fica facultado ao fornecedor, ao cadastrar sua proposta inicial, a parametrização de valor final mínimo, com o registro do seu lance final aceitável (menor preço ou maior desconto, conforme o caso).</w:t>
      </w:r>
    </w:p>
    <w:p w:rsidR="005D3116" w:rsidRDefault="00BC39E3">
      <w:pPr>
        <w:numPr>
          <w:ilvl w:val="2"/>
          <w:numId w:val="1"/>
        </w:numPr>
        <w:spacing w:before="120" w:after="120" w:line="276" w:lineRule="auto"/>
        <w:jc w:val="both"/>
        <w:rPr>
          <w:rFonts w:cs="Arial"/>
          <w:i/>
          <w:color w:val="FF0000"/>
          <w:szCs w:val="20"/>
        </w:rPr>
      </w:pPr>
      <w:r>
        <w:rPr>
          <w:rFonts w:cs="Arial"/>
          <w:i/>
          <w:color w:val="FF0000"/>
          <w:szCs w:val="20"/>
        </w:rPr>
        <w:t>Feita essa opção os lances serão enviados autom</w:t>
      </w:r>
      <w:r>
        <w:rPr>
          <w:rFonts w:cs="Arial"/>
          <w:i/>
          <w:color w:val="FF0000"/>
          <w:szCs w:val="20"/>
        </w:rPr>
        <w:t xml:space="preserve">aticamente pelo sistema, respeitados os limites cadastrados pelo fornecedor e o intervalo mínimo entre lances previsto neste aviso. </w:t>
      </w:r>
    </w:p>
    <w:p w:rsidR="005D3116" w:rsidRDefault="00BC39E3">
      <w:pPr>
        <w:numPr>
          <w:ilvl w:val="3"/>
          <w:numId w:val="1"/>
        </w:numPr>
        <w:spacing w:before="120" w:after="120" w:line="276" w:lineRule="auto"/>
        <w:jc w:val="both"/>
        <w:rPr>
          <w:rFonts w:cs="Arial"/>
          <w:i/>
          <w:color w:val="FF0000"/>
          <w:szCs w:val="20"/>
        </w:rPr>
      </w:pPr>
      <w:r>
        <w:rPr>
          <w:rFonts w:cs="Arial"/>
          <w:i/>
          <w:color w:val="FF0000"/>
          <w:szCs w:val="20"/>
        </w:rPr>
        <w:t>Sem prejuízo do disposto acima, os lances poderão ser enviados manualmente, na forma da seção respectiva deste Aviso de Con</w:t>
      </w:r>
      <w:r>
        <w:rPr>
          <w:rFonts w:cs="Arial"/>
          <w:i/>
          <w:color w:val="FF0000"/>
          <w:szCs w:val="20"/>
        </w:rPr>
        <w:t>tratação Direta;</w:t>
      </w:r>
    </w:p>
    <w:p w:rsidR="005D3116" w:rsidRDefault="00BC39E3">
      <w:pPr>
        <w:numPr>
          <w:ilvl w:val="2"/>
          <w:numId w:val="1"/>
        </w:numPr>
        <w:spacing w:before="120" w:after="120" w:line="276" w:lineRule="auto"/>
        <w:jc w:val="both"/>
        <w:rPr>
          <w:rFonts w:cs="Arial"/>
          <w:i/>
          <w:color w:val="FF0000"/>
          <w:szCs w:val="20"/>
        </w:rPr>
      </w:pPr>
      <w:r>
        <w:rPr>
          <w:rFonts w:cs="Arial"/>
          <w:i/>
          <w:color w:val="FF0000"/>
          <w:szCs w:val="20"/>
        </w:rPr>
        <w:t>O valor final mínimo poderá ser alterado pelo fornecedor durante a fase de disputa, desde que não assuma valor superior a lance já registrado por ele no sistema.</w:t>
      </w:r>
    </w:p>
    <w:p w:rsidR="005D3116" w:rsidRDefault="00BC39E3">
      <w:pPr>
        <w:numPr>
          <w:ilvl w:val="2"/>
          <w:numId w:val="1"/>
        </w:numPr>
        <w:spacing w:before="120" w:after="120" w:line="276" w:lineRule="auto"/>
        <w:jc w:val="both"/>
        <w:rPr>
          <w:rFonts w:cs="Arial"/>
          <w:i/>
          <w:color w:val="FF0000"/>
          <w:szCs w:val="20"/>
        </w:rPr>
      </w:pPr>
      <w:r>
        <w:rPr>
          <w:rFonts w:cs="Arial"/>
          <w:i/>
          <w:color w:val="FF0000"/>
          <w:szCs w:val="20"/>
        </w:rPr>
        <w:lastRenderedPageBreak/>
        <w:t>O valor mínimo parametrizado possui caráter sigiloso aos demais participantes</w:t>
      </w:r>
      <w:r>
        <w:rPr>
          <w:rFonts w:cs="Arial"/>
          <w:i/>
          <w:color w:val="FF0000"/>
          <w:szCs w:val="20"/>
        </w:rPr>
        <w:t xml:space="preserve"> do certame e para o órgão ou entidade contratante. Apenas os lances efetivamente enviados poderão ser conhecidos dos fornecedores na forma da seção seguinte deste Aviso.</w:t>
      </w:r>
    </w:p>
    <w:p w:rsidR="005D3116" w:rsidRDefault="00BC39E3">
      <w:pPr>
        <w:pStyle w:val="PADRO"/>
        <w:keepNext w:val="0"/>
        <w:widowControl/>
        <w:numPr>
          <w:ilvl w:val="0"/>
          <w:numId w:val="1"/>
        </w:numPr>
        <w:shd w:val="clear" w:color="auto" w:fill="auto"/>
        <w:spacing w:before="120" w:after="120"/>
        <w:rPr>
          <w:rFonts w:ascii="Arial" w:hAnsi="Arial" w:cs="Arial"/>
          <w:b/>
        </w:rPr>
      </w:pPr>
      <w:r>
        <w:rPr>
          <w:rFonts w:ascii="Arial" w:hAnsi="Arial" w:cs="Arial"/>
          <w:b/>
        </w:rPr>
        <w:t>FASE DE LANCES</w:t>
      </w:r>
    </w:p>
    <w:p w:rsidR="005D3116" w:rsidRDefault="00BC39E3">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 xml:space="preserve">sendo encerrado no horário de </w:t>
      </w:r>
      <w:r>
        <w:rPr>
          <w:rFonts w:cs="Arial"/>
          <w:color w:val="000000" w:themeColor="text1"/>
          <w:szCs w:val="20"/>
          <w:lang w:eastAsia="en-US"/>
        </w:rPr>
        <w:t>finalização de lances também já previsto neste aviso.</w:t>
      </w:r>
    </w:p>
    <w:p w:rsidR="005D3116" w:rsidRDefault="00BC39E3">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Iniciada a etapa competitiva, os fornecedores deverão encaminhar lances exclusivamente por meio de sistema eletrônico, sendo imediatamente informados do seu recebimento e do valor consignado no registro</w:t>
      </w:r>
      <w:r>
        <w:rPr>
          <w:rFonts w:cs="Arial"/>
          <w:color w:val="000000" w:themeColor="text1"/>
          <w:szCs w:val="20"/>
        </w:rPr>
        <w:t xml:space="preserve">. </w:t>
      </w:r>
    </w:p>
    <w:p w:rsidR="005D3116" w:rsidRDefault="00BC39E3">
      <w:pPr>
        <w:pStyle w:val="PargrafodaLista"/>
        <w:numPr>
          <w:ilvl w:val="2"/>
          <w:numId w:val="1"/>
        </w:numPr>
        <w:spacing w:before="120" w:after="120" w:line="276" w:lineRule="auto"/>
        <w:jc w:val="both"/>
        <w:rPr>
          <w:rFonts w:cs="Arial"/>
          <w:color w:val="000000" w:themeColor="text1"/>
          <w:szCs w:val="20"/>
          <w:lang w:eastAsia="en-US"/>
        </w:rPr>
      </w:pPr>
      <w:r>
        <w:rPr>
          <w:rFonts w:cs="Arial"/>
          <w:i/>
          <w:iCs/>
          <w:color w:val="FF0000"/>
          <w:szCs w:val="20"/>
        </w:rPr>
        <w:t>O lance deverá ser ofertado pelo valor anual/total/unitário do item/lote.</w:t>
      </w:r>
    </w:p>
    <w:p w:rsidR="005D3116" w:rsidRDefault="00BC39E3">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rsidR="005D3116" w:rsidRDefault="00BC39E3">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w:t>
      </w:r>
      <w:r>
        <w:rPr>
          <w:rFonts w:cs="Arial"/>
          <w:color w:val="000000" w:themeColor="text1"/>
          <w:szCs w:val="20"/>
          <w:lang w:eastAsia="en-US"/>
        </w:rPr>
        <w:t>ecer lances sucessivos iguais ou superiores ao lance que esteja vencendo o certame, desde que inferiores ao menor por ele ofertado e registrado pelo sistema, sendo tais lances definidos como “lances intermediários” para os fins deste Aviso de Contratação D</w:t>
      </w:r>
      <w:r>
        <w:rPr>
          <w:rFonts w:cs="Arial"/>
          <w:color w:val="000000" w:themeColor="text1"/>
          <w:szCs w:val="20"/>
          <w:lang w:eastAsia="en-US"/>
        </w:rPr>
        <w:t>ireta.</w:t>
      </w:r>
    </w:p>
    <w:p w:rsidR="005D3116" w:rsidRDefault="00BC39E3">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w:t>
      </w:r>
    </w:p>
    <w:p w:rsidR="005D3116" w:rsidRDefault="00BC39E3">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w:t>
      </w:r>
      <w:r>
        <w:rPr>
          <w:rFonts w:cs="Arial"/>
          <w:color w:val="000000" w:themeColor="text1"/>
          <w:szCs w:val="20"/>
          <w:lang w:eastAsia="en-US"/>
        </w:rPr>
        <w:t>r recebido e registrado primeiro no sistema.</w:t>
      </w:r>
    </w:p>
    <w:p w:rsidR="005D3116" w:rsidRDefault="00BC39E3">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rsidR="005D3116" w:rsidRDefault="00BC39E3">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w:t>
      </w:r>
      <w:r>
        <w:rPr>
          <w:rFonts w:cs="Arial"/>
          <w:color w:val="000000" w:themeColor="text1"/>
          <w:szCs w:val="20"/>
          <w:lang w:eastAsia="en-US"/>
        </w:rPr>
        <w:t xml:space="preserve"> do fornecedor.</w:t>
      </w:r>
    </w:p>
    <w:p w:rsidR="005D3116" w:rsidRDefault="00BC39E3">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rsidR="005D3116" w:rsidRDefault="00BC39E3">
      <w:pPr>
        <w:pStyle w:val="PargrafodaLista"/>
        <w:numPr>
          <w:ilvl w:val="2"/>
          <w:numId w:val="1"/>
        </w:numPr>
        <w:spacing w:before="120" w:after="120" w:line="276" w:lineRule="auto"/>
        <w:jc w:val="both"/>
        <w:rPr>
          <w:rFonts w:cs="Arial"/>
        </w:rPr>
      </w:pPr>
      <w:r>
        <w:rPr>
          <w:rFonts w:cs="Arial"/>
          <w:color w:val="000000" w:themeColor="text1"/>
          <w:szCs w:val="20"/>
          <w:lang w:eastAsia="en-US"/>
        </w:rPr>
        <w:t xml:space="preserve">O encerramento da fase de lances ocorrerá de </w:t>
      </w:r>
      <w:r>
        <w:rPr>
          <w:rFonts w:cs="Arial"/>
          <w:color w:val="000000" w:themeColor="text1"/>
          <w:szCs w:val="20"/>
          <w:lang w:eastAsia="en-US"/>
        </w:rPr>
        <w:t>forma automática pontualmente no horário indicado, sem qualquer possibilidade de prorrogação e não havendo tempo aleatório ou mecanismo similar.</w:t>
      </w:r>
    </w:p>
    <w:p w:rsidR="005D3116" w:rsidRDefault="00BC39E3">
      <w:pPr>
        <w:pStyle w:val="PADRO"/>
        <w:keepNext w:val="0"/>
        <w:widowControl/>
        <w:numPr>
          <w:ilvl w:val="0"/>
          <w:numId w:val="1"/>
        </w:numPr>
        <w:shd w:val="clear" w:color="auto" w:fill="auto"/>
        <w:spacing w:before="120" w:after="120"/>
        <w:rPr>
          <w:rFonts w:ascii="Arial" w:hAnsi="Arial" w:cs="Arial"/>
          <w:b/>
        </w:rPr>
      </w:pPr>
      <w:r>
        <w:rPr>
          <w:rFonts w:ascii="Arial" w:hAnsi="Arial" w:cs="Arial"/>
          <w:b/>
        </w:rPr>
        <w:t>JULGAMENTO DAS PROPOSTAS DE PREÇO</w:t>
      </w:r>
    </w:p>
    <w:p w:rsidR="005D3116" w:rsidRDefault="00BC39E3">
      <w:pPr>
        <w:pStyle w:val="PargrafodaLista"/>
        <w:numPr>
          <w:ilvl w:val="1"/>
          <w:numId w:val="1"/>
        </w:numPr>
        <w:spacing w:before="120" w:after="120" w:line="276" w:lineRule="auto"/>
        <w:jc w:val="both"/>
        <w:rPr>
          <w:rFonts w:cs="Arial"/>
        </w:rPr>
      </w:pPr>
      <w:r>
        <w:rPr>
          <w:rFonts w:cs="Arial"/>
        </w:rPr>
        <w:t>Encerrada a fase de lances, será verificada a conformidade da proposta classi</w:t>
      </w:r>
      <w:r>
        <w:rPr>
          <w:rFonts w:cs="Arial"/>
        </w:rPr>
        <w:t>ficada em primeiro lugar quanto à adequação do objeto e à compatibilidade do preço em relação ao estipulado para a contratação.</w:t>
      </w:r>
    </w:p>
    <w:p w:rsidR="005D3116" w:rsidRDefault="00BC39E3">
      <w:pPr>
        <w:pStyle w:val="PargrafodaLista"/>
        <w:numPr>
          <w:ilvl w:val="1"/>
          <w:numId w:val="1"/>
        </w:numPr>
        <w:spacing w:before="120" w:after="120" w:line="276" w:lineRule="auto"/>
        <w:jc w:val="both"/>
        <w:rPr>
          <w:rFonts w:cs="Arial"/>
        </w:rPr>
      </w:pPr>
      <w:r>
        <w:rPr>
          <w:rFonts w:cs="Arial"/>
        </w:rPr>
        <w:t>No caso de o preço da proposta vencedora estar acima do estimado pela Administração, poderá haver a negociação de condições mais</w:t>
      </w:r>
      <w:r>
        <w:rPr>
          <w:rFonts w:cs="Arial"/>
        </w:rPr>
        <w:t xml:space="preserve"> vantajosas.</w:t>
      </w:r>
    </w:p>
    <w:p w:rsidR="005D3116" w:rsidRDefault="00BC39E3">
      <w:pPr>
        <w:pStyle w:val="PargrafodaLista"/>
        <w:numPr>
          <w:ilvl w:val="2"/>
          <w:numId w:val="1"/>
        </w:numPr>
        <w:spacing w:before="120" w:after="120" w:line="276" w:lineRule="auto"/>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rsidR="005D3116" w:rsidRDefault="00BC39E3">
      <w:pPr>
        <w:pStyle w:val="PargrafodaLista"/>
        <w:numPr>
          <w:ilvl w:val="2"/>
          <w:numId w:val="1"/>
        </w:numPr>
        <w:spacing w:before="120" w:after="120" w:line="276" w:lineRule="auto"/>
        <w:jc w:val="both"/>
        <w:rPr>
          <w:rFonts w:cs="Arial"/>
        </w:rPr>
      </w:pPr>
      <w:r>
        <w:rPr>
          <w:rFonts w:cs="Arial"/>
        </w:rPr>
        <w:t xml:space="preserve">A negociação poderá ser feita com os demais fornecedores </w:t>
      </w:r>
      <w:r>
        <w:rPr>
          <w:rFonts w:cs="Arial"/>
        </w:rPr>
        <w:t>classificados, respeitada a ordem de classificação, quando o primeiro colocado, mesmo após a negociação, for desclassificado em razão de sua proposta permanecer acima do preço máximo definido para a contratação.</w:t>
      </w:r>
    </w:p>
    <w:p w:rsidR="005D3116" w:rsidRDefault="00BC39E3">
      <w:pPr>
        <w:pStyle w:val="PargrafodaLista"/>
        <w:numPr>
          <w:ilvl w:val="2"/>
          <w:numId w:val="1"/>
        </w:numPr>
        <w:spacing w:before="120" w:after="120" w:line="276" w:lineRule="auto"/>
        <w:jc w:val="both"/>
        <w:rPr>
          <w:rFonts w:cs="Arial"/>
        </w:rPr>
      </w:pPr>
      <w:r>
        <w:rPr>
          <w:rFonts w:cs="Arial"/>
        </w:rPr>
        <w:t xml:space="preserve">Em qualquer caso, concluída a negociação, o </w:t>
      </w:r>
      <w:r>
        <w:rPr>
          <w:rFonts w:cs="Arial"/>
        </w:rPr>
        <w:t>resultado será registrado na ata do procedimento da dispensa eletrônica.</w:t>
      </w:r>
    </w:p>
    <w:p w:rsidR="005D3116" w:rsidRDefault="00BC39E3">
      <w:pPr>
        <w:pStyle w:val="PargrafodaLista"/>
        <w:numPr>
          <w:ilvl w:val="1"/>
          <w:numId w:val="1"/>
        </w:numPr>
        <w:spacing w:before="120" w:after="120" w:line="276" w:lineRule="auto"/>
        <w:jc w:val="both"/>
        <w:rPr>
          <w:rFonts w:cs="Arial"/>
        </w:rPr>
      </w:pPr>
      <w:r>
        <w:rPr>
          <w:rFonts w:cs="Arial"/>
        </w:rPr>
        <w:t>Estando o preço compatível, será solicitado o envio da proposta e, se necessário, de documentos complementares, adequada ao último lance.</w:t>
      </w:r>
    </w:p>
    <w:p w:rsidR="005D3116" w:rsidRDefault="00BC39E3">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w:t>
      </w:r>
      <w:r>
        <w:rPr>
          <w:rFonts w:cs="Arial"/>
          <w:color w:val="FF0000"/>
          <w:szCs w:val="20"/>
        </w:rPr>
        <w:t>30 (dias)</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rsidR="005D3116" w:rsidRDefault="00BC39E3">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rsidR="005D3116" w:rsidRDefault="00BC39E3">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rsidR="005D3116" w:rsidRDefault="00BC39E3">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rsidR="005D3116" w:rsidRDefault="00BC39E3">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w:t>
      </w:r>
      <w:r>
        <w:rPr>
          <w:rFonts w:cs="Arial"/>
          <w:color w:val="000000"/>
          <w:szCs w:val="20"/>
        </w:rPr>
        <w:t xml:space="preserve"> preços inexequíveis ou permanecerem acima do preço máximo definido para a contratação;</w:t>
      </w:r>
    </w:p>
    <w:p w:rsidR="005D3116" w:rsidRDefault="00BC39E3">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tiverem sua exequibilidade demonstrada, quando exigido pela Administração</w:t>
      </w:r>
      <w:r>
        <w:rPr>
          <w:rFonts w:cs="Arial"/>
          <w:iCs/>
          <w:color w:val="000000" w:themeColor="text1"/>
          <w:szCs w:val="20"/>
        </w:rPr>
        <w:t>;</w:t>
      </w:r>
    </w:p>
    <w:p w:rsidR="005D3116" w:rsidRDefault="00BC39E3">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w:t>
      </w:r>
      <w:r>
        <w:rPr>
          <w:rFonts w:cs="Arial"/>
          <w:color w:val="000000"/>
          <w:szCs w:val="20"/>
        </w:rPr>
        <w:t>sde que insanável.</w:t>
      </w:r>
    </w:p>
    <w:p w:rsidR="005D3116" w:rsidRDefault="00BC39E3">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rsidR="005D3116" w:rsidRDefault="00BC39E3">
      <w:pPr>
        <w:pStyle w:val="PargrafodaLista"/>
        <w:numPr>
          <w:ilvl w:val="2"/>
          <w:numId w:val="1"/>
        </w:numPr>
        <w:spacing w:before="120" w:after="120" w:line="276" w:lineRule="auto"/>
        <w:jc w:val="both"/>
        <w:rPr>
          <w:rFonts w:cs="Arial"/>
          <w:i/>
          <w:color w:val="000000" w:themeColor="text1"/>
          <w:szCs w:val="20"/>
        </w:rPr>
      </w:pPr>
      <w:r>
        <w:rPr>
          <w:rFonts w:cs="Arial"/>
          <w:szCs w:val="20"/>
        </w:rPr>
        <w:lastRenderedPageBreak/>
        <w:t>for insuficiente para a cobertura dos custos</w:t>
      </w:r>
      <w:r>
        <w:rPr>
          <w:rFonts w:cs="Arial"/>
          <w:szCs w:val="20"/>
        </w:rPr>
        <w:t xml:space="preserve"> da contratação, apresente preços global ou unitários simbólicos, irrisórios ou de valor zero, incompatíveis com os preços dos insumos e salários de mercado, acrescidos dos respectivos encargos, ainda que o ato convocatório da dispensa não tenha estabeleci</w:t>
      </w:r>
      <w:r>
        <w:rPr>
          <w:rFonts w:cs="Arial"/>
          <w:szCs w:val="20"/>
        </w:rPr>
        <w:t>do limites mínimos, exceto quando se referirem a materiais e instalações de propriedade do próprio fornecedor, para os quais ele renuncie a parcela ou à totalidade da remuneração.</w:t>
      </w:r>
    </w:p>
    <w:p w:rsidR="005D3116" w:rsidRDefault="00BC39E3">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w:t>
      </w:r>
      <w:r>
        <w:rPr>
          <w:rFonts w:cs="Arial"/>
          <w:szCs w:val="20"/>
        </w:rPr>
        <w:t>les fixados em instrumentos de caráter normativo obrigatório, tais como leis, medidas provisórias e convenções coletivas de trabalho vigentes.</w:t>
      </w:r>
    </w:p>
    <w:p w:rsidR="005D3116" w:rsidRDefault="00BC39E3">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w:t>
      </w:r>
      <w:r>
        <w:rPr>
          <w:rFonts w:cs="Arial"/>
          <w:szCs w:val="20"/>
        </w:rPr>
        <w:t>entares</w:t>
      </w:r>
      <w:r>
        <w:rPr>
          <w:rFonts w:cs="Arial"/>
          <w:color w:val="000000" w:themeColor="text1"/>
          <w:szCs w:val="20"/>
          <w:lang w:eastAsia="en-US"/>
        </w:rPr>
        <w:t xml:space="preserve">, poderão ser efetuadas diligências, para que a empresa comprove a exequibilidade da proposta.  </w:t>
      </w:r>
    </w:p>
    <w:p w:rsidR="005D3116" w:rsidRDefault="00BC39E3">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w:t>
      </w:r>
      <w:r>
        <w:rPr>
          <w:rFonts w:cs="Arial"/>
          <w:color w:val="000000" w:themeColor="text1"/>
          <w:szCs w:val="20"/>
          <w:lang w:eastAsia="en-US"/>
        </w:rPr>
        <w:t>zo indicado pelo sistema, desde que não haja majoração do preço.</w:t>
      </w:r>
    </w:p>
    <w:p w:rsidR="005D3116" w:rsidRDefault="00BC39E3">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rsidR="005D3116" w:rsidRDefault="00BC39E3">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w:t>
      </w:r>
      <w:r>
        <w:rPr>
          <w:rFonts w:cs="Arial"/>
          <w:color w:val="000000" w:themeColor="text1"/>
          <w:szCs w:val="20"/>
          <w:lang w:eastAsia="en-US"/>
        </w:rPr>
        <w:t>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contribuições</w:t>
      </w:r>
      <w:proofErr w:type="spellEnd"/>
      <w:r>
        <w:rPr>
          <w:rFonts w:cs="Arial"/>
          <w:color w:val="000000" w:themeColor="text1"/>
          <w:szCs w:val="20"/>
          <w:lang w:eastAsia="en-US"/>
        </w:rPr>
        <w:t xml:space="preserve"> na forma do Simples Nacional, quando não cabível esse regime.</w:t>
      </w:r>
    </w:p>
    <w:p w:rsidR="005D3116" w:rsidRDefault="00BC39E3">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w:t>
      </w:r>
      <w:r>
        <w:rPr>
          <w:rFonts w:cs="Arial"/>
          <w:color w:val="000000" w:themeColor="text1"/>
          <w:szCs w:val="20"/>
          <w:lang w:eastAsia="en-US"/>
        </w:rPr>
        <w:t>isitante do serviço ou da área especializada no objeto.</w:t>
      </w:r>
    </w:p>
    <w:p w:rsidR="005D3116" w:rsidRDefault="00BC39E3">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rsidR="005D3116" w:rsidRDefault="00BC39E3">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w:t>
      </w:r>
      <w:r>
        <w:rPr>
          <w:rFonts w:cs="Arial"/>
          <w:color w:val="000000" w:themeColor="text1"/>
          <w:szCs w:val="20"/>
          <w:lang w:eastAsia="en-US"/>
        </w:rPr>
        <w:t>formando-se no “chat” a nova data e horário para a sua continuidade.</w:t>
      </w:r>
    </w:p>
    <w:p w:rsidR="005D3116" w:rsidRDefault="00BC39E3">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rsidR="005D3116" w:rsidRDefault="00BC39E3">
      <w:pPr>
        <w:pStyle w:val="PADRO"/>
        <w:keepNext w:val="0"/>
        <w:widowControl/>
        <w:numPr>
          <w:ilvl w:val="0"/>
          <w:numId w:val="1"/>
        </w:numPr>
        <w:shd w:val="clear" w:color="auto" w:fill="auto"/>
        <w:spacing w:before="120" w:after="120"/>
        <w:rPr>
          <w:rFonts w:ascii="Arial" w:hAnsi="Arial" w:cs="Arial"/>
          <w:b/>
        </w:rPr>
      </w:pPr>
      <w:r>
        <w:rPr>
          <w:rFonts w:ascii="Arial" w:hAnsi="Arial" w:cs="Arial"/>
          <w:b/>
        </w:rPr>
        <w:t>HABILITAÇÃO</w:t>
      </w:r>
    </w:p>
    <w:p w:rsidR="005D3116" w:rsidRDefault="00BC39E3">
      <w:pPr>
        <w:pStyle w:val="PargrafodaLista"/>
        <w:numPr>
          <w:ilvl w:val="1"/>
          <w:numId w:val="1"/>
        </w:numPr>
        <w:spacing w:before="120" w:after="120" w:line="276" w:lineRule="auto"/>
        <w:ind w:hanging="574"/>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rsidR="005D3116" w:rsidRDefault="00BC39E3">
      <w:pPr>
        <w:pStyle w:val="PargrafodaLista"/>
        <w:numPr>
          <w:ilvl w:val="1"/>
          <w:numId w:val="1"/>
        </w:numPr>
        <w:spacing w:before="120" w:after="120" w:line="276" w:lineRule="auto"/>
        <w:ind w:hanging="574"/>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w:t>
      </w:r>
      <w:r>
        <w:rPr>
          <w:rFonts w:cs="Arial"/>
          <w:szCs w:val="20"/>
          <w:lang w:eastAsia="ar-SA"/>
        </w:rPr>
        <w:t>necedor detentor da proposta classificada em primeiro lugar, será verificado o eventual descumprimento das condições de participação, especialmente quanto à existência de sanção que impeça a participação no certame ou a futura contratação, mediante a consu</w:t>
      </w:r>
      <w:r>
        <w:rPr>
          <w:rFonts w:cs="Arial"/>
          <w:szCs w:val="20"/>
          <w:lang w:eastAsia="ar-SA"/>
        </w:rPr>
        <w:t xml:space="preserve">lta aos seguintes cadastros:  </w:t>
      </w:r>
    </w:p>
    <w:p w:rsidR="005D3116" w:rsidRDefault="00BC39E3">
      <w:pPr>
        <w:pStyle w:val="PargrafodaLista"/>
        <w:spacing w:before="120" w:after="120" w:line="276" w:lineRule="auto"/>
        <w:ind w:left="1134"/>
        <w:jc w:val="both"/>
        <w:rPr>
          <w:rFonts w:cs="Arial"/>
          <w:szCs w:val="20"/>
          <w:lang w:eastAsia="ar-SA"/>
        </w:rPr>
      </w:pPr>
      <w:r>
        <w:rPr>
          <w:rFonts w:cs="Arial"/>
          <w:szCs w:val="20"/>
          <w:lang w:eastAsia="ar-SA"/>
        </w:rPr>
        <w:t xml:space="preserve">a) SICAF;  </w:t>
      </w:r>
    </w:p>
    <w:p w:rsidR="005D3116" w:rsidRDefault="00BC39E3">
      <w:pPr>
        <w:pStyle w:val="PargrafodaLista"/>
        <w:spacing w:before="120" w:after="120" w:line="276" w:lineRule="auto"/>
        <w:ind w:left="1134"/>
        <w:jc w:val="both"/>
      </w:pPr>
      <w:r>
        <w:rPr>
          <w:rFonts w:cs="Arial"/>
          <w:szCs w:val="20"/>
          <w:lang w:eastAsia="ar-SA"/>
        </w:rPr>
        <w:t>b) Cadastro Nacional de Empresas Inidôneas e Suspensas - CEIS, mantido pela Controladoria-Geral da União (</w:t>
      </w:r>
      <w:hyperlink r:id="rId13">
        <w:r>
          <w:rPr>
            <w:rStyle w:val="LinkdaInternet"/>
            <w:rFonts w:eastAsia="Calibri" w:cs="Arial"/>
            <w:lang w:eastAsia="ar-SA"/>
          </w:rPr>
          <w:t>www.portaldatransparencia.gov.br/ceis</w:t>
        </w:r>
      </w:hyperlink>
      <w:r>
        <w:rPr>
          <w:rFonts w:cs="Arial"/>
          <w:szCs w:val="20"/>
          <w:lang w:eastAsia="ar-SA"/>
        </w:rPr>
        <w:t xml:space="preserve">);  </w:t>
      </w:r>
    </w:p>
    <w:p w:rsidR="005D3116" w:rsidRDefault="00BC39E3">
      <w:pPr>
        <w:pStyle w:val="PargrafodaLista"/>
        <w:spacing w:before="120" w:after="120" w:line="276" w:lineRule="auto"/>
        <w:ind w:left="1134"/>
        <w:jc w:val="both"/>
      </w:pPr>
      <w:r>
        <w:rPr>
          <w:rFonts w:cs="Arial"/>
          <w:szCs w:val="20"/>
          <w:lang w:eastAsia="ar-SA"/>
        </w:rPr>
        <w:t>c) Cadastro Nacional de Condenações Cíveis por Atos de Improbidade Administrativa, mantido pelo Conselho Nacional de Justiça (</w:t>
      </w:r>
      <w:hyperlink r:id="rId14">
        <w:r>
          <w:rPr>
            <w:rStyle w:val="LinkdaInternet"/>
            <w:rFonts w:eastAsia="Calibri" w:cs="Arial"/>
            <w:lang w:eastAsia="ar-SA"/>
          </w:rPr>
          <w:t>www.cnj.jus.br/improbidade_adm/consultar_requerid</w:t>
        </w:r>
        <w:r>
          <w:rPr>
            <w:rStyle w:val="LinkdaInternet"/>
            <w:rFonts w:eastAsia="Calibri" w:cs="Arial"/>
            <w:lang w:eastAsia="ar-SA"/>
          </w:rPr>
          <w:t>o.php</w:t>
        </w:r>
      </w:hyperlink>
      <w:r>
        <w:rPr>
          <w:rFonts w:cs="Arial"/>
          <w:szCs w:val="20"/>
          <w:lang w:eastAsia="ar-SA"/>
        </w:rPr>
        <w:t xml:space="preserve">).  </w:t>
      </w:r>
    </w:p>
    <w:p w:rsidR="005D3116" w:rsidRDefault="00BC39E3">
      <w:pPr>
        <w:pStyle w:val="PargrafodaLista"/>
        <w:spacing w:before="120" w:after="120" w:line="276" w:lineRule="auto"/>
        <w:ind w:left="1134"/>
        <w:jc w:val="both"/>
        <w:rPr>
          <w:rFonts w:cs="Arial"/>
          <w:szCs w:val="20"/>
          <w:lang w:eastAsia="ar-SA"/>
        </w:rPr>
      </w:pPr>
      <w:r>
        <w:rPr>
          <w:rFonts w:cs="Arial"/>
          <w:szCs w:val="20"/>
          <w:lang w:eastAsia="ar-SA"/>
        </w:rPr>
        <w:t xml:space="preserve">d) Lista de Inidôneos mantida pelo Tribunal de Contas da União - TCU; </w:t>
      </w:r>
    </w:p>
    <w:p w:rsidR="005D3116" w:rsidRDefault="00BC39E3">
      <w:pPr>
        <w:pStyle w:val="PargrafodaLista"/>
        <w:numPr>
          <w:ilvl w:val="2"/>
          <w:numId w:val="1"/>
        </w:numPr>
        <w:spacing w:before="120" w:after="120" w:line="276" w:lineRule="auto"/>
        <w:jc w:val="both"/>
        <w:rPr>
          <w:rFonts w:cs="Arial"/>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w:t>
      </w:r>
      <w:r>
        <w:rPr>
          <w:rFonts w:cs="Arial"/>
          <w:szCs w:val="20"/>
          <w:lang w:eastAsia="ar-SA"/>
        </w:rPr>
        <w:t>(https://certidoesapf.apps.tcu.gov.br/)</w:t>
      </w:r>
    </w:p>
    <w:p w:rsidR="005D3116" w:rsidRDefault="00BC39E3">
      <w:pPr>
        <w:pStyle w:val="PargrafodaLista"/>
        <w:numPr>
          <w:ilvl w:val="2"/>
          <w:numId w:val="1"/>
        </w:numPr>
        <w:spacing w:before="120" w:after="120" w:line="276" w:lineRule="auto"/>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w:t>
      </w:r>
      <w:r>
        <w:rPr>
          <w:rFonts w:cs="Arial"/>
          <w:color w:val="000000" w:themeColor="text1"/>
          <w:szCs w:val="20"/>
        </w:rPr>
        <w:t>tica de ato de improbidade administrativa, a proibição de contratar com o Poder Público, inclusive por intermédio de pessoa jurídica da qual seja sócio majoritário.</w:t>
      </w:r>
    </w:p>
    <w:p w:rsidR="005D3116" w:rsidRDefault="00BC39E3">
      <w:pPr>
        <w:pStyle w:val="PargrafodaLista"/>
        <w:numPr>
          <w:ilvl w:val="3"/>
          <w:numId w:val="1"/>
        </w:numPr>
        <w:spacing w:before="120" w:after="120" w:line="276" w:lineRule="auto"/>
        <w:jc w:val="both"/>
        <w:rPr>
          <w:rFonts w:cs="Arial"/>
          <w:szCs w:val="20"/>
        </w:rPr>
      </w:pPr>
      <w:r>
        <w:rPr>
          <w:rFonts w:cs="Arial"/>
          <w:color w:val="000000" w:themeColor="text1"/>
          <w:szCs w:val="20"/>
        </w:rPr>
        <w:t>Caso conste na Consulta de Situação do Fornecedor a existência de Ocorrências Impeditivas I</w:t>
      </w:r>
      <w:r>
        <w:rPr>
          <w:rFonts w:cs="Arial"/>
          <w:color w:val="000000" w:themeColor="text1"/>
          <w:szCs w:val="20"/>
        </w:rPr>
        <w:t>ndiretas, o gestor diligenciará para verificar se houve fraude por parte das empresas apontadas no Relatório de Ocorrências Impeditivas Indiretas.</w:t>
      </w:r>
    </w:p>
    <w:p w:rsidR="005D3116" w:rsidRDefault="00BC39E3">
      <w:pPr>
        <w:pStyle w:val="PargrafodaLista"/>
        <w:numPr>
          <w:ilvl w:val="4"/>
          <w:numId w:val="1"/>
        </w:numPr>
        <w:spacing w:before="120" w:after="120" w:line="276" w:lineRule="auto"/>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w:t>
      </w:r>
      <w:r>
        <w:rPr>
          <w:rFonts w:cs="Arial"/>
          <w:color w:val="000000" w:themeColor="text1"/>
          <w:szCs w:val="20"/>
        </w:rPr>
        <w:t>tre outros.</w:t>
      </w:r>
    </w:p>
    <w:p w:rsidR="005D3116" w:rsidRDefault="00BC39E3">
      <w:pPr>
        <w:pStyle w:val="PargrafodaLista"/>
        <w:numPr>
          <w:ilvl w:val="4"/>
          <w:numId w:val="1"/>
        </w:numPr>
        <w:spacing w:before="120" w:after="120" w:line="276" w:lineRule="auto"/>
        <w:jc w:val="both"/>
        <w:rPr>
          <w:rFonts w:cs="Arial"/>
          <w:szCs w:val="20"/>
        </w:rPr>
      </w:pPr>
      <w:r>
        <w:rPr>
          <w:rFonts w:cs="Arial"/>
          <w:color w:val="000000" w:themeColor="text1"/>
          <w:szCs w:val="20"/>
        </w:rPr>
        <w:t>O fornecedor será convocado para manifestação previamente à sua desclassificação</w:t>
      </w:r>
    </w:p>
    <w:p w:rsidR="005D3116" w:rsidRDefault="00BC39E3">
      <w:pPr>
        <w:pStyle w:val="PargrafodaLista"/>
        <w:numPr>
          <w:ilvl w:val="2"/>
          <w:numId w:val="1"/>
        </w:numPr>
        <w:spacing w:before="120" w:after="120" w:line="276" w:lineRule="auto"/>
        <w:jc w:val="both"/>
        <w:rPr>
          <w:rFonts w:cs="Arial"/>
          <w:szCs w:val="20"/>
        </w:rPr>
      </w:pPr>
      <w:r>
        <w:rPr>
          <w:rFonts w:cs="Arial"/>
          <w:color w:val="000000" w:themeColor="text1"/>
          <w:szCs w:val="20"/>
        </w:rPr>
        <w:lastRenderedPageBreak/>
        <w:t>Constatada a existência de sanção, o fornecedor será reputado inabilitado, por falta de condição de participação.</w:t>
      </w:r>
    </w:p>
    <w:p w:rsidR="005D3116" w:rsidRDefault="00BC39E3">
      <w:pPr>
        <w:pStyle w:val="PargrafodaLista"/>
        <w:numPr>
          <w:ilvl w:val="1"/>
          <w:numId w:val="1"/>
        </w:numPr>
        <w:spacing w:before="120" w:after="120" w:line="276" w:lineRule="auto"/>
        <w:ind w:hanging="574"/>
        <w:jc w:val="both"/>
        <w:rPr>
          <w:rFonts w:cs="Arial"/>
          <w:szCs w:val="20"/>
        </w:rPr>
      </w:pPr>
      <w:r>
        <w:rPr>
          <w:rFonts w:cs="Arial"/>
          <w:color w:val="000000" w:themeColor="text1"/>
          <w:szCs w:val="20"/>
        </w:rPr>
        <w:t xml:space="preserve">Caso atendidas as condições de participação, </w:t>
      </w:r>
      <w:r>
        <w:rPr>
          <w:rFonts w:cs="Arial"/>
          <w:szCs w:val="20"/>
        </w:rPr>
        <w:t>a ha</w:t>
      </w:r>
      <w:r>
        <w:rPr>
          <w:rFonts w:cs="Arial"/>
          <w:szCs w:val="20"/>
        </w:rPr>
        <w:t>bilitação dos fornecedores será verificada por meio do SICAF, nos documentos por ele abrangidos</w:t>
      </w:r>
      <w:r>
        <w:rPr>
          <w:rFonts w:cs="Arial"/>
          <w:color w:val="000000" w:themeColor="text1"/>
          <w:szCs w:val="20"/>
        </w:rPr>
        <w:t>.</w:t>
      </w:r>
    </w:p>
    <w:p w:rsidR="005D3116" w:rsidRDefault="00BC39E3">
      <w:pPr>
        <w:pStyle w:val="PargrafodaLista"/>
        <w:numPr>
          <w:ilvl w:val="2"/>
          <w:numId w:val="1"/>
        </w:numPr>
        <w:spacing w:before="120" w:after="120" w:line="276" w:lineRule="auto"/>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w:t>
      </w:r>
      <w:r>
        <w:rPr>
          <w:rFonts w:cs="Arial"/>
          <w:color w:val="000000" w:themeColor="text1"/>
          <w:szCs w:val="20"/>
        </w:rPr>
        <w:t xml:space="preserve"> quando solicitado, a respectiva documentação atualizada.</w:t>
      </w:r>
    </w:p>
    <w:p w:rsidR="005D3116" w:rsidRDefault="00BC39E3">
      <w:pPr>
        <w:pStyle w:val="PargrafodaLista"/>
        <w:numPr>
          <w:ilvl w:val="2"/>
          <w:numId w:val="1"/>
        </w:numPr>
        <w:spacing w:before="120" w:after="120" w:line="276" w:lineRule="auto"/>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w:t>
      </w:r>
      <w:r>
        <w:rPr>
          <w:rFonts w:cs="Arial"/>
          <w:color w:val="000000" w:themeColor="text1"/>
          <w:szCs w:val="20"/>
        </w:rPr>
        <w:t>ida(s).</w:t>
      </w:r>
    </w:p>
    <w:p w:rsidR="005D3116" w:rsidRDefault="00BC39E3">
      <w:pPr>
        <w:pStyle w:val="PargrafodaLista"/>
        <w:numPr>
          <w:ilvl w:val="1"/>
          <w:numId w:val="1"/>
        </w:numPr>
        <w:spacing w:before="120" w:after="120" w:line="276" w:lineRule="auto"/>
        <w:ind w:hanging="574"/>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w:t>
      </w:r>
      <w:r>
        <w:rPr>
          <w:rFonts w:cs="Arial"/>
          <w:color w:val="000000" w:themeColor="text1"/>
          <w:szCs w:val="20"/>
        </w:rPr>
        <w:t>itação da Administração, sob pena de inabilitação.</w:t>
      </w:r>
    </w:p>
    <w:p w:rsidR="005D3116" w:rsidRDefault="00BC39E3">
      <w:pPr>
        <w:pStyle w:val="PargrafodaLista"/>
        <w:numPr>
          <w:ilvl w:val="1"/>
          <w:numId w:val="1"/>
        </w:numPr>
        <w:spacing w:before="120" w:after="120" w:line="276" w:lineRule="auto"/>
        <w:ind w:hanging="574"/>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rsidR="005D3116" w:rsidRDefault="00BC39E3">
      <w:pPr>
        <w:pStyle w:val="PargrafodaLista"/>
        <w:numPr>
          <w:ilvl w:val="1"/>
          <w:numId w:val="1"/>
        </w:numPr>
        <w:spacing w:before="120" w:after="120" w:line="276" w:lineRule="auto"/>
        <w:ind w:hanging="574"/>
        <w:jc w:val="both"/>
        <w:rPr>
          <w:rFonts w:cs="Arial"/>
          <w:b/>
          <w:bCs/>
          <w:szCs w:val="20"/>
        </w:rPr>
      </w:pPr>
      <w:r>
        <w:rPr>
          <w:rFonts w:cs="Arial"/>
          <w:bCs/>
          <w:szCs w:val="20"/>
        </w:rPr>
        <w:t xml:space="preserve">O </w:t>
      </w:r>
      <w:r>
        <w:rPr>
          <w:rFonts w:cs="Arial"/>
          <w:bCs/>
          <w:szCs w:val="20"/>
        </w:rPr>
        <w:t>fornecedor enquadrado como microempreendedor individual que pretenda auferir os benefícios do tratamento diferenciado previstos na Lei Complementar n. 123, de 2006, estará dispensado (a) da prova de inscrição nos cadastros de contribuintes estadual e munic</w:t>
      </w:r>
      <w:r>
        <w:rPr>
          <w:rFonts w:cs="Arial"/>
          <w:bCs/>
          <w:szCs w:val="20"/>
        </w:rPr>
        <w:t>ipal e (b) da apresentação do balanço patrimonial e das demonstrações contábeis do último exercício.</w:t>
      </w:r>
    </w:p>
    <w:p w:rsidR="005D3116" w:rsidRDefault="00BC39E3">
      <w:pPr>
        <w:pStyle w:val="PargrafodaLista"/>
        <w:numPr>
          <w:ilvl w:val="1"/>
          <w:numId w:val="1"/>
        </w:numPr>
        <w:spacing w:before="120" w:after="120" w:line="276" w:lineRule="auto"/>
        <w:ind w:hanging="574"/>
        <w:jc w:val="both"/>
        <w:rPr>
          <w:rFonts w:cs="Arial"/>
          <w:i/>
          <w:color w:val="FF0000"/>
          <w:szCs w:val="20"/>
        </w:rPr>
      </w:pPr>
      <w:r>
        <w:rPr>
          <w:rFonts w:cs="Arial"/>
          <w:i/>
          <w:color w:val="FF0000"/>
          <w:szCs w:val="20"/>
        </w:rPr>
        <w:t>O fornecedor provisoriamente vencedor em um item, que estiver concorrendo em outro item, ficará obrigado a comprovar os requisitos de habilitação cumulativ</w:t>
      </w:r>
      <w:r>
        <w:rPr>
          <w:rFonts w:cs="Arial"/>
          <w:i/>
          <w:color w:val="FF0000"/>
          <w:szCs w:val="20"/>
        </w:rPr>
        <w:t>amente, isto é, somando as exigências do item em que venceu às do item em que estiver concorrendo, e assim sucessivamente, sob pena de inabilitação, além da aplicação das sanções cabíveis.</w:t>
      </w:r>
    </w:p>
    <w:p w:rsidR="005D3116" w:rsidRDefault="00BC39E3">
      <w:pPr>
        <w:pStyle w:val="PargrafodaLista"/>
        <w:numPr>
          <w:ilvl w:val="2"/>
          <w:numId w:val="1"/>
        </w:numPr>
        <w:spacing w:before="120" w:after="120" w:line="276" w:lineRule="auto"/>
        <w:jc w:val="both"/>
        <w:rPr>
          <w:rFonts w:cs="Arial"/>
          <w:i/>
          <w:color w:val="FF0000"/>
          <w:szCs w:val="20"/>
        </w:rPr>
      </w:pPr>
      <w:r>
        <w:rPr>
          <w:rFonts w:cs="Arial"/>
          <w:i/>
          <w:color w:val="FF0000"/>
          <w:szCs w:val="20"/>
        </w:rPr>
        <w:t>Não havendo a comprovação cumulativa dos requisitos de habilitação,</w:t>
      </w:r>
      <w:r>
        <w:rPr>
          <w:rFonts w:cs="Arial"/>
          <w:i/>
          <w:color w:val="FF0000"/>
          <w:szCs w:val="20"/>
        </w:rPr>
        <w:t xml:space="preserve"> a inabilitação recairá sobre o(s) item(</w:t>
      </w:r>
      <w:proofErr w:type="spellStart"/>
      <w:r>
        <w:rPr>
          <w:rFonts w:cs="Arial"/>
          <w:i/>
          <w:color w:val="FF0000"/>
          <w:szCs w:val="20"/>
        </w:rPr>
        <w:t>ns</w:t>
      </w:r>
      <w:proofErr w:type="spellEnd"/>
      <w:r>
        <w:rPr>
          <w:rFonts w:cs="Arial"/>
          <w:i/>
          <w:color w:val="FF0000"/>
          <w:szCs w:val="20"/>
        </w:rPr>
        <w:t>) de menor(es) valor(es) cuja retirada(s) seja(m) suficiente(s) para a habilitação do fornecedor nos remanescentes.</w:t>
      </w:r>
    </w:p>
    <w:p w:rsidR="005D3116" w:rsidRDefault="00BC39E3">
      <w:pPr>
        <w:pStyle w:val="PargrafodaLista"/>
        <w:numPr>
          <w:ilvl w:val="1"/>
          <w:numId w:val="1"/>
        </w:numPr>
        <w:spacing w:before="120" w:after="120" w:line="276" w:lineRule="auto"/>
        <w:ind w:hanging="574"/>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w:t>
      </w:r>
      <w:r>
        <w:rPr>
          <w:rFonts w:cs="Arial"/>
          <w:bCs/>
          <w:szCs w:val="20"/>
        </w:rPr>
        <w:t>do informada a nova data e horário para a sua continuidade.</w:t>
      </w:r>
    </w:p>
    <w:p w:rsidR="005D3116" w:rsidRDefault="00BC39E3">
      <w:pPr>
        <w:pStyle w:val="PargrafodaLista"/>
        <w:numPr>
          <w:ilvl w:val="1"/>
          <w:numId w:val="1"/>
        </w:numPr>
        <w:spacing w:before="120" w:after="120" w:line="276" w:lineRule="auto"/>
        <w:ind w:hanging="574"/>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w:t>
      </w:r>
      <w:r>
        <w:rPr>
          <w:rFonts w:cs="Arial"/>
          <w:color w:val="000000"/>
          <w:szCs w:val="20"/>
        </w:rPr>
        <w:t>ção Direta.</w:t>
      </w:r>
    </w:p>
    <w:p w:rsidR="005D3116" w:rsidRDefault="00BC39E3">
      <w:pPr>
        <w:pStyle w:val="PargrafodaLista"/>
        <w:numPr>
          <w:ilvl w:val="2"/>
          <w:numId w:val="1"/>
        </w:numPr>
        <w:spacing w:before="120" w:after="120" w:line="276" w:lineRule="auto"/>
        <w:jc w:val="both"/>
        <w:rPr>
          <w:rFonts w:cs="Arial"/>
          <w:color w:val="000000"/>
          <w:szCs w:val="20"/>
        </w:rPr>
      </w:pPr>
      <w:r>
        <w:rPr>
          <w:rFonts w:cs="Arial"/>
          <w:color w:val="000000"/>
          <w:szCs w:val="2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w:t>
      </w:r>
      <w:r>
        <w:rPr>
          <w:rFonts w:cs="Arial"/>
          <w:color w:val="000000"/>
          <w:szCs w:val="20"/>
        </w:rPr>
        <w:t>objeto e as condições de habilitação</w:t>
      </w:r>
    </w:p>
    <w:p w:rsidR="005D3116" w:rsidRDefault="00BC39E3">
      <w:pPr>
        <w:pStyle w:val="PargrafodaLista"/>
        <w:numPr>
          <w:ilvl w:val="1"/>
          <w:numId w:val="1"/>
        </w:numPr>
        <w:spacing w:before="120" w:after="120" w:line="276" w:lineRule="auto"/>
        <w:ind w:hanging="574"/>
        <w:jc w:val="both"/>
        <w:rPr>
          <w:rFonts w:cs="Arial"/>
          <w:iCs/>
          <w:lang w:eastAsia="en-US"/>
        </w:rPr>
      </w:pPr>
      <w:r>
        <w:rPr>
          <w:rFonts w:cs="Arial"/>
          <w:iCs/>
          <w:lang w:eastAsia="en-US"/>
        </w:rPr>
        <w:t>Constatado o atendimento às exigências de habilitação, o fornecedor será habilitado</w:t>
      </w:r>
    </w:p>
    <w:p w:rsidR="005D3116" w:rsidRDefault="00BC39E3">
      <w:pPr>
        <w:pStyle w:val="PADRO"/>
        <w:keepNext w:val="0"/>
        <w:widowControl/>
        <w:numPr>
          <w:ilvl w:val="0"/>
          <w:numId w:val="1"/>
        </w:numPr>
        <w:shd w:val="clear" w:color="auto" w:fill="auto"/>
        <w:spacing w:before="120" w:after="120"/>
        <w:rPr>
          <w:rFonts w:ascii="Arial" w:hAnsi="Arial" w:cs="Arial"/>
          <w:b/>
        </w:rPr>
      </w:pPr>
      <w:r>
        <w:rPr>
          <w:rFonts w:ascii="Arial" w:hAnsi="Arial" w:cs="Arial"/>
          <w:b/>
        </w:rPr>
        <w:t>CONTRATAÇÃO</w:t>
      </w:r>
    </w:p>
    <w:p w:rsidR="005D3116" w:rsidRDefault="00BC39E3">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Após a homologação e adjudicação, caso se conclua pela contratação, será firmado Termo de Contrato ou emitido instrumento </w:t>
      </w:r>
      <w:r>
        <w:rPr>
          <w:rFonts w:eastAsia="Arial" w:cs="Arial"/>
          <w:color w:val="000000"/>
          <w:szCs w:val="20"/>
        </w:rPr>
        <w:t>equivalente.</w:t>
      </w:r>
    </w:p>
    <w:p w:rsidR="005D3116" w:rsidRDefault="00BC39E3">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Pr>
          <w:rFonts w:eastAsia="Arial" w:cs="Arial"/>
          <w:color w:val="FF0000"/>
          <w:szCs w:val="20"/>
        </w:rPr>
        <w:t>7(dias) dias úteis</w:t>
      </w:r>
      <w:r>
        <w:rPr>
          <w:rFonts w:eastAsia="Arial" w:cs="Arial"/>
          <w:color w:val="000000"/>
          <w:szCs w:val="20"/>
        </w:rPr>
        <w:t xml:space="preserve">, contados a partir da data de sua convocação, para </w:t>
      </w:r>
      <w:r>
        <w:rPr>
          <w:rFonts w:eastAsia="Arial" w:cs="Arial"/>
          <w:color w:val="FF0000"/>
          <w:szCs w:val="20"/>
        </w:rPr>
        <w:t xml:space="preserve">assinar o Termo de Contrato ou aceitar instrumento equivalente, conforme o caso (Nota de Empenho/Carta Contrato/Autorização), </w:t>
      </w:r>
      <w:r>
        <w:rPr>
          <w:rFonts w:eastAsia="Arial" w:cs="Arial"/>
          <w:color w:val="000000"/>
          <w:szCs w:val="20"/>
        </w:rPr>
        <w:t>sob pena de dec</w:t>
      </w:r>
      <w:r>
        <w:rPr>
          <w:rFonts w:eastAsia="Arial" w:cs="Arial"/>
          <w:color w:val="000000"/>
          <w:szCs w:val="20"/>
        </w:rPr>
        <w:t xml:space="preserve">air do direito à contratação, sem prejuízo das sanções previstas neste Aviso de Contratação Direta. </w:t>
      </w:r>
    </w:p>
    <w:p w:rsidR="005D3116" w:rsidRDefault="00BC39E3">
      <w:pPr>
        <w:numPr>
          <w:ilvl w:val="2"/>
          <w:numId w:val="1"/>
        </w:numPr>
        <w:spacing w:before="120" w:after="120" w:line="276" w:lineRule="auto"/>
        <w:jc w:val="both"/>
        <w:rPr>
          <w:rFonts w:eastAsia="Arial" w:cs="Arial"/>
          <w:i/>
          <w:color w:val="FF0000"/>
          <w:szCs w:val="20"/>
        </w:rPr>
      </w:pPr>
      <w:r>
        <w:rPr>
          <w:rFonts w:eastAsia="Arial" w:cs="Arial"/>
          <w:i/>
          <w:color w:val="FF0000"/>
          <w:szCs w:val="20"/>
        </w:rPr>
        <w:t xml:space="preserve">Alternativamente à convocação para comparecer perante o órgão ou entidade para a assinatura do Termo de Contrato, a Administração poderá encaminhá-lo para </w:t>
      </w:r>
      <w:r>
        <w:rPr>
          <w:rFonts w:eastAsia="Arial" w:cs="Arial"/>
          <w:i/>
          <w:color w:val="FF0000"/>
          <w:szCs w:val="20"/>
        </w:rPr>
        <w:t xml:space="preserve">assinatura, mediante correspondência postal com aviso de recebimento (AR) ou meio eletrônico, para que seja assinado e devolvido no prazo de 2 (dois) dias, a contar da data de seu recebimento. </w:t>
      </w:r>
    </w:p>
    <w:p w:rsidR="005D3116" w:rsidRDefault="00BC39E3">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para assinatura do contrato ou aceitação da n</w:t>
      </w:r>
      <w:r>
        <w:rPr>
          <w:rFonts w:eastAsia="Arial" w:cs="Arial"/>
          <w:color w:val="000000"/>
          <w:szCs w:val="20"/>
        </w:rPr>
        <w:t xml:space="preserve">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rsidR="005D3116" w:rsidRDefault="00BC39E3">
      <w:pPr>
        <w:numPr>
          <w:ilvl w:val="1"/>
          <w:numId w:val="1"/>
        </w:numPr>
        <w:spacing w:before="120" w:after="120" w:line="276" w:lineRule="auto"/>
        <w:ind w:left="425" w:firstLine="0"/>
        <w:jc w:val="both"/>
        <w:rPr>
          <w:rFonts w:eastAsia="Arial" w:cs="Arial"/>
          <w:i/>
          <w:color w:val="FF0000"/>
          <w:szCs w:val="20"/>
        </w:rPr>
      </w:pPr>
      <w:r>
        <w:rPr>
          <w:rFonts w:eastAsia="Arial" w:cs="Arial"/>
          <w:i/>
          <w:color w:val="FF0000"/>
          <w:szCs w:val="20"/>
        </w:rPr>
        <w:t>O Aceite da Nota de Empenho ou do instrumento equivalente, emitida à empresa adjudicad</w:t>
      </w:r>
      <w:r>
        <w:rPr>
          <w:rFonts w:eastAsia="Arial" w:cs="Arial"/>
          <w:i/>
          <w:color w:val="FF0000"/>
          <w:szCs w:val="20"/>
        </w:rPr>
        <w:t>a, implica no reconhecimento de que:</w:t>
      </w:r>
    </w:p>
    <w:p w:rsidR="005D3116" w:rsidRDefault="00BC39E3">
      <w:pPr>
        <w:numPr>
          <w:ilvl w:val="2"/>
          <w:numId w:val="1"/>
        </w:numPr>
        <w:spacing w:before="120" w:after="120" w:line="276" w:lineRule="auto"/>
        <w:jc w:val="both"/>
        <w:rPr>
          <w:rFonts w:eastAsia="Arial" w:cs="Arial"/>
          <w:i/>
          <w:color w:val="FF0000"/>
          <w:szCs w:val="20"/>
        </w:rPr>
      </w:pPr>
      <w:r>
        <w:rPr>
          <w:rFonts w:eastAsia="Arial" w:cs="Arial"/>
          <w:i/>
          <w:color w:val="FF0000"/>
          <w:szCs w:val="20"/>
        </w:rPr>
        <w:lastRenderedPageBreak/>
        <w:t>referida Nota está substituindo o contrato, aplicando-se à relação de negócios ali estabelecida as disposições da Lei nº 14.133, de 2021;</w:t>
      </w:r>
    </w:p>
    <w:p w:rsidR="005D3116" w:rsidRDefault="00BC39E3">
      <w:pPr>
        <w:numPr>
          <w:ilvl w:val="2"/>
          <w:numId w:val="1"/>
        </w:numPr>
        <w:spacing w:before="120" w:after="120" w:line="276" w:lineRule="auto"/>
        <w:jc w:val="both"/>
        <w:rPr>
          <w:rFonts w:eastAsia="Arial" w:cs="Arial"/>
          <w:i/>
          <w:color w:val="FF0000"/>
          <w:szCs w:val="20"/>
        </w:rPr>
      </w:pPr>
      <w:r>
        <w:rPr>
          <w:rFonts w:eastAsia="Arial" w:cs="Arial"/>
          <w:i/>
          <w:color w:val="FF0000"/>
          <w:szCs w:val="20"/>
        </w:rPr>
        <w:t>a contratada se vincula à sua proposta e às previsões contidas no Aviso de Contra</w:t>
      </w:r>
      <w:r>
        <w:rPr>
          <w:rFonts w:eastAsia="Arial" w:cs="Arial"/>
          <w:i/>
          <w:color w:val="FF0000"/>
          <w:szCs w:val="20"/>
        </w:rPr>
        <w:t>tação Direta e seus anexos;</w:t>
      </w:r>
    </w:p>
    <w:p w:rsidR="005D3116" w:rsidRDefault="00BC39E3">
      <w:pPr>
        <w:numPr>
          <w:ilvl w:val="2"/>
          <w:numId w:val="1"/>
        </w:numPr>
        <w:spacing w:before="120" w:after="120" w:line="276" w:lineRule="auto"/>
        <w:jc w:val="both"/>
        <w:rPr>
          <w:rFonts w:eastAsia="Arial" w:cs="Arial"/>
          <w:i/>
          <w:color w:val="FF0000"/>
          <w:szCs w:val="20"/>
        </w:rPr>
      </w:pPr>
      <w:r>
        <w:rPr>
          <w:rFonts w:eastAsia="Arial" w:cs="Arial"/>
          <w:i/>
          <w:color w:val="FF0000"/>
          <w:szCs w:val="20"/>
        </w:rPr>
        <w:t>a contratada reconhece que as hipóteses de rescisão são aquelas previstas nos artigos 137 e 138 da Lei nº 14.133/21 e reconhece os direitos da Administração previstos nos artigos 137 a 139 da mesma Lei.</w:t>
      </w:r>
    </w:p>
    <w:p w:rsidR="005D3116" w:rsidRDefault="00BC39E3">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O prazo de vigência da co</w:t>
      </w:r>
      <w:r>
        <w:rPr>
          <w:rFonts w:eastAsia="Arial" w:cs="Arial"/>
          <w:color w:val="000000"/>
          <w:szCs w:val="20"/>
        </w:rPr>
        <w:t xml:space="preserve">ntratação é de </w:t>
      </w:r>
      <w:r>
        <w:rPr>
          <w:rFonts w:eastAsia="Arial" w:cs="Arial"/>
          <w:color w:val="FF0000"/>
          <w:szCs w:val="20"/>
        </w:rPr>
        <w:t xml:space="preserve">30 dias </w:t>
      </w:r>
      <w:r>
        <w:rPr>
          <w:rFonts w:eastAsia="Arial" w:cs="Arial"/>
          <w:color w:val="000000"/>
          <w:szCs w:val="20"/>
        </w:rPr>
        <w:t xml:space="preserve">prorrogável conforme previsão nos anexos a este Aviso de Contratação Direta. </w:t>
      </w:r>
    </w:p>
    <w:p w:rsidR="005D3116" w:rsidRDefault="00BC39E3">
      <w:pPr>
        <w:numPr>
          <w:ilvl w:val="1"/>
          <w:numId w:val="1"/>
        </w:numPr>
        <w:spacing w:before="120" w:after="120" w:line="276" w:lineRule="auto"/>
        <w:ind w:left="425" w:firstLine="0"/>
        <w:jc w:val="both"/>
        <w:rPr>
          <w:rFonts w:eastAsia="Arial" w:cs="Arial"/>
          <w:color w:val="000000"/>
          <w:szCs w:val="20"/>
        </w:rPr>
      </w:pPr>
      <w:r>
        <w:rPr>
          <w:rFonts w:cs="Arial"/>
          <w:color w:val="000000"/>
          <w:szCs w:val="20"/>
        </w:rPr>
        <w:t xml:space="preserve">Na assinatura do contrato ou do instrumento equivalente será exigida a comprovação das condições de habilitação e contratação consignadas neste aviso, que </w:t>
      </w:r>
      <w:r>
        <w:rPr>
          <w:rFonts w:cs="Arial"/>
          <w:color w:val="000000"/>
          <w:szCs w:val="20"/>
        </w:rPr>
        <w:t>deverão ser mantidas pelo fornecedor durante a vigência do contrato.</w:t>
      </w:r>
    </w:p>
    <w:p w:rsidR="005D3116" w:rsidRDefault="00BC39E3">
      <w:pPr>
        <w:pStyle w:val="PADRO"/>
        <w:keepNext w:val="0"/>
        <w:widowControl/>
        <w:numPr>
          <w:ilvl w:val="0"/>
          <w:numId w:val="1"/>
        </w:numPr>
        <w:shd w:val="clear" w:color="auto" w:fill="auto"/>
        <w:spacing w:before="120" w:after="120"/>
        <w:rPr>
          <w:rFonts w:ascii="Arial" w:hAnsi="Arial" w:cs="Arial"/>
          <w:b/>
        </w:rPr>
      </w:pPr>
      <w:r>
        <w:rPr>
          <w:rFonts w:ascii="Arial" w:hAnsi="Arial" w:cs="Arial"/>
          <w:b/>
        </w:rPr>
        <w:t>SANÇÕES</w:t>
      </w:r>
    </w:p>
    <w:p w:rsidR="005D3116" w:rsidRDefault="00BC39E3">
      <w:pPr>
        <w:numPr>
          <w:ilvl w:val="1"/>
          <w:numId w:val="1"/>
        </w:numPr>
        <w:spacing w:before="120" w:after="120" w:line="276" w:lineRule="auto"/>
        <w:ind w:left="425" w:firstLine="0"/>
        <w:jc w:val="both"/>
        <w:rPr>
          <w:rFonts w:cs="Arial"/>
          <w:b/>
        </w:rPr>
      </w:pPr>
      <w:r>
        <w:rPr>
          <w:rFonts w:cs="Arial"/>
        </w:rPr>
        <w:t xml:space="preserve">Comete infração administrativa o fornecedor que cometer quaisquer das infrações previstas no art. 155 da Lei nº 14.133, de 2021, quais sejam: </w:t>
      </w:r>
    </w:p>
    <w:p w:rsidR="005D3116" w:rsidRDefault="00BC39E3">
      <w:pPr>
        <w:numPr>
          <w:ilvl w:val="2"/>
          <w:numId w:val="1"/>
        </w:numPr>
        <w:spacing w:before="120" w:after="120" w:line="276" w:lineRule="auto"/>
        <w:jc w:val="both"/>
        <w:rPr>
          <w:rFonts w:cs="Arial"/>
        </w:rPr>
      </w:pPr>
      <w:r>
        <w:rPr>
          <w:rFonts w:cs="Arial"/>
          <w:color w:val="000000"/>
          <w:szCs w:val="20"/>
        </w:rPr>
        <w:t>dar causa à inexecução parcial do co</w:t>
      </w:r>
      <w:r>
        <w:rPr>
          <w:rFonts w:cs="Arial"/>
          <w:color w:val="000000"/>
          <w:szCs w:val="20"/>
        </w:rPr>
        <w:t>ntrato</w:t>
      </w:r>
      <w:r>
        <w:rPr>
          <w:rFonts w:cs="Arial"/>
        </w:rPr>
        <w:t>;</w:t>
      </w:r>
    </w:p>
    <w:p w:rsidR="005D3116" w:rsidRDefault="00BC39E3">
      <w:pPr>
        <w:numPr>
          <w:ilvl w:val="2"/>
          <w:numId w:val="1"/>
        </w:numPr>
        <w:spacing w:before="120" w:after="120" w:line="276" w:lineRule="auto"/>
        <w:jc w:val="both"/>
        <w:rPr>
          <w:rFonts w:cs="Arial"/>
        </w:rPr>
      </w:pPr>
      <w:r>
        <w:rPr>
          <w:rFonts w:cs="Arial"/>
          <w:color w:val="000000"/>
          <w:szCs w:val="20"/>
        </w:rPr>
        <w:t>dar causa à inexecução parcial do contrato que cause grave dano à Administração, ao funcionamento dos serviços públicos ou ao interesse coletivo;</w:t>
      </w:r>
    </w:p>
    <w:p w:rsidR="005D3116" w:rsidRDefault="00BC39E3">
      <w:pPr>
        <w:numPr>
          <w:ilvl w:val="2"/>
          <w:numId w:val="1"/>
        </w:numPr>
        <w:spacing w:before="120" w:after="120" w:line="276" w:lineRule="auto"/>
        <w:jc w:val="both"/>
        <w:rPr>
          <w:rFonts w:cs="Arial"/>
        </w:rPr>
      </w:pPr>
      <w:r>
        <w:rPr>
          <w:rFonts w:cs="Arial"/>
          <w:color w:val="000000"/>
          <w:szCs w:val="20"/>
        </w:rPr>
        <w:t>dar causa à inexecução total do contrato;</w:t>
      </w:r>
    </w:p>
    <w:p w:rsidR="005D3116" w:rsidRDefault="00BC39E3">
      <w:pPr>
        <w:numPr>
          <w:ilvl w:val="2"/>
          <w:numId w:val="1"/>
        </w:numPr>
        <w:spacing w:before="120" w:after="120" w:line="276" w:lineRule="auto"/>
        <w:jc w:val="both"/>
        <w:rPr>
          <w:rFonts w:cs="Arial"/>
        </w:rPr>
      </w:pPr>
      <w:r>
        <w:rPr>
          <w:rFonts w:cs="Arial"/>
          <w:color w:val="000000"/>
          <w:szCs w:val="20"/>
        </w:rPr>
        <w:t>deixar de entregar a documentação exigida para o certame;</w:t>
      </w:r>
    </w:p>
    <w:p w:rsidR="005D3116" w:rsidRDefault="00BC39E3">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rsidR="005D3116" w:rsidRDefault="00BC39E3">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rsidR="005D3116" w:rsidRDefault="00BC39E3">
      <w:pPr>
        <w:numPr>
          <w:ilvl w:val="2"/>
          <w:numId w:val="1"/>
        </w:numPr>
        <w:spacing w:before="120" w:after="120" w:line="276" w:lineRule="auto"/>
        <w:jc w:val="both"/>
        <w:rPr>
          <w:rFonts w:cs="Arial"/>
        </w:rPr>
      </w:pPr>
      <w:r>
        <w:rPr>
          <w:rFonts w:cs="Arial"/>
          <w:color w:val="000000"/>
          <w:szCs w:val="20"/>
        </w:rPr>
        <w:t> ensejar o retardame</w:t>
      </w:r>
      <w:r>
        <w:rPr>
          <w:rFonts w:cs="Arial"/>
          <w:color w:val="000000"/>
          <w:szCs w:val="20"/>
        </w:rPr>
        <w:t>nto da execução ou da entrega do objeto da licitação sem motivo justificado;</w:t>
      </w:r>
    </w:p>
    <w:p w:rsidR="005D3116" w:rsidRDefault="00BC39E3">
      <w:pPr>
        <w:numPr>
          <w:ilvl w:val="2"/>
          <w:numId w:val="1"/>
        </w:numPr>
        <w:spacing w:before="120" w:after="120" w:line="276" w:lineRule="auto"/>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rsidR="005D3116" w:rsidRDefault="00BC39E3">
      <w:pPr>
        <w:numPr>
          <w:ilvl w:val="2"/>
          <w:numId w:val="1"/>
        </w:numPr>
        <w:spacing w:before="120" w:after="120" w:line="276" w:lineRule="auto"/>
        <w:jc w:val="both"/>
        <w:rPr>
          <w:rFonts w:cs="Arial"/>
        </w:rPr>
      </w:pPr>
      <w:r>
        <w:rPr>
          <w:rFonts w:cs="Arial"/>
          <w:color w:val="000000"/>
          <w:szCs w:val="20"/>
        </w:rPr>
        <w:t>fraudar a dispensa eletrôni</w:t>
      </w:r>
      <w:r>
        <w:rPr>
          <w:rFonts w:cs="Arial"/>
          <w:color w:val="000000"/>
          <w:szCs w:val="20"/>
        </w:rPr>
        <w:t>ca ou praticar ato fraudulento na execução do contrato;</w:t>
      </w:r>
    </w:p>
    <w:p w:rsidR="005D3116" w:rsidRDefault="00BC39E3">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rsidR="005D3116" w:rsidRDefault="00BC39E3">
      <w:pPr>
        <w:pStyle w:val="PargrafodaLista"/>
        <w:numPr>
          <w:ilvl w:val="3"/>
          <w:numId w:val="1"/>
        </w:numPr>
        <w:spacing w:before="120" w:after="120" w:line="276" w:lineRule="auto"/>
        <w:jc w:val="both"/>
        <w:rPr>
          <w:rFonts w:cs="Arial"/>
        </w:rPr>
      </w:pPr>
      <w:r>
        <w:rPr>
          <w:rFonts w:cs="Arial"/>
        </w:rPr>
        <w:t xml:space="preserve">Considera-se comportamento inidôneo, entre outros, a declaração falsa quanto às condições de participação, quanto ao </w:t>
      </w:r>
      <w:r>
        <w:rPr>
          <w:rFonts w:cs="Arial"/>
        </w:rPr>
        <w:t>enquadramento como ME/EPP ou o conluio entre os fornecedores, em qualquer momento da dispensa, mesmo após o encerramento da fase de lances.</w:t>
      </w:r>
    </w:p>
    <w:p w:rsidR="005D3116" w:rsidRDefault="00BC39E3">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rsidR="005D3116" w:rsidRDefault="00BC39E3">
      <w:pPr>
        <w:numPr>
          <w:ilvl w:val="2"/>
          <w:numId w:val="1"/>
        </w:numPr>
        <w:spacing w:before="120" w:after="120" w:line="276" w:lineRule="auto"/>
        <w:jc w:val="both"/>
      </w:pPr>
      <w:r>
        <w:rPr>
          <w:rFonts w:cs="Arial"/>
          <w:color w:val="000000"/>
          <w:szCs w:val="20"/>
        </w:rPr>
        <w:t>praticar ato lesivo previsto no </w:t>
      </w:r>
      <w:hyperlink r:id="rId15" w:anchor="art5" w:history="1">
        <w:r>
          <w:rPr>
            <w:rStyle w:val="ListLabel19"/>
          </w:rPr>
          <w:t>art. 5º da Lei nº 12.846, de 1º de agosto de 2013.</w:t>
        </w:r>
      </w:hyperlink>
    </w:p>
    <w:p w:rsidR="005D3116" w:rsidRDefault="00BC39E3">
      <w:pPr>
        <w:numPr>
          <w:ilvl w:val="1"/>
          <w:numId w:val="1"/>
        </w:numPr>
        <w:spacing w:before="120" w:after="120" w:line="276" w:lineRule="auto"/>
        <w:ind w:left="425" w:firstLine="0"/>
        <w:jc w:val="both"/>
        <w:rPr>
          <w:rFonts w:cs="Arial"/>
          <w:b/>
        </w:rPr>
      </w:pPr>
      <w:r>
        <w:rPr>
          <w:rFonts w:cs="Arial"/>
        </w:rPr>
        <w:t>O fornecedor que cometer qualquer das infrações discriminadas nos subitens anteriores ficará sujeito, sem prejuízo da re</w:t>
      </w:r>
      <w:r>
        <w:rPr>
          <w:rFonts w:cs="Arial"/>
        </w:rPr>
        <w:t>sponsabilidade civil e criminal, às seguintes sanções:</w:t>
      </w:r>
    </w:p>
    <w:p w:rsidR="005D3116" w:rsidRDefault="00BC39E3">
      <w:pPr>
        <w:numPr>
          <w:ilvl w:val="2"/>
          <w:numId w:val="4"/>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rsidR="005D3116" w:rsidRDefault="00BC39E3">
      <w:pPr>
        <w:numPr>
          <w:ilvl w:val="2"/>
          <w:numId w:val="4"/>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w:t>
      </w:r>
      <w:r>
        <w:rPr>
          <w:rFonts w:cs="Arial"/>
          <w:color w:val="000000"/>
          <w:szCs w:val="20"/>
        </w:rPr>
        <w:t>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rsidR="005D3116" w:rsidRDefault="00BC39E3">
      <w:pPr>
        <w:numPr>
          <w:ilvl w:val="2"/>
          <w:numId w:val="4"/>
        </w:numPr>
        <w:spacing w:before="120" w:after="120" w:line="276" w:lineRule="auto"/>
        <w:jc w:val="both"/>
        <w:rPr>
          <w:rFonts w:cs="Arial"/>
        </w:rPr>
      </w:pPr>
      <w:r>
        <w:rPr>
          <w:rFonts w:cs="Arial"/>
          <w:color w:val="000000"/>
          <w:szCs w:val="20"/>
        </w:rPr>
        <w:t>Declaração d</w:t>
      </w:r>
      <w:r>
        <w:rPr>
          <w:rFonts w:cs="Arial"/>
          <w:color w:val="000000"/>
          <w:szCs w:val="20"/>
        </w:rPr>
        <w:t xml:space="preserve">e inidoneidade para licitar ou contratar, que impedirá o responsável de licitar ou contratar no âmbito da Administração Pública direta e indireta de todos os entes federativos, pelo prazo mínimo </w:t>
      </w:r>
      <w:r>
        <w:rPr>
          <w:rFonts w:cs="Arial"/>
          <w:color w:val="000000"/>
          <w:szCs w:val="20"/>
        </w:rPr>
        <w:lastRenderedPageBreak/>
        <w:t>de 3 (três) anos e máximo de 6 (seis) anos, nos casos dos sub</w:t>
      </w:r>
      <w:r>
        <w:rPr>
          <w:rFonts w:cs="Arial"/>
          <w:color w:val="000000"/>
          <w:szCs w:val="20"/>
        </w:rPr>
        <w:t>itens 8.1.8 a 8.1.12, bem como nos demais casos que justifiquem a imposição da penalidade mais grave</w:t>
      </w:r>
      <w:r>
        <w:rPr>
          <w:rFonts w:cs="Arial"/>
        </w:rPr>
        <w:t>;</w:t>
      </w:r>
    </w:p>
    <w:p w:rsidR="005D3116" w:rsidRDefault="00BC39E3">
      <w:pPr>
        <w:numPr>
          <w:ilvl w:val="1"/>
          <w:numId w:val="1"/>
        </w:numPr>
        <w:spacing w:before="120" w:after="120" w:line="276" w:lineRule="auto"/>
        <w:jc w:val="both"/>
        <w:rPr>
          <w:rFonts w:cs="Arial"/>
          <w:bCs/>
        </w:rPr>
      </w:pPr>
      <w:r>
        <w:rPr>
          <w:rFonts w:cs="Arial"/>
          <w:bCs/>
        </w:rPr>
        <w:t>Na aplicação das sanções serão considerados:</w:t>
      </w:r>
    </w:p>
    <w:p w:rsidR="005D3116" w:rsidRDefault="00BC39E3">
      <w:pPr>
        <w:numPr>
          <w:ilvl w:val="2"/>
          <w:numId w:val="1"/>
        </w:numPr>
        <w:spacing w:before="120" w:after="120" w:line="276" w:lineRule="auto"/>
        <w:jc w:val="both"/>
        <w:rPr>
          <w:rFonts w:cs="Arial"/>
          <w:bCs/>
        </w:rPr>
      </w:pPr>
      <w:r>
        <w:rPr>
          <w:rFonts w:cs="Arial"/>
          <w:bCs/>
        </w:rPr>
        <w:t>a natureza e a gravidade da infração cometida;</w:t>
      </w:r>
    </w:p>
    <w:p w:rsidR="005D3116" w:rsidRDefault="00BC39E3">
      <w:pPr>
        <w:numPr>
          <w:ilvl w:val="2"/>
          <w:numId w:val="1"/>
        </w:numPr>
        <w:spacing w:before="120" w:after="120" w:line="276" w:lineRule="auto"/>
        <w:jc w:val="both"/>
        <w:rPr>
          <w:rFonts w:cs="Arial"/>
          <w:bCs/>
        </w:rPr>
      </w:pPr>
      <w:r>
        <w:rPr>
          <w:rFonts w:cs="Arial"/>
          <w:bCs/>
        </w:rPr>
        <w:t>as peculiaridades do caso concreto;</w:t>
      </w:r>
    </w:p>
    <w:p w:rsidR="005D3116" w:rsidRDefault="00BC39E3">
      <w:pPr>
        <w:numPr>
          <w:ilvl w:val="2"/>
          <w:numId w:val="1"/>
        </w:numPr>
        <w:spacing w:before="120" w:after="120" w:line="276" w:lineRule="auto"/>
        <w:jc w:val="both"/>
        <w:rPr>
          <w:rFonts w:cs="Arial"/>
          <w:bCs/>
        </w:rPr>
      </w:pPr>
      <w:r>
        <w:rPr>
          <w:rFonts w:cs="Arial"/>
          <w:bCs/>
        </w:rPr>
        <w:t>as circunstâncias agravant</w:t>
      </w:r>
      <w:r>
        <w:rPr>
          <w:rFonts w:cs="Arial"/>
          <w:bCs/>
        </w:rPr>
        <w:t>es ou atenuantes;</w:t>
      </w:r>
    </w:p>
    <w:p w:rsidR="005D3116" w:rsidRDefault="00BC39E3">
      <w:pPr>
        <w:numPr>
          <w:ilvl w:val="2"/>
          <w:numId w:val="1"/>
        </w:numPr>
        <w:spacing w:before="120" w:after="120" w:line="276" w:lineRule="auto"/>
        <w:jc w:val="both"/>
        <w:rPr>
          <w:rFonts w:cs="Arial"/>
          <w:bCs/>
        </w:rPr>
      </w:pPr>
      <w:r>
        <w:rPr>
          <w:rFonts w:cs="Arial"/>
          <w:bCs/>
        </w:rPr>
        <w:t>os danos que dela provierem para a Administração Pública;</w:t>
      </w:r>
    </w:p>
    <w:p w:rsidR="005D3116" w:rsidRDefault="00BC39E3">
      <w:pPr>
        <w:numPr>
          <w:ilvl w:val="2"/>
          <w:numId w:val="1"/>
        </w:numPr>
        <w:spacing w:before="120" w:after="120" w:line="276" w:lineRule="auto"/>
        <w:jc w:val="both"/>
        <w:rPr>
          <w:rFonts w:cs="Arial"/>
          <w:bCs/>
        </w:rPr>
      </w:pPr>
      <w:r>
        <w:rPr>
          <w:rFonts w:cs="Arial"/>
          <w:bCs/>
        </w:rPr>
        <w:t>a implantação ou o aperfeiçoamento de programa de integridade, conforme normas e orientações dos órgãos de controle.</w:t>
      </w:r>
    </w:p>
    <w:p w:rsidR="005D3116" w:rsidRDefault="00BC39E3">
      <w:pPr>
        <w:numPr>
          <w:ilvl w:val="1"/>
          <w:numId w:val="1"/>
        </w:numPr>
        <w:spacing w:before="120" w:after="120" w:line="276" w:lineRule="auto"/>
        <w:ind w:left="425" w:firstLine="0"/>
        <w:jc w:val="both"/>
        <w:rPr>
          <w:rFonts w:cs="Arial"/>
        </w:rPr>
      </w:pPr>
      <w:bookmarkStart w:id="3" w:name="art156%25C2%25A77"/>
      <w:bookmarkStart w:id="4" w:name="art156%25C2%25A78"/>
      <w:bookmarkStart w:id="5" w:name="art156%25C2%25A76"/>
      <w:bookmarkEnd w:id="3"/>
      <w:bookmarkEnd w:id="4"/>
      <w:bookmarkEnd w:id="5"/>
      <w:r>
        <w:rPr>
          <w:rFonts w:cs="Arial"/>
        </w:rPr>
        <w:t>Se a multa aplicada e as indenizações cabíveis forem superiores</w:t>
      </w:r>
      <w:r>
        <w:rPr>
          <w:rFonts w:cs="Arial"/>
        </w:rPr>
        <w:t xml:space="preserve"> ao valor de pagamento eventualmente devido pela Administração ao contratado, além da perda desse valor, a diferença será descontada da garantia prestada ou será cobrada judicialmente.</w:t>
      </w:r>
    </w:p>
    <w:p w:rsidR="005D3116" w:rsidRDefault="00BC39E3">
      <w:pPr>
        <w:numPr>
          <w:ilvl w:val="1"/>
          <w:numId w:val="1"/>
        </w:numPr>
        <w:spacing w:before="120" w:after="120" w:line="276" w:lineRule="auto"/>
        <w:ind w:left="425" w:firstLine="0"/>
        <w:jc w:val="both"/>
        <w:rPr>
          <w:rFonts w:cs="Arial"/>
        </w:rPr>
      </w:pPr>
      <w:bookmarkStart w:id="6" w:name="art156%25C2%25A79"/>
      <w:bookmarkEnd w:id="6"/>
      <w:r>
        <w:rPr>
          <w:rFonts w:cs="Arial"/>
        </w:rPr>
        <w:t>A aplicação das sanções previstas neste Aviso de Contratação Direta, em</w:t>
      </w:r>
      <w:r>
        <w:rPr>
          <w:rFonts w:cs="Arial"/>
        </w:rPr>
        <w:t xml:space="preserve"> hipótese alguma, a obrigação de reparação integral do dano causado à Administração Pública.</w:t>
      </w:r>
    </w:p>
    <w:p w:rsidR="005D3116" w:rsidRDefault="00BC39E3">
      <w:pPr>
        <w:numPr>
          <w:ilvl w:val="1"/>
          <w:numId w:val="1"/>
        </w:numPr>
        <w:spacing w:before="120" w:after="120" w:line="276" w:lineRule="auto"/>
        <w:ind w:left="425" w:firstLine="0"/>
        <w:jc w:val="both"/>
        <w:rPr>
          <w:rFonts w:cs="Arial"/>
        </w:rPr>
      </w:pPr>
      <w:r>
        <w:rPr>
          <w:rFonts w:cs="Arial"/>
        </w:rPr>
        <w:t>A penalidade de multa pode ser aplicada cumulativamente com as demais sanções.</w:t>
      </w:r>
    </w:p>
    <w:p w:rsidR="005D3116" w:rsidRDefault="00BC39E3">
      <w:pPr>
        <w:numPr>
          <w:ilvl w:val="1"/>
          <w:numId w:val="1"/>
        </w:numPr>
        <w:spacing w:before="120" w:after="120" w:line="276" w:lineRule="auto"/>
        <w:ind w:left="425" w:firstLine="0"/>
        <w:jc w:val="both"/>
        <w:rPr>
          <w:rFonts w:cs="Arial"/>
        </w:rPr>
      </w:pPr>
      <w:r>
        <w:rPr>
          <w:rFonts w:cs="Arial"/>
        </w:rPr>
        <w:t>Se, durante o processo de aplicação de penalidade, houver indícios de prática de inf</w:t>
      </w:r>
      <w:r>
        <w:rPr>
          <w:rFonts w:cs="Arial"/>
        </w:rPr>
        <w:t>ração administrativa tipificada pela Lei nº 12.846, de 1º de agosto de 2013, como ato lesivo à administração pública nacional ou estrangeira, cópias do processo administrativo necessárias à apuração da responsabilidade da empresa deverão ser remetidas à au</w:t>
      </w:r>
      <w:r>
        <w:rPr>
          <w:rFonts w:cs="Arial"/>
        </w:rPr>
        <w:t xml:space="preserve">toridade competente, com despacho fundamentado, para ciência e decisão sobre a eventual instauração de investigação preliminar ou Processo Administrativo de Responsabilização – PAR. </w:t>
      </w:r>
    </w:p>
    <w:p w:rsidR="005D3116" w:rsidRDefault="00BC39E3">
      <w:pPr>
        <w:numPr>
          <w:ilvl w:val="1"/>
          <w:numId w:val="1"/>
        </w:numPr>
        <w:spacing w:before="120" w:after="120" w:line="276" w:lineRule="auto"/>
        <w:ind w:left="425" w:firstLine="0"/>
        <w:jc w:val="both"/>
        <w:rPr>
          <w:rFonts w:cs="Arial"/>
        </w:rPr>
      </w:pPr>
      <w:r>
        <w:rPr>
          <w:rFonts w:cs="Arial"/>
        </w:rPr>
        <w:t>A apuração e o julgamento das demais infrações administrativas não consid</w:t>
      </w:r>
      <w:r>
        <w:rPr>
          <w:rFonts w:cs="Arial"/>
        </w:rPr>
        <w:t>eradas como ato lesivo à Administração Pública nacional ou estrangeira nos termos da Lei nº 12.846, de 1º de agosto de 2013, seguirão seu rito normal na unidade administrativa.</w:t>
      </w:r>
    </w:p>
    <w:p w:rsidR="005D3116" w:rsidRDefault="00BC39E3">
      <w:pPr>
        <w:numPr>
          <w:ilvl w:val="1"/>
          <w:numId w:val="1"/>
        </w:numPr>
        <w:spacing w:before="120" w:after="120" w:line="276" w:lineRule="auto"/>
        <w:ind w:left="425" w:firstLine="0"/>
        <w:jc w:val="both"/>
        <w:rPr>
          <w:rFonts w:cs="Arial"/>
        </w:rPr>
      </w:pPr>
      <w:r>
        <w:rPr>
          <w:rFonts w:cs="Arial"/>
        </w:rPr>
        <w:t>O processamento do PAR não interfere no seguimento regular dos processos admini</w:t>
      </w:r>
      <w:r>
        <w:rPr>
          <w:rFonts w:cs="Arial"/>
        </w:rPr>
        <w:t xml:space="preserve">strativos específicos para apuração da ocorrência de danos e prejuízos à Administração Pública Federal resultantes de ato lesivo cometido por pessoa jurídica, com ou sem a participação de agente público. </w:t>
      </w:r>
    </w:p>
    <w:p w:rsidR="005D3116" w:rsidRDefault="00BC39E3">
      <w:pPr>
        <w:numPr>
          <w:ilvl w:val="1"/>
          <w:numId w:val="1"/>
        </w:numPr>
        <w:spacing w:before="120" w:after="120" w:line="276" w:lineRule="auto"/>
        <w:ind w:left="425" w:firstLine="0"/>
        <w:jc w:val="both"/>
        <w:rPr>
          <w:rFonts w:cs="Arial"/>
        </w:rPr>
      </w:pPr>
      <w:r>
        <w:rPr>
          <w:rFonts w:cs="Arial"/>
        </w:rPr>
        <w:t>A aplicação de qualquer das penalidades previstas r</w:t>
      </w:r>
      <w:r>
        <w:rPr>
          <w:rFonts w:cs="Arial"/>
        </w:rPr>
        <w:t>ealizar-se-á em processo administrativo que assegurará o contraditório e a ampla defesa ao fornecedor/adjudicatário, observando-se o procedimento previsto na Lei nº 14.133, de 2021, e subsidiariamente na Lei nº 9.784, de 1999.</w:t>
      </w:r>
    </w:p>
    <w:p w:rsidR="005D3116" w:rsidRDefault="00BC39E3">
      <w:pPr>
        <w:numPr>
          <w:ilvl w:val="1"/>
          <w:numId w:val="1"/>
        </w:numPr>
        <w:spacing w:before="120" w:after="120" w:line="276" w:lineRule="auto"/>
        <w:ind w:left="425" w:firstLine="0"/>
        <w:jc w:val="both"/>
        <w:rPr>
          <w:rFonts w:cs="Arial"/>
        </w:rPr>
      </w:pPr>
      <w:r>
        <w:rPr>
          <w:rFonts w:cs="Arial"/>
        </w:rPr>
        <w:t>As sanções por atos praticado</w:t>
      </w:r>
      <w:r>
        <w:rPr>
          <w:rFonts w:cs="Arial"/>
        </w:rPr>
        <w:t>s no decorrer da contratação estão previstas nos anexos a este Aviso.</w:t>
      </w:r>
    </w:p>
    <w:p w:rsidR="005D3116" w:rsidRDefault="005D3116">
      <w:pPr>
        <w:spacing w:before="120" w:after="120" w:line="276" w:lineRule="auto"/>
        <w:ind w:left="425"/>
        <w:jc w:val="both"/>
        <w:rPr>
          <w:rFonts w:cs="Arial"/>
        </w:rPr>
      </w:pPr>
    </w:p>
    <w:p w:rsidR="005D3116" w:rsidRDefault="00BC39E3">
      <w:pPr>
        <w:pStyle w:val="PADRO"/>
        <w:keepNext w:val="0"/>
        <w:widowControl/>
        <w:numPr>
          <w:ilvl w:val="0"/>
          <w:numId w:val="1"/>
        </w:numPr>
        <w:shd w:val="clear" w:color="auto" w:fill="auto"/>
        <w:spacing w:before="120" w:after="120"/>
        <w:rPr>
          <w:rFonts w:ascii="Arial" w:hAnsi="Arial" w:cs="Arial"/>
          <w:b/>
        </w:rPr>
      </w:pPr>
      <w:r>
        <w:rPr>
          <w:rFonts w:ascii="Arial" w:hAnsi="Arial" w:cs="Arial"/>
          <w:b/>
        </w:rPr>
        <w:t>DAS DISPOSIÇÕES GERAIS</w:t>
      </w:r>
    </w:p>
    <w:p w:rsidR="005D3116" w:rsidRDefault="00BC39E3">
      <w:pPr>
        <w:numPr>
          <w:ilvl w:val="1"/>
          <w:numId w:val="1"/>
        </w:numPr>
        <w:snapToGrid w:val="0"/>
        <w:spacing w:before="120" w:after="120" w:line="276" w:lineRule="auto"/>
        <w:ind w:left="425" w:firstLine="0"/>
        <w:jc w:val="both"/>
        <w:rPr>
          <w:rFonts w:cs="Arial"/>
          <w:szCs w:val="20"/>
        </w:rPr>
      </w:pPr>
      <w:r>
        <w:t xml:space="preserve">O procedimento será divulgado no </w:t>
      </w:r>
      <w:proofErr w:type="spellStart"/>
      <w:r>
        <w:t>Comprasnet</w:t>
      </w:r>
      <w:proofErr w:type="spellEnd"/>
      <w:r>
        <w:t xml:space="preserve"> 4.0 e no Portal Nacional de Contratações Públicas - PNCP, e encaminhado automaticamente aos fornecedores registrados n</w:t>
      </w:r>
      <w:r>
        <w:t xml:space="preserve">o Sistema de Cadastramento Unificado de Fornecedores - </w:t>
      </w:r>
      <w:proofErr w:type="spellStart"/>
      <w:r>
        <w:t>Sicaf</w:t>
      </w:r>
      <w:proofErr w:type="spellEnd"/>
      <w:r>
        <w:t>, por mensagem eletrônica, na correspondente linha de fornecimento que pretende atender.</w:t>
      </w:r>
    </w:p>
    <w:p w:rsidR="005D3116" w:rsidRDefault="00BC39E3">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w:t>
      </w:r>
      <w:r>
        <w:rPr>
          <w:rFonts w:cs="Arial"/>
          <w:color w:val="000000"/>
          <w:szCs w:val="20"/>
        </w:rPr>
        <w:t>inistração poderá:</w:t>
      </w:r>
    </w:p>
    <w:p w:rsidR="005D3116" w:rsidRDefault="00BC39E3">
      <w:pPr>
        <w:numPr>
          <w:ilvl w:val="2"/>
          <w:numId w:val="1"/>
        </w:numPr>
        <w:spacing w:before="120" w:after="120" w:line="276" w:lineRule="auto"/>
        <w:jc w:val="both"/>
        <w:rPr>
          <w:rFonts w:cs="Arial"/>
          <w:color w:val="000000"/>
          <w:szCs w:val="20"/>
        </w:rPr>
      </w:pPr>
      <w:r>
        <w:rPr>
          <w:rFonts w:cs="Arial"/>
          <w:color w:val="000000"/>
          <w:szCs w:val="20"/>
        </w:rPr>
        <w:t>republicar o presente aviso com uma nova data;</w:t>
      </w:r>
    </w:p>
    <w:p w:rsidR="005D3116" w:rsidRDefault="00BC39E3">
      <w:pPr>
        <w:numPr>
          <w:ilvl w:val="2"/>
          <w:numId w:val="1"/>
        </w:numPr>
        <w:spacing w:before="120" w:after="120" w:line="276" w:lineRule="auto"/>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w:t>
      </w:r>
      <w:r>
        <w:rPr>
          <w:rFonts w:cs="Arial"/>
          <w:color w:val="000000"/>
          <w:szCs w:val="20"/>
        </w:rPr>
        <w:t>ndidas às condições de habilitação exigidas.</w:t>
      </w:r>
    </w:p>
    <w:p w:rsidR="005D3116" w:rsidRDefault="00BC39E3">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rsidR="005D3116" w:rsidRDefault="00BC39E3">
      <w:pPr>
        <w:numPr>
          <w:ilvl w:val="2"/>
          <w:numId w:val="1"/>
        </w:numPr>
        <w:spacing w:before="120" w:after="120" w:line="276" w:lineRule="auto"/>
        <w:jc w:val="both"/>
        <w:rPr>
          <w:rFonts w:cs="Arial"/>
          <w:color w:val="000000"/>
          <w:szCs w:val="20"/>
        </w:rPr>
      </w:pPr>
      <w:r>
        <w:rPr>
          <w:rFonts w:cs="Arial"/>
          <w:color w:val="000000"/>
          <w:szCs w:val="20"/>
        </w:rPr>
        <w:lastRenderedPageBreak/>
        <w:t>fixar prazo para que possa haver adequação das propostas ou da documentação de habilitação, conforme o caso.</w:t>
      </w:r>
    </w:p>
    <w:p w:rsidR="005D3116" w:rsidRDefault="00BC39E3">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w:t>
      </w:r>
      <w:r>
        <w:rPr>
          <w:rFonts w:cs="Arial"/>
          <w:color w:val="000000"/>
          <w:szCs w:val="20"/>
        </w:rPr>
        <w:t>providências dos subitens 9.2.1 e 9.2.2 acima poderão ser utilizadas se não houver o comparecimento de quaisquer fornecedores interessados (procedimento deserto)</w:t>
      </w:r>
    </w:p>
    <w:p w:rsidR="005D3116" w:rsidRDefault="00BC39E3">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w:t>
      </w:r>
      <w:r>
        <w:rPr>
          <w:rFonts w:cs="Arial"/>
          <w:color w:val="000000"/>
          <w:szCs w:val="20"/>
        </w:rPr>
        <w:t xml:space="preserve"> não conste deste Aviso de Contratação Direta, deverá ser atendido o prazo indicado pelo agente competente da Administração na respectiva notificação.</w:t>
      </w:r>
    </w:p>
    <w:p w:rsidR="005D3116" w:rsidRDefault="00BC39E3">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w:t>
      </w:r>
      <w:r>
        <w:rPr>
          <w:rFonts w:cs="Arial"/>
          <w:color w:val="000000"/>
          <w:szCs w:val="20"/>
        </w:rPr>
        <w:t>o diante da inobservância de quaisquer mensagens emitidas pela Administração ou de sua desconexão.</w:t>
      </w:r>
    </w:p>
    <w:p w:rsidR="005D3116" w:rsidRDefault="00BC39E3">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w:t>
      </w:r>
      <w:r>
        <w:rPr>
          <w:rFonts w:cs="Arial"/>
          <w:color w:val="000000"/>
          <w:szCs w:val="20"/>
        </w:rPr>
        <w:t xml:space="preserve"> para o primeiro dia útil subsequente, no mesmo horário anteriormente estabelecido, desde que não haja comunicação em contrário.</w:t>
      </w:r>
    </w:p>
    <w:p w:rsidR="005D3116" w:rsidRDefault="00BC39E3">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w:t>
      </w:r>
      <w:r>
        <w:rPr>
          <w:rFonts w:cs="Arial"/>
          <w:color w:val="000000"/>
          <w:szCs w:val="20"/>
        </w:rPr>
        <w:t>lusive para contagem de tempo e registro no Sistema e na documentação relativa ao procedimento.</w:t>
      </w:r>
    </w:p>
    <w:p w:rsidR="005D3116" w:rsidRDefault="00BC39E3">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w:t>
      </w:r>
      <w:r>
        <w:rPr>
          <w:rFonts w:cs="Arial"/>
          <w:color w:val="000000" w:themeColor="text1"/>
          <w:szCs w:val="20"/>
        </w:rPr>
        <w:t>dade jurídica, mediante despacho fundamentado, registrado em ata e acessível a todos, atribuindo-lhes validade e eficácia para fins de habilitação e classificação.</w:t>
      </w:r>
    </w:p>
    <w:p w:rsidR="005D3116" w:rsidRDefault="00BC39E3">
      <w:pPr>
        <w:numPr>
          <w:ilvl w:val="1"/>
          <w:numId w:val="1"/>
        </w:numPr>
        <w:spacing w:before="120" w:after="120" w:line="276" w:lineRule="auto"/>
        <w:ind w:left="425" w:firstLine="0"/>
        <w:jc w:val="both"/>
        <w:rPr>
          <w:rFonts w:cs="Arial"/>
          <w:color w:val="000000"/>
          <w:szCs w:val="20"/>
        </w:rPr>
      </w:pPr>
      <w:r>
        <w:rPr>
          <w:rFonts w:cs="Arial"/>
          <w:color w:val="000000"/>
          <w:szCs w:val="20"/>
        </w:rPr>
        <w:t>As normas disciplinadoras deste Aviso de Contratação Direta serão sempre interpretadas em fa</w:t>
      </w:r>
      <w:r>
        <w:rPr>
          <w:rFonts w:cs="Arial"/>
          <w:color w:val="000000"/>
          <w:szCs w:val="20"/>
        </w:rPr>
        <w:t xml:space="preserve">vor da ampliação da disputa entre os interessados, desde que não comprometam o interesse da Administração, o princípio da isonomia, a finalidade e a segurança da contratação. </w:t>
      </w:r>
    </w:p>
    <w:p w:rsidR="005D3116" w:rsidRDefault="00BC39E3">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w:t>
      </w:r>
      <w:r>
        <w:rPr>
          <w:rFonts w:cs="Arial"/>
          <w:color w:val="000000"/>
          <w:szCs w:val="20"/>
        </w:rPr>
        <w:t>postas e a Administração não será, em nenhum caso, responsável por esses custos, independentemente da condução ou do resultado do processo de contratação.</w:t>
      </w:r>
    </w:p>
    <w:p w:rsidR="005D3116" w:rsidRDefault="00BC39E3">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w:t>
      </w:r>
      <w:r>
        <w:rPr>
          <w:rFonts w:cs="Arial"/>
          <w:color w:val="000000"/>
          <w:szCs w:val="20"/>
        </w:rPr>
        <w:t xml:space="preserve"> peças que compõem o processo, prevalecerá as deste Aviso.</w:t>
      </w:r>
    </w:p>
    <w:p w:rsidR="005D3116" w:rsidRDefault="00BC39E3">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rsidR="005D3116" w:rsidRDefault="005D3116">
      <w:pPr>
        <w:spacing w:before="120" w:after="120" w:line="276" w:lineRule="auto"/>
        <w:ind w:left="1224"/>
        <w:jc w:val="both"/>
        <w:rPr>
          <w:rFonts w:cs="Arial"/>
          <w:i/>
          <w:iCs/>
          <w:color w:val="FF0000"/>
          <w:szCs w:val="20"/>
        </w:rPr>
      </w:pPr>
    </w:p>
    <w:p w:rsidR="005D3116" w:rsidRDefault="005D3116">
      <w:pPr>
        <w:spacing w:after="120" w:line="276" w:lineRule="auto"/>
        <w:ind w:left="360" w:right="-15"/>
        <w:jc w:val="both"/>
        <w:rPr>
          <w:rFonts w:cs="Arial"/>
          <w:color w:val="000000"/>
          <w:szCs w:val="20"/>
        </w:rPr>
      </w:pPr>
    </w:p>
    <w:p w:rsidR="005D3116" w:rsidRDefault="005D3116">
      <w:pPr>
        <w:spacing w:after="120" w:line="276" w:lineRule="auto"/>
        <w:ind w:left="360" w:right="-15"/>
        <w:jc w:val="both"/>
        <w:rPr>
          <w:rFonts w:cs="Arial"/>
          <w:color w:val="000000"/>
          <w:szCs w:val="20"/>
        </w:rPr>
      </w:pPr>
    </w:p>
    <w:p w:rsidR="005D3116" w:rsidRDefault="005D3116">
      <w:pPr>
        <w:spacing w:after="120" w:line="276" w:lineRule="auto"/>
        <w:ind w:left="360" w:right="-15"/>
        <w:jc w:val="both"/>
        <w:rPr>
          <w:rFonts w:cs="Arial"/>
          <w:color w:val="000000"/>
          <w:szCs w:val="20"/>
        </w:rPr>
      </w:pPr>
    </w:p>
    <w:p w:rsidR="005D3116" w:rsidRDefault="005D3116"/>
    <w:sectPr w:rsidR="005D3116">
      <w:footerReference w:type="default" r:id="rId16"/>
      <w:pgSz w:w="11906" w:h="16838"/>
      <w:pgMar w:top="851" w:right="851" w:bottom="851" w:left="851"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39E3" w:rsidRDefault="00BC39E3">
      <w:r>
        <w:separator/>
      </w:r>
    </w:p>
  </w:endnote>
  <w:endnote w:type="continuationSeparator" w:id="0">
    <w:p w:rsidR="00BC39E3" w:rsidRDefault="00BC3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3116" w:rsidRDefault="00BC39E3">
    <w:pPr>
      <w:rPr>
        <w:rFonts w:ascii="Times New Roman" w:hAnsi="Times New Roman" w:cs="Times New Roman"/>
        <w:sz w:val="16"/>
        <w:szCs w:val="16"/>
      </w:rPr>
    </w:pPr>
    <w:r>
      <w:rPr>
        <w:rFonts w:ascii="Times New Roman" w:hAnsi="Times New Roman" w:cs="Times New Roman"/>
        <w:sz w:val="16"/>
        <w:szCs w:val="16"/>
      </w:rPr>
      <w:t xml:space="preserve">                                                                                                                                                                                </w:t>
    </w:r>
  </w:p>
  <w:p w:rsidR="005D3116" w:rsidRDefault="00BC39E3">
    <w:r>
      <w:rPr>
        <w:rFonts w:ascii="Times New Roman" w:hAnsi="Times New Roman" w:cs="Times New Roman"/>
        <w:sz w:val="16"/>
        <w:szCs w:val="16"/>
      </w:rPr>
      <w:t>Processo Administrativo nº</w:t>
    </w:r>
    <w:r w:rsidR="00BE24C2">
      <w:rPr>
        <w:rFonts w:ascii="Times New Roman" w:hAnsi="Times New Roman" w:cs="Times New Roman"/>
        <w:sz w:val="16"/>
        <w:szCs w:val="16"/>
      </w:rPr>
      <w:t xml:space="preserve"> 64271.007472/2021-19</w:t>
    </w:r>
  </w:p>
  <w:p w:rsidR="005D3116" w:rsidRDefault="00BC39E3">
    <w:pPr>
      <w:pStyle w:val="Cabealho"/>
    </w:pPr>
    <w:r>
      <w:rPr>
        <w:rFonts w:ascii="Times New Roman" w:hAnsi="Times New Roman" w:cs="Times New Roman"/>
        <w:sz w:val="16"/>
        <w:szCs w:val="16"/>
      </w:rPr>
      <w:t>Dispensa de Licit</w:t>
    </w:r>
    <w:r>
      <w:rPr>
        <w:rFonts w:ascii="Times New Roman" w:hAnsi="Times New Roman" w:cs="Times New Roman"/>
        <w:sz w:val="16"/>
        <w:szCs w:val="16"/>
      </w:rPr>
      <w:t xml:space="preserve">ação – Cotação Eletrônica </w:t>
    </w:r>
    <w:proofErr w:type="gramStart"/>
    <w:r>
      <w:rPr>
        <w:rFonts w:ascii="Times New Roman" w:hAnsi="Times New Roman" w:cs="Times New Roman"/>
        <w:sz w:val="16"/>
        <w:szCs w:val="16"/>
      </w:rPr>
      <w:t xml:space="preserve">nº </w:t>
    </w:r>
    <w:r w:rsidR="00BE24C2">
      <w:rPr>
        <w:rFonts w:ascii="Times New Roman" w:hAnsi="Times New Roman" w:cs="Times New Roman"/>
        <w:sz w:val="16"/>
        <w:szCs w:val="16"/>
      </w:rPr>
      <w:t xml:space="preserve"> 120</w:t>
    </w:r>
    <w:proofErr w:type="gramEnd"/>
    <w:r>
      <w:rPr>
        <w:rFonts w:ascii="Times New Roman" w:hAnsi="Times New Roman" w:cs="Times New Roman"/>
        <w:sz w:val="16"/>
        <w:szCs w:val="16"/>
      </w:rPr>
      <w:t xml:space="preserve">/2021-22ª </w:t>
    </w:r>
    <w:proofErr w:type="spellStart"/>
    <w:r>
      <w:rPr>
        <w:rFonts w:ascii="Times New Roman" w:hAnsi="Times New Roman" w:cs="Times New Roman"/>
        <w:sz w:val="16"/>
        <w:szCs w:val="16"/>
      </w:rPr>
      <w:t>Bda</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Inf</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Sl</w:t>
    </w:r>
    <w:proofErr w:type="spellEnd"/>
    <w:r>
      <w:rPr>
        <w:rFonts w:ascii="Times New Roman" w:hAnsi="Times New Roman" w:cs="Times New Roman"/>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39E3" w:rsidRDefault="00BC39E3">
      <w:r>
        <w:separator/>
      </w:r>
    </w:p>
  </w:footnote>
  <w:footnote w:type="continuationSeparator" w:id="0">
    <w:p w:rsidR="00BC39E3" w:rsidRDefault="00BC39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3A792E"/>
    <w:multiLevelType w:val="multilevel"/>
    <w:tmpl w:val="772691B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8AD03F2"/>
    <w:multiLevelType w:val="multilevel"/>
    <w:tmpl w:val="18F24E0C"/>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 w15:restartNumberingAfterBreak="0">
    <w:nsid w:val="460438CF"/>
    <w:multiLevelType w:val="multilevel"/>
    <w:tmpl w:val="388EED5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9A73D28"/>
    <w:multiLevelType w:val="multilevel"/>
    <w:tmpl w:val="D0D6616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4A4E63C8"/>
    <w:multiLevelType w:val="multilevel"/>
    <w:tmpl w:val="68F271E2"/>
    <w:lvl w:ilvl="0">
      <w:start w:val="1"/>
      <w:numFmt w:val="decimal"/>
      <w:lvlText w:val="%1."/>
      <w:lvlJc w:val="left"/>
      <w:pPr>
        <w:ind w:left="360" w:hanging="360"/>
      </w:pPr>
      <w:rPr>
        <w:rFonts w:ascii="Arial" w:hAnsi="Arial"/>
        <w:b/>
      </w:rPr>
    </w:lvl>
    <w:lvl w:ilvl="1">
      <w:start w:val="1"/>
      <w:numFmt w:val="decimal"/>
      <w:lvlText w:val="%1.%2."/>
      <w:lvlJc w:val="left"/>
      <w:pPr>
        <w:ind w:left="792" w:hanging="432"/>
      </w:pPr>
      <w:rPr>
        <w:rFonts w:ascii="Arial" w:hAnsi="Arial"/>
        <w:b/>
        <w:i w:val="0"/>
        <w:iCs/>
      </w:rPr>
    </w:lvl>
    <w:lvl w:ilvl="2">
      <w:start w:val="1"/>
      <w:numFmt w:val="decimal"/>
      <w:lvlText w:val="%1.%2.%3."/>
      <w:lvlJc w:val="left"/>
      <w:pPr>
        <w:ind w:left="1224" w:hanging="504"/>
      </w:pPr>
      <w:rPr>
        <w:rFonts w:ascii="Arial" w:hAnsi="Arial" w:cs="Arial"/>
        <w:b/>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116"/>
    <w:rsid w:val="005D3116"/>
    <w:rsid w:val="009A34AD"/>
    <w:rsid w:val="00BC39E3"/>
    <w:rsid w:val="00BE24C2"/>
  </w:rsids>
  <m:mathPr>
    <m:mathFont m:val="Cambria Math"/>
    <m:brkBin m:val="before"/>
    <m:brkBinSub m:val="--"/>
    <m:smallFrac m:val="0"/>
    <m:dispDef/>
    <m:lMargin m:val="0"/>
    <m:rMargin m:val="0"/>
    <m:defJc m:val="centerGroup"/>
    <m:wrapIndent m:val="1440"/>
    <m:intLim m:val="subSup"/>
    <m:naryLim m:val="undOvr"/>
  </m:mathPr>
  <w:themeFontLang w:val="pt-BR"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94C26"/>
  <w15:docId w15:val="{B42019EF-BE26-4233-B970-A8DCDD41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pt-BR"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iPriority="0"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Times New Roman" w:hAnsi="Arial" w:cs="Tahoma"/>
      <w:szCs w:val="24"/>
      <w:lang w:eastAsia="pt-BR" w:bidi="ar-SA"/>
    </w:rPr>
  </w:style>
  <w:style w:type="paragraph" w:styleId="Ttulo1">
    <w:name w:val="heading 1"/>
    <w:basedOn w:val="Normal"/>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semiHidden/>
    <w:unhideWhenUsed/>
    <w:qFormat/>
    <w:rPr>
      <w:sz w:val="16"/>
      <w:szCs w:val="16"/>
    </w:rPr>
  </w:style>
  <w:style w:type="character" w:customStyle="1" w:styleId="LinkdaInternet">
    <w:name w:val="Link da Internet"/>
    <w:rPr>
      <w:color w:val="000080"/>
      <w:u w:val="single"/>
    </w:rPr>
  </w:style>
  <w:style w:type="character" w:customStyle="1" w:styleId="CitaoChar">
    <w:name w:val="Citação Char"/>
    <w:basedOn w:val="Fontepargpadro"/>
    <w:qFormat/>
    <w:rPr>
      <w:rFonts w:ascii="Arial" w:eastAsia="Calibri" w:hAnsi="Arial" w:cs="Tahoma"/>
      <w:i/>
      <w:iCs/>
      <w:color w:val="000000"/>
      <w:sz w:val="20"/>
      <w:szCs w:val="24"/>
      <w:shd w:val="clear" w:color="auto" w:fill="FFFFCC"/>
    </w:rPr>
  </w:style>
  <w:style w:type="character" w:customStyle="1" w:styleId="Nivel01Char">
    <w:name w:val="Nivel 01 Char"/>
    <w:basedOn w:val="Ttulo1Char"/>
    <w:qFormat/>
    <w:rPr>
      <w:rFonts w:ascii="Arial" w:eastAsiaTheme="majorEastAsia" w:hAnsi="Arial" w:cs="Times New Roman"/>
      <w:b/>
      <w:bCs/>
      <w:color w:val="000000"/>
      <w:sz w:val="20"/>
      <w:szCs w:val="20"/>
      <w:lang w:eastAsia="pt-BR"/>
    </w:rPr>
  </w:style>
  <w:style w:type="character" w:customStyle="1" w:styleId="Ttulo1Char">
    <w:name w:val="Título 1 Char"/>
    <w:basedOn w:val="Fontepargpadro"/>
    <w:uiPriority w:val="9"/>
    <w:qFormat/>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qFormat/>
    <w:rPr>
      <w:rFonts w:ascii="Arial" w:eastAsia="Calibri" w:hAnsi="Arial" w:cs="Tahoma"/>
      <w:i/>
      <w:iCs/>
      <w:color w:val="000000"/>
      <w:sz w:val="20"/>
      <w:szCs w:val="20"/>
      <w:shd w:val="clear" w:color="auto" w:fill="FFFFCC"/>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TextodecomentrioChar">
    <w:name w:val="Texto de comentário Char"/>
    <w:basedOn w:val="Fontepargpadro"/>
    <w:qFormat/>
    <w:rPr>
      <w:rFonts w:ascii="Arial" w:eastAsia="Times New Roman" w:hAnsi="Arial" w:cs="Tahoma"/>
      <w:sz w:val="20"/>
      <w:szCs w:val="20"/>
      <w:lang w:eastAsia="pt-BR"/>
    </w:rPr>
  </w:style>
  <w:style w:type="character" w:customStyle="1" w:styleId="AssuntodocomentrioChar">
    <w:name w:val="Assunto do comentário Char"/>
    <w:basedOn w:val="TextodecomentrioChar"/>
    <w:uiPriority w:val="99"/>
    <w:semiHidden/>
    <w:qFormat/>
    <w:rPr>
      <w:rFonts w:ascii="Arial" w:eastAsia="Times New Roman" w:hAnsi="Arial" w:cs="Tahoma"/>
      <w:b/>
      <w:bCs/>
      <w:sz w:val="20"/>
      <w:szCs w:val="20"/>
      <w:lang w:eastAsia="pt-BR"/>
    </w:rPr>
  </w:style>
  <w:style w:type="character" w:customStyle="1" w:styleId="Nivel4Char">
    <w:name w:val="Nivel 4 Char"/>
    <w:basedOn w:val="Fontepargpadro"/>
    <w:qFormat/>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uiPriority w:val="99"/>
    <w:semiHidden/>
    <w:qFormat/>
    <w:rPr>
      <w:rFonts w:ascii="Segoe UI" w:eastAsia="Times New Roman" w:hAnsi="Segoe UI" w:cs="Segoe UI"/>
      <w:sz w:val="18"/>
      <w:szCs w:val="18"/>
      <w:lang w:eastAsia="pt-BR"/>
    </w:rPr>
  </w:style>
  <w:style w:type="character" w:customStyle="1" w:styleId="CabealhoChar">
    <w:name w:val="Cabeçalho Char"/>
    <w:basedOn w:val="Fontepargpadro"/>
    <w:uiPriority w:val="99"/>
    <w:qFormat/>
    <w:rPr>
      <w:rFonts w:ascii="Arial" w:eastAsia="Times New Roman" w:hAnsi="Arial" w:cs="Tahoma"/>
      <w:sz w:val="20"/>
      <w:szCs w:val="24"/>
      <w:lang w:eastAsia="pt-BR"/>
    </w:rPr>
  </w:style>
  <w:style w:type="character" w:customStyle="1" w:styleId="RodapChar">
    <w:name w:val="Rodapé Char"/>
    <w:basedOn w:val="Fontepargpadro"/>
    <w:uiPriority w:val="99"/>
    <w:qFormat/>
    <w:rPr>
      <w:rFonts w:ascii="Arial" w:eastAsia="Times New Roman" w:hAnsi="Arial" w:cs="Tahoma"/>
      <w:sz w:val="20"/>
      <w:szCs w:val="24"/>
      <w:lang w:eastAsia="pt-BR"/>
    </w:rPr>
  </w:style>
  <w:style w:type="character" w:customStyle="1" w:styleId="ListLabel2">
    <w:name w:val="ListLabel 2"/>
    <w:qFormat/>
    <w:rPr>
      <w:rFonts w:ascii="Times New Roman" w:hAnsi="Times New Roman" w:cs="Times New Roman"/>
      <w:i/>
      <w:sz w:val="24"/>
      <w:szCs w:val="24"/>
    </w:rPr>
  </w:style>
  <w:style w:type="character" w:customStyle="1" w:styleId="atributo-valor">
    <w:name w:val="atributo-valor"/>
    <w:basedOn w:val="Fontepargpadro"/>
    <w:qFormat/>
  </w:style>
  <w:style w:type="character" w:customStyle="1" w:styleId="ListLabel3">
    <w:name w:val="ListLabel 3"/>
    <w:qFormat/>
    <w:rPr>
      <w:b/>
      <w:i w:val="0"/>
      <w:strike w:val="0"/>
      <w:dstrike w:val="0"/>
    </w:rPr>
  </w:style>
  <w:style w:type="character" w:customStyle="1" w:styleId="ListLabel4">
    <w:name w:val="ListLabel 4"/>
    <w:qFormat/>
    <w:rPr>
      <w:b w:val="0"/>
      <w:strike w:val="0"/>
      <w:dstrike w:val="0"/>
    </w:rPr>
  </w:style>
  <w:style w:type="character" w:customStyle="1" w:styleId="ListLabel5">
    <w:name w:val="ListLabel 5"/>
    <w:qFormat/>
    <w:rPr>
      <w:i w:val="0"/>
      <w:strike w:val="0"/>
      <w:dstrike w:val="0"/>
    </w:rPr>
  </w:style>
  <w:style w:type="character" w:customStyle="1" w:styleId="ListLabel6">
    <w:name w:val="ListLabel 6"/>
    <w:qFormat/>
    <w:rPr>
      <w:rFonts w:ascii="Arial" w:hAnsi="Arial"/>
      <w:b/>
    </w:rPr>
  </w:style>
  <w:style w:type="character" w:customStyle="1" w:styleId="ListLabel7">
    <w:name w:val="ListLabel 7"/>
    <w:qFormat/>
    <w:rPr>
      <w:rFonts w:ascii="Arial" w:hAnsi="Arial"/>
      <w:b/>
      <w:i w:val="0"/>
      <w:iCs/>
    </w:rPr>
  </w:style>
  <w:style w:type="character" w:customStyle="1" w:styleId="ListLabel8">
    <w:name w:val="ListLabel 8"/>
    <w:qFormat/>
    <w:rPr>
      <w:rFonts w:ascii="Arial" w:hAnsi="Arial" w:cs="Arial"/>
      <w:b/>
      <w:i w:val="0"/>
      <w:iCs/>
      <w:color w:val="auto"/>
    </w:rPr>
  </w:style>
  <w:style w:type="character" w:customStyle="1" w:styleId="ListLabel9">
    <w:name w:val="ListLabel 9"/>
    <w:qFormat/>
    <w:rPr>
      <w:b/>
    </w:rPr>
  </w:style>
  <w:style w:type="character" w:customStyle="1" w:styleId="ListLabel10">
    <w:name w:val="ListLabel 10"/>
    <w:qFormat/>
    <w:rPr>
      <w:b w:val="0"/>
      <w:i w:val="0"/>
      <w:iCs/>
    </w:rPr>
  </w:style>
  <w:style w:type="character" w:customStyle="1" w:styleId="ListLabel11">
    <w:name w:val="ListLabel 11"/>
    <w:qFormat/>
    <w:rPr>
      <w:rFonts w:cs="Arial"/>
      <w:b w:val="0"/>
      <w:i w:val="0"/>
      <w:iCs/>
      <w:color w:val="auto"/>
    </w:rPr>
  </w:style>
  <w:style w:type="character" w:customStyle="1" w:styleId="ListLabel12">
    <w:name w:val="ListLabel 12"/>
    <w:qFormat/>
    <w:rPr>
      <w:b/>
    </w:rPr>
  </w:style>
  <w:style w:type="character" w:customStyle="1" w:styleId="ListLabel13">
    <w:name w:val="ListLabel 13"/>
    <w:qFormat/>
    <w:rPr>
      <w:b w:val="0"/>
      <w:i w:val="0"/>
      <w:iCs/>
    </w:rPr>
  </w:style>
  <w:style w:type="character" w:customStyle="1" w:styleId="ListLabel14">
    <w:name w:val="ListLabel 14"/>
    <w:qFormat/>
    <w:rPr>
      <w:b w:val="0"/>
      <w:i w:val="0"/>
      <w:iCs/>
      <w:color w:val="auto"/>
    </w:rPr>
  </w:style>
  <w:style w:type="character" w:customStyle="1" w:styleId="ListLabel15">
    <w:name w:val="ListLabel 15"/>
    <w:qFormat/>
    <w:rPr>
      <w:rFonts w:ascii="Arial" w:hAnsi="Arial" w:cs="Arial"/>
      <w:sz w:val="20"/>
      <w:szCs w:val="20"/>
    </w:rPr>
  </w:style>
  <w:style w:type="character" w:customStyle="1" w:styleId="ListLabel16">
    <w:name w:val="ListLabel 16"/>
    <w:qFormat/>
    <w:rPr>
      <w:rFonts w:ascii="Arial" w:hAnsi="Arial" w:cs="Arial"/>
      <w:color w:val="000000" w:themeColor="text1"/>
      <w:sz w:val="20"/>
      <w:szCs w:val="20"/>
      <w:u w:val="single"/>
    </w:rPr>
  </w:style>
  <w:style w:type="character" w:customStyle="1" w:styleId="ListLabel17">
    <w:name w:val="ListLabel 17"/>
    <w:qFormat/>
    <w:rPr>
      <w:rFonts w:eastAsia="Calibri" w:cs="Arial"/>
      <w:szCs w:val="20"/>
    </w:rPr>
  </w:style>
  <w:style w:type="character" w:customStyle="1" w:styleId="ListLabel18">
    <w:name w:val="ListLabel 18"/>
    <w:qFormat/>
    <w:rPr>
      <w:rFonts w:eastAsia="Calibri" w:cs="Arial"/>
      <w:lang w:eastAsia="ar-SA"/>
    </w:rPr>
  </w:style>
  <w:style w:type="character" w:customStyle="1" w:styleId="ListLabel19">
    <w:name w:val="ListLabel 19"/>
    <w:qFormat/>
    <w:rPr>
      <w:color w:val="000000"/>
    </w:rPr>
  </w:style>
  <w:style w:type="character" w:customStyle="1" w:styleId="ListLabel20">
    <w:name w:val="ListLabel 20"/>
    <w:qFormat/>
    <w:rPr>
      <w:rFonts w:ascii="Arial" w:hAnsi="Arial"/>
      <w:b/>
    </w:rPr>
  </w:style>
  <w:style w:type="character" w:customStyle="1" w:styleId="ListLabel21">
    <w:name w:val="ListLabel 21"/>
    <w:qFormat/>
    <w:rPr>
      <w:rFonts w:ascii="Arial" w:hAnsi="Arial"/>
      <w:b/>
      <w:i w:val="0"/>
      <w:iCs/>
    </w:rPr>
  </w:style>
  <w:style w:type="character" w:customStyle="1" w:styleId="ListLabel22">
    <w:name w:val="ListLabel 22"/>
    <w:qFormat/>
    <w:rPr>
      <w:rFonts w:ascii="Arial" w:hAnsi="Arial" w:cs="Arial"/>
      <w:b/>
      <w:i w:val="0"/>
      <w:iCs/>
      <w:color w:val="auto"/>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auto"/>
    </w:rPr>
  </w:style>
  <w:style w:type="character" w:customStyle="1" w:styleId="ListLabel26">
    <w:name w:val="ListLabel 26"/>
    <w:qFormat/>
    <w:rPr>
      <w:b/>
    </w:rPr>
  </w:style>
  <w:style w:type="character" w:customStyle="1" w:styleId="ListLabel27">
    <w:name w:val="ListLabel 27"/>
    <w:qFormat/>
    <w:rPr>
      <w:b w:val="0"/>
      <w:i w:val="0"/>
      <w:iCs/>
    </w:rPr>
  </w:style>
  <w:style w:type="character" w:customStyle="1" w:styleId="ListLabel28">
    <w:name w:val="ListLabel 28"/>
    <w:qFormat/>
    <w:rPr>
      <w:b w:val="0"/>
      <w:i w:val="0"/>
      <w:iCs/>
      <w:color w:val="auto"/>
    </w:rPr>
  </w:style>
  <w:style w:type="character" w:customStyle="1" w:styleId="ListLabel29">
    <w:name w:val="ListLabel 29"/>
    <w:qFormat/>
    <w:rPr>
      <w:rFonts w:cs="Arial"/>
      <w:sz w:val="20"/>
      <w:szCs w:val="20"/>
    </w:rPr>
  </w:style>
  <w:style w:type="character" w:customStyle="1" w:styleId="ListLabel30">
    <w:name w:val="ListLabel 30"/>
    <w:qFormat/>
    <w:rPr>
      <w:rFonts w:cs="Arial"/>
      <w:color w:val="000000" w:themeColor="text1"/>
      <w:sz w:val="20"/>
      <w:szCs w:val="20"/>
      <w:u w:val="single"/>
    </w:rPr>
  </w:style>
  <w:style w:type="character" w:customStyle="1" w:styleId="ListLabel31">
    <w:name w:val="ListLabel 31"/>
    <w:qFormat/>
    <w:rPr>
      <w:rFonts w:eastAsia="Calibri" w:cs="Arial"/>
      <w:szCs w:val="20"/>
    </w:rPr>
  </w:style>
  <w:style w:type="character" w:customStyle="1" w:styleId="ListLabel32">
    <w:name w:val="ListLabel 32"/>
    <w:qFormat/>
    <w:rPr>
      <w:rFonts w:eastAsia="Calibri" w:cs="Arial"/>
      <w:lang w:eastAsia="ar-SA"/>
    </w:rPr>
  </w:style>
  <w:style w:type="character" w:customStyle="1" w:styleId="ListLabel33">
    <w:name w:val="ListLabel 33"/>
    <w:qFormat/>
    <w:rPr>
      <w:color w:val="000000"/>
    </w:rPr>
  </w:style>
  <w:style w:type="paragraph" w:styleId="Ttulo">
    <w:name w:val="Title"/>
    <w:basedOn w:val="Normal"/>
    <w:next w:val="Corpodetexto"/>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rPr>
  </w:style>
  <w:style w:type="paragraph" w:customStyle="1" w:styleId="ndice">
    <w:name w:val="Índice"/>
    <w:basedOn w:val="Normal"/>
    <w:qFormat/>
    <w:pPr>
      <w:suppressLineNumbers/>
    </w:pPr>
    <w:rPr>
      <w:rFonts w:cs="Lohit Devanagari"/>
    </w:rPr>
  </w:style>
  <w:style w:type="paragraph" w:styleId="Textodecomentrio">
    <w:name w:val="annotation text"/>
    <w:basedOn w:val="Normal"/>
    <w:unhideWhenUsed/>
    <w:qFormat/>
    <w:rPr>
      <w:szCs w:val="20"/>
    </w:rPr>
  </w:style>
  <w:style w:type="paragraph" w:styleId="Cabealho">
    <w:name w:val="header"/>
    <w:basedOn w:val="Normal"/>
    <w:unhideWhenUsed/>
    <w:pPr>
      <w:tabs>
        <w:tab w:val="center" w:pos="4252"/>
        <w:tab w:val="right" w:pos="8504"/>
      </w:tabs>
    </w:pPr>
  </w:style>
  <w:style w:type="paragraph" w:styleId="Assuntodocomentrio">
    <w:name w:val="annotation subject"/>
    <w:basedOn w:val="Textodecomentrio"/>
    <w:uiPriority w:val="99"/>
    <w:semiHidden/>
    <w:unhideWhenUsed/>
    <w:qFormat/>
    <w:rPr>
      <w:b/>
      <w:bCs/>
    </w:rPr>
  </w:style>
  <w:style w:type="paragraph" w:styleId="Rodap">
    <w:name w:val="footer"/>
    <w:basedOn w:val="Normal"/>
    <w:uiPriority w:val="99"/>
    <w:unhideWhenUsed/>
    <w:pPr>
      <w:tabs>
        <w:tab w:val="center" w:pos="4252"/>
        <w:tab w:val="right" w:pos="8504"/>
      </w:tabs>
    </w:pPr>
  </w:style>
  <w:style w:type="paragraph" w:styleId="Textodebalo">
    <w:name w:val="Balloon Text"/>
    <w:basedOn w:val="Normal"/>
    <w:uiPriority w:val="99"/>
    <w:semiHidden/>
    <w:unhideWhenUsed/>
    <w:qFormat/>
    <w:rPr>
      <w:rFonts w:ascii="Segoe UI" w:hAnsi="Segoe UI" w:cs="Segoe UI"/>
      <w:sz w:val="18"/>
      <w:szCs w:val="18"/>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qFormat/>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rPr>
  </w:style>
  <w:style w:type="paragraph" w:styleId="PargrafodaLista">
    <w:name w:val="List Paragraph"/>
    <w:basedOn w:val="Normal"/>
    <w:uiPriority w:val="34"/>
    <w:qFormat/>
    <w:pPr>
      <w:ind w:left="720"/>
      <w:contextualSpacing/>
    </w:pPr>
  </w:style>
  <w:style w:type="paragraph" w:customStyle="1" w:styleId="citao2">
    <w:name w:val="citação 2"/>
    <w:basedOn w:val="Citao"/>
    <w:qFormat/>
    <w:rPr>
      <w:szCs w:val="20"/>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customStyle="1" w:styleId="Nivel1">
    <w:name w:val="Nivel1"/>
    <w:basedOn w:val="Ttulo1"/>
    <w:qFormat/>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pPr>
      <w:spacing w:before="120" w:after="120" w:line="276" w:lineRule="auto"/>
      <w:jc w:val="both"/>
    </w:pPr>
    <w:rPr>
      <w:rFonts w:ascii="Ecofont_Spranq_eco_Sans" w:eastAsia="Arial Unicode MS" w:hAnsi="Ecofont_Spranq_eco_Sans" w:cs="Times New Roman"/>
      <w:lang w:eastAsia="pt-BR" w:bidi="ar-SA"/>
    </w:rPr>
  </w:style>
  <w:style w:type="paragraph" w:customStyle="1" w:styleId="Nivel10">
    <w:name w:val="Nivel 1"/>
    <w:basedOn w:val="Nivel2"/>
    <w:qFormat/>
    <w:rPr>
      <w:rFonts w:cs="Arial"/>
      <w:b/>
    </w:rPr>
  </w:style>
  <w:style w:type="paragraph" w:customStyle="1" w:styleId="Nivel3">
    <w:name w:val="Nivel 3"/>
    <w:basedOn w:val="Nivel2"/>
    <w:qFormat/>
    <w:rPr>
      <w:rFonts w:cs="Arial"/>
      <w:color w:val="000000"/>
    </w:rPr>
  </w:style>
  <w:style w:type="paragraph" w:customStyle="1" w:styleId="Nivel4">
    <w:name w:val="Nivel 4"/>
    <w:basedOn w:val="Nivel3"/>
    <w:qFormat/>
    <w:rPr>
      <w:color w:val="auto"/>
    </w:rPr>
  </w:style>
  <w:style w:type="paragraph" w:customStyle="1" w:styleId="Nivel5">
    <w:name w:val="Nivel 5"/>
    <w:basedOn w:val="Nivel4"/>
    <w:qFormat/>
    <w:pPr>
      <w:tabs>
        <w:tab w:val="left" w:pos="360"/>
      </w:tabs>
    </w:pPr>
  </w:style>
  <w:style w:type="paragraph" w:customStyle="1" w:styleId="Contedodatabela">
    <w:name w:val="Conteúdo da tabela"/>
    <w:basedOn w:val="Normal"/>
    <w:qFormat/>
  </w:style>
  <w:style w:type="paragraph" w:customStyle="1" w:styleId="Ttulodetabela">
    <w:name w:val="Título de tabela"/>
    <w:basedOn w:val="Contedodatabela"/>
    <w:qFormat/>
    <w:pPr>
      <w:suppressLineNumbers/>
      <w:jc w:val="center"/>
    </w:pPr>
    <w:rPr>
      <w:b/>
      <w:bCs/>
    </w:rPr>
  </w:style>
  <w:style w:type="table" w:styleId="Tabelacomgrade">
    <w:name w:val="Table Grid"/>
    <w:basedOn w:val="Tabelanormal"/>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atransparencia.gov.br/ceis"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planalto.gov.br/ccivil_03/LEIS/L6404consol.ht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sgovernamentais.gov.br/" TargetMode="External"/><Relationship Id="rId5" Type="http://schemas.openxmlformats.org/officeDocument/2006/relationships/settings" Target="setting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www.comprasgovernamentais.gov.br/" TargetMode="Externa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www.cnj.jus.br/improbidade_adm/consultar_requerido.ph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2A0A27-CD84-4885-9065-26B406C4F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9</Pages>
  <Words>4785</Words>
  <Characters>25843</Characters>
  <Application>Microsoft Office Word</Application>
  <DocSecurity>0</DocSecurity>
  <Lines>215</Lines>
  <Paragraphs>61</Paragraphs>
  <ScaleCrop>false</ScaleCrop>
  <Company/>
  <LinksUpToDate>false</LinksUpToDate>
  <CharactersWithSpaces>30567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dc:description/>
  <cp:lastModifiedBy>Ususario</cp:lastModifiedBy>
  <cp:revision>17</cp:revision>
  <cp:lastPrinted>2021-11-25T16:19:00Z</cp:lastPrinted>
  <dcterms:created xsi:type="dcterms:W3CDTF">2021-11-04T17:36:00Z</dcterms:created>
  <dcterms:modified xsi:type="dcterms:W3CDTF">2021-11-26T21:26:00Z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ICV">
    <vt:lpwstr>9ECA4AB2147C49F48F92C0A2BD4C7382</vt:lpwstr>
  </property>
  <property fmtid="{D5CDD505-2E9C-101B-9397-08002B2CF9AE}" pid="4" name="KSOProductBuildVer">
    <vt:lpwstr>1046-11.2.0.10382</vt:lpwstr>
  </property>
  <property fmtid="{D5CDD505-2E9C-101B-9397-08002B2CF9AE}" pid="5" name="LinksUpToDate">
    <vt:bool>false</vt:bool>
  </property>
  <property fmtid="{D5CDD505-2E9C-101B-9397-08002B2CF9AE}" pid="6" name="ScaleCrop">
    <vt:bool>false</vt:bool>
  </property>
</Properties>
</file>