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aption"/>
        <w:widowControl w:val="false"/>
        <w:suppressAutoHyphens w:val="false"/>
        <w:spacing w:before="0" w:after="0"/>
        <w:jc w:val="center"/>
        <w:rPr/>
      </w:pPr>
      <w:r>
        <w:rPr/>
        <w:drawing>
          <wp:inline distT="0" distB="0" distL="0" distR="0">
            <wp:extent cx="628650" cy="49530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2"/>
                    <a:stretch>
                      <a:fillRect/>
                    </a:stretch>
                  </pic:blipFill>
                  <pic:spPr bwMode="auto">
                    <a:xfrm>
                      <a:off x="0" y="0"/>
                      <a:ext cx="628650" cy="495300"/>
                    </a:xfrm>
                    <a:prstGeom prst="rect">
                      <a:avLst/>
                    </a:prstGeom>
                  </pic:spPr>
                </pic:pic>
              </a:graphicData>
            </a:graphic>
          </wp:inline>
        </w:drawing>
      </w:r>
    </w:p>
    <w:p>
      <w:pPr>
        <w:pStyle w:val="Caption"/>
        <w:widowControl w:val="false"/>
        <w:suppressAutoHyphens w:val="false"/>
        <w:spacing w:before="0" w:after="0"/>
        <w:contextualSpacing/>
        <w:jc w:val="center"/>
        <w:rPr/>
      </w:pPr>
      <w:r>
        <w:rPr>
          <w:rFonts w:cs="Times New Roman" w:ascii="Times New Roman" w:hAnsi="Times New Roman"/>
          <w:b/>
          <w:i w:val="false"/>
          <w:szCs w:val="20"/>
        </w:rPr>
        <w:t>MINISTÉRIO DA DEFESA</w:t>
      </w:r>
    </w:p>
    <w:p>
      <w:pPr>
        <w:pStyle w:val="Normal"/>
        <w:widowControl w:val="false"/>
        <w:spacing w:before="0" w:after="0"/>
        <w:contextualSpacing/>
        <w:jc w:val="center"/>
        <w:rPr/>
      </w:pPr>
      <w:r>
        <w:rPr>
          <w:rFonts w:cs="Times New Roman" w:ascii="Times New Roman" w:hAnsi="Times New Roman"/>
          <w:b/>
          <w:bCs/>
          <w:szCs w:val="20"/>
          <w:lang w:eastAsia="ar-SA"/>
        </w:rPr>
        <w:t>EXÉRCITO BRASILEIRO</w:t>
      </w:r>
    </w:p>
    <w:p>
      <w:pPr>
        <w:pStyle w:val="Normal"/>
        <w:widowControl w:val="false"/>
        <w:spacing w:before="0" w:after="0"/>
        <w:contextualSpacing/>
        <w:jc w:val="center"/>
        <w:rPr/>
      </w:pPr>
      <w:r>
        <w:rPr>
          <w:rFonts w:cs="Times New Roman" w:ascii="Times New Roman" w:hAnsi="Times New Roman"/>
          <w:b/>
          <w:bCs/>
          <w:i/>
          <w:iCs/>
          <w:szCs w:val="20"/>
          <w:u w:val="single"/>
        </w:rPr>
        <w:t>HOSPITAL DE GUARNIÇÃO DE PORTO VELHO</w:t>
      </w:r>
    </w:p>
    <w:p>
      <w:pPr>
        <w:pStyle w:val="Normal"/>
        <w:spacing w:lineRule="auto" w:line="276"/>
        <w:jc w:val="center"/>
        <w:rPr>
          <w:rFonts w:cs="Arial"/>
          <w:b/>
          <w:b/>
          <w:bCs/>
          <w:i/>
          <w:i/>
          <w:iCs/>
          <w:color w:val="FF0000"/>
          <w:szCs w:val="20"/>
          <w:u w:val="single"/>
        </w:rPr>
      </w:pPr>
      <w:r>
        <w:rPr>
          <w:rFonts w:cs="Arial"/>
          <w:b/>
          <w:bCs/>
          <w:i/>
          <w:iCs/>
          <w:color w:val="FF0000"/>
          <w:szCs w:val="20"/>
          <w:u w:val="single"/>
        </w:rPr>
      </w:r>
    </w:p>
    <w:p>
      <w:pPr>
        <w:pStyle w:val="Normal"/>
        <w:spacing w:lineRule="auto" w:line="276"/>
        <w:jc w:val="center"/>
        <w:rPr/>
      </w:pPr>
      <w:r>
        <w:rPr>
          <w:rFonts w:cs="Arial"/>
          <w:b/>
          <w:bCs/>
          <w:i/>
          <w:iCs/>
          <w:szCs w:val="20"/>
          <w:u w:val="single"/>
        </w:rPr>
        <w:t>HOSPITAL DE GUARNIÇÃO DE PORTO VELHO – UASG 160351</w:t>
      </w:r>
    </w:p>
    <w:p>
      <w:pPr>
        <w:pStyle w:val="Normal"/>
        <w:spacing w:lineRule="auto" w:line="276"/>
        <w:jc w:val="center"/>
        <w:rPr/>
      </w:pPr>
      <w:r>
        <w:rPr>
          <w:rFonts w:cs="Arial"/>
          <w:b/>
          <w:bCs/>
          <w:color w:val="000000" w:themeColor="text1"/>
          <w:szCs w:val="20"/>
        </w:rPr>
        <w:t xml:space="preserve">AVISO DE DISPENSA ELETRÔNICA Nº </w:t>
      </w:r>
      <w:r>
        <w:rPr>
          <w:rFonts w:cs="Arial"/>
          <w:b/>
          <w:bCs/>
          <w:color w:val="000000" w:themeColor="text1"/>
          <w:szCs w:val="20"/>
          <w:u w:val="single"/>
        </w:rPr>
        <w:t>14/2021</w:t>
      </w:r>
    </w:p>
    <w:p>
      <w:pPr>
        <w:pStyle w:val="Normal"/>
        <w:spacing w:lineRule="auto" w:line="276" w:before="0" w:after="120"/>
        <w:jc w:val="center"/>
        <w:rPr>
          <w:rFonts w:cs="Arial"/>
          <w:b/>
          <w:b/>
          <w:bCs/>
          <w:color w:val="000000"/>
          <w:szCs w:val="20"/>
        </w:rPr>
      </w:pPr>
      <w:r>
        <w:rPr>
          <w:rFonts w:cs="Arial"/>
          <w:b/>
          <w:bCs/>
          <w:color w:val="000000" w:themeColor="text1"/>
          <w:szCs w:val="20"/>
        </w:rPr>
        <w:t>(Processo Administrativo n.° 64593.005046/2021-16)</w:t>
      </w:r>
    </w:p>
    <w:p>
      <w:pPr>
        <w:pStyle w:val="Normal"/>
        <w:rPr>
          <w:rFonts w:cs="Arial"/>
        </w:rPr>
      </w:pPr>
      <w:r>
        <w:rPr>
          <w:rFonts w:cs="Arial"/>
        </w:rPr>
      </w:r>
    </w:p>
    <w:p>
      <w:pPr>
        <w:pStyle w:val="Normal"/>
        <w:snapToGrid w:val="false"/>
        <w:spacing w:lineRule="auto" w:line="276" w:before="0" w:after="120"/>
        <w:ind w:firstLine="540"/>
        <w:jc w:val="both"/>
        <w:rPr/>
      </w:pPr>
      <w:r>
        <w:rPr>
          <w:rFonts w:cs="Arial"/>
          <w:color w:val="000000" w:themeColor="text1"/>
          <w:szCs w:val="20"/>
        </w:rPr>
        <w:t xml:space="preserve">Torna-se público que o </w:t>
      </w:r>
      <w:r>
        <w:rPr>
          <w:rFonts w:eastAsia="Arial" w:cs="Arial"/>
          <w:i/>
          <w:iCs/>
          <w:color w:val="00000A"/>
          <w:szCs w:val="20"/>
          <w:u w:val="single"/>
        </w:rPr>
        <w:t>Hospital de Guarnição de Porto Velho</w:t>
      </w:r>
      <w:r>
        <w:rPr>
          <w:rFonts w:cs="Arial"/>
          <w:color w:val="00000A"/>
          <w:szCs w:val="20"/>
        </w:rPr>
        <w:t xml:space="preserve">, por meio da </w:t>
      </w:r>
      <w:r>
        <w:rPr>
          <w:rFonts w:eastAsia="Arial" w:cs="Arial"/>
          <w:i/>
          <w:iCs/>
          <w:color w:val="00000A"/>
          <w:szCs w:val="20"/>
          <w:u w:val="single"/>
        </w:rPr>
        <w:t>Seção de Aquisições, Licitações e Contratos</w:t>
      </w:r>
      <w:r>
        <w:rPr>
          <w:rFonts w:cs="Arial"/>
          <w:color w:val="00000A"/>
          <w:szCs w:val="20"/>
        </w:rPr>
        <w:t xml:space="preserve">, realizará Dispensa Eletrônica, </w:t>
      </w:r>
      <w:r>
        <w:rPr>
          <w:rFonts w:cs="Arial"/>
          <w:bCs/>
          <w:color w:val="00000A"/>
          <w:szCs w:val="20"/>
        </w:rPr>
        <w:t xml:space="preserve">com critério de julgamento </w:t>
      </w:r>
      <w:r>
        <w:rPr>
          <w:rFonts w:cs="Arial"/>
          <w:i/>
          <w:color w:val="00000A"/>
          <w:szCs w:val="20"/>
        </w:rPr>
        <w:t>menor preço</w:t>
      </w:r>
      <w:r>
        <w:rPr>
          <w:rFonts w:cs="Arial"/>
          <w:b/>
          <w:bCs/>
          <w:i/>
          <w:color w:val="00000A"/>
          <w:szCs w:val="20"/>
        </w:rPr>
        <w:t xml:space="preserve">, </w:t>
      </w:r>
      <w:r>
        <w:rPr>
          <w:rFonts w:cs="Arial"/>
          <w:color w:val="00000A"/>
          <w:szCs w:val="20"/>
        </w:rPr>
        <w:t>na hipótese do art. 75</w:t>
      </w:r>
      <w:r>
        <w:rPr>
          <w:rFonts w:cs="Arial"/>
          <w:i/>
          <w:iCs/>
          <w:color w:val="00000A"/>
          <w:szCs w:val="20"/>
        </w:rPr>
        <w:t xml:space="preserve">, inciso </w:t>
      </w:r>
      <w:r>
        <w:rPr>
          <w:rFonts w:cs="Arial"/>
          <w:b/>
          <w:i/>
          <w:iCs/>
          <w:color w:val="00000A"/>
          <w:szCs w:val="20"/>
        </w:rPr>
        <w:t>II</w:t>
      </w:r>
      <w:r>
        <w:rPr>
          <w:rFonts w:cs="Arial"/>
          <w:i/>
          <w:iCs/>
          <w:color w:val="00000A"/>
          <w:szCs w:val="20"/>
        </w:rPr>
        <w:t xml:space="preserve">, </w:t>
      </w:r>
      <w:r>
        <w:rPr>
          <w:rFonts w:cs="Arial"/>
          <w:bCs/>
          <w:color w:val="00000A"/>
          <w:szCs w:val="20"/>
        </w:rPr>
        <w:t>no</w:t>
      </w:r>
      <w:r>
        <w:rPr>
          <w:rFonts w:cs="Arial"/>
          <w:bCs/>
          <w:szCs w:val="20"/>
        </w:rPr>
        <w:t>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rFonts w:cs="Arial"/>
          <w:color w:val="000000" w:themeColor="text1"/>
          <w:szCs w:val="20"/>
        </w:rPr>
      </w:pPr>
      <w:r>
        <w:rPr>
          <w:rFonts w:cs="Arial"/>
          <w:color w:val="000000" w:themeColor="text1"/>
          <w:szCs w:val="20"/>
        </w:rPr>
      </w:r>
    </w:p>
    <w:p>
      <w:pPr>
        <w:pStyle w:val="Normal"/>
        <w:spacing w:lineRule="auto" w:line="276"/>
        <w:jc w:val="both"/>
        <w:rPr/>
      </w:pPr>
      <w:r>
        <w:rPr>
          <w:rFonts w:cs="Arial"/>
          <w:color w:val="000000" w:themeColor="text1"/>
          <w:szCs w:val="20"/>
        </w:rPr>
        <w:t>Data da sessão: 16 de setembro de 2021</w:t>
      </w:r>
    </w:p>
    <w:p>
      <w:pPr>
        <w:pStyle w:val="Normal"/>
        <w:rPr/>
      </w:pPr>
      <w:r>
        <w:rPr>
          <w:rFonts w:cs="Arial"/>
          <w:color w:val="000000" w:themeColor="text1"/>
          <w:szCs w:val="20"/>
        </w:rPr>
        <w:t xml:space="preserve">Link: </w:t>
      </w:r>
      <w:r>
        <w:rPr>
          <w:rFonts w:cs="Arial"/>
          <w:color w:val="000000"/>
          <w:szCs w:val="20"/>
        </w:rPr>
        <w:t xml:space="preserve">Portal de Compras do Governo Federal – www.comprasgovernamentais.gov.br </w:t>
      </w:r>
    </w:p>
    <w:p>
      <w:pPr>
        <w:pStyle w:val="Normal"/>
        <w:rPr/>
      </w:pPr>
      <w:r>
        <w:rPr>
          <w:rFonts w:cs="Arial"/>
          <w:color w:val="000000" w:themeColor="text1"/>
          <w:szCs w:val="20"/>
        </w:rPr>
        <w:t>Horário da Fase de Lances: 8:00 às</w:t>
      </w:r>
      <w:r>
        <w:rPr>
          <w:rFonts w:cs="Arial"/>
          <w:i/>
          <w:color w:val="00000A"/>
          <w:szCs w:val="20"/>
          <w:u w:val="single"/>
        </w:rPr>
        <w:t>16:00</w:t>
      </w:r>
    </w:p>
    <w:p>
      <w:pPr>
        <w:pStyle w:val="PADRO"/>
        <w:widowControl/>
        <w:shd w:val="clear" w:color="auto" w:fill="auto"/>
        <w:spacing w:before="120" w:after="120"/>
        <w:ind w:left="360" w:hanging="0"/>
        <w:rPr>
          <w:rFonts w:ascii="Arial" w:hAnsi="Arial" w:cs="Arial"/>
          <w:b/>
          <w:b/>
        </w:rPr>
      </w:pPr>
      <w:r>
        <w:rPr>
          <w:rFonts w:cs="Arial" w:ascii="Arial" w:hAnsi="Arial"/>
          <w:b/>
        </w:rPr>
      </w:r>
    </w:p>
    <w:p>
      <w:pPr>
        <w:pStyle w:val="PADRO"/>
        <w:widowControl/>
        <w:numPr>
          <w:ilvl w:val="0"/>
          <w:numId w:val="1"/>
        </w:numPr>
        <w:shd w:val="clear" w:color="auto" w:fill="auto"/>
        <w:spacing w:before="120" w:after="120"/>
        <w:rPr>
          <w:rFonts w:ascii="Arial" w:hAnsi="Arial" w:cs="Arial"/>
          <w:b/>
          <w:b/>
        </w:rPr>
      </w:pPr>
      <w:bookmarkStart w:id="0" w:name="_GoBack"/>
      <w:bookmarkEnd w:id="0"/>
      <w:r>
        <w:rPr>
          <w:rFonts w:cs="Arial" w:ascii="Arial" w:hAnsi="Arial"/>
          <w:b/>
        </w:rPr>
        <w:t>OBJETO DA CONTRATAÇÃO DIRETA</w:t>
      </w:r>
    </w:p>
    <w:p>
      <w:pPr>
        <w:pStyle w:val="PADRO"/>
        <w:widowControl/>
        <w:numPr>
          <w:ilvl w:val="1"/>
          <w:numId w:val="1"/>
        </w:numPr>
        <w:shd w:val="clear" w:color="auto" w:fill="auto"/>
        <w:spacing w:before="120" w:after="120"/>
        <w:rPr/>
      </w:pPr>
      <w:r>
        <w:rPr>
          <w:rFonts w:cs="Arial" w:ascii="Arial" w:hAnsi="Arial"/>
          <w:color w:val="000000" w:themeColor="text1"/>
          <w:szCs w:val="20"/>
        </w:rPr>
        <w:t xml:space="preserve">O objeto da presente dispensa </w:t>
      </w:r>
      <w:r>
        <w:rPr>
          <w:rFonts w:cs="Arial" w:ascii="Arial" w:hAnsi="Arial"/>
          <w:szCs w:val="20"/>
        </w:rPr>
        <w:t>é a escolha da proposta mais vantajosa para a aquisição por dispensa de licitação de Órteses Auditivas OPME</w:t>
      </w:r>
      <w:r>
        <w:rPr>
          <w:rFonts w:cs="Arial" w:ascii="Arial" w:hAnsi="Arial"/>
          <w:b/>
          <w:bCs/>
          <w:szCs w:val="20"/>
        </w:rPr>
        <w:t>,</w:t>
      </w:r>
      <w:r>
        <w:rPr>
          <w:rFonts w:cs="Arial" w:ascii="Arial" w:hAnsi="Arial"/>
          <w:szCs w:val="20"/>
        </w:rPr>
        <w:t xml:space="preserve"> conforme condições, quantidades e exigências estabelecidas</w:t>
      </w:r>
      <w:r>
        <w:rPr>
          <w:rFonts w:cs="Arial" w:ascii="Arial" w:hAnsi="Arial"/>
          <w:color w:val="000000" w:themeColor="text1"/>
          <w:szCs w:val="20"/>
        </w:rPr>
        <w:t xml:space="preserve"> neste Aviso de Contratação Direta e seus anexos.</w:t>
      </w:r>
    </w:p>
    <w:p>
      <w:pPr>
        <w:pStyle w:val="PADRO"/>
        <w:widowControl/>
        <w:numPr>
          <w:ilvl w:val="1"/>
          <w:numId w:val="1"/>
        </w:numPr>
        <w:shd w:val="clear" w:color="auto" w:fill="auto"/>
        <w:spacing w:before="120" w:after="120"/>
        <w:rPr>
          <w:rFonts w:ascii="Arial" w:hAnsi="Arial" w:cs="Arial"/>
          <w:szCs w:val="20"/>
        </w:rPr>
      </w:pPr>
      <w:r>
        <w:rPr>
          <w:rFonts w:cs="Arial" w:ascii="Arial" w:hAnsi="Arial"/>
          <w:i/>
          <w:iCs/>
          <w:color w:val="00000A"/>
          <w:szCs w:val="20"/>
        </w:rPr>
        <w:t>A contratação será dividida em itens</w:t>
      </w:r>
      <w:r>
        <w:rPr>
          <w:rFonts w:cs="Arial" w:ascii="Arial" w:hAnsi="Arial"/>
          <w:b/>
          <w:bCs/>
          <w:i/>
          <w:iCs/>
          <w:color w:val="00000A"/>
          <w:szCs w:val="20"/>
        </w:rPr>
        <w:t>,</w:t>
      </w:r>
      <w:r>
        <w:rPr>
          <w:rFonts w:cs="Arial" w:ascii="Arial" w:hAnsi="Arial"/>
          <w:i/>
          <w:iCs/>
          <w:color w:val="00000A"/>
          <w:szCs w:val="20"/>
        </w:rPr>
        <w:t xml:space="preserve"> conforme tabela constante abaixo.</w:t>
      </w:r>
    </w:p>
    <w:tbl>
      <w:tblPr>
        <w:tblW w:w="5000" w:type="pct"/>
        <w:jc w:val="left"/>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83" w:type="dxa"/>
          <w:bottom w:w="0" w:type="dxa"/>
          <w:right w:w="108" w:type="dxa"/>
        </w:tblCellMar>
        <w:tblLook w:val="04a0"/>
      </w:tblPr>
      <w:tblGrid>
        <w:gridCol w:w="720"/>
        <w:gridCol w:w="3673"/>
        <w:gridCol w:w="1143"/>
        <w:gridCol w:w="1180"/>
        <w:gridCol w:w="1026"/>
        <w:gridCol w:w="1328"/>
      </w:tblGrid>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b/>
                <w:bCs/>
                <w:szCs w:val="20"/>
              </w:rPr>
              <w:t>ITEM</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spacing w:before="0" w:after="0"/>
              <w:contextualSpacing/>
              <w:jc w:val="both"/>
              <w:rPr>
                <w:szCs w:val="20"/>
              </w:rPr>
            </w:pPr>
            <w:r>
              <w:rPr>
                <w:rFonts w:cs="Arial"/>
                <w:b/>
                <w:bCs/>
                <w:szCs w:val="20"/>
              </w:rPr>
              <w:t>DESCRIÇÃO/ ESPECIFICAÇÃO</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jc w:val="center"/>
              <w:rPr>
                <w:szCs w:val="20"/>
              </w:rPr>
            </w:pPr>
            <w:r>
              <w:rPr>
                <w:rFonts w:cs="Arial"/>
                <w:b/>
                <w:bCs/>
                <w:color w:val="000000"/>
                <w:szCs w:val="20"/>
              </w:rPr>
              <w:t>CATSER/</w:t>
            </w:r>
          </w:p>
          <w:p>
            <w:pPr>
              <w:pStyle w:val="Normal"/>
              <w:widowControl w:val="false"/>
              <w:suppressAutoHyphens w:val="true"/>
              <w:jc w:val="center"/>
              <w:rPr>
                <w:szCs w:val="20"/>
              </w:rPr>
            </w:pPr>
            <w:r>
              <w:rPr>
                <w:rFonts w:cs="Arial"/>
                <w:b/>
                <w:bCs/>
                <w:color w:val="000000"/>
                <w:szCs w:val="20"/>
              </w:rPr>
              <w:t>CATMAT</w:t>
            </w:r>
          </w:p>
        </w:tc>
        <w:tc>
          <w:tcPr>
            <w:tcW w:w="11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jc w:val="center"/>
              <w:rPr>
                <w:szCs w:val="20"/>
              </w:rPr>
            </w:pPr>
            <w:r>
              <w:rPr>
                <w:rFonts w:cs="Arial"/>
                <w:b/>
                <w:bCs/>
                <w:color w:val="000000"/>
                <w:szCs w:val="20"/>
              </w:rPr>
              <w:t>UNIDADE DE MEDIDA</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jc w:val="center"/>
              <w:rPr>
                <w:szCs w:val="20"/>
              </w:rPr>
            </w:pPr>
            <w:r>
              <w:rPr>
                <w:rFonts w:cs="Arial"/>
                <w:b/>
                <w:bCs/>
                <w:color w:val="000000"/>
                <w:szCs w:val="20"/>
              </w:rPr>
              <w:t>QUANT.</w:t>
            </w:r>
          </w:p>
        </w:tc>
        <w:tc>
          <w:tcPr>
            <w:tcW w:w="13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jc w:val="center"/>
              <w:rPr>
                <w:szCs w:val="20"/>
              </w:rPr>
            </w:pPr>
            <w:r>
              <w:rPr>
                <w:rFonts w:cs="Arial"/>
                <w:b/>
                <w:bCs/>
                <w:color w:val="000000"/>
                <w:szCs w:val="20"/>
              </w:rPr>
              <w:t>PREÇO ESTIMADO</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b/>
                <w:szCs w:val="20"/>
              </w:rPr>
              <w:t>1</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de frequência de 100 a 900Hz, regulagem através de softwares de programação, gerenciador de microfonia, supressor automático de ruído, botão para troca de programas de conforto, indicador de pilha fraca, compreensão de frequências agudas, datalogging, mínimo 8 canais de processamento por sinal, com pilhas compatíveis. Gerador de ruído para tratamento de zumbido (se paciente necessitar), Receptor (se necessário) com garantia de 6 meses. (Aparelho de referência M30 – 312)</w:t>
            </w:r>
          </w:p>
          <w:p>
            <w:pPr>
              <w:pStyle w:val="Normal"/>
              <w:widowControl w:val="false"/>
              <w:suppressAutoHyphens w:val="true"/>
              <w:spacing w:before="0" w:after="0"/>
              <w:contextualSpacing/>
              <w:jc w:val="both"/>
              <w:rPr>
                <w:rFonts w:cs="Arial"/>
                <w:szCs w:val="20"/>
              </w:rPr>
            </w:pPr>
            <w:r>
              <w:rPr>
                <w:rFonts w:cs="Arial"/>
                <w:szCs w:val="20"/>
              </w:rPr>
              <w:t xml:space="preserve">Serviços complementares descritos no Estudo Tecnico Preliminar. Teste com experiência domiciliar. Programa de monitoramento de 36 meses. Garantia Técnica de mínima 12 meses. No município de Porto Velho </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417576</w:t>
            </w:r>
          </w:p>
        </w:tc>
        <w:tc>
          <w:tcPr>
            <w:tcW w:w="11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R$ 4.000,00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b/>
                <w:szCs w:val="20"/>
              </w:rPr>
              <w:t>2</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entre 115 e 125dB, cobertura mínima de frequência 100 a 9000Hz, regulagem através de softwares de programação, gerenciador de microfonia, supressor automático de ruído, botão para trocar de programas de conforto, indicador de pilha fraca, compressão de frequências agudas, datalogging, mínimo 12 canais de processamento de sinal, mas. Programas adicionais: 55,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com experiência domiciliar. Programa de monitoramento de 36 meses. Garantia técnica de mínima 24 meses. No município de Porto Velho</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b/>
                <w:szCs w:val="20"/>
              </w:rPr>
              <w:t>3</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no canal (RIC ou CRT), para perda leve a moderada. Especificações mínimas exigidas: ganho entre 45 e 65 dB, saída máxima entre 115 e 125 dB, cobertura mínima de frequência de 100 a 9000Hz, regulagem através de softwares de programação, gerenciador de microfonia, supressor automático de ruído, botão para troca de programas de conforto, indicador de pilha fraca, compressão de frequências agudas, datalogging, mínimo 12 canais de processamento de sinal, max. Programas adicionais: 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com experiência domiciliar. Programa de monitoramento de 36 meses. Garantia técnica de mínima 24 meses. No município de Porto Velho</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r>
        <w:trPr/>
        <w:tc>
          <w:tcPr>
            <w:tcW w:w="72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b/>
                <w:szCs w:val="20"/>
              </w:rPr>
              <w:t>4</w:t>
            </w:r>
          </w:p>
        </w:tc>
        <w:tc>
          <w:tcPr>
            <w:tcW w:w="367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both"/>
              <w:rPr>
                <w:szCs w:val="20"/>
              </w:rPr>
            </w:pPr>
            <w:r>
              <w:rPr>
                <w:rFonts w:cs="Arial"/>
                <w:szCs w:val="20"/>
              </w:rPr>
              <w:t>Aparelho Auditivo Digital tipo MICRORETROAURICULAR com receptor de canal (RIC ou CRT), para perda leve a moderada. Especificações mínimas exigidas: ganho entre 45 e 65 dB, saída máxima entre 115 e 125dB, cobertura mínima de frequência de 100 a 9000Hz, regulagem através de softwares de programação, gerenciador de microfonia, supressor automático de ruído, botão para troca de programas de conforto, indicador de pilha fraca, compressão de frequências agudas, datalogging, mínimo 12 canais de processamento de sinal, max. Programas adicionais: 5, max. Programas de Transmissão: 4 com pilhas compatíveis. Gerador de ruído para tratamento de zumbido (se paciente necessitar), receptor (se necessário) com garantia mínima de 6 meses. (Aparelho de referência M50 – 312)</w:t>
            </w:r>
          </w:p>
          <w:p>
            <w:pPr>
              <w:pStyle w:val="Normal"/>
              <w:widowControl w:val="false"/>
              <w:suppressAutoHyphens w:val="true"/>
              <w:spacing w:before="0" w:after="0"/>
              <w:contextualSpacing/>
              <w:jc w:val="both"/>
              <w:rPr>
                <w:szCs w:val="20"/>
              </w:rPr>
            </w:pPr>
            <w:r>
              <w:rPr>
                <w:rFonts w:cs="Arial"/>
                <w:szCs w:val="20"/>
              </w:rPr>
              <w:t>Serviços complementares descritos no Estudo Tecnico Preliminar. Teste de experiência domiciliar. Programa de monitoramento de 36 meses. Garantia técnica de mínima de 24 meses. No município de Porto Velho</w:t>
            </w:r>
          </w:p>
        </w:tc>
        <w:tc>
          <w:tcPr>
            <w:tcW w:w="114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415979</w:t>
            </w:r>
          </w:p>
        </w:tc>
        <w:tc>
          <w:tcPr>
            <w:tcW w:w="11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Unidade</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2</w:t>
            </w:r>
          </w:p>
        </w:tc>
        <w:tc>
          <w:tcPr>
            <w:tcW w:w="13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83" w:type="dxa"/>
            </w:tcMar>
            <w:vAlign w:val="center"/>
          </w:tcPr>
          <w:p>
            <w:pPr>
              <w:pStyle w:val="Normal"/>
              <w:widowControl w:val="false"/>
              <w:suppressAutoHyphens w:val="true"/>
              <w:spacing w:before="0" w:after="0"/>
              <w:contextualSpacing/>
              <w:jc w:val="center"/>
              <w:rPr>
                <w:szCs w:val="20"/>
              </w:rPr>
            </w:pPr>
            <w:r>
              <w:rPr>
                <w:rFonts w:cs="Arial"/>
                <w:szCs w:val="20"/>
              </w:rPr>
              <w:t>R$ 6.919,00</w:t>
            </w:r>
          </w:p>
        </w:tc>
      </w:tr>
    </w:tbl>
    <w:p>
      <w:pPr>
        <w:pStyle w:val="PADRO"/>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widowControl/>
        <w:numPr>
          <w:ilvl w:val="1"/>
          <w:numId w:val="1"/>
        </w:numPr>
        <w:shd w:val="clear" w:color="auto" w:fill="auto"/>
        <w:spacing w:before="120" w:after="120"/>
        <w:rPr>
          <w:rFonts w:ascii="Arial" w:hAnsi="Arial" w:cs="Arial"/>
          <w:color w:val="000000" w:themeColor="text1"/>
          <w:szCs w:val="20"/>
        </w:rPr>
      </w:pPr>
      <w:r>
        <w:rPr>
          <w:rFonts w:cs="Arial" w:ascii="Arial" w:hAnsi="Arial"/>
          <w:szCs w:val="20"/>
        </w:rPr>
        <w:t xml:space="preserve">O critério de julgamento adotado será o </w:t>
      </w:r>
      <w:r>
        <w:rPr>
          <w:rFonts w:cs="Arial" w:ascii="Arial" w:hAnsi="Arial"/>
          <w:i/>
          <w:iCs/>
          <w:color w:val="FF0000"/>
          <w:szCs w:val="20"/>
          <w:u w:val="single"/>
        </w:rPr>
        <w:t>menor preço</w:t>
      </w:r>
      <w:r>
        <w:rPr>
          <w:rFonts w:cs="Arial" w:ascii="Arial" w:hAnsi="Arial"/>
          <w:i/>
          <w:iCs/>
          <w:color w:val="FF0000"/>
          <w:szCs w:val="20"/>
        </w:rPr>
        <w:t>,</w:t>
      </w:r>
      <w:r>
        <w:rPr>
          <w:rFonts w:cs="Arial" w:ascii="Arial" w:hAnsi="Arial"/>
          <w:szCs w:val="20"/>
        </w:rPr>
        <w:t>observadas as exigências contidas neste Aviso de Contratação Direta e seus Anexos quanto às especificações do objeto.</w:t>
      </w:r>
    </w:p>
    <w:p>
      <w:pPr>
        <w:pStyle w:val="PADRO"/>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bCs/>
          <w:szCs w:val="20"/>
          <w:u w:val="single"/>
        </w:rPr>
        <w:t>www.comprasgovernamentais.gov.br.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cs="Arial"/>
          <w:i/>
          <w:i/>
          <w:color w:val="FF0000"/>
          <w:szCs w:val="20"/>
        </w:rPr>
      </w:pPr>
      <w:bookmarkStart w:id="1" w:name="_Hlk519667815"/>
      <w:bookmarkEnd w:id="1"/>
      <w:r>
        <w:rPr>
          <w:rFonts w:cs="Arial"/>
          <w:i/>
          <w:color w:val="FF0000"/>
          <w:szCs w:val="20"/>
        </w:rPr>
        <w:t>sociedades cooperativas.</w:t>
      </w:r>
    </w:p>
    <w:p>
      <w:pPr>
        <w:pStyle w:val="PADRO"/>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w:t>
      </w:r>
      <w:r>
        <w:rPr>
          <w:rFonts w:cs="Arial"/>
          <w:i/>
          <w:szCs w:val="20"/>
          <w:u w:val="single"/>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Cs w:val="20"/>
        </w:rPr>
        <w:t xml:space="preserve">No cadastramento da proposta inicial, o fornecedor deverá, também, assinalar “sim” ou “não” em campo </w:t>
      </w:r>
      <w:r>
        <w:rPr>
          <w:rFonts w:cs="Arial"/>
          <w:szCs w:val="20"/>
        </w:rPr>
        <w:t>próprio</w:t>
      </w:r>
      <w:r>
        <w:rPr>
          <w:rFonts w:cs="Arial"/>
          <w:color w:val="000000"/>
          <w:szCs w:val="20"/>
        </w:rPr>
        <w:t xml:space="preserve"> do sistema eletrônico, às seguintes declarações:</w:t>
      </w:r>
    </w:p>
    <w:p>
      <w:pPr>
        <w:pStyle w:val="ListParagraph"/>
        <w:numPr>
          <w:ilvl w:val="0"/>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Cs/>
          <w:vanish/>
          <w:color w:val="000000"/>
          <w:szCs w:val="20"/>
        </w:rPr>
      </w:pPr>
      <w:r>
        <w:rPr>
          <w:rFonts w:cs="Arial"/>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 xml:space="preserve">que </w:t>
      </w:r>
      <w:r>
        <w:rPr>
          <w:rFonts w:cs="Arial"/>
          <w:color w:val="000000"/>
          <w:szCs w:val="20"/>
        </w:rPr>
        <w:t>cumpre</w:t>
      </w:r>
      <w:r>
        <w:rPr>
          <w:rFonts w:cs="Arial"/>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PADRO"/>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i/>
          <w:iCs/>
          <w:color w:val="FF0000"/>
          <w:szCs w:val="20"/>
        </w:rPr>
        <w:t>O lance deverá ser ofertado pelo valor unitário do item.</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 R$ 1,00</w:t>
      </w:r>
      <w:r>
        <w:rPr>
          <w:rFonts w:cs="Arial"/>
          <w:i/>
          <w:iCs/>
          <w:szCs w:val="20"/>
        </w:rPr>
        <w:t>(um real).</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Pr>
          <w:rFonts w:cs="Arial"/>
          <w:szCs w:val="20"/>
        </w:rPr>
        <w:t xml:space="preserve"> 30 (trinta) dias</w:t>
      </w:r>
      <w:r>
        <w:rPr>
          <w:rFonts w:cs="Arial"/>
          <w:b/>
          <w:bCs/>
          <w:szCs w:val="20"/>
        </w:rPr>
        <w:t>,</w:t>
      </w:r>
      <w:r>
        <w:rPr>
          <w:rFonts w:cs="Arial"/>
          <w:szCs w:val="20"/>
        </w:rPr>
        <w:t xml:space="preserve"> a c</w:t>
      </w:r>
      <w:r>
        <w:rPr>
          <w:rFonts w:cs="Arial"/>
          <w:color w:val="000000" w:themeColor="text1"/>
          <w:szCs w:val="20"/>
        </w:rPr>
        <w:t>ontar da data de sua apresentação.</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pPr>
      <w:r>
        <w:rPr>
          <w:rFonts w:cs="Arial"/>
          <w:i/>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numPr>
          <w:ilvl w:val="2"/>
          <w:numId w:val="1"/>
        </w:numPr>
        <w:spacing w:lineRule="auto" w:line="276" w:before="120" w:after="120"/>
        <w:contextualSpacing/>
        <w:jc w:val="both"/>
        <w:rPr>
          <w:rFonts w:cs="Arial"/>
          <w:i/>
          <w:i/>
          <w:szCs w:val="20"/>
        </w:rPr>
      </w:pPr>
      <w:r>
        <w:rPr>
          <w:rFonts w:cs="Arial"/>
          <w:i/>
          <w:szCs w:val="20"/>
        </w:rPr>
        <w:t>Não havendo a comprovação cumulativa dos requisitos de habilitação, a inabilitação recairá sobre o(s) item(ns) de menor(es) valor(es) cuja retirada(s) seja(m) suficiente(s) para a habilitação do fornecedor nos remanescentes.</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adjudicatário terá o prazo de 5 </w:t>
      </w:r>
      <w:r>
        <w:rPr>
          <w:rFonts w:eastAsia="Arial" w:cs="Arial"/>
          <w:color w:val="FF0000"/>
          <w:szCs w:val="20"/>
        </w:rPr>
        <w:t>(cinco)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 </w:t>
      </w:r>
      <w:r>
        <w:rPr>
          <w:rFonts w:eastAsia="Arial" w:cs="Arial"/>
          <w:color w:val="000000"/>
          <w:szCs w:val="20"/>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Pr>
          <w:rFonts w:eastAsia="Arial" w:cs="Arial"/>
          <w:i/>
          <w:color w:val="FF0000"/>
          <w:szCs w:val="20"/>
          <w:u w:val="single"/>
        </w:rPr>
        <w:t>05 (cinco)</w:t>
      </w:r>
      <w:r>
        <w:rPr>
          <w:rFonts w:eastAsia="Arial" w:cs="Arial"/>
          <w:i/>
          <w:color w:val="FF0000"/>
          <w:szCs w:val="20"/>
        </w:rPr>
        <w:t xml:space="preserve"> dias, a contar da data de seu recebimento.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i/>
          <w:color w:val="FF000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pPr>
      <w:r>
        <w:rPr>
          <w:rFonts w:eastAsia="Arial" w:cs="Arial"/>
          <w:i/>
          <w:color w:val="FF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de </w:t>
      </w:r>
      <w:r>
        <w:rPr>
          <w:rFonts w:eastAsia="Arial" w:cs="Arial"/>
          <w:color w:val="FF0000"/>
          <w:szCs w:val="20"/>
        </w:rPr>
        <w:t xml:space="preserve">12 meses </w:t>
      </w:r>
      <w:r>
        <w:rPr>
          <w:rFonts w:eastAsia="Arial" w:cs="Arial"/>
          <w:color w:val="000000"/>
          <w:szCs w:val="20"/>
        </w:rPr>
        <w:t xml:space="preserve">prorrogável conforme previsão nos anexos a este Aviso de Contratação Direta. </w:t>
      </w:r>
    </w:p>
    <w:p>
      <w:pPr>
        <w:pStyle w:val="Normal"/>
        <w:numPr>
          <w:ilvl w:val="1"/>
          <w:numId w:val="1"/>
        </w:numPr>
        <w:spacing w:lineRule="auto" w:line="276" w:before="120" w:after="120"/>
        <w:ind w:left="425" w:hanging="0"/>
        <w:jc w:val="both"/>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Direta,quando não se justificar a imposição de penalidade mais grave;</w:t>
      </w:r>
    </w:p>
    <w:p>
      <w:pPr>
        <w:pStyle w:val="Normal"/>
        <w:numPr>
          <w:ilvl w:val="2"/>
          <w:numId w:val="5"/>
        </w:numPr>
        <w:spacing w:lineRule="auto" w:line="276" w:before="120" w:after="120"/>
        <w:jc w:val="both"/>
        <w:rPr/>
      </w:pPr>
      <w:r>
        <w:rPr>
          <w:rFonts w:cs="Arial"/>
        </w:rPr>
        <w:t xml:space="preserve">Multa de </w:t>
      </w:r>
      <w:r>
        <w:rPr>
          <w:rFonts w:cs="Arial"/>
          <w:color w:val="FF0000"/>
          <w:u w:val="single"/>
        </w:rPr>
        <w:t>1</w:t>
      </w:r>
      <w:r>
        <w:rPr>
          <w:rFonts w:cs="Arial"/>
          <w:color w:val="FF0000"/>
        </w:rPr>
        <w:t>% (</w:t>
      </w:r>
      <w:r>
        <w:rPr>
          <w:rFonts w:cs="Arial"/>
          <w:color w:val="FF0000"/>
          <w:u w:val="single"/>
        </w:rPr>
        <w:t>um por cento</w:t>
      </w:r>
      <w:r>
        <w:rPr>
          <w:rFonts w:cs="Arial"/>
          <w:color w:val="FF0000"/>
        </w:rPr>
        <w:t xml:space="preserve">)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2" w:name="art156§6"/>
      <w:bookmarkStart w:id="3" w:name="art156§7"/>
      <w:bookmarkStart w:id="4" w:name="art156§8"/>
      <w:bookmarkEnd w:id="2"/>
      <w:bookmarkEnd w:id="3"/>
      <w:bookmarkEnd w:id="4"/>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5" w:name="art156§9"/>
      <w:bookmarkEnd w:id="5"/>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PADRO"/>
        <w:widowControl/>
        <w:numPr>
          <w:ilvl w:val="0"/>
          <w:numId w:val="1"/>
        </w:numPr>
        <w:shd w:val="clear" w:color="auto" w:fill="auto"/>
        <w:spacing w:before="120" w:after="120"/>
        <w:rPr>
          <w:rFonts w:ascii="Arial" w:hAnsi="Arial" w:cs="Arial"/>
          <w:b/>
          <w:b/>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Cs w:val="20"/>
        </w:rPr>
        <w:t>ANEXO I – Documentação exigida para Habilitação</w:t>
      </w:r>
    </w:p>
    <w:p>
      <w:pPr>
        <w:pStyle w:val="Normal"/>
        <w:numPr>
          <w:ilvl w:val="2"/>
          <w:numId w:val="1"/>
        </w:numPr>
        <w:spacing w:lineRule="auto" w:line="276" w:before="120" w:after="120"/>
        <w:jc w:val="both"/>
        <w:rPr>
          <w:rFonts w:cs="Arial"/>
          <w:color w:val="000000"/>
          <w:szCs w:val="20"/>
        </w:rPr>
      </w:pPr>
      <w:r>
        <w:rPr>
          <w:rFonts w:cs="Arial"/>
          <w:color w:val="000000"/>
          <w:szCs w:val="20"/>
        </w:rPr>
        <w:t>ANEXO II - Termo de Referência;</w:t>
      </w:r>
    </w:p>
    <w:p>
      <w:pPr>
        <w:pStyle w:val="Normal"/>
        <w:numPr>
          <w:ilvl w:val="3"/>
          <w:numId w:val="1"/>
        </w:numPr>
        <w:spacing w:lineRule="auto" w:line="276" w:before="120" w:after="120"/>
        <w:jc w:val="both"/>
        <w:rPr>
          <w:rFonts w:cs="Arial"/>
          <w:i/>
          <w:i/>
          <w:iCs/>
          <w:color w:val="FF0000"/>
          <w:szCs w:val="20"/>
        </w:rPr>
      </w:pPr>
      <w:bookmarkStart w:id="6" w:name="__DdeLink__1101_814295199"/>
      <w:r>
        <w:rPr>
          <w:rFonts w:cs="Arial"/>
          <w:i/>
          <w:iCs/>
          <w:color w:val="FF0000"/>
          <w:szCs w:val="20"/>
        </w:rPr>
        <w:t>ANEXO II.1</w:t>
      </w:r>
      <w:bookmarkEnd w:id="6"/>
      <w:r>
        <w:rPr>
          <w:rFonts w:cs="Arial"/>
          <w:i/>
          <w:iCs/>
          <w:color w:val="FF0000"/>
          <w:szCs w:val="20"/>
        </w:rPr>
        <w:t xml:space="preserve"> – Estudo Técnico Preliminar</w:t>
      </w:r>
    </w:p>
    <w:p>
      <w:pPr>
        <w:pStyle w:val="Normal"/>
        <w:numPr>
          <w:ilvl w:val="2"/>
          <w:numId w:val="1"/>
        </w:numPr>
        <w:spacing w:lineRule="auto" w:line="276" w:before="120" w:after="120"/>
        <w:jc w:val="both"/>
        <w:rPr>
          <w:rFonts w:cs="Arial"/>
          <w:i/>
          <w:i/>
          <w:iCs/>
          <w:color w:val="FF0000"/>
          <w:szCs w:val="20"/>
        </w:rPr>
      </w:pPr>
      <w:r>
        <w:rPr>
          <w:rFonts w:cs="Arial"/>
          <w:i/>
          <w:iCs/>
          <w:color w:val="FF0000"/>
          <w:szCs w:val="20"/>
        </w:rPr>
        <w:t>ANEXO III – Minuta de Termo de Contrato;</w:t>
      </w:r>
    </w:p>
    <w:p>
      <w:pPr>
        <w:pStyle w:val="Normal"/>
        <w:spacing w:lineRule="auto" w:line="276" w:before="0" w:after="120"/>
        <w:ind w:left="360" w:hanging="0"/>
        <w:jc w:val="both"/>
        <w:rPr>
          <w:rFonts w:cs="Arial"/>
          <w:color w:val="000000"/>
          <w:szCs w:val="20"/>
        </w:rPr>
      </w:pPr>
      <w:r>
        <w:rPr>
          <w:rFonts w:cs="Arial"/>
          <w:color w:val="000000"/>
          <w:szCs w:val="20"/>
        </w:rPr>
      </w:r>
    </w:p>
    <w:p>
      <w:pPr>
        <w:pStyle w:val="Normal"/>
        <w:spacing w:lineRule="auto" w:line="276" w:before="0" w:after="120"/>
        <w:ind w:left="360" w:hanging="0"/>
        <w:jc w:val="center"/>
        <w:rPr/>
      </w:pPr>
      <w:r>
        <w:rPr>
          <w:rFonts w:cs="Arial"/>
          <w:color w:val="000000"/>
          <w:szCs w:val="20"/>
        </w:rPr>
        <w:t>Porto Velho, 10 de setembro de 2021.</w:t>
      </w:r>
    </w:p>
    <w:p>
      <w:pPr>
        <w:pStyle w:val="Normal"/>
        <w:spacing w:lineRule="auto" w:line="276"/>
        <w:jc w:val="both"/>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pPr>
      <w:r>
        <w:rPr>
          <w:rFonts w:cs="Arial"/>
          <w:b/>
          <w:bCs/>
          <w:iCs/>
          <w:color w:val="000000"/>
          <w:szCs w:val="20"/>
        </w:rPr>
        <w:t>LENIO ALVES TAVARES</w:t>
      </w:r>
      <w:r>
        <w:rPr>
          <w:rFonts w:cs="Arial"/>
          <w:b/>
          <w:bCs/>
          <w:iCs/>
          <w:color w:val="000000"/>
          <w:szCs w:val="20"/>
        </w:rPr>
        <w:t xml:space="preserve"> - Cel</w:t>
      </w:r>
    </w:p>
    <w:p>
      <w:pPr>
        <w:pStyle w:val="Normal"/>
        <w:spacing w:lineRule="auto" w:line="276"/>
        <w:jc w:val="center"/>
        <w:rPr/>
      </w:pPr>
      <w:r>
        <w:rPr>
          <w:rFonts w:cs="Arial"/>
          <w:b/>
          <w:bCs/>
          <w:iCs/>
          <w:color w:val="000000"/>
          <w:szCs w:val="20"/>
        </w:rPr>
        <w:t>Ordenador de Despesas do HGuPV</w:t>
      </w:r>
    </w:p>
    <w:p>
      <w:pPr>
        <w:pStyle w:val="Normal"/>
        <w:rPr>
          <w:rFonts w:cs="Arial"/>
          <w:lang w:eastAsia="en-US"/>
        </w:rPr>
      </w:pPr>
      <w:r>
        <w:rPr>
          <w:rFonts w:cs="Arial"/>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jc w:val="center"/>
        <w:rPr>
          <w:rFonts w:cs="Arial"/>
          <w:b/>
          <w:b/>
          <w:bCs/>
          <w:lang w:eastAsia="en-US"/>
        </w:rPr>
      </w:pPr>
      <w:r>
        <w:rPr>
          <w:rFonts w:cs="Arial"/>
          <w:b/>
          <w:bCs/>
          <w:lang w:eastAsia="en-US"/>
        </w:rPr>
      </w:r>
    </w:p>
    <w:p>
      <w:pPr>
        <w:pStyle w:val="Normal"/>
        <w:spacing w:lineRule="auto" w:line="259"/>
        <w:rPr>
          <w:rFonts w:cs="Arial"/>
          <w:b/>
          <w:b/>
          <w:bCs/>
          <w:lang w:eastAsia="en-US"/>
        </w:rPr>
      </w:pPr>
      <w:r>
        <w:rPr>
          <w:rFonts w:cs="Arial"/>
          <w:b/>
          <w:bCs/>
          <w:lang w:eastAsia="en-US"/>
        </w:rPr>
      </w:r>
      <w:r>
        <w:br w:type="page"/>
      </w:r>
    </w:p>
    <w:p>
      <w:pPr>
        <w:pStyle w:val="Normal"/>
        <w:jc w:val="center"/>
        <w:rPr>
          <w:rFonts w:cs="Arial"/>
          <w:b/>
          <w:b/>
          <w:bCs/>
          <w:lang w:eastAsia="en-US"/>
        </w:rPr>
      </w:pPr>
      <w:r>
        <w:rPr>
          <w:rFonts w:cs="Arial"/>
          <w:b/>
          <w:bCs/>
          <w:lang w:eastAsia="en-US"/>
        </w:rPr>
        <w:t>ANEXO I – DOCUMENTAÇÃO EXIGIDA PARA HABILITAÇÃO</w:t>
      </w:r>
    </w:p>
    <w:p>
      <w:pPr>
        <w:pStyle w:val="Normal"/>
        <w:rPr>
          <w:rFonts w:cs="Arial"/>
          <w:lang w:eastAsia="en-US"/>
        </w:rPr>
      </w:pPr>
      <w:r>
        <w:rPr>
          <w:rFonts w:cs="Arial"/>
          <w:lang w:eastAsia="en-US"/>
        </w:rPr>
      </w:r>
    </w:p>
    <w:p>
      <w:pPr>
        <w:pStyle w:val="PADRO"/>
        <w:widowControl/>
        <w:numPr>
          <w:ilvl w:val="0"/>
          <w:numId w:val="3"/>
        </w:numPr>
        <w:shd w:val="clear" w:fill="FFFFFF"/>
        <w:spacing w:before="120" w:after="120"/>
        <w:rPr>
          <w:rFonts w:ascii="Arial" w:hAnsi="Arial" w:cs="Arial"/>
          <w:szCs w:val="20"/>
        </w:rPr>
      </w:pPr>
      <w:r>
        <w:rPr>
          <w:rFonts w:cs="Arial" w:ascii="Arial" w:hAnsi="Arial"/>
          <w:b/>
          <w:bCs/>
          <w:color w:val="000000"/>
          <w:szCs w:val="20"/>
        </w:rPr>
        <w:t xml:space="preserve">Habilitação jurídica: </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no caso de empresário individual, inscrição no Registro Público de Empresas Mercantis, a cargo da Junta Comercial da respectiva sede;</w:t>
      </w:r>
    </w:p>
    <w:p>
      <w:pPr>
        <w:pStyle w:val="ListParagraph"/>
        <w:numPr>
          <w:ilvl w:val="1"/>
          <w:numId w:val="3"/>
        </w:numPr>
        <w:tabs>
          <w:tab w:val="left" w:pos="1440" w:leader="none"/>
        </w:tabs>
        <w:snapToGrid w:val="false"/>
        <w:spacing w:lineRule="auto" w:line="276" w:before="120" w:after="120"/>
        <w:contextualSpacing/>
        <w:jc w:val="both"/>
        <w:rPr>
          <w:rFonts w:cs="Arial"/>
          <w:color w:val="000000"/>
          <w:szCs w:val="20"/>
        </w:rPr>
      </w:pPr>
      <w:r>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inscrição no Registro Público de Empresas Mercantis onde opera, com averbação no Registro onde tem sede a matriz, no caso de ser o participante sucursal, filial ou agência;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color w:val="000000"/>
          <w:szCs w:val="20"/>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rPr>
        <w:t>decreto de autorização, em se tratando de sociedade empresária estrangeira em funcionamento no País;</w:t>
      </w:r>
    </w:p>
    <w:p>
      <w:pPr>
        <w:pStyle w:val="ListParagraph"/>
        <w:numPr>
          <w:ilvl w:val="1"/>
          <w:numId w:val="3"/>
        </w:numPr>
        <w:spacing w:lineRule="auto" w:line="276" w:before="120" w:after="120"/>
        <w:contextualSpacing/>
        <w:jc w:val="both"/>
        <w:rPr>
          <w:rFonts w:cs="Arial"/>
          <w:bCs/>
          <w:color w:val="000000"/>
          <w:szCs w:val="20"/>
        </w:rPr>
      </w:pPr>
      <w:r>
        <w:rPr>
          <w:rFonts w:cs="Arial"/>
          <w:bCs/>
          <w:color w:val="000000"/>
          <w:szCs w:val="20"/>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color w:val="000000"/>
          <w:szCs w:val="20"/>
        </w:rPr>
      </w:pPr>
      <w:r>
        <w:rPr>
          <w:rFonts w:cs="Arial"/>
          <w:bCs/>
          <w:color w:val="000000"/>
          <w:szCs w:val="20"/>
        </w:rPr>
      </w:r>
    </w:p>
    <w:p>
      <w:pPr>
        <w:pStyle w:val="PADRO"/>
        <w:widowControl/>
        <w:numPr>
          <w:ilvl w:val="0"/>
          <w:numId w:val="3"/>
        </w:numPr>
        <w:shd w:val="clear" w:fill="FFFFFF"/>
        <w:spacing w:before="120" w:after="120"/>
        <w:rPr>
          <w:rFonts w:ascii="Arial" w:hAnsi="Arial" w:cs="Arial"/>
          <w:szCs w:val="20"/>
        </w:rPr>
      </w:pP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contribuintes </w:t>
      </w:r>
      <w:r>
        <w:rPr>
          <w:rFonts w:cs="Arial"/>
          <w:i/>
          <w:iCs/>
          <w:color w:val="FF0000"/>
          <w:szCs w:val="20"/>
        </w:rPr>
        <w:t>estadual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prova de regularidade com a Fazenda </w:t>
      </w:r>
      <w:r>
        <w:rPr>
          <w:rFonts w:cs="Arial"/>
          <w:i/>
          <w:iCs/>
          <w:color w:val="FF0000"/>
          <w:szCs w:val="20"/>
        </w:rPr>
        <w:t xml:space="preserve">Estadual </w:t>
      </w:r>
      <w:r>
        <w:rPr>
          <w:rFonts w:cs="Arial"/>
          <w:szCs w:val="20"/>
        </w:rPr>
        <w:t xml:space="preserve">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w:t>
      </w:r>
      <w:r>
        <w:rPr>
          <w:rFonts w:cs="Arial"/>
          <w:i/>
          <w:color w:val="FF0000"/>
          <w:szCs w:val="20"/>
        </w:rPr>
        <w:t xml:space="preserve">estaduais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widowControl/>
        <w:numPr>
          <w:ilvl w:val="0"/>
          <w:numId w:val="3"/>
        </w:numPr>
        <w:shd w:val="clear" w:fill="FFFFFF"/>
        <w:spacing w:before="120" w:after="120"/>
        <w:rPr>
          <w:rFonts w:ascii="Arial" w:hAnsi="Arial" w:cs="Arial"/>
          <w:szCs w:val="20"/>
        </w:rPr>
      </w:pPr>
      <w:r>
        <w:rPr>
          <w:rFonts w:cs="Arial" w:ascii="Arial" w:hAnsi="Arial"/>
          <w:b/>
          <w:color w:val="000000"/>
          <w:szCs w:val="20"/>
        </w:rPr>
        <w:t>Qualificação Econômico-Financeira:</w:t>
      </w:r>
    </w:p>
    <w:p>
      <w:pPr>
        <w:pStyle w:val="ListParagraph"/>
        <w:numPr>
          <w:ilvl w:val="1"/>
          <w:numId w:val="3"/>
        </w:numPr>
        <w:tabs>
          <w:tab w:val="left" w:pos="1440" w:leader="none"/>
        </w:tabs>
        <w:snapToGrid w:val="false"/>
        <w:spacing w:lineRule="auto" w:line="276" w:before="120" w:after="120"/>
        <w:contextualSpacing/>
        <w:jc w:val="both"/>
        <w:rPr>
          <w:rFonts w:cs="Arial"/>
          <w:color w:val="000000"/>
          <w:szCs w:val="20"/>
        </w:rPr>
      </w:pPr>
      <w:r>
        <w:rPr>
          <w:rFonts w:cs="Arial"/>
          <w:color w:val="000000"/>
          <w:szCs w:val="20"/>
        </w:rPr>
        <w:t>certidão negativa de falência expedida pelo distribuidor da sede do fornecedor;</w:t>
      </w:r>
    </w:p>
    <w:p>
      <w:pPr>
        <w:pStyle w:val="Normal"/>
        <w:tabs>
          <w:tab w:val="left" w:pos="1440" w:leader="none"/>
        </w:tabs>
        <w:snapToGrid w:val="false"/>
        <w:spacing w:lineRule="auto" w:line="276" w:before="120" w:after="120"/>
        <w:jc w:val="both"/>
        <w:rPr>
          <w:rFonts w:cs="Arial"/>
          <w:color w:val="000000"/>
          <w:szCs w:val="20"/>
        </w:rPr>
      </w:pPr>
      <w:r>
        <w:rPr>
          <w:rFonts w:cs="Arial"/>
          <w:color w:val="000000"/>
          <w:szCs w:val="20"/>
        </w:rPr>
      </w:r>
    </w:p>
    <w:p>
      <w:pPr>
        <w:pStyle w:val="Normal"/>
        <w:tabs>
          <w:tab w:val="left" w:pos="1440" w:leader="none"/>
        </w:tabs>
        <w:snapToGrid w:val="false"/>
        <w:spacing w:lineRule="auto" w:line="276" w:before="120" w:after="120"/>
        <w:jc w:val="both"/>
        <w:rPr>
          <w:rFonts w:cs="Arial"/>
          <w:color w:val="000000"/>
          <w:szCs w:val="20"/>
        </w:rPr>
      </w:pPr>
      <w:r>
        <w:rPr>
          <w:rFonts w:cs="Arial"/>
          <w:color w:val="000000"/>
          <w:szCs w:val="20"/>
        </w:rPr>
      </w:r>
    </w:p>
    <w:p>
      <w:pPr>
        <w:pStyle w:val="Normal"/>
        <w:spacing w:lineRule="auto" w:line="276" w:before="0" w:after="120"/>
        <w:ind w:left="360" w:hanging="0"/>
        <w:jc w:val="center"/>
        <w:rPr/>
      </w:pPr>
      <w:r>
        <w:rPr>
          <w:rFonts w:cs="Arial"/>
          <w:color w:val="000000"/>
          <w:szCs w:val="20"/>
        </w:rPr>
        <w:t>Porto Velho, 10 de setembro de 2021.</w:t>
      </w:r>
    </w:p>
    <w:p>
      <w:pPr>
        <w:pStyle w:val="Normal"/>
        <w:spacing w:lineRule="auto" w:line="276"/>
        <w:jc w:val="both"/>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rFonts w:cs="Arial"/>
          <w:b/>
          <w:b/>
          <w:bCs/>
          <w:iCs/>
          <w:color w:val="000000"/>
          <w:szCs w:val="20"/>
        </w:rPr>
      </w:pPr>
      <w:r>
        <w:rPr>
          <w:rFonts w:cs="Arial"/>
          <w:b/>
          <w:bCs/>
          <w:iCs/>
          <w:color w:val="000000"/>
          <w:szCs w:val="20"/>
        </w:rPr>
      </w:r>
    </w:p>
    <w:p>
      <w:pPr>
        <w:pStyle w:val="Normal"/>
        <w:spacing w:lineRule="auto" w:line="276"/>
        <w:jc w:val="center"/>
        <w:rPr/>
      </w:pPr>
      <w:r>
        <w:rPr>
          <w:rFonts w:cs="Arial"/>
          <w:b/>
          <w:bCs/>
          <w:iCs/>
          <w:color w:val="000000"/>
          <w:szCs w:val="20"/>
        </w:rPr>
        <w:t>LENIO ALVES TAVARES</w:t>
      </w:r>
      <w:r>
        <w:rPr>
          <w:rFonts w:cs="Arial"/>
          <w:b/>
          <w:bCs/>
          <w:iCs/>
          <w:color w:val="000000"/>
          <w:szCs w:val="20"/>
        </w:rPr>
        <w:t xml:space="preserve"> - Cel</w:t>
      </w:r>
    </w:p>
    <w:p>
      <w:pPr>
        <w:pStyle w:val="Normal"/>
        <w:spacing w:lineRule="auto" w:line="276"/>
        <w:jc w:val="center"/>
        <w:rPr/>
      </w:pPr>
      <w:r>
        <w:rPr>
          <w:rFonts w:cs="Arial"/>
          <w:b/>
          <w:bCs/>
          <w:iCs/>
          <w:color w:val="000000"/>
          <w:szCs w:val="20"/>
        </w:rPr>
        <w:t>Ordenador de Despesas do HGuPV</w:t>
      </w:r>
    </w:p>
    <w:p>
      <w:pPr>
        <w:pStyle w:val="Normal"/>
        <w:spacing w:lineRule="auto" w:line="259"/>
        <w:rPr>
          <w:rFonts w:cs="Arial"/>
          <w:color w:val="000000"/>
          <w:szCs w:val="20"/>
        </w:rPr>
      </w:pPr>
      <w:r>
        <w:rPr>
          <w:rFonts w:cs="Arial"/>
          <w:color w:val="000000"/>
          <w:szCs w:val="20"/>
        </w:rPr>
      </w:r>
      <w:r>
        <w:br w:type="page"/>
      </w:r>
    </w:p>
    <w:p>
      <w:pPr>
        <w:pStyle w:val="Caption"/>
        <w:widowControl w:val="false"/>
        <w:suppressAutoHyphens w:val="false"/>
        <w:spacing w:before="0" w:after="0"/>
        <w:jc w:val="center"/>
        <w:rPr/>
      </w:pPr>
      <w:r>
        <w:rPr/>
        <w:drawing>
          <wp:inline distT="0" distB="0" distL="0" distR="0">
            <wp:extent cx="628650" cy="49530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6"/>
                    <a:stretch>
                      <a:fillRect/>
                    </a:stretch>
                  </pic:blipFill>
                  <pic:spPr bwMode="auto">
                    <a:xfrm>
                      <a:off x="0" y="0"/>
                      <a:ext cx="628650" cy="495300"/>
                    </a:xfrm>
                    <a:prstGeom prst="rect">
                      <a:avLst/>
                    </a:prstGeom>
                  </pic:spPr>
                </pic:pic>
              </a:graphicData>
            </a:graphic>
          </wp:inline>
        </w:drawing>
      </w:r>
    </w:p>
    <w:p>
      <w:pPr>
        <w:pStyle w:val="Caption"/>
        <w:widowControl w:val="false"/>
        <w:suppressAutoHyphens w:val="false"/>
        <w:spacing w:before="0" w:after="0"/>
        <w:contextualSpacing/>
        <w:jc w:val="center"/>
        <w:rPr/>
      </w:pPr>
      <w:r>
        <w:rPr>
          <w:rFonts w:cs="Times New Roman" w:ascii="Times New Roman" w:hAnsi="Times New Roman"/>
          <w:b/>
          <w:i w:val="false"/>
          <w:szCs w:val="20"/>
        </w:rPr>
        <w:t>MINISTÉRIO DA DEFESA</w:t>
      </w:r>
    </w:p>
    <w:p>
      <w:pPr>
        <w:pStyle w:val="Normal"/>
        <w:widowControl w:val="false"/>
        <w:spacing w:before="0" w:after="0"/>
        <w:contextualSpacing/>
        <w:jc w:val="center"/>
        <w:rPr/>
      </w:pPr>
      <w:r>
        <w:rPr>
          <w:rFonts w:cs="Times New Roman" w:ascii="Times New Roman" w:hAnsi="Times New Roman"/>
          <w:b/>
          <w:bCs/>
          <w:szCs w:val="20"/>
          <w:lang w:eastAsia="ar-SA"/>
        </w:rPr>
        <w:t>EXÉRCITO BRASILEIRO</w:t>
      </w:r>
    </w:p>
    <w:p>
      <w:pPr>
        <w:pStyle w:val="Normal"/>
        <w:widowControl w:val="false"/>
        <w:spacing w:before="0" w:after="0"/>
        <w:contextualSpacing/>
        <w:jc w:val="center"/>
        <w:rPr/>
      </w:pPr>
      <w:r>
        <w:rPr>
          <w:rFonts w:cs="Times New Roman" w:ascii="Times New Roman" w:hAnsi="Times New Roman"/>
          <w:b/>
          <w:bCs/>
          <w:szCs w:val="20"/>
        </w:rPr>
        <w:t>HOSPITAL DE GUARNIÇÃO DE PORTO VELHO</w:t>
      </w:r>
    </w:p>
    <w:p>
      <w:pPr>
        <w:pStyle w:val="Normal"/>
        <w:widowControl w:val="false"/>
        <w:spacing w:before="0" w:after="0"/>
        <w:contextualSpacing/>
        <w:jc w:val="center"/>
        <w:rPr>
          <w:rFonts w:ascii="Times New Roman" w:hAnsi="Times New Roman" w:cs="Times New Roman"/>
          <w:b/>
          <w:b/>
          <w:bCs/>
          <w:szCs w:val="20"/>
        </w:rPr>
      </w:pPr>
      <w:r>
        <w:rPr>
          <w:rFonts w:cs="Times New Roman" w:ascii="Times New Roman" w:hAnsi="Times New Roman"/>
          <w:b/>
          <w:bCs/>
          <w:szCs w:val="20"/>
        </w:rPr>
      </w:r>
    </w:p>
    <w:p>
      <w:pPr>
        <w:pStyle w:val="Normal"/>
        <w:spacing w:before="0" w:after="0"/>
        <w:contextualSpacing/>
        <w:jc w:val="center"/>
        <w:rPr/>
      </w:pPr>
      <w:r>
        <w:rPr>
          <w:rFonts w:cs="Arial"/>
          <w:b/>
          <w:bCs/>
          <w:szCs w:val="20"/>
        </w:rPr>
        <w:t>TERMO DE REFERÊNCIA</w:t>
      </w:r>
    </w:p>
    <w:p>
      <w:pPr>
        <w:pStyle w:val="Normal"/>
        <w:spacing w:before="0" w:after="0"/>
        <w:contextualSpacing/>
        <w:jc w:val="center"/>
        <w:rPr>
          <w:rFonts w:cs="Arial"/>
          <w:b/>
          <w:b/>
          <w:bCs/>
          <w:iCs/>
          <w:color w:val="000000"/>
          <w:szCs w:val="20"/>
        </w:rPr>
      </w:pPr>
      <w:r>
        <w:rPr>
          <w:rFonts w:cs="Arial"/>
          <w:b/>
          <w:bCs/>
          <w:iCs/>
          <w:color w:val="000000"/>
          <w:szCs w:val="20"/>
        </w:rPr>
      </w:r>
    </w:p>
    <w:p>
      <w:pPr>
        <w:pStyle w:val="Normal"/>
        <w:spacing w:before="0" w:after="0"/>
        <w:contextualSpacing/>
        <w:jc w:val="center"/>
        <w:rPr>
          <w:rFonts w:cs="Arial"/>
          <w:b/>
          <w:b/>
          <w:bCs/>
          <w:i/>
          <w:i/>
          <w:szCs w:val="20"/>
        </w:rPr>
      </w:pPr>
      <w:r>
        <w:rPr>
          <w:rFonts w:cs="Arial"/>
          <w:b/>
          <w:bCs/>
          <w:i/>
          <w:szCs w:val="20"/>
        </w:rPr>
      </w:r>
    </w:p>
    <w:p>
      <w:pPr>
        <w:pStyle w:val="Normal"/>
        <w:spacing w:before="0" w:after="0"/>
        <w:contextualSpacing/>
        <w:jc w:val="center"/>
        <w:rPr>
          <w:b/>
          <w:b/>
          <w:bCs/>
        </w:rPr>
      </w:pPr>
      <w:r>
        <w:rPr>
          <w:rFonts w:cs="Arial"/>
          <w:b/>
          <w:bCs/>
          <w:i/>
          <w:szCs w:val="20"/>
        </w:rPr>
        <w:t>HOSPITAL DE GUARNIÇÃO DE PORTO VELHO – UASG 160351</w:t>
      </w:r>
    </w:p>
    <w:p>
      <w:pPr>
        <w:pStyle w:val="Normal"/>
        <w:spacing w:before="0" w:after="0"/>
        <w:contextualSpacing/>
        <w:jc w:val="center"/>
        <w:rPr>
          <w:b/>
          <w:b/>
          <w:bCs/>
        </w:rPr>
      </w:pPr>
      <w:r>
        <w:rPr>
          <w:rFonts w:cs="Arial"/>
          <w:b/>
          <w:bCs/>
          <w:szCs w:val="20"/>
        </w:rPr>
        <w:t>DISPENSA ELETRÔNICA Nº 14/2021</w:t>
      </w:r>
    </w:p>
    <w:p>
      <w:pPr>
        <w:pStyle w:val="Normal"/>
        <w:spacing w:before="0" w:after="0"/>
        <w:contextualSpacing/>
        <w:jc w:val="center"/>
        <w:rPr>
          <w:b/>
          <w:b/>
          <w:bCs/>
        </w:rPr>
      </w:pPr>
      <w:r>
        <w:rPr>
          <w:rFonts w:cs="Arial"/>
          <w:b/>
          <w:bCs/>
          <w:szCs w:val="20"/>
        </w:rPr>
        <w:t>(Processo Administrativo n.° 64593.005046/2021-16)</w:t>
      </w:r>
    </w:p>
    <w:p>
      <w:pPr>
        <w:pStyle w:val="Normal"/>
        <w:spacing w:before="0" w:after="0"/>
        <w:contextualSpacing/>
        <w:jc w:val="center"/>
        <w:rPr>
          <w:rFonts w:cs="Arial"/>
          <w:b/>
          <w:b/>
          <w:bCs/>
          <w:szCs w:val="20"/>
        </w:rPr>
      </w:pPr>
      <w:r>
        <w:rPr>
          <w:rFonts w:cs="Arial"/>
          <w:b/>
          <w:bCs/>
          <w:szCs w:val="20"/>
        </w:rPr>
      </w:r>
    </w:p>
    <w:p>
      <w:pPr>
        <w:pStyle w:val="Nivel1"/>
        <w:numPr>
          <w:ilvl w:val="0"/>
          <w:numId w:val="6"/>
        </w:numPr>
        <w:spacing w:lineRule="auto" w:line="240" w:before="0" w:after="0"/>
        <w:contextualSpacing/>
        <w:rPr>
          <w:color w:val="00000A"/>
        </w:rPr>
      </w:pPr>
      <w:r>
        <w:rPr>
          <w:color w:val="00000A"/>
        </w:rPr>
        <w:t>DO OBJETO</w:t>
      </w:r>
    </w:p>
    <w:p>
      <w:pPr>
        <w:pStyle w:val="Normal"/>
        <w:numPr>
          <w:ilvl w:val="1"/>
          <w:numId w:val="6"/>
        </w:numPr>
        <w:spacing w:before="0" w:after="0"/>
        <w:ind w:left="425" w:hanging="0"/>
        <w:contextualSpacing/>
        <w:jc w:val="both"/>
        <w:rPr/>
      </w:pPr>
      <w:r>
        <w:rPr>
          <w:rFonts w:cs="Arial"/>
          <w:szCs w:val="20"/>
        </w:rPr>
        <w:t>Aquisição de Órteses Auditivas OPME</w:t>
      </w:r>
      <w:r>
        <w:rPr>
          <w:rFonts w:cs="Arial"/>
          <w:b/>
          <w:szCs w:val="20"/>
        </w:rPr>
        <w:t>,</w:t>
      </w:r>
      <w:r>
        <w:rPr>
          <w:rFonts w:cs="Arial"/>
          <w:szCs w:val="20"/>
        </w:rPr>
        <w:t xml:space="preserve"> conforme condições, quantidades e exigências estabelecidas no AVISO DE DISPENSA ELETRÔNICA 14/2021</w:t>
      </w:r>
    </w:p>
    <w:p>
      <w:pPr>
        <w:pStyle w:val="Nivel1"/>
        <w:numPr>
          <w:ilvl w:val="0"/>
          <w:numId w:val="6"/>
        </w:numPr>
        <w:spacing w:lineRule="auto" w:line="240" w:before="0" w:after="0"/>
        <w:contextualSpacing/>
        <w:rPr>
          <w:color w:val="00000A"/>
        </w:rPr>
      </w:pPr>
      <w:r>
        <w:rPr>
          <w:color w:val="00000A"/>
        </w:rPr>
        <w:t>JUSTIFICATIVA E OBJETIVO DA CONTRATAÇÃO</w:t>
      </w:r>
    </w:p>
    <w:p>
      <w:pPr>
        <w:pStyle w:val="Normal"/>
        <w:numPr>
          <w:ilvl w:val="1"/>
          <w:numId w:val="6"/>
        </w:numPr>
        <w:spacing w:before="0" w:after="0"/>
        <w:contextualSpacing/>
        <w:jc w:val="both"/>
        <w:rPr/>
      </w:pPr>
      <w:r>
        <w:rPr/>
        <w:t>A Justificativa e objetivo da contratação encontra-se pormenorizada em Tópico específico dos Estudos Técnicos Preliminares, apêndice deste Termo de Referência.</w:t>
      </w:r>
    </w:p>
    <w:p>
      <w:pPr>
        <w:pStyle w:val="Nivel1"/>
        <w:numPr>
          <w:ilvl w:val="0"/>
          <w:numId w:val="6"/>
        </w:numPr>
        <w:spacing w:lineRule="auto" w:line="240" w:before="0" w:after="0"/>
        <w:contextualSpacing/>
        <w:rPr>
          <w:color w:val="00000A"/>
        </w:rPr>
      </w:pPr>
      <w:r>
        <w:rPr>
          <w:color w:val="00000A"/>
        </w:rPr>
        <w:t>DESCRIÇÃO DA SOLUÇÃO:</w:t>
      </w:r>
    </w:p>
    <w:p>
      <w:pPr>
        <w:pStyle w:val="Nivel1"/>
        <w:numPr>
          <w:ilvl w:val="1"/>
          <w:numId w:val="6"/>
        </w:numPr>
        <w:spacing w:lineRule="auto" w:line="240" w:before="0" w:after="0"/>
        <w:contextualSpacing/>
        <w:rPr>
          <w:color w:val="00000A"/>
        </w:rPr>
      </w:pPr>
      <w:r>
        <w:rPr>
          <w:b w:val="false"/>
          <w:i/>
          <w:iCs/>
          <w:color w:val="00000A"/>
        </w:rPr>
        <w:t xml:space="preserve">A descrição da solução como um todo, encontra-se pormenorizada em Tópico específico </w:t>
      </w:r>
      <w:r>
        <w:rPr>
          <w:rFonts w:cs="Arial"/>
          <w:b w:val="false"/>
          <w:i/>
          <w:iCs/>
          <w:color w:val="00000A"/>
        </w:rPr>
        <w:t>dos</w:t>
      </w:r>
      <w:r>
        <w:rPr>
          <w:b w:val="false"/>
          <w:i/>
          <w:iCs/>
          <w:color w:val="00000A"/>
        </w:rPr>
        <w:t xml:space="preserve"> Estudos Técnicos Preliminares, apêndice deste Termo de Referência.</w:t>
      </w:r>
    </w:p>
    <w:p>
      <w:pPr>
        <w:pStyle w:val="Nivel1"/>
        <w:numPr>
          <w:ilvl w:val="0"/>
          <w:numId w:val="6"/>
        </w:numPr>
        <w:spacing w:lineRule="auto" w:line="240" w:before="0" w:after="0"/>
        <w:contextualSpacing/>
        <w:rPr>
          <w:color w:val="00000A"/>
        </w:rPr>
      </w:pPr>
      <w:r>
        <w:rPr>
          <w:color w:val="00000A"/>
        </w:rPr>
        <w:t>ENTREGA E CRITÉRIOS DE ACEITAÇÃO DO OBJETO.</w:t>
      </w:r>
    </w:p>
    <w:p>
      <w:pPr>
        <w:pStyle w:val="Normal"/>
        <w:numPr>
          <w:ilvl w:val="1"/>
          <w:numId w:val="6"/>
        </w:numPr>
        <w:spacing w:before="0" w:after="0"/>
        <w:contextualSpacing/>
        <w:jc w:val="both"/>
        <w:rPr>
          <w:color w:val="FF0000"/>
        </w:rPr>
      </w:pPr>
      <w:r>
        <w:rPr>
          <w:rFonts w:cs="Arial"/>
          <w:iCs/>
          <w:szCs w:val="20"/>
        </w:rPr>
        <w:t>O</w:t>
      </w:r>
      <w:r>
        <w:rPr>
          <w:rFonts w:cs="Arial"/>
          <w:iCs/>
          <w:color w:val="FF0000"/>
          <w:szCs w:val="20"/>
        </w:rPr>
        <w:t xml:space="preserve"> prazo de entrega dos bens é de 30(trinta) dias, contados do(a) recebimento da Nota de Empenho pelo fornecedor, em remessa </w:t>
      </w:r>
      <w:r>
        <w:rPr>
          <w:rFonts w:cs="Arial"/>
          <w:i/>
          <w:iCs/>
          <w:color w:val="FF0000"/>
          <w:szCs w:val="20"/>
        </w:rPr>
        <w:t>única</w:t>
      </w:r>
      <w:r>
        <w:rPr>
          <w:rFonts w:cs="Arial"/>
          <w:iCs/>
          <w:color w:val="FF0000"/>
          <w:szCs w:val="20"/>
        </w:rPr>
        <w:t xml:space="preserve">, no seguinte endereço </w:t>
      </w:r>
      <w:r>
        <w:rPr>
          <w:rFonts w:cs="Arial"/>
          <w:b/>
          <w:iCs/>
          <w:color w:val="FF0000"/>
          <w:szCs w:val="20"/>
        </w:rPr>
        <w:t>Hospital de Guarnição de Porto Velho</w:t>
      </w:r>
      <w:r>
        <w:rPr>
          <w:rFonts w:cs="Arial"/>
          <w:iCs/>
          <w:color w:val="FF0000"/>
          <w:szCs w:val="20"/>
        </w:rPr>
        <w:t>: Rua Rui Barbosa, 409, Bairro Centro, CEP 76.801-010 – Porto Velho/RO (Fármacia).</w:t>
      </w:r>
    </w:p>
    <w:p>
      <w:pPr>
        <w:pStyle w:val="Normal"/>
        <w:numPr>
          <w:ilvl w:val="1"/>
          <w:numId w:val="6"/>
        </w:numPr>
        <w:spacing w:before="0" w:after="0"/>
        <w:ind w:left="425" w:hanging="0"/>
        <w:contextualSpacing/>
        <w:jc w:val="both"/>
        <w:rPr/>
      </w:pPr>
      <w:r>
        <w:rPr>
          <w:rFonts w:cs="Arial"/>
          <w:szCs w:val="20"/>
        </w:rPr>
        <w:t xml:space="preserve">Os bens serão recebidos provisoriamente no prazo de 05 (cinco) dias, pelo(a) </w:t>
      </w:r>
      <w:r>
        <w:rPr>
          <w:rFonts w:cs="Arial"/>
          <w:iCs/>
          <w:szCs w:val="20"/>
        </w:rPr>
        <w:t>responsável</w:t>
      </w:r>
      <w:r>
        <w:rPr>
          <w:rFonts w:cs="Arial"/>
          <w:szCs w:val="20"/>
        </w:rPr>
        <w:t xml:space="preserve"> pelo acompanhamento e fiscalização do contrato, para efeito de posterior verificação de sua conformidade com as especificações constantes neste Termo de Referência e na proposta. </w:t>
      </w:r>
    </w:p>
    <w:p>
      <w:pPr>
        <w:pStyle w:val="Normal"/>
        <w:numPr>
          <w:ilvl w:val="1"/>
          <w:numId w:val="6"/>
        </w:numPr>
        <w:spacing w:before="0" w:after="0"/>
        <w:ind w:left="425" w:hanging="0"/>
        <w:contextualSpacing/>
        <w:jc w:val="both"/>
        <w:rPr/>
      </w:pPr>
      <w:r>
        <w:rPr>
          <w:rFonts w:cs="Arial"/>
          <w:bCs/>
          <w:szCs w:val="20"/>
        </w:rPr>
        <w:t>Os bens poderão ser rejeitados, no todo ou em parte, quando em desacordo com as especificações constantes neste Termo de Referência e na proposta, devendo ser substituídos no prazo de 01(um) dia, a contar da notificação da contratada, às suas custas, sem prejuízo da aplicação das penalidades.</w:t>
      </w:r>
    </w:p>
    <w:p>
      <w:pPr>
        <w:pStyle w:val="Normal"/>
        <w:numPr>
          <w:ilvl w:val="1"/>
          <w:numId w:val="6"/>
        </w:numPr>
        <w:spacing w:before="0" w:after="0"/>
        <w:ind w:left="425" w:hanging="0"/>
        <w:contextualSpacing/>
        <w:jc w:val="both"/>
        <w:rPr/>
      </w:pPr>
      <w:r>
        <w:rPr>
          <w:rFonts w:cs="Arial"/>
          <w:szCs w:val="20"/>
        </w:rPr>
        <w:t>Os bens serão recebidos definitivamente no prazo de 03 (três) dias, contados do recebimento provisório, após a verificação da qualidade e quantidade do material e consequente aceitação mediante termo circunstanciado.</w:t>
      </w:r>
    </w:p>
    <w:p>
      <w:pPr>
        <w:pStyle w:val="Normal"/>
        <w:numPr>
          <w:ilvl w:val="2"/>
          <w:numId w:val="6"/>
        </w:numPr>
        <w:spacing w:before="0" w:after="0"/>
        <w:ind w:left="1134" w:hanging="0"/>
        <w:contextualSpacing/>
        <w:jc w:val="both"/>
        <w:rPr>
          <w:rFonts w:cs="Arial"/>
          <w:b/>
          <w:b/>
          <w:bCs/>
          <w:color w:val="000000"/>
          <w:szCs w:val="20"/>
        </w:rPr>
      </w:pPr>
      <w:r>
        <w:rPr>
          <w:rFonts w:cs="Arial"/>
          <w:szCs w:val="20"/>
          <w:lang w:eastAsia="en-US"/>
        </w:rPr>
        <w:t>Na hipótese de a verificação a que se refere o subitem anterior não ser procedida dentro do prazo fixado, reputar-se-á como realizada, consumando-se o recebimento definitivo no dia do esgotamento do prazo.</w:t>
      </w:r>
    </w:p>
    <w:p>
      <w:pPr>
        <w:pStyle w:val="Normal"/>
        <w:numPr>
          <w:ilvl w:val="1"/>
          <w:numId w:val="6"/>
        </w:numPr>
        <w:spacing w:before="0" w:after="0"/>
        <w:ind w:left="425" w:hanging="0"/>
        <w:contextualSpacing/>
        <w:jc w:val="both"/>
        <w:rPr>
          <w:rFonts w:cs="Arial"/>
          <w:color w:val="000000"/>
          <w:szCs w:val="20"/>
        </w:rPr>
      </w:pPr>
      <w:r>
        <w:rPr>
          <w:rFonts w:cs="Arial"/>
          <w:szCs w:val="20"/>
          <w:lang w:eastAsia="en-US"/>
        </w:rPr>
        <w:t>O recebimento provisório ou definitivo do objeto não exclui a responsabilidade da contratada pelos prejuízos resultantes da incorreta execução do contrato.</w:t>
      </w:r>
    </w:p>
    <w:p>
      <w:pPr>
        <w:pStyle w:val="Nivel1"/>
        <w:numPr>
          <w:ilvl w:val="0"/>
          <w:numId w:val="6"/>
        </w:numPr>
        <w:spacing w:lineRule="auto" w:line="240" w:before="0" w:after="0"/>
        <w:contextualSpacing/>
        <w:rPr>
          <w:color w:val="00000A"/>
        </w:rPr>
      </w:pPr>
      <w:r>
        <w:rPr>
          <w:color w:val="00000A"/>
          <w:lang w:eastAsia="en-US"/>
        </w:rPr>
        <w:t>OBRIGAÇÕES DA CONTRATANTE</w:t>
      </w:r>
    </w:p>
    <w:p>
      <w:pPr>
        <w:pStyle w:val="Normal"/>
        <w:numPr>
          <w:ilvl w:val="1"/>
          <w:numId w:val="6"/>
        </w:numPr>
        <w:spacing w:before="0" w:after="0"/>
        <w:ind w:left="425" w:hanging="0"/>
        <w:contextualSpacing/>
        <w:jc w:val="both"/>
        <w:rPr>
          <w:rFonts w:cs="Arial"/>
          <w:b/>
          <w:b/>
          <w:color w:val="000000"/>
          <w:szCs w:val="20"/>
        </w:rPr>
      </w:pPr>
      <w:r>
        <w:rPr>
          <w:rFonts w:cs="Arial"/>
          <w:szCs w:val="20"/>
        </w:rPr>
        <w:t>São obrigações da Contratante:</w:t>
      </w:r>
    </w:p>
    <w:p>
      <w:pPr>
        <w:pStyle w:val="Normal"/>
        <w:numPr>
          <w:ilvl w:val="2"/>
          <w:numId w:val="6"/>
        </w:numPr>
        <w:spacing w:before="0" w:after="0"/>
        <w:ind w:left="1134" w:hanging="0"/>
        <w:contextualSpacing/>
        <w:jc w:val="both"/>
        <w:rPr>
          <w:rFonts w:cs="Arial"/>
          <w:b/>
          <w:b/>
          <w:color w:val="000000"/>
          <w:szCs w:val="20"/>
        </w:rPr>
      </w:pPr>
      <w:r>
        <w:rPr>
          <w:rFonts w:cs="Arial"/>
          <w:szCs w:val="20"/>
        </w:rPr>
        <w:t>receber o objeto no prazo e condições estabelecidas no Edital e seus anexos;</w:t>
      </w:r>
    </w:p>
    <w:p>
      <w:pPr>
        <w:pStyle w:val="Normal"/>
        <w:numPr>
          <w:ilvl w:val="2"/>
          <w:numId w:val="6"/>
        </w:numPr>
        <w:spacing w:before="0" w:after="0"/>
        <w:ind w:left="1134" w:hanging="0"/>
        <w:contextualSpacing/>
        <w:jc w:val="both"/>
        <w:rPr>
          <w:rFonts w:cs="Arial"/>
          <w:b/>
          <w:b/>
          <w:color w:val="000000"/>
          <w:szCs w:val="20"/>
        </w:rPr>
      </w:pPr>
      <w:r>
        <w:rPr>
          <w:rFonts w:cs="Arial"/>
          <w:szCs w:val="20"/>
          <w:lang w:eastAsia="en-US"/>
        </w:rPr>
        <w:t>verificar minuciosamente, no prazo fixado, a conformidade dos bens recebidos provisoriamente com as especificações constantes do Edital e da proposta, para fins de aceitação e recebimento definitivo;</w:t>
      </w:r>
    </w:p>
    <w:p>
      <w:pPr>
        <w:pStyle w:val="Normal"/>
        <w:numPr>
          <w:ilvl w:val="2"/>
          <w:numId w:val="6"/>
        </w:numPr>
        <w:spacing w:before="0" w:after="0"/>
        <w:ind w:left="1134" w:hanging="0"/>
        <w:contextualSpacing/>
        <w:jc w:val="both"/>
        <w:rPr>
          <w:rFonts w:cs="Arial"/>
          <w:b/>
          <w:b/>
          <w:color w:val="000000"/>
          <w:szCs w:val="20"/>
        </w:rPr>
      </w:pPr>
      <w:r>
        <w:rPr>
          <w:rFonts w:cs="Arial"/>
          <w:szCs w:val="20"/>
        </w:rPr>
        <w:t>comunicar à Contratada, por escrito, sobre imperfeições, falhas ou irregularidades verificadas no objeto fornecido, para que seja substituído, reparado ou corrigido;</w:t>
      </w:r>
    </w:p>
    <w:p>
      <w:pPr>
        <w:pStyle w:val="Normal"/>
        <w:numPr>
          <w:ilvl w:val="2"/>
          <w:numId w:val="6"/>
        </w:numPr>
        <w:spacing w:before="0" w:after="0"/>
        <w:ind w:left="1134" w:hanging="0"/>
        <w:contextualSpacing/>
        <w:jc w:val="both"/>
        <w:rPr>
          <w:rFonts w:cs="Arial"/>
          <w:b/>
          <w:b/>
          <w:color w:val="000000"/>
          <w:szCs w:val="20"/>
        </w:rPr>
      </w:pPr>
      <w:r>
        <w:rPr>
          <w:rFonts w:cs="Arial"/>
          <w:szCs w:val="20"/>
          <w:lang w:eastAsia="en-US"/>
        </w:rPr>
        <w:t>acompanhar e fiscalizar o cumprimento das obrigações da Contratada, através de comissão/servidor especialmente designado;</w:t>
      </w:r>
    </w:p>
    <w:p>
      <w:pPr>
        <w:pStyle w:val="Normal"/>
        <w:numPr>
          <w:ilvl w:val="2"/>
          <w:numId w:val="6"/>
        </w:numPr>
        <w:spacing w:before="0" w:after="0"/>
        <w:ind w:left="1134" w:hanging="0"/>
        <w:contextualSpacing/>
        <w:jc w:val="both"/>
        <w:rPr>
          <w:rFonts w:cs="Arial"/>
          <w:b/>
          <w:b/>
          <w:color w:val="000000"/>
          <w:szCs w:val="20"/>
        </w:rPr>
      </w:pPr>
      <w:r>
        <w:rPr>
          <w:rFonts w:cs="Arial"/>
          <w:szCs w:val="20"/>
        </w:rPr>
        <w:t>efetuar o pagamento à Contratadano valor correspondente ao fornecimento do objeto, no prazo e forma estabelecidos no Edital e seus anexos;</w:t>
      </w:r>
    </w:p>
    <w:p>
      <w:pPr>
        <w:pStyle w:val="Normal"/>
        <w:numPr>
          <w:ilvl w:val="1"/>
          <w:numId w:val="6"/>
        </w:numPr>
        <w:spacing w:before="0" w:after="0"/>
        <w:ind w:left="425" w:hanging="0"/>
        <w:contextualSpacing/>
        <w:jc w:val="both"/>
        <w:rPr>
          <w:rFonts w:cs="Arial"/>
          <w:b/>
          <w:b/>
          <w:color w:val="000000"/>
          <w:szCs w:val="20"/>
        </w:rPr>
      </w:pPr>
      <w:r>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ivel1"/>
        <w:numPr>
          <w:ilvl w:val="0"/>
          <w:numId w:val="6"/>
        </w:numPr>
        <w:spacing w:lineRule="auto" w:line="240" w:before="0" w:after="0"/>
        <w:contextualSpacing/>
        <w:rPr>
          <w:color w:val="00000A"/>
        </w:rPr>
      </w:pPr>
      <w:r>
        <w:rPr>
          <w:color w:val="00000A"/>
        </w:rPr>
        <w:t>OBRIGAÇÕES DA CONTRATADA</w:t>
      </w:r>
    </w:p>
    <w:p>
      <w:pPr>
        <w:pStyle w:val="Normal"/>
        <w:numPr>
          <w:ilvl w:val="1"/>
          <w:numId w:val="6"/>
        </w:numPr>
        <w:spacing w:before="0" w:after="0"/>
        <w:ind w:left="425" w:hanging="0"/>
        <w:contextualSpacing/>
        <w:jc w:val="both"/>
        <w:rPr>
          <w:rFonts w:cs="Arial"/>
          <w:b/>
          <w:b/>
          <w:color w:val="000000"/>
          <w:szCs w:val="20"/>
        </w:rPr>
      </w:pPr>
      <w:r>
        <w:rPr>
          <w:rFonts w:cs="Arial"/>
          <w:szCs w:val="20"/>
        </w:rPr>
        <w:t>A Contratada deve cumprir todas as obrigações constantes no Edital, seus anexos e sua proposta, assumindo como exclusivamente seus os riscos e as despesas decorrentes da boa e perfeita execução do objeto e, ainda:</w:t>
      </w:r>
    </w:p>
    <w:p>
      <w:pPr>
        <w:pStyle w:val="Normal"/>
        <w:numPr>
          <w:ilvl w:val="2"/>
          <w:numId w:val="6"/>
        </w:numPr>
        <w:spacing w:before="0" w:after="0"/>
        <w:ind w:left="1134" w:hanging="0"/>
        <w:contextualSpacing/>
        <w:jc w:val="both"/>
        <w:rPr/>
      </w:pPr>
      <w:r>
        <w:rPr>
          <w:rFonts w:cs="Arial"/>
          <w:szCs w:val="20"/>
        </w:rPr>
        <w:t xml:space="preserve">efetuar a entrega do objeto em perfeitas condições, conforme especificações, prazo e local constantes no Termo de Referência e seus anexos, acompanhado da respectiva nota fiscal, na qual constarão as indicações referentes a: </w:t>
      </w:r>
      <w:r>
        <w:rPr>
          <w:rFonts w:cs="Arial"/>
          <w:i/>
          <w:szCs w:val="20"/>
        </w:rPr>
        <w:t>marca, fabricante, modelo, procedência e prazo de garantia ou validade;</w:t>
      </w:r>
    </w:p>
    <w:p>
      <w:pPr>
        <w:pStyle w:val="Normal"/>
        <w:numPr>
          <w:ilvl w:val="3"/>
          <w:numId w:val="6"/>
        </w:numPr>
        <w:spacing w:before="0" w:after="0"/>
        <w:ind w:left="1701" w:hanging="0"/>
        <w:contextualSpacing/>
        <w:jc w:val="both"/>
        <w:rPr>
          <w:rFonts w:cs="Arial"/>
          <w:i/>
          <w:i/>
          <w:color w:val="FF0000"/>
          <w:szCs w:val="20"/>
        </w:rPr>
      </w:pPr>
      <w:r>
        <w:rPr>
          <w:rFonts w:cs="Arial"/>
          <w:szCs w:val="20"/>
        </w:rPr>
        <w:t>O</w:t>
      </w:r>
      <w:r>
        <w:rPr>
          <w:rFonts w:cs="Arial"/>
          <w:i/>
          <w:szCs w:val="20"/>
        </w:rPr>
        <w:t xml:space="preserve"> objeto deve estar acompanhado do manual do usuário, com uma </w:t>
      </w:r>
      <w:r>
        <w:rPr>
          <w:rFonts w:cs="Arial"/>
          <w:bCs/>
          <w:i/>
          <w:iCs/>
          <w:szCs w:val="20"/>
          <w:lang w:eastAsia="en-US"/>
        </w:rPr>
        <w:t>versão</w:t>
      </w:r>
      <w:r>
        <w:rPr>
          <w:rFonts w:cs="Arial"/>
          <w:i/>
          <w:szCs w:val="20"/>
        </w:rPr>
        <w:t xml:space="preserve"> em português e da relação da rede de assistência técnica autorizada;</w:t>
      </w:r>
    </w:p>
    <w:p>
      <w:pPr>
        <w:pStyle w:val="Normal"/>
        <w:numPr>
          <w:ilvl w:val="2"/>
          <w:numId w:val="6"/>
        </w:numPr>
        <w:spacing w:before="0" w:after="0"/>
        <w:ind w:left="1134" w:hanging="0"/>
        <w:contextualSpacing/>
        <w:jc w:val="both"/>
        <w:rPr>
          <w:rFonts w:cs="Arial"/>
          <w:szCs w:val="20"/>
        </w:rPr>
      </w:pPr>
      <w:r>
        <w:rPr>
          <w:rFonts w:cs="Arial"/>
          <w:szCs w:val="20"/>
        </w:rPr>
        <w:t>responsabilizar-se pelos vícios e danos decorrentes do objeto, de acordo com os artigos 12, 13 e 17 a 27, do Código de Defesa do Consumidor (Lei nº 8.078, de 1990);</w:t>
      </w:r>
    </w:p>
    <w:p>
      <w:pPr>
        <w:pStyle w:val="Normal"/>
        <w:numPr>
          <w:ilvl w:val="2"/>
          <w:numId w:val="6"/>
        </w:numPr>
        <w:spacing w:before="0" w:after="0"/>
        <w:ind w:left="1134" w:hanging="0"/>
        <w:contextualSpacing/>
        <w:jc w:val="both"/>
        <w:rPr>
          <w:rFonts w:cs="Arial"/>
          <w:szCs w:val="20"/>
        </w:rPr>
      </w:pPr>
      <w:r>
        <w:rPr>
          <w:rFonts w:cs="Arial"/>
          <w:szCs w:val="20"/>
        </w:rPr>
        <w:t>substituir, reparar ou corrigir, às suas expensas, no prazo fixado neste Termo de Referência, o objeto com avarias ou defeitos;</w:t>
      </w:r>
    </w:p>
    <w:p>
      <w:pPr>
        <w:pStyle w:val="Normal"/>
        <w:numPr>
          <w:ilvl w:val="2"/>
          <w:numId w:val="6"/>
        </w:numPr>
        <w:spacing w:before="0" w:after="0"/>
        <w:ind w:left="1134" w:hanging="0"/>
        <w:contextualSpacing/>
        <w:jc w:val="both"/>
        <w:rPr>
          <w:rFonts w:cs="Arial"/>
          <w:szCs w:val="20"/>
        </w:rPr>
      </w:pPr>
      <w:r>
        <w:rPr>
          <w:rFonts w:cs="Arial"/>
          <w:szCs w:val="20"/>
        </w:rPr>
        <w:t>comunicar à Contratante, no prazo máximo de 24 (vinte e quatro) horas que antecede a data da entrega, os motivos que impossibilitem o cumprimento do prazo previsto, com a devida comprovação;</w:t>
      </w:r>
    </w:p>
    <w:p>
      <w:pPr>
        <w:pStyle w:val="Normal"/>
        <w:numPr>
          <w:ilvl w:val="2"/>
          <w:numId w:val="6"/>
        </w:numPr>
        <w:spacing w:before="0" w:after="0"/>
        <w:ind w:left="1134" w:hanging="0"/>
        <w:contextualSpacing/>
        <w:jc w:val="both"/>
        <w:rPr>
          <w:rFonts w:cs="Arial"/>
          <w:szCs w:val="20"/>
        </w:rPr>
      </w:pPr>
      <w:r>
        <w:rPr>
          <w:rFonts w:cs="Arial"/>
          <w:szCs w:val="20"/>
        </w:rPr>
        <w:t>manter, durante toda a execução do contrato, em compatibilidade com as obrigações assumidas, todas as condições de habilitação e qualificação exigidas na licitação;</w:t>
      </w:r>
    </w:p>
    <w:p>
      <w:pPr>
        <w:pStyle w:val="Normal"/>
        <w:numPr>
          <w:ilvl w:val="2"/>
          <w:numId w:val="6"/>
        </w:numPr>
        <w:spacing w:before="0" w:after="0"/>
        <w:ind w:left="1134" w:hanging="0"/>
        <w:contextualSpacing/>
        <w:jc w:val="both"/>
        <w:rPr/>
      </w:pPr>
      <w:r>
        <w:rPr>
          <w:rFonts w:cs="Arial"/>
          <w:szCs w:val="20"/>
        </w:rPr>
        <w:t>indicar preposto para representá-la durante a execução do contrato.</w:t>
      </w:r>
    </w:p>
    <w:p>
      <w:pPr>
        <w:pStyle w:val="Normal"/>
        <w:widowControl w:val="false"/>
        <w:numPr>
          <w:ilvl w:val="2"/>
          <w:numId w:val="6"/>
        </w:numPr>
        <w:spacing w:before="0" w:after="0"/>
        <w:contextualSpacing/>
        <w:jc w:val="both"/>
        <w:rPr/>
      </w:pPr>
      <w:r>
        <w:rPr>
          <w:rFonts w:cs="Arial"/>
          <w:szCs w:val="20"/>
        </w:rPr>
        <w:t>Emitir as Notas Fiscais conforme CNPJ indicado na Nota de Empenho e enviá-las para os e-mails: farmacia</w:t>
      </w:r>
      <w:hyperlink r:id="rId7">
        <w:r>
          <w:rPr>
            <w:rStyle w:val="LinkdaInternet"/>
            <w:rFonts w:eastAsia="Calibri" w:cs="Arial"/>
            <w:color w:val="00000A"/>
            <w:szCs w:val="20"/>
          </w:rPr>
          <w:t>@hgupv.eb.mil.b</w:t>
        </w:r>
      </w:hyperlink>
      <w:hyperlink r:id="rId8">
        <w:r>
          <w:rPr>
            <w:rStyle w:val="LinkdaInternet"/>
            <w:rFonts w:eastAsia="Calibri" w:cs="Arial"/>
            <w:color w:val="00000A"/>
            <w:szCs w:val="20"/>
          </w:rPr>
          <w:t>r</w:t>
        </w:r>
      </w:hyperlink>
      <w:r>
        <w:rPr>
          <w:rStyle w:val="LinkdaInternet"/>
          <w:rFonts w:eastAsia="Calibri" w:cs="Arial"/>
          <w:color w:val="00000A"/>
          <w:szCs w:val="20"/>
        </w:rPr>
        <w:t>.</w:t>
      </w:r>
    </w:p>
    <w:p>
      <w:pPr>
        <w:pStyle w:val="Normal"/>
        <w:widowControl w:val="false"/>
        <w:numPr>
          <w:ilvl w:val="2"/>
          <w:numId w:val="6"/>
        </w:numPr>
        <w:spacing w:before="0" w:after="0"/>
        <w:contextualSpacing/>
        <w:jc w:val="both"/>
        <w:rPr/>
      </w:pPr>
      <w:r>
        <w:rPr>
          <w:rFonts w:cs="Arial"/>
          <w:szCs w:val="20"/>
        </w:rPr>
        <w:t>adotar práticas de sustentabilidade adequadas que o objeto contratual o exigir, devendo ser dada prioridade para produtos reciclados e recicláveis e para bens que considerem critérios compatíveis com padrões de consumo social e ambientalmente sustentáveis (artigo 7o, XI, da Lei no 12.305, de 2010 - Política Nacional de Resíduos Sólidos), devendo ser observadas, ainda, as Instruções Normativas SLTI/MPOG ns. 01/2010 e 01/2014, bem como os atos normativos editados pelos órgãos de proteção ao meio ambiente;</w:t>
      </w:r>
    </w:p>
    <w:p>
      <w:pPr>
        <w:pStyle w:val="Nivel1"/>
        <w:numPr>
          <w:ilvl w:val="0"/>
          <w:numId w:val="6"/>
        </w:numPr>
        <w:spacing w:lineRule="auto" w:line="240" w:before="0" w:after="0"/>
        <w:contextualSpacing/>
        <w:rPr>
          <w:color w:val="00000A"/>
        </w:rPr>
      </w:pPr>
      <w:r>
        <w:rPr>
          <w:color w:val="00000A"/>
        </w:rPr>
        <w:t>DA SUBCONTRATAÇÃO</w:t>
      </w:r>
    </w:p>
    <w:p>
      <w:pPr>
        <w:pStyle w:val="Normal"/>
        <w:spacing w:before="0" w:after="0"/>
        <w:ind w:left="425" w:hanging="0"/>
        <w:contextualSpacing/>
        <w:jc w:val="both"/>
        <w:rPr/>
      </w:pPr>
      <w:r>
        <w:rPr>
          <w:rFonts w:cs="Arial"/>
          <w:i/>
          <w:szCs w:val="20"/>
        </w:rPr>
        <w:t>8.1 Não será admitida a subcontratação do objeto licitatório.</w:t>
      </w:r>
    </w:p>
    <w:p>
      <w:pPr>
        <w:pStyle w:val="Nivel1"/>
        <w:numPr>
          <w:ilvl w:val="0"/>
          <w:numId w:val="6"/>
        </w:numPr>
        <w:spacing w:lineRule="auto" w:line="240" w:before="0" w:after="0"/>
        <w:contextualSpacing/>
        <w:rPr>
          <w:lang w:eastAsia="en-US"/>
        </w:rPr>
      </w:pPr>
      <w:r>
        <w:rPr>
          <w:color w:val="00000A"/>
          <w:lang w:eastAsia="en-US"/>
        </w:rPr>
        <w:t>DA ALTERAÇÃO SUBJETIVA</w:t>
      </w:r>
    </w:p>
    <w:p>
      <w:pPr>
        <w:pStyle w:val="Normal"/>
        <w:numPr>
          <w:ilvl w:val="1"/>
          <w:numId w:val="6"/>
        </w:numPr>
        <w:spacing w:before="0" w:after="0"/>
        <w:ind w:left="425" w:hanging="0"/>
        <w:contextualSpacing/>
        <w:jc w:val="both"/>
        <w:rPr>
          <w:rFonts w:cs="Arial"/>
          <w:color w:val="0000FF"/>
          <w:szCs w:val="20"/>
          <w:lang w:eastAsia="en-US"/>
        </w:rPr>
      </w:pPr>
      <w:r>
        <w:rPr>
          <w:rFonts w:cs="Arial"/>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numPr>
          <w:ilvl w:val="0"/>
          <w:numId w:val="6"/>
        </w:numPr>
        <w:spacing w:lineRule="auto" w:line="240" w:before="0" w:after="0"/>
        <w:contextualSpacing/>
        <w:rPr>
          <w:lang w:eastAsia="en-US"/>
        </w:rPr>
      </w:pPr>
      <w:r>
        <w:rPr>
          <w:color w:val="00000A"/>
          <w:lang w:eastAsia="en-US"/>
        </w:rPr>
        <w:t>DO CONTROLE E FISCALIZAÇÃO DA EXECUÇÃO</w:t>
      </w:r>
    </w:p>
    <w:p>
      <w:pPr>
        <w:pStyle w:val="Normal"/>
        <w:numPr>
          <w:ilvl w:val="1"/>
          <w:numId w:val="6"/>
        </w:numPr>
        <w:spacing w:before="0" w:after="0"/>
        <w:ind w:left="425" w:hanging="0"/>
        <w:contextualSpacing/>
        <w:jc w:val="both"/>
        <w:rPr>
          <w:rFonts w:cs="Arial"/>
          <w:bCs/>
          <w:color w:val="000000"/>
          <w:szCs w:val="20"/>
        </w:rPr>
      </w:pPr>
      <w:r>
        <w:rPr>
          <w:rFonts w:cs="Arial"/>
          <w:szCs w:val="20"/>
        </w:rPr>
        <w:t>Nos termos do art. 67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pPr>
        <w:pStyle w:val="Normal"/>
        <w:numPr>
          <w:ilvl w:val="1"/>
          <w:numId w:val="6"/>
        </w:numPr>
        <w:spacing w:before="0" w:after="0"/>
        <w:ind w:left="425" w:hanging="0"/>
        <w:contextualSpacing/>
        <w:jc w:val="both"/>
        <w:rPr>
          <w:rFonts w:cs="Arial"/>
          <w:color w:val="000000"/>
          <w:szCs w:val="20"/>
          <w:lang w:eastAsia="en-US"/>
        </w:rPr>
      </w:pPr>
      <w:r>
        <w:rPr>
          <w:rFonts w:cs="Arial"/>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pPr>
        <w:pStyle w:val="Normal"/>
        <w:numPr>
          <w:ilvl w:val="1"/>
          <w:numId w:val="6"/>
        </w:numPr>
        <w:spacing w:before="0" w:after="0"/>
        <w:ind w:left="425" w:hanging="0"/>
        <w:contextualSpacing/>
        <w:jc w:val="both"/>
        <w:rPr>
          <w:rFonts w:cs="Arial"/>
          <w:color w:val="000000"/>
          <w:szCs w:val="20"/>
        </w:rPr>
      </w:pPr>
      <w:r>
        <w:rPr>
          <w:rFonts w:cs="Arial"/>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pPr>
        <w:pStyle w:val="Nivel1"/>
        <w:numPr>
          <w:ilvl w:val="0"/>
          <w:numId w:val="6"/>
        </w:numPr>
        <w:spacing w:lineRule="auto" w:line="240" w:before="0" w:after="0"/>
        <w:contextualSpacing/>
        <w:rPr>
          <w:color w:val="00000A"/>
        </w:rPr>
      </w:pPr>
      <w:r>
        <w:rPr>
          <w:color w:val="00000A"/>
        </w:rPr>
        <w:t>DO PAGAMENTO</w:t>
      </w:r>
    </w:p>
    <w:p>
      <w:pPr>
        <w:pStyle w:val="Normal"/>
        <w:spacing w:before="0" w:after="0"/>
        <w:ind w:left="425" w:hanging="0"/>
        <w:contextualSpacing/>
        <w:jc w:val="both"/>
        <w:rPr>
          <w:rFonts w:cs="Arial"/>
          <w:szCs w:val="20"/>
          <w:lang w:eastAsia="en-US"/>
        </w:rPr>
      </w:pPr>
      <w:r>
        <w:rPr>
          <w:rFonts w:cs="Arial"/>
          <w:szCs w:val="20"/>
          <w:lang w:eastAsia="en-US"/>
        </w:rPr>
      </w:r>
    </w:p>
    <w:p>
      <w:pPr>
        <w:pStyle w:val="ListParagraph"/>
        <w:numPr>
          <w:ilvl w:val="1"/>
          <w:numId w:val="6"/>
        </w:numPr>
        <w:jc w:val="both"/>
        <w:rPr/>
      </w:pPr>
      <w:r>
        <w:rPr>
          <w:rFonts w:cs="Arial"/>
          <w:szCs w:val="20"/>
          <w:lang w:eastAsia="en-US"/>
        </w:rPr>
        <w:t xml:space="preserve">O pagamento será realizado no prazo máximo de até 30(trinta) dias, contados a partir </w:t>
      </w:r>
      <w:r>
        <w:rPr>
          <w:rFonts w:cs="Arial"/>
          <w:szCs w:val="20"/>
        </w:rPr>
        <w:t xml:space="preserve">do recebimento da Nota Fiscal ou Fatura, </w:t>
      </w:r>
      <w:r>
        <w:rPr>
          <w:rFonts w:cs="Arial"/>
          <w:szCs w:val="20"/>
          <w:lang w:eastAsia="en-US"/>
        </w:rPr>
        <w:t>através de ordem bancária, para crédito em banco, agência e conta corrente indicados pelo contratado.</w:t>
      </w:r>
    </w:p>
    <w:p>
      <w:pPr>
        <w:pStyle w:val="ListParagraph"/>
        <w:numPr>
          <w:ilvl w:val="2"/>
          <w:numId w:val="6"/>
        </w:numPr>
        <w:jc w:val="both"/>
        <w:rPr/>
      </w:pPr>
      <w:r>
        <w:rPr>
          <w:rFonts w:cs="Arial"/>
          <w:szCs w:val="20"/>
          <w:lang w:eastAsia="en-US"/>
        </w:rPr>
        <w:t xml:space="preserve">Os pagamentos decorrentes de despesas cujos valores não ultrapassem o limite </w:t>
      </w:r>
      <w:r>
        <w:rPr>
          <w:rFonts w:cs="Arial"/>
          <w:szCs w:val="20"/>
        </w:rPr>
        <w:t>de que trata o inciso II do art. 24</w:t>
      </w:r>
      <w:r>
        <w:rPr>
          <w:rFonts w:cs="Arial"/>
          <w:szCs w:val="20"/>
          <w:lang w:eastAsia="en-US"/>
        </w:rPr>
        <w:t xml:space="preserve"> da Lei 8.666, de 1993, deverão ser efetuados no prazo de até 5 (cinco) dias úteis, contados da data da apresentação da Nota Fiscal, nos termos do art. 5º, § 3º, da Lei nº 8.666, de 1993.</w:t>
      </w:r>
    </w:p>
    <w:p>
      <w:pPr>
        <w:pStyle w:val="ListParagraph"/>
        <w:numPr>
          <w:ilvl w:val="1"/>
          <w:numId w:val="6"/>
        </w:numPr>
        <w:jc w:val="both"/>
        <w:rPr/>
      </w:pPr>
      <w:r>
        <w:rPr>
          <w:rFonts w:cs="Arial"/>
          <w:szCs w:val="20"/>
        </w:rPr>
        <w:t>Considera-se ocorrido o recebimento da nota fiscal ou fatura no momento em que o órgão contratante atestar a execução do objeto do contrato.</w:t>
      </w:r>
    </w:p>
    <w:p>
      <w:pPr>
        <w:pStyle w:val="Normal"/>
        <w:numPr>
          <w:ilvl w:val="1"/>
          <w:numId w:val="6"/>
        </w:numPr>
        <w:spacing w:before="0" w:after="0"/>
        <w:contextualSpacing/>
        <w:jc w:val="both"/>
        <w:rPr>
          <w:color w:val="000000"/>
        </w:rPr>
      </w:pPr>
      <w:r>
        <w:rPr/>
        <w:t xml:space="preserve">A Nota Fiscal ou Fatura deverá ser obrigatoriamente acompanhada da comprovação da regularidade fiscal, constatada por meio de consulta on-line ao SICAF ou, na impossibilidade de acesso </w:t>
      </w:r>
      <w:r>
        <w:rPr>
          <w:rFonts w:cs="Arial"/>
          <w:lang w:eastAsia="en-US"/>
        </w:rPr>
        <w:t>ao</w:t>
      </w:r>
      <w:r>
        <w:rPr/>
        <w:t xml:space="preserve"> referido Sistema, mediante consulta aos sítios eletrônicos oficiais ou à documentação mencionada no art. 29 da Lei nº 8.666, de 1993. </w:t>
      </w:r>
    </w:p>
    <w:p>
      <w:pPr>
        <w:pStyle w:val="Normal"/>
        <w:numPr>
          <w:ilvl w:val="2"/>
          <w:numId w:val="6"/>
        </w:numPr>
        <w:spacing w:before="0" w:after="0"/>
        <w:contextualSpacing/>
        <w:jc w:val="both"/>
        <w:rPr>
          <w:color w:val="000000"/>
        </w:rPr>
      </w:pPr>
      <w:r>
        <w:rPr/>
        <w:t xml:space="preserve">Constatando-se, junto ao SICAF, a situação de irregularidade do fornecedor contratado, deverão ser tomadas as providências previstas no do art. 31 da Instrução </w:t>
      </w:r>
      <w:r>
        <w:rPr>
          <w:rFonts w:cs="Arial"/>
          <w:lang w:eastAsia="en-US"/>
        </w:rPr>
        <w:t>Normativa</w:t>
      </w:r>
      <w:r>
        <w:rPr/>
        <w:t xml:space="preserve"> nº 3, de 26 de abril de 2018.</w:t>
      </w:r>
    </w:p>
    <w:p>
      <w:pPr>
        <w:pStyle w:val="ListParagraph"/>
        <w:numPr>
          <w:ilvl w:val="1"/>
          <w:numId w:val="6"/>
        </w:numPr>
        <w:ind w:left="425" w:hanging="0"/>
        <w:jc w:val="both"/>
        <w:rPr>
          <w:rFonts w:cs="Arial"/>
          <w:color w:val="000000"/>
          <w:szCs w:val="20"/>
          <w:lang w:eastAsia="en-US"/>
        </w:rPr>
      </w:pPr>
      <w:r>
        <w:rPr>
          <w:rFonts w:cs="Arial"/>
          <w:szCs w:val="20"/>
          <w:lang w:eastAsia="en-US"/>
        </w:rPr>
        <w:t xml:space="preserve">Havendo erro na apresentação da Nota Fiscal ou dos documentos pertinentes à contratação, ou, ainda, circunstância que impeça a liquidação da despesa, como, por exemplo, </w:t>
      </w:r>
      <w:r>
        <w:rPr>
          <w:rFonts w:cs="Arial"/>
          <w:szCs w:val="20"/>
        </w:rPr>
        <w:t>obrigação financeira pendente, decorrente de penalidade imposta ou inadimplência,</w:t>
      </w:r>
      <w:r>
        <w:rPr>
          <w:rFonts w:cs="Arial"/>
          <w:szCs w:val="2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numPr>
          <w:ilvl w:val="1"/>
          <w:numId w:val="6"/>
        </w:numPr>
        <w:spacing w:before="0" w:after="0"/>
        <w:contextualSpacing/>
        <w:jc w:val="both"/>
        <w:rPr>
          <w:rFonts w:cs="Arial"/>
          <w:szCs w:val="20"/>
          <w:lang w:eastAsia="en-US"/>
        </w:rPr>
      </w:pPr>
      <w:r>
        <w:rPr>
          <w:rFonts w:cs="Arial"/>
          <w:szCs w:val="20"/>
          <w:lang w:eastAsia="en-US"/>
        </w:rPr>
        <w:t>Será considerada data do pagamento o dia em que constar como emitida a ordem bancária para pagamento.</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Antes de cada pagamento à contratada, será realizada consulta ao SICAF para verificar a manutenção das condições de habilitação exigidas no edital. </w:t>
      </w:r>
    </w:p>
    <w:p>
      <w:pPr>
        <w:pStyle w:val="Normal"/>
        <w:numPr>
          <w:ilvl w:val="1"/>
          <w:numId w:val="6"/>
        </w:numPr>
        <w:spacing w:before="0" w:after="0"/>
        <w:contextualSpacing/>
        <w:jc w:val="both"/>
        <w:rPr>
          <w:rFonts w:cs="Arial"/>
          <w:szCs w:val="20"/>
          <w:lang w:eastAsia="en-US"/>
        </w:rPr>
      </w:pPr>
      <w:r>
        <w:rPr>
          <w:rFonts w:cs="Arial"/>
          <w:szCs w:val="20"/>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Normal"/>
        <w:numPr>
          <w:ilvl w:val="1"/>
          <w:numId w:val="6"/>
        </w:numPr>
        <w:spacing w:before="0" w:after="0"/>
        <w:contextualSpacing/>
        <w:jc w:val="both"/>
        <w:rPr>
          <w:rFonts w:cs="Arial"/>
          <w:szCs w:val="20"/>
          <w:lang w:eastAsia="en-US"/>
        </w:rPr>
      </w:pPr>
      <w:r>
        <w:rPr>
          <w:rFonts w:cs="Arial"/>
          <w:szCs w:val="20"/>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Persistindo a irregularidade, a contratante deverá adotar as medidas necessárias à rescisão contratual nos autos do processo administrativo correspondente, assegurada à contratada a ampla defesa. </w:t>
      </w:r>
    </w:p>
    <w:p>
      <w:pPr>
        <w:pStyle w:val="Normal"/>
        <w:numPr>
          <w:ilvl w:val="1"/>
          <w:numId w:val="6"/>
        </w:numPr>
        <w:spacing w:before="0" w:after="0"/>
        <w:contextualSpacing/>
        <w:jc w:val="both"/>
        <w:rPr>
          <w:rFonts w:cs="Arial"/>
          <w:szCs w:val="20"/>
          <w:lang w:eastAsia="en-US"/>
        </w:rPr>
      </w:pPr>
      <w:r>
        <w:rPr>
          <w:rFonts w:cs="Arial"/>
          <w:szCs w:val="20"/>
          <w:lang w:eastAsia="en-US"/>
        </w:rPr>
        <w:t xml:space="preserve">Havendo a efetiva execução do objeto, os pagamentos serão realizados normalmente, até que se decida pela rescisão do contrato, caso a contratada não regularize sua situação junto ao SICAF.  </w:t>
      </w:r>
    </w:p>
    <w:p>
      <w:pPr>
        <w:pStyle w:val="ListParagraph"/>
        <w:ind w:left="716" w:hanging="0"/>
        <w:jc w:val="both"/>
        <w:rPr>
          <w:rFonts w:cs="Arial"/>
          <w:color w:val="000000"/>
          <w:szCs w:val="20"/>
        </w:rPr>
      </w:pPr>
      <w:r>
        <w:rPr>
          <w:rFonts w:cs="Arial"/>
          <w:szCs w:val="20"/>
          <w:lang w:eastAsia="en-US"/>
        </w:rPr>
        <w:t>10.11.1.Será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numPr>
          <w:ilvl w:val="1"/>
          <w:numId w:val="6"/>
        </w:numPr>
        <w:jc w:val="both"/>
        <w:rPr>
          <w:rFonts w:cs="Arial"/>
          <w:color w:val="000000"/>
          <w:szCs w:val="20"/>
        </w:rPr>
      </w:pPr>
      <w:r>
        <w:rPr>
          <w:rFonts w:cs="Arial"/>
          <w:szCs w:val="20"/>
        </w:rPr>
        <w:t>Quando do pagamento, será efetuada a retenção tributária prevista na legislação aplicável.</w:t>
      </w:r>
    </w:p>
    <w:p>
      <w:pPr>
        <w:pStyle w:val="Normal"/>
        <w:numPr>
          <w:ilvl w:val="2"/>
          <w:numId w:val="6"/>
        </w:numPr>
        <w:tabs>
          <w:tab w:val="left" w:pos="1440" w:leader="none"/>
        </w:tabs>
        <w:snapToGrid w:val="false"/>
        <w:spacing w:before="0" w:after="0"/>
        <w:ind w:left="1134" w:hanging="0"/>
        <w:contextualSpacing/>
        <w:jc w:val="both"/>
        <w:rPr>
          <w:rFonts w:cs="Arial"/>
          <w:color w:val="000000"/>
          <w:szCs w:val="20"/>
        </w:rPr>
      </w:pPr>
      <w:r>
        <w:rPr>
          <w:rFonts w:cs="Arial"/>
          <w:szCs w:val="2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spacing w:before="0" w:after="0"/>
        <w:contextualSpacing/>
        <w:jc w:val="both"/>
        <w:rPr>
          <w:rFonts w:cs="Arial"/>
          <w:color w:val="000000"/>
          <w:szCs w:val="20"/>
        </w:rPr>
      </w:pPr>
      <w:r>
        <w:rPr>
          <w:rFonts w:cs="Arial"/>
          <w:color w:val="000000"/>
          <w:szCs w:val="20"/>
        </w:rPr>
      </w:r>
    </w:p>
    <w:p>
      <w:pPr>
        <w:pStyle w:val="ListParagraph"/>
        <w:numPr>
          <w:ilvl w:val="1"/>
          <w:numId w:val="6"/>
        </w:numPr>
        <w:ind w:left="425" w:hanging="0"/>
        <w:jc w:val="both"/>
        <w:rPr>
          <w:rFonts w:cs="Arial"/>
          <w:color w:val="000000"/>
          <w:szCs w:val="20"/>
        </w:rPr>
      </w:pPr>
      <w:r>
        <w:rPr>
          <w:rFonts w:cs="Arial"/>
          <w:szCs w:val="2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tabs>
          <w:tab w:val="left" w:pos="1701" w:leader="none"/>
        </w:tabs>
        <w:spacing w:before="0" w:after="0"/>
        <w:ind w:left="425" w:hanging="0"/>
        <w:contextualSpacing/>
        <w:jc w:val="both"/>
        <w:rPr>
          <w:rFonts w:cs="Arial"/>
          <w:color w:val="000000"/>
          <w:szCs w:val="20"/>
        </w:rPr>
      </w:pPr>
      <w:r>
        <w:rPr>
          <w:rFonts w:cs="Arial"/>
          <w:szCs w:val="20"/>
        </w:rPr>
        <w:t>EM = I x N x VP, sendo:</w:t>
      </w:r>
    </w:p>
    <w:p>
      <w:pPr>
        <w:pStyle w:val="Normal"/>
        <w:tabs>
          <w:tab w:val="left" w:pos="1701" w:leader="none"/>
        </w:tabs>
        <w:spacing w:before="0" w:after="0"/>
        <w:ind w:left="425" w:hanging="0"/>
        <w:contextualSpacing/>
        <w:jc w:val="both"/>
        <w:rPr>
          <w:rFonts w:cs="Arial"/>
          <w:color w:val="000000"/>
          <w:szCs w:val="20"/>
        </w:rPr>
      </w:pPr>
      <w:r>
        <w:rPr>
          <w:rFonts w:cs="Arial"/>
          <w:szCs w:val="20"/>
        </w:rPr>
        <w:t>EM = Encargos moratórios;</w:t>
      </w:r>
    </w:p>
    <w:p>
      <w:pPr>
        <w:pStyle w:val="Normal"/>
        <w:tabs>
          <w:tab w:val="left" w:pos="1701" w:leader="none"/>
        </w:tabs>
        <w:spacing w:before="0" w:after="0"/>
        <w:ind w:left="425" w:hanging="0"/>
        <w:contextualSpacing/>
        <w:jc w:val="both"/>
        <w:rPr>
          <w:rFonts w:cs="Arial"/>
          <w:color w:val="000000"/>
          <w:szCs w:val="20"/>
        </w:rPr>
      </w:pPr>
      <w:r>
        <w:rPr>
          <w:rFonts w:cs="Arial"/>
          <w:szCs w:val="20"/>
        </w:rPr>
        <w:t>N = Número de dias entre a data prevista para o pagamento e a do efetivo pagamento;</w:t>
      </w:r>
    </w:p>
    <w:p>
      <w:pPr>
        <w:pStyle w:val="Normal"/>
        <w:tabs>
          <w:tab w:val="left" w:pos="1701" w:leader="none"/>
        </w:tabs>
        <w:spacing w:before="0" w:after="0"/>
        <w:ind w:left="425" w:hanging="0"/>
        <w:contextualSpacing/>
        <w:jc w:val="both"/>
        <w:rPr>
          <w:rFonts w:cs="Arial"/>
          <w:color w:val="000000"/>
          <w:szCs w:val="20"/>
        </w:rPr>
      </w:pPr>
      <w:r>
        <w:rPr>
          <w:rFonts w:cs="Arial"/>
          <w:szCs w:val="20"/>
        </w:rPr>
        <w:t>VP = Valor da parcela a ser paga.</w:t>
      </w:r>
    </w:p>
    <w:p>
      <w:pPr>
        <w:pStyle w:val="Normal"/>
        <w:tabs>
          <w:tab w:val="left" w:pos="1701" w:leader="none"/>
        </w:tabs>
        <w:spacing w:before="0" w:after="0"/>
        <w:ind w:left="425" w:hanging="0"/>
        <w:contextualSpacing/>
        <w:jc w:val="both"/>
        <w:rPr>
          <w:rFonts w:cs="Arial"/>
          <w:color w:val="000000"/>
          <w:szCs w:val="20"/>
        </w:rPr>
      </w:pPr>
      <w:r>
        <w:rPr>
          <w:rFonts w:cs="Arial"/>
          <w:szCs w:val="20"/>
        </w:rPr>
        <w:t>I = Índice de compensação financeira = 0,00016438, assim apurado:</w:t>
      </w:r>
    </w:p>
    <w:tbl>
      <w:tblPr>
        <w:tblStyle w:val="Tabelacomgrade"/>
        <w:tblW w:w="8647" w:type="dxa"/>
        <w:jc w:val="left"/>
        <w:tblInd w:w="425" w:type="dxa"/>
        <w:tblCellMar>
          <w:top w:w="0" w:type="dxa"/>
          <w:left w:w="133" w:type="dxa"/>
          <w:bottom w:w="0" w:type="dxa"/>
          <w:right w:w="108" w:type="dxa"/>
        </w:tblCellMar>
        <w:tblLook w:val="04a0"/>
      </w:tblPr>
      <w:tblGrid>
        <w:gridCol w:w="2147"/>
        <w:gridCol w:w="578"/>
        <w:gridCol w:w="1248"/>
        <w:gridCol w:w="4673"/>
      </w:tblGrid>
      <w:tr>
        <w:trPr/>
        <w:tc>
          <w:tcPr>
            <w:tcW w:w="2147"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contextualSpacing/>
              <w:jc w:val="center"/>
              <w:rPr>
                <w:rFonts w:cs="Arial"/>
                <w:color w:val="000000"/>
                <w:szCs w:val="20"/>
              </w:rPr>
            </w:pPr>
            <w:r>
              <w:rPr>
                <w:rFonts w:eastAsia="MS Mincho" w:cs="Arial"/>
                <w:szCs w:val="20"/>
                <w:lang w:eastAsia="en-US"/>
              </w:rPr>
              <w:t>I = (TX)</w:t>
            </w:r>
          </w:p>
        </w:tc>
        <w:tc>
          <w:tcPr>
            <w:tcW w:w="578"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contextualSpacing/>
              <w:rPr>
                <w:rFonts w:cs="Arial"/>
                <w:color w:val="000000"/>
                <w:szCs w:val="20"/>
              </w:rPr>
            </w:pPr>
            <w:r>
              <w:rPr>
                <w:rFonts w:eastAsia="MS Mincho" w:cs="Arial"/>
                <w:szCs w:val="20"/>
                <w:lang w:eastAsia="en-US"/>
              </w:rPr>
              <w:t xml:space="preserve">I = </w:t>
            </w:r>
          </w:p>
        </w:tc>
        <w:tc>
          <w:tcPr>
            <w:tcW w:w="1248" w:type="dxa"/>
            <w:tcBorders>
              <w:top w:val="nil"/>
              <w:left w:val="nil"/>
              <w:right w:val="nil"/>
              <w:insideV w:val="nil"/>
            </w:tcBorders>
            <w:shd w:color="auto" w:fill="auto" w:val="clear"/>
          </w:tcPr>
          <w:p>
            <w:pPr>
              <w:pStyle w:val="Normal"/>
              <w:tabs>
                <w:tab w:val="left" w:pos="1701" w:leader="none"/>
              </w:tabs>
              <w:spacing w:lineRule="auto" w:line="240" w:before="0" w:after="0"/>
              <w:contextualSpacing/>
              <w:jc w:val="center"/>
              <w:rPr>
                <w:rFonts w:cs="Arial"/>
                <w:color w:val="000000"/>
                <w:szCs w:val="20"/>
              </w:rPr>
            </w:pPr>
            <w:r>
              <w:rPr>
                <w:rFonts w:eastAsia="MS Mincho" w:cs="Arial"/>
                <w:szCs w:val="20"/>
                <w:lang w:eastAsia="en-US"/>
              </w:rPr>
              <w:t>( 6 / 100 )</w:t>
            </w:r>
          </w:p>
        </w:tc>
        <w:tc>
          <w:tcPr>
            <w:tcW w:w="4673" w:type="dxa"/>
            <w:tcBorders>
              <w:top w:val="nil"/>
              <w:left w:val="nil"/>
              <w:bottom w:val="nil"/>
              <w:right w:val="nil"/>
              <w:insideH w:val="nil"/>
              <w:insideV w:val="nil"/>
            </w:tcBorders>
            <w:shd w:color="auto" w:fill="auto" w:val="clear"/>
            <w:vAlign w:val="center"/>
          </w:tcPr>
          <w:p>
            <w:pPr>
              <w:pStyle w:val="Normal"/>
              <w:tabs>
                <w:tab w:val="left" w:pos="1701" w:leader="none"/>
              </w:tabs>
              <w:spacing w:lineRule="auto" w:line="240" w:before="0" w:after="0"/>
              <w:ind w:left="742" w:hanging="0"/>
              <w:contextualSpacing/>
              <w:rPr>
                <w:rFonts w:cs="Arial"/>
                <w:color w:val="000000"/>
                <w:szCs w:val="20"/>
              </w:rPr>
            </w:pPr>
            <w:r>
              <w:rPr>
                <w:rFonts w:eastAsia="MS Mincho" w:cs="Arial"/>
                <w:szCs w:val="20"/>
                <w:lang w:eastAsia="en-US"/>
              </w:rPr>
              <w:t>I = 0,00016438</w:t>
            </w:r>
          </w:p>
          <w:p>
            <w:pPr>
              <w:pStyle w:val="Normal"/>
              <w:tabs>
                <w:tab w:val="left" w:pos="1701" w:leader="none"/>
              </w:tabs>
              <w:spacing w:lineRule="auto" w:line="240" w:before="0" w:after="0"/>
              <w:ind w:left="742" w:hanging="0"/>
              <w:contextualSpacing/>
              <w:rPr>
                <w:rFonts w:cs="Arial"/>
                <w:color w:val="000000"/>
                <w:szCs w:val="20"/>
              </w:rPr>
            </w:pPr>
            <w:r>
              <w:rPr>
                <w:rFonts w:eastAsia="MS Mincho" w:cs="Arial"/>
                <w:szCs w:val="20"/>
                <w:lang w:eastAsia="en-US"/>
              </w:rPr>
              <w:t>TX = Percentual da taxa anual = 6%</w:t>
            </w:r>
          </w:p>
        </w:tc>
      </w:tr>
    </w:tbl>
    <w:p>
      <w:pPr>
        <w:pStyle w:val="Normal"/>
        <w:spacing w:before="0" w:after="0"/>
        <w:contextualSpacing/>
        <w:rPr/>
      </w:pPr>
      <w:r>
        <w:rPr/>
        <w:t>365</w:t>
      </w:r>
    </w:p>
    <w:p>
      <w:pPr>
        <w:pStyle w:val="Nivel1"/>
        <w:numPr>
          <w:ilvl w:val="0"/>
          <w:numId w:val="6"/>
        </w:numPr>
        <w:spacing w:lineRule="auto" w:line="240" w:before="0" w:after="0"/>
        <w:contextualSpacing/>
        <w:rPr>
          <w:color w:val="00000A"/>
        </w:rPr>
      </w:pPr>
      <w:r>
        <w:rPr>
          <w:color w:val="00000A"/>
        </w:rPr>
        <w:t xml:space="preserve">DO REAJUSTE </w:t>
      </w:r>
    </w:p>
    <w:p>
      <w:pPr>
        <w:pStyle w:val="ListParagraph"/>
        <w:numPr>
          <w:ilvl w:val="1"/>
          <w:numId w:val="6"/>
        </w:numPr>
        <w:ind w:left="425" w:hanging="0"/>
        <w:jc w:val="both"/>
        <w:rPr>
          <w:rFonts w:cs="Arial"/>
          <w:color w:val="000000"/>
          <w:szCs w:val="20"/>
        </w:rPr>
      </w:pPr>
      <w:r>
        <w:rPr>
          <w:rFonts w:cs="Arial"/>
          <w:szCs w:val="20"/>
        </w:rPr>
        <w:t>Os preços são fixos e irreajustáveis no prazo de um ano contado da data limite para a apresentação das propostas.</w:t>
      </w:r>
    </w:p>
    <w:p>
      <w:pPr>
        <w:pStyle w:val="Nivel1"/>
        <w:numPr>
          <w:ilvl w:val="0"/>
          <w:numId w:val="6"/>
        </w:numPr>
        <w:spacing w:lineRule="auto" w:line="240" w:before="0" w:after="0"/>
        <w:contextualSpacing/>
        <w:rPr>
          <w:color w:val="00000A"/>
        </w:rPr>
      </w:pPr>
      <w:r>
        <w:rPr>
          <w:color w:val="00000A"/>
        </w:rPr>
        <w:t>DA GARANTIA DE EXECUÇÃO</w:t>
      </w:r>
    </w:p>
    <w:p>
      <w:pPr>
        <w:pStyle w:val="Normal"/>
        <w:numPr>
          <w:ilvl w:val="1"/>
          <w:numId w:val="6"/>
        </w:numPr>
        <w:spacing w:before="0" w:after="0"/>
        <w:contextualSpacing/>
        <w:jc w:val="both"/>
        <w:rPr/>
      </w:pPr>
      <w:r>
        <w:rPr>
          <w:rFonts w:cs="Arial"/>
          <w:i/>
        </w:rPr>
        <w:t>Não haverá exigência de garantia contratual da execução, pelas razões abaixo justificadas:</w:t>
      </w:r>
    </w:p>
    <w:p>
      <w:pPr>
        <w:pStyle w:val="Nivel1"/>
        <w:numPr>
          <w:ilvl w:val="0"/>
          <w:numId w:val="6"/>
        </w:numPr>
        <w:spacing w:lineRule="auto" w:line="240" w:before="0" w:after="0"/>
        <w:contextualSpacing/>
        <w:rPr>
          <w:color w:val="00000A"/>
        </w:rPr>
      </w:pPr>
      <w:r>
        <w:rPr>
          <w:color w:val="00000A"/>
        </w:rPr>
        <w:t>A GARANTIA CONTRATUAL DOS BENS.</w:t>
      </w:r>
    </w:p>
    <w:p>
      <w:pPr>
        <w:pStyle w:val="Nivel1"/>
        <w:spacing w:lineRule="auto" w:line="240" w:before="0" w:after="0"/>
        <w:contextualSpacing/>
        <w:rPr>
          <w:color w:val="00000A"/>
        </w:rPr>
      </w:pPr>
      <w:r>
        <w:rPr>
          <w:color w:val="00000A"/>
        </w:rPr>
      </w:r>
    </w:p>
    <w:p>
      <w:pPr>
        <w:pStyle w:val="Normal"/>
        <w:numPr>
          <w:ilvl w:val="1"/>
          <w:numId w:val="6"/>
        </w:numPr>
        <w:spacing w:before="0" w:after="0"/>
        <w:ind w:left="425" w:hanging="0"/>
        <w:contextualSpacing/>
        <w:jc w:val="both"/>
        <w:rPr/>
      </w:pPr>
      <w:r>
        <w:rPr>
          <w:rFonts w:cs="Arial"/>
          <w:bCs/>
          <w:szCs w:val="20"/>
        </w:rPr>
        <w:t xml:space="preserve">O prazo de garantia contratual dos bens, complementar à garantia legal, será aquela detalhada no item, contado a partir do primeiro dia útil subsequente à data do recebimento definitivo do objeto. </w:t>
      </w:r>
    </w:p>
    <w:p>
      <w:pPr>
        <w:pStyle w:val="Normal"/>
        <w:numPr>
          <w:ilvl w:val="1"/>
          <w:numId w:val="6"/>
        </w:numPr>
        <w:spacing w:before="0" w:after="0"/>
        <w:ind w:left="425" w:hanging="0"/>
        <w:contextualSpacing/>
        <w:jc w:val="both"/>
        <w:rPr>
          <w:rFonts w:cs="Arial"/>
          <w:bCs/>
          <w:i/>
          <w:i/>
          <w:iCs/>
          <w:color w:val="FF0000"/>
          <w:szCs w:val="20"/>
        </w:rPr>
      </w:pPr>
      <w:r>
        <w:rPr>
          <w:rFonts w:cs="Arial"/>
          <w:bCs/>
          <w:szCs w:val="20"/>
        </w:rPr>
        <w:t xml:space="preserve">Caso o prazo da garantia oferecida pelo fabricante seja inferior ao estabelecido nesta cláusula, o licitante deverá complementar a garantia do bem ofertado pelo período restante. </w:t>
      </w:r>
    </w:p>
    <w:p>
      <w:pPr>
        <w:pStyle w:val="ListParagraph"/>
        <w:ind w:left="716" w:hanging="432"/>
        <w:jc w:val="both"/>
        <w:rPr>
          <w:b/>
          <w:b/>
          <w:bCs/>
          <w:szCs w:val="20"/>
        </w:rPr>
      </w:pPr>
      <w:r>
        <w:rPr>
          <w:b/>
          <w:bCs/>
          <w:szCs w:val="20"/>
        </w:rPr>
      </w:r>
    </w:p>
    <w:p>
      <w:pPr>
        <w:pStyle w:val="Normal"/>
        <w:spacing w:before="0" w:after="0"/>
        <w:ind w:left="425" w:hanging="0"/>
        <w:contextualSpacing/>
        <w:jc w:val="both"/>
        <w:rPr>
          <w:rFonts w:cs="Arial"/>
          <w:i/>
          <w:i/>
          <w:szCs w:val="20"/>
        </w:rPr>
      </w:pPr>
      <w:r>
        <w:rPr>
          <w:rFonts w:cs="Arial"/>
          <w:i/>
          <w:szCs w:val="20"/>
        </w:rPr>
      </w:r>
    </w:p>
    <w:p>
      <w:pPr>
        <w:pStyle w:val="Normal"/>
        <w:spacing w:before="0" w:after="0"/>
        <w:ind w:left="360" w:hanging="0"/>
        <w:contextualSpacing/>
        <w:jc w:val="center"/>
        <w:rPr/>
      </w:pPr>
      <w:r>
        <w:rPr>
          <w:rFonts w:cs="Arial"/>
          <w:szCs w:val="20"/>
        </w:rPr>
        <w:t xml:space="preserve">Município de Porto Velho-RO, 10 de setembro de 2021. </w:t>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rFonts w:cs="Arial"/>
          <w:szCs w:val="20"/>
        </w:rPr>
      </w:pPr>
      <w:r>
        <w:rPr>
          <w:rFonts w:cs="Arial"/>
          <w:szCs w:val="20"/>
        </w:rPr>
      </w:r>
    </w:p>
    <w:p>
      <w:pPr>
        <w:pStyle w:val="Normal"/>
        <w:spacing w:before="0" w:after="0"/>
        <w:ind w:left="360" w:hanging="0"/>
        <w:contextualSpacing/>
        <w:jc w:val="center"/>
        <w:rPr/>
      </w:pPr>
      <w:r>
        <w:rPr>
          <w:rFonts w:cs="Arial"/>
          <w:szCs w:val="20"/>
        </w:rPr>
        <w:t>__________________________________</w:t>
      </w:r>
    </w:p>
    <w:p>
      <w:pPr>
        <w:pStyle w:val="Normal"/>
        <w:spacing w:before="0" w:after="0"/>
        <w:ind w:left="360" w:hanging="0"/>
        <w:contextualSpacing/>
        <w:jc w:val="center"/>
        <w:rPr/>
      </w:pPr>
      <w:r>
        <w:rPr>
          <w:rFonts w:cs="Arial"/>
          <w:szCs w:val="20"/>
        </w:rPr>
        <w:t xml:space="preserve">RENATO VINICIUS </w:t>
      </w:r>
      <w:r>
        <w:rPr>
          <w:rFonts w:cs="Arial"/>
          <w:b/>
          <w:bCs/>
          <w:szCs w:val="20"/>
        </w:rPr>
        <w:t>AGOSTINI</w:t>
      </w:r>
      <w:r>
        <w:rPr>
          <w:rFonts w:cs="Arial"/>
          <w:szCs w:val="20"/>
        </w:rPr>
        <w:t xml:space="preserve"> – Maj</w:t>
      </w:r>
    </w:p>
    <w:p>
      <w:pPr>
        <w:pStyle w:val="Normal"/>
        <w:spacing w:before="0" w:after="0"/>
        <w:ind w:left="360" w:hanging="0"/>
        <w:contextualSpacing/>
        <w:jc w:val="center"/>
        <w:rPr/>
      </w:pPr>
      <w:r>
        <w:rPr>
          <w:rFonts w:cs="Arial"/>
          <w:szCs w:val="20"/>
        </w:rPr>
        <w:t xml:space="preserve">Chefe da Farmácia Hospitalar do HGuPV </w:t>
      </w:r>
    </w:p>
    <w:p>
      <w:pPr>
        <w:pStyle w:val="Normal"/>
        <w:rPr>
          <w:rFonts w:cs="Arial"/>
          <w:szCs w:val="20"/>
        </w:rPr>
      </w:pPr>
      <w:r>
        <w:rPr>
          <w:rFonts w:cs="Arial"/>
          <w:szCs w:val="20"/>
        </w:rPr>
      </w:r>
    </w:p>
    <w:p>
      <w:pPr>
        <w:sectPr>
          <w:footerReference w:type="default" r:id="rId9"/>
          <w:type w:val="nextPage"/>
          <w:pgSz w:w="11906" w:h="16838"/>
          <w:pgMar w:left="1701" w:right="1134" w:header="0" w:top="1701" w:footer="709" w:bottom="1134" w:gutter="0"/>
          <w:pgNumType w:fmt="decimal"/>
          <w:formProt w:val="false"/>
          <w:textDirection w:val="lrTb"/>
          <w:docGrid w:type="default" w:linePitch="360" w:charSpace="2047"/>
        </w:sectPr>
        <w:pStyle w:val="Normal"/>
        <w:rPr>
          <w:rFonts w:cs="Arial"/>
          <w:szCs w:val="20"/>
        </w:rPr>
      </w:pPr>
      <w:r>
        <w:rPr>
          <w:rFonts w:cs="Arial"/>
          <w:szCs w:val="20"/>
        </w:rPr>
      </w:r>
    </w:p>
    <w:p>
      <w:pPr>
        <w:pStyle w:val="Normal"/>
        <w:spacing w:lineRule="auto" w:line="276" w:before="120" w:after="120"/>
        <w:jc w:val="center"/>
        <w:rPr>
          <w:i w:val="false"/>
          <w:i w:val="false"/>
          <w:iCs w:val="false"/>
          <w:color w:val="00000A"/>
        </w:rPr>
      </w:pPr>
      <w:r>
        <w:rPr>
          <w:rFonts w:cs="Arial" w:ascii="Times New Roman" w:hAnsi="Times New Roman"/>
          <w:b/>
          <w:bCs/>
          <w:i w:val="false"/>
          <w:iCs w:val="false"/>
          <w:color w:val="00000A"/>
          <w:sz w:val="24"/>
          <w:szCs w:val="20"/>
        </w:rPr>
        <w:t>ANEXO II.1</w:t>
      </w:r>
    </w:p>
    <w:p>
      <w:pPr>
        <w:pStyle w:val="Normal"/>
        <w:spacing w:lineRule="auto" w:line="240" w:before="0" w:after="0"/>
        <w:jc w:val="center"/>
        <w:rPr>
          <w:rFonts w:ascii="Times New Roman" w:hAnsi="Times New Roman" w:cs="Arial"/>
          <w:b/>
          <w:b/>
          <w:bCs/>
          <w:sz w:val="24"/>
          <w:szCs w:val="24"/>
        </w:rPr>
      </w:pPr>
      <w:r>
        <w:rPr>
          <w:rFonts w:cs="Arial" w:ascii="Times New Roman" w:hAnsi="Times New Roman"/>
          <w:b/>
          <w:bCs/>
          <w:sz w:val="24"/>
          <w:szCs w:val="24"/>
        </w:rPr>
      </w:r>
    </w:p>
    <w:p>
      <w:pPr>
        <w:pStyle w:val="Normal"/>
        <w:spacing w:lineRule="auto" w:line="240" w:before="0" w:after="0"/>
        <w:jc w:val="center"/>
        <w:rPr/>
      </w:pPr>
      <w:r>
        <w:rPr>
          <w:rFonts w:cs="Arial" w:ascii="Times New Roman" w:hAnsi="Times New Roman"/>
          <w:b/>
          <w:bCs/>
          <w:sz w:val="24"/>
          <w:szCs w:val="24"/>
        </w:rPr>
        <w:t>MINISTÉRIO DA DEFESA</w:t>
      </w:r>
    </w:p>
    <w:p>
      <w:pPr>
        <w:pStyle w:val="Normal"/>
        <w:spacing w:lineRule="auto" w:line="240" w:before="0" w:after="0"/>
        <w:jc w:val="center"/>
        <w:rPr/>
      </w:pPr>
      <w:r>
        <w:rPr>
          <w:rFonts w:cs="Arial" w:ascii="Times New Roman" w:hAnsi="Times New Roman"/>
          <w:b/>
          <w:bCs/>
          <w:sz w:val="24"/>
          <w:szCs w:val="24"/>
        </w:rPr>
        <w:t>EXÉRCITO BRASILEIRO</w:t>
      </w:r>
    </w:p>
    <w:p>
      <w:pPr>
        <w:pStyle w:val="Normal"/>
        <w:spacing w:lineRule="auto" w:line="240" w:before="0" w:after="0"/>
        <w:jc w:val="center"/>
        <w:rPr/>
      </w:pPr>
      <w:r>
        <w:rPr>
          <w:rFonts w:cs="Arial" w:ascii="Times New Roman" w:hAnsi="Times New Roman"/>
          <w:b/>
          <w:bCs/>
          <w:sz w:val="24"/>
          <w:szCs w:val="24"/>
        </w:rPr>
        <w:t>HOSPITAL DE GUARNIÇÃO DE PORTO VELHO</w:t>
      </w:r>
    </w:p>
    <w:p>
      <w:pPr>
        <w:pStyle w:val="Normal"/>
        <w:spacing w:lineRule="auto" w:line="240" w:before="0" w:after="0"/>
        <w:jc w:val="both"/>
        <w:rPr>
          <w:rFonts w:ascii="Times New Roman" w:hAnsi="Times New Roman" w:cs="Arial"/>
          <w:sz w:val="24"/>
          <w:szCs w:val="24"/>
        </w:rPr>
      </w:pPr>
      <w:r>
        <w:rPr>
          <w:rFonts w:cs="Arial" w:ascii="Times New Roman" w:hAnsi="Times New Roman"/>
          <w:sz w:val="24"/>
          <w:szCs w:val="24"/>
        </w:rPr>
      </w:r>
    </w:p>
    <w:p>
      <w:pPr>
        <w:pStyle w:val="Normal"/>
        <w:spacing w:lineRule="auto" w:line="240" w:before="0" w:after="0"/>
        <w:jc w:val="both"/>
        <w:rPr/>
      </w:pPr>
      <w:r>
        <w:rPr>
          <w:rFonts w:cs="Arial" w:ascii="Times New Roman" w:hAnsi="Times New Roman"/>
          <w:sz w:val="24"/>
          <w:szCs w:val="24"/>
        </w:rPr>
        <w:t>Estudo Técnico Preliminar 18/2021</w:t>
      </w:r>
    </w:p>
    <w:p>
      <w:pPr>
        <w:pStyle w:val="Normal"/>
        <w:spacing w:lineRule="auto" w:line="240" w:before="0" w:after="0"/>
        <w:jc w:val="both"/>
        <w:rPr>
          <w:color w:val="F2F2F2" w:themeColor="background1" w:themeShade="f2"/>
        </w:rPr>
      </w:pPr>
      <w:r>
        <w:rPr>
          <w:color w:val="F2F2F2" w:themeColor="background1" w:themeShade="f2"/>
        </w:rPr>
      </w:r>
    </w:p>
    <w:p>
      <w:pPr>
        <w:pStyle w:val="ListParagraph"/>
        <w:numPr>
          <w:ilvl w:val="0"/>
          <w:numId w:val="7"/>
        </w:numPr>
        <w:spacing w:lineRule="auto" w:line="240" w:before="0" w:after="0"/>
        <w:contextualSpacing/>
        <w:jc w:val="both"/>
        <w:rPr/>
      </w:pPr>
      <w:r>
        <w:rPr>
          <w:rFonts w:ascii="Times New Roman" w:hAnsi="Times New Roman"/>
          <w:b/>
          <w:bCs/>
          <w:sz w:val="24"/>
          <w:szCs w:val="24"/>
        </w:rPr>
        <w:t>Informações básicas</w:t>
      </w:r>
    </w:p>
    <w:p>
      <w:pPr>
        <w:pStyle w:val="ListParagraph"/>
        <w:spacing w:lineRule="auto" w:line="240" w:before="0" w:after="0"/>
        <w:contextualSpacing/>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contextualSpacing/>
        <w:jc w:val="both"/>
        <w:rPr/>
      </w:pPr>
      <w:r>
        <w:rPr>
          <w:rFonts w:ascii="Times New Roman" w:hAnsi="Times New Roman"/>
          <w:sz w:val="24"/>
          <w:szCs w:val="24"/>
        </w:rPr>
        <w:t xml:space="preserve">Nº do processo administrativo </w:t>
      </w:r>
    </w:p>
    <w:p>
      <w:pPr>
        <w:pStyle w:val="ListParagraph"/>
        <w:spacing w:lineRule="auto" w:line="240" w:before="0" w:after="0"/>
        <w:contextualSpacing/>
        <w:jc w:val="both"/>
        <w:rPr/>
      </w:pPr>
      <w:r>
        <w:rPr>
          <w:rFonts w:ascii="Times New Roman" w:hAnsi="Times New Roman"/>
          <w:sz w:val="24"/>
          <w:szCs w:val="24"/>
        </w:rPr>
        <w:t>64593.005046/2021-16</w:t>
      </w:r>
    </w:p>
    <w:p>
      <w:pPr>
        <w:pStyle w:val="Normal"/>
        <w:widowControl w:val="false"/>
        <w:spacing w:lineRule="auto" w:line="240" w:before="0" w:after="0"/>
        <w:jc w:val="both"/>
        <w:rPr>
          <w:rFonts w:cs="Times New Roman"/>
          <w:b/>
          <w:b/>
          <w:bCs/>
          <w:color w:val="000000"/>
        </w:rPr>
      </w:pPr>
      <w:r>
        <w:rPr>
          <w:rFonts w:cs="Times New Roman"/>
          <w:b/>
          <w:bCs/>
          <w:color w:val="000000"/>
        </w:rPr>
      </w:r>
    </w:p>
    <w:p>
      <w:pPr>
        <w:pStyle w:val="ListParagraph"/>
        <w:numPr>
          <w:ilvl w:val="0"/>
          <w:numId w:val="7"/>
        </w:numPr>
        <w:spacing w:lineRule="auto" w:line="240" w:before="0" w:after="0"/>
        <w:contextualSpacing/>
        <w:jc w:val="both"/>
        <w:outlineLvl w:val="4"/>
        <w:rPr/>
      </w:pPr>
      <w:r>
        <w:rPr>
          <w:rFonts w:eastAsia="Times New Roman" w:cs="Times New Roman" w:ascii="Times New Roman" w:hAnsi="Times New Roman"/>
          <w:b/>
          <w:bCs/>
          <w:sz w:val="24"/>
          <w:szCs w:val="24"/>
          <w:lang w:eastAsia="pt-BR"/>
        </w:rPr>
        <w:t>Descrição da necessidade</w:t>
      </w:r>
    </w:p>
    <w:p>
      <w:pPr>
        <w:pStyle w:val="ListParagraph"/>
        <w:numPr>
          <w:ilvl w:val="0"/>
          <w:numId w:val="0"/>
        </w:numPr>
        <w:spacing w:lineRule="auto" w:line="240" w:before="0" w:after="0"/>
        <w:ind w:left="1440" w:hanging="0"/>
        <w:contextualSpacing/>
        <w:jc w:val="both"/>
        <w:outlineLvl w:val="4"/>
        <w:rPr>
          <w:rFonts w:eastAsia="Times New Roman" w:cs="Times New Roman"/>
          <w:b/>
          <w:b/>
          <w:bCs/>
          <w:lang w:eastAsia="pt-BR"/>
        </w:rPr>
      </w:pPr>
      <w:r>
        <w:rPr>
          <w:rFonts w:eastAsia="Times New Roman" w:cs="Times New Roman"/>
          <w:b/>
          <w:bCs/>
          <w:lang w:eastAsia="pt-BR"/>
        </w:rPr>
      </w:r>
    </w:p>
    <w:p>
      <w:pPr>
        <w:pStyle w:val="Normal"/>
        <w:spacing w:lineRule="auto" w:line="240" w:before="0" w:after="0"/>
        <w:ind w:firstLine="709"/>
        <w:jc w:val="both"/>
        <w:rPr/>
      </w:pPr>
      <w:r>
        <w:rPr>
          <w:rFonts w:cs="LiberationSerif" w:ascii="Times New Roman" w:hAnsi="Times New Roman"/>
          <w:sz w:val="24"/>
          <w:szCs w:val="24"/>
        </w:rPr>
        <w:t>O Hospital de Guarnição de Porto Velho (HGuPV) atua na prestação de serviços em saúde aos militares das Forças Armadas (Exército, Marinha e Aeronáutica), da ativa e também aos inativos e pensionistas, servidores civis e seus dependentes.</w:t>
      </w:r>
    </w:p>
    <w:p>
      <w:pPr>
        <w:pStyle w:val="Normal"/>
        <w:spacing w:lineRule="auto" w:line="240" w:before="0" w:after="0"/>
        <w:ind w:firstLine="709"/>
        <w:jc w:val="both"/>
        <w:rPr/>
      </w:pPr>
      <w:r>
        <w:rPr>
          <w:rFonts w:cs="LiberationSerif" w:ascii="Times New Roman" w:hAnsi="Times New Roman"/>
          <w:sz w:val="24"/>
          <w:szCs w:val="24"/>
        </w:rPr>
        <w:t>Dentre as responsabilidades desta Organização Militar de Saúde está o fornecimento de próteses auditivas para os usuários que cumpram os requisitos da legislação. Atualmente, existem 4 usuários habilitados a receberem o equipamento.</w:t>
      </w:r>
    </w:p>
    <w:p>
      <w:pPr>
        <w:pStyle w:val="Normal"/>
        <w:spacing w:lineRule="auto" w:line="240" w:before="0" w:after="0"/>
        <w:ind w:firstLine="709"/>
        <w:jc w:val="both"/>
        <w:rPr/>
      </w:pPr>
      <w:r>
        <w:rPr>
          <w:rFonts w:cs="LiberationSerif" w:ascii="Times New Roman" w:hAnsi="Times New Roman"/>
          <w:color w:val="000000"/>
          <w:sz w:val="24"/>
          <w:szCs w:val="24"/>
        </w:rPr>
        <w:t>O objeto da presente dispensa eletrônica não possui natureza continuada, não havendo necessidade de prorrogação contratual para além da vigência comum de doze meses prevista na Lei nº 14.133/2021.</w:t>
      </w:r>
    </w:p>
    <w:p>
      <w:pPr>
        <w:pStyle w:val="Normal"/>
        <w:spacing w:lineRule="auto" w:line="240" w:before="0" w:after="0"/>
        <w:ind w:firstLine="709"/>
        <w:jc w:val="both"/>
        <w:rPr/>
      </w:pPr>
      <w:r>
        <w:rPr>
          <w:rFonts w:cs="LiberationSerif" w:ascii="Times New Roman" w:hAnsi="Times New Roman"/>
          <w:sz w:val="24"/>
          <w:szCs w:val="24"/>
        </w:rPr>
        <w:t xml:space="preserve">A aquisição será realizada de forma única de acordo com a necessidade desta Organização Militar de Saúde (OMS) para que atendam de imediato as necessidades dos pacientes. </w:t>
      </w:r>
    </w:p>
    <w:p>
      <w:pPr>
        <w:pStyle w:val="ListParagraph"/>
        <w:numPr>
          <w:ilvl w:val="0"/>
          <w:numId w:val="7"/>
        </w:numPr>
        <w:spacing w:lineRule="auto" w:line="240" w:before="0" w:after="0"/>
        <w:contextualSpacing/>
        <w:jc w:val="both"/>
        <w:outlineLvl w:val="4"/>
        <w:rPr/>
      </w:pPr>
      <w:r>
        <w:rPr>
          <w:rFonts w:ascii="Times New Roman" w:hAnsi="Times New Roman"/>
          <w:b/>
          <w:bCs/>
          <w:sz w:val="24"/>
          <w:szCs w:val="24"/>
        </w:rPr>
        <w:t>Área requisitante</w:t>
      </w:r>
    </w:p>
    <w:p>
      <w:pPr>
        <w:pStyle w:val="Ttulo51"/>
        <w:spacing w:beforeAutospacing="0" w:before="0" w:afterAutospacing="0" w:after="0"/>
        <w:ind w:left="720" w:hanging="0"/>
        <w:jc w:val="both"/>
        <w:rPr>
          <w:sz w:val="24"/>
          <w:szCs w:val="24"/>
        </w:rPr>
      </w:pPr>
      <w:r>
        <w:rPr>
          <w:sz w:val="24"/>
          <w:szCs w:val="24"/>
        </w:rPr>
      </w:r>
    </w:p>
    <w:tbl>
      <w:tblPr>
        <w:tblStyle w:val="Tabelacomgrade"/>
        <w:tblW w:w="8568" w:type="dxa"/>
        <w:jc w:val="left"/>
        <w:tblInd w:w="675" w:type="dxa"/>
        <w:tblCellMar>
          <w:top w:w="0" w:type="dxa"/>
          <w:left w:w="63" w:type="dxa"/>
          <w:bottom w:w="0" w:type="dxa"/>
          <w:right w:w="108" w:type="dxa"/>
        </w:tblCellMar>
        <w:tblLook w:val="04a0"/>
      </w:tblPr>
      <w:tblGrid>
        <w:gridCol w:w="4290"/>
        <w:gridCol w:w="4277"/>
      </w:tblGrid>
      <w:tr>
        <w:trPr/>
        <w:tc>
          <w:tcPr>
            <w:tcW w:w="4290" w:type="dxa"/>
            <w:tcBorders/>
            <w:shd w:color="auto" w:fill="auto" w:val="clear"/>
            <w:tcMar>
              <w:left w:w="63" w:type="dxa"/>
            </w:tcMar>
          </w:tcPr>
          <w:p>
            <w:pPr>
              <w:pStyle w:val="Ttulo51"/>
              <w:spacing w:lineRule="auto" w:line="240" w:beforeAutospacing="0" w:before="0" w:afterAutospacing="0" w:after="0"/>
              <w:jc w:val="both"/>
              <w:rPr>
                <w:rFonts w:eastAsia="" w:eastAsiaTheme="minorEastAsia"/>
              </w:rPr>
            </w:pPr>
            <w:r>
              <w:rPr>
                <w:rFonts w:eastAsia="" w:eastAsiaTheme="minorEastAsia"/>
                <w:sz w:val="24"/>
                <w:szCs w:val="24"/>
              </w:rPr>
              <w:t xml:space="preserve">Area / seção </w:t>
            </w:r>
          </w:p>
        </w:tc>
        <w:tc>
          <w:tcPr>
            <w:tcW w:w="4277" w:type="dxa"/>
            <w:tcBorders/>
            <w:shd w:color="auto" w:fill="auto" w:val="clear"/>
            <w:tcMar>
              <w:left w:w="63" w:type="dxa"/>
            </w:tcMar>
          </w:tcPr>
          <w:p>
            <w:pPr>
              <w:pStyle w:val="Ttulo51"/>
              <w:spacing w:lineRule="auto" w:line="240" w:beforeAutospacing="0" w:before="0" w:afterAutospacing="0" w:after="0"/>
              <w:jc w:val="both"/>
              <w:rPr>
                <w:rFonts w:eastAsia="" w:eastAsiaTheme="minorEastAsia"/>
              </w:rPr>
            </w:pPr>
            <w:r>
              <w:rPr>
                <w:rFonts w:eastAsia="" w:eastAsiaTheme="minorEastAsia"/>
                <w:sz w:val="24"/>
                <w:szCs w:val="24"/>
              </w:rPr>
              <w:t xml:space="preserve">Responsável </w:t>
            </w:r>
          </w:p>
        </w:tc>
      </w:tr>
      <w:tr>
        <w:trPr/>
        <w:tc>
          <w:tcPr>
            <w:tcW w:w="4290" w:type="dxa"/>
            <w:tcBorders/>
            <w:shd w:color="auto" w:fill="auto" w:val="clear"/>
            <w:tcMar>
              <w:left w:w="63" w:type="dxa"/>
            </w:tcMar>
          </w:tcPr>
          <w:p>
            <w:pPr>
              <w:pStyle w:val="Ttulo51"/>
              <w:spacing w:lineRule="auto" w:line="240" w:beforeAutospacing="0" w:before="0" w:afterAutospacing="0" w:after="0"/>
              <w:jc w:val="both"/>
              <w:rPr>
                <w:rFonts w:eastAsia="" w:eastAsiaTheme="minorEastAsia"/>
              </w:rPr>
            </w:pPr>
            <w:r>
              <w:rPr>
                <w:rFonts w:eastAsia="" w:eastAsiaTheme="minorEastAsia"/>
                <w:sz w:val="24"/>
                <w:szCs w:val="24"/>
              </w:rPr>
              <w:t>Farmácia</w:t>
            </w:r>
          </w:p>
        </w:tc>
        <w:tc>
          <w:tcPr>
            <w:tcW w:w="4277" w:type="dxa"/>
            <w:tcBorders/>
            <w:shd w:color="auto" w:fill="auto" w:val="clear"/>
            <w:tcMar>
              <w:left w:w="63" w:type="dxa"/>
            </w:tcMar>
          </w:tcPr>
          <w:p>
            <w:pPr>
              <w:pStyle w:val="Ttulo51"/>
              <w:spacing w:lineRule="auto" w:line="240" w:beforeAutospacing="0" w:before="0" w:afterAutospacing="0" w:after="0"/>
              <w:jc w:val="both"/>
              <w:rPr>
                <w:rFonts w:eastAsia="" w:eastAsiaTheme="minorEastAsia"/>
              </w:rPr>
            </w:pPr>
            <w:r>
              <w:rPr>
                <w:rFonts w:eastAsia="" w:eastAsiaTheme="minorEastAsia"/>
                <w:sz w:val="24"/>
                <w:szCs w:val="24"/>
              </w:rPr>
              <w:t>Maj Farm Agostini</w:t>
            </w:r>
          </w:p>
        </w:tc>
      </w:tr>
    </w:tbl>
    <w:p>
      <w:pPr>
        <w:pStyle w:val="Ttulo51"/>
        <w:spacing w:beforeAutospacing="0" w:before="0" w:afterAutospacing="0" w:after="0"/>
        <w:ind w:left="720" w:hanging="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Descrição dos Requisitos da Contratação</w:t>
      </w:r>
    </w:p>
    <w:p>
      <w:pPr>
        <w:pStyle w:val="Ttulo51"/>
        <w:spacing w:beforeAutospacing="0" w:before="0" w:afterAutospacing="0" w:after="0"/>
        <w:jc w:val="both"/>
        <w:rPr>
          <w:sz w:val="24"/>
          <w:szCs w:val="24"/>
        </w:rPr>
      </w:pPr>
      <w:r>
        <w:rPr>
          <w:sz w:val="24"/>
          <w:szCs w:val="24"/>
        </w:rPr>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A cotação de preço deverá levar em consideração a padronização dos aparelhos e da assistência técnica, bem como avaliação e adaptação por parte do fonoaudiólogo, uma vez que um mesmo usuário poderá necessitar de aparelhos de modelos diferentes para corrigir a sua perda auditiva, assim deverá seguir os requisitos:</w:t>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 xml:space="preserve">- O modelo do aparelho a ser fornecido deverá ser adaptado de acordo com a necessidade do paciente segundo dados da avaliação audiológica. Sendo assim, as especificações técnicas deverão contemplar os modelos: retroauriculares, intracanais, microcanais, intra-auricular, microretroauricular, miniretroauricular.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Qualquer marca/modelo de aparelho auditivo que tenha as funções previstas nas especificações será aceita, independente do nome comercial da função. Serão aceitos próteses similares ou de tecnologias superiores desde que sejam mais adequados ao paciente com a avaliação e aprovação técnica médica ou do fonoaudiólogo militar do HGUPV. A administração aceitará a proposta mais vantajosa. </w:t>
      </w:r>
    </w:p>
    <w:p>
      <w:pPr>
        <w:pStyle w:val="Normal"/>
        <w:widowControl w:val="false"/>
        <w:tabs>
          <w:tab w:val="left" w:pos="426" w:leader="none"/>
          <w:tab w:val="left" w:pos="709" w:leader="none"/>
          <w:tab w:val="left" w:pos="851" w:leader="none"/>
          <w:tab w:val="left" w:pos="1134" w:leader="none"/>
        </w:tabs>
        <w:suppressAutoHyphens w:val="true"/>
        <w:spacing w:before="0" w:after="0"/>
        <w:ind w:firstLine="709"/>
        <w:jc w:val="both"/>
        <w:rPr/>
      </w:pPr>
      <w:r>
        <w:rPr>
          <w:rFonts w:cs="LiberationSerif" w:ascii="Times New Roman" w:hAnsi="Times New Roman"/>
          <w:sz w:val="24"/>
          <w:szCs w:val="24"/>
        </w:rPr>
        <w:t>- O processo ocorrerá em duas etapas, sendo elas:</w:t>
      </w:r>
    </w:p>
    <w:p>
      <w:pPr>
        <w:pStyle w:val="Normal"/>
        <w:widowControl w:val="false"/>
        <w:suppressAutoHyphens w:val="true"/>
        <w:spacing w:before="0" w:after="0"/>
        <w:ind w:firstLine="709"/>
        <w:jc w:val="both"/>
        <w:rPr/>
      </w:pPr>
      <w:r>
        <w:rPr>
          <w:rFonts w:cs="LiberationSerif" w:ascii="Times New Roman" w:hAnsi="Times New Roman"/>
          <w:sz w:val="24"/>
          <w:szCs w:val="24"/>
        </w:rPr>
        <w:t>a- Experiência domiciliar de adaptação do AASI e Assinatura do Termo de Aceitação e Adaptação da Prótese Auditiva pelo usuário;</w:t>
      </w:r>
    </w:p>
    <w:p>
      <w:pPr>
        <w:pStyle w:val="Normal"/>
        <w:widowControl w:val="false"/>
        <w:suppressAutoHyphens w:val="true"/>
        <w:spacing w:before="0" w:after="0"/>
        <w:ind w:firstLine="709"/>
        <w:jc w:val="both"/>
        <w:rPr/>
      </w:pPr>
      <w:r>
        <w:rPr>
          <w:rFonts w:cs="LiberationSerif" w:ascii="Times New Roman" w:hAnsi="Times New Roman"/>
          <w:sz w:val="24"/>
          <w:szCs w:val="24"/>
        </w:rPr>
        <w:t>b- Compra e recebimento da Prótese Auditiva pela contratante e início do Programa de Acompanhamento do AASI.</w:t>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a- Experiência domiciliar de adaptação do AASI e Assinatura do Termo de Aceitação e Adaptação da Prótese Auditiva pelo usuário;</w:t>
      </w:r>
    </w:p>
    <w:p>
      <w:pPr>
        <w:pStyle w:val="Normal"/>
        <w:widowControl w:val="false"/>
        <w:suppressAutoHyphens w:val="true"/>
        <w:spacing w:before="0" w:after="0"/>
        <w:ind w:firstLine="709"/>
        <w:jc w:val="both"/>
        <w:rPr/>
      </w:pPr>
      <w:r>
        <w:rPr>
          <w:rFonts w:cs="LiberationSerif" w:ascii="Times New Roman" w:hAnsi="Times New Roman"/>
          <w:sz w:val="24"/>
          <w:szCs w:val="24"/>
        </w:rPr>
        <w:t>- A contratada deverá possuir AASI próprios para testes a fim de proporcionar experiência domiciliar ao usuário visto que tal conduta já é prática das empresas considerando este procedimento mais adequado e ético na comercialização da prótese auditiva.</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contratada deverá realizar a seleção, proporcionar experiência domiciliar e adaptação da prótese auditiva se certificando que as configurações ajustadas (em software próprio) garantam a satisfação do usuário. Tais ajustes deverão levar em consideração tipo, grau, causa bem como a progressão da perda auditiva pois estes são fatores mínimos para o sucesso da adaptação.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FALTA DA TESTAGEM PRÉVIA E EXPERIÊNCIA DOMICILIAR INVIABILIZARÁ A EFETIVAÇÃO DO PROCESSO LICITATÓRIO.                                                                                                                                                                                                                                                                                                                                                                                                                                                                                                                                                                                                                                                                                                                                                                                                                                                                                                                                                                                                                                                                                                                                                                                                                                                                                                                                                                                                                                                                                                                                                                                                                                                                                                                                                                                                                                                                                                                                                                                                                                                                                                                                                                                                                                                                                                                                                                                                                                                                                                                                                                                                                                                                                                                                                                                                                                                                                                                                                                                                                                                                                                                                                                                                                                                                                                                                                                                                                                                                                                                                                                                                                                                                                                                                                                                                                                                                                                                                                                                                                                                                                                                                                                                                                                                                                                                                                                                                                                                                                                                                                                                                                                                                                                                                                                                                                                                                                                                                                                                                                                                                                                                                                                                                                                                                                                                                                                                                                                                                                                                                                                                                                                                                                                                                                                                                                                                                                                                                                                                                                                                                                                                                                                                                                                                                                                                                                                                                                                                                                                                                                                                                                                                                                                                                                                                                                                                                                                                                                                       </w:t>
      </w:r>
    </w:p>
    <w:p>
      <w:pPr>
        <w:pStyle w:val="Normal"/>
        <w:widowControl w:val="false"/>
        <w:suppressAutoHyphens w:val="true"/>
        <w:spacing w:before="0" w:after="0"/>
        <w:ind w:firstLine="709"/>
        <w:jc w:val="both"/>
        <w:rPr/>
      </w:pPr>
      <w:r>
        <w:rPr>
          <w:rFonts w:cs="LiberationSerif" w:ascii="Times New Roman" w:hAnsi="Times New Roman"/>
          <w:sz w:val="24"/>
          <w:szCs w:val="24"/>
        </w:rPr>
        <w:t>- Além da seleção da prótese auditiva, condizentes com a perda auditiva do paciente, a EXPERIÊNCIA DOMICILIAR da prótese deverá ocorrer OBRIGATORIAMENTE, durante um mínimo de 7 a 30 dias e, com profissional fononoaudiólogo da empresa contratada. Após este período, o processo seguirá os trâmites processuais normais para a aquisição do AASI.</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EXPERIÊNCIA DOMICILIAR NÃO ESTÁ CONDICIONADA À EFETIVAÇÃO DA AQUISIÇÃO DO AASI CONSIDERANDO A POSSIBILIDADE DE NÃO ADAPTAÇÃO RELATADA PELO USUÁRIO.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Após o período de experiência domiciliar, o paciente/ usuário caso se adapte, deverá assinar o Termo de Aceitação e Adaptação da Prótese Auditiva para que os trâmites de aquisição de seu AASI seja dado prosseguimento até sua aquisição definitiva. </w:t>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b- Compra e recebimento da Prótese Auditiva pela contratante e início do Programa de Acompanhamento do AASI.</w:t>
      </w:r>
    </w:p>
    <w:p>
      <w:pPr>
        <w:pStyle w:val="Normal"/>
        <w:widowControl w:val="false"/>
        <w:suppressAutoHyphens w:val="true"/>
        <w:spacing w:before="0" w:after="0"/>
        <w:ind w:firstLine="709"/>
        <w:jc w:val="both"/>
        <w:rPr/>
      </w:pPr>
      <w:r>
        <w:rPr>
          <w:rFonts w:cs="LiberationSerif" w:ascii="Times New Roman" w:hAnsi="Times New Roman"/>
          <w:sz w:val="24"/>
          <w:szCs w:val="24"/>
        </w:rPr>
        <w:t>- Com a concretização da aquisição do AASI e seu recebimento pelo usuário, a contratada iniciará o processo de adaptação e ajustes da prótese auditiva por meio do Programa de Acompanhamento do AASI para monitoramento ao longo da utilização do aparelho auditivo (mínimo 36 meses).</w:t>
      </w:r>
    </w:p>
    <w:p>
      <w:pPr>
        <w:pStyle w:val="Normal"/>
        <w:widowControl w:val="false"/>
        <w:suppressAutoHyphens w:val="true"/>
        <w:spacing w:before="0" w:after="0"/>
        <w:ind w:firstLine="709"/>
        <w:jc w:val="both"/>
        <w:rPr/>
      </w:pPr>
      <w:r>
        <w:rPr>
          <w:rFonts w:cs="LiberationSerif" w:ascii="Times New Roman" w:hAnsi="Times New Roman"/>
          <w:sz w:val="24"/>
          <w:szCs w:val="24"/>
        </w:rPr>
        <w:t>- É OBRIGATÓRIO REALIZAÇÃO DE PROGRAMA DE ACOMPANHAMENTO DURANTE 36 MESES PARA TODOS AS PRÓTESES ADQUIRIDAS no qual estarão inclusos os custos com as limpezas, revisões, ajustes digitais, transporte e confecção de molde (quando necessário).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Os custos com a pré-moldagem e do molde deverão estar inclusos no valor final do aparelho conforme informado no Termo de Referência.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Os moldes, quando necessários pela tipologia do AASI, deverão estar de acordo com o tipo de aparelho e possuir ajustes condizentes com o conforto relatados pelo usuário. </w:t>
      </w:r>
    </w:p>
    <w:p>
      <w:pPr>
        <w:pStyle w:val="Normal"/>
        <w:widowControl w:val="false"/>
        <w:suppressAutoHyphens w:val="true"/>
        <w:spacing w:before="0" w:after="0"/>
        <w:ind w:firstLine="709"/>
        <w:jc w:val="both"/>
        <w:rPr/>
      </w:pPr>
      <w:r>
        <w:rPr>
          <w:rFonts w:cs="LiberationSerif" w:ascii="Times New Roman" w:hAnsi="Times New Roman"/>
          <w:sz w:val="24"/>
          <w:szCs w:val="24"/>
        </w:rPr>
        <w:t>- A garantia e a assistência técnica apresentada pela empresa será de mínimo 12 meses de acordo com as características do aparelho.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caso de dúvidas em relação ao exame de audiometria ou necessidade de atualização (mínimo de 06 meses), a contratada deverá realizar novo exame para esclarecimentos, sem qualquer custo adicional, além do valor proposto pelo aparelho. </w:t>
      </w:r>
    </w:p>
    <w:p>
      <w:pPr>
        <w:pStyle w:val="Normal"/>
        <w:widowControl w:val="false"/>
        <w:suppressAutoHyphens w:val="true"/>
        <w:spacing w:before="0" w:after="0"/>
        <w:ind w:firstLine="709"/>
        <w:jc w:val="both"/>
        <w:rPr/>
      </w:pPr>
      <w:r>
        <w:rPr>
          <w:rFonts w:cs="LiberationSerif" w:ascii="Times New Roman" w:hAnsi="Times New Roman"/>
          <w:sz w:val="24"/>
          <w:szCs w:val="24"/>
        </w:rPr>
        <w:t>- Findado este prazo (36 meses) do programa de acompanhamento, os custos com os ajustes das configurações, pré-moldagem e fornecimento dos moldes deverão ser tratados diretamente entre o usuário e a empresa contratada;</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A confecção das próteses auditivas somente poderá ser realizada mediante a solicitação por escrito do médico militar. Neste caso, será necessário que o paciente apresente exame de audiometria e, caso necessário, outros exames complementares já analisados pelo médico. </w:t>
      </w:r>
    </w:p>
    <w:p>
      <w:pPr>
        <w:pStyle w:val="Normal"/>
        <w:widowControl w:val="false"/>
        <w:suppressAutoHyphens w:val="true"/>
        <w:spacing w:before="0" w:after="0"/>
        <w:ind w:firstLine="709"/>
        <w:jc w:val="both"/>
        <w:rPr/>
      </w:pPr>
      <w:r>
        <w:rPr>
          <w:rFonts w:cs="LiberationSerif" w:ascii="Times New Roman" w:hAnsi="Times New Roman"/>
          <w:sz w:val="24"/>
          <w:szCs w:val="24"/>
        </w:rPr>
        <w:t>- Será de inteira responsabilidade da empresa vencedora, sem onerar custos adicionais ao valor da contratação fornecer audiometria em campo livre, pós-adaptação fazendo este, parte do Programa de Monitoramento.</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Oferecer garantia mínima de 12 (doze) meses contra defeitos de fabricação.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Realizar retornos obrigatórios no primeiro ano de adaptação (mínimo 6 retornos); </w:t>
      </w:r>
    </w:p>
    <w:p>
      <w:pPr>
        <w:pStyle w:val="Normal"/>
        <w:widowControl w:val="false"/>
        <w:suppressAutoHyphens w:val="true"/>
        <w:spacing w:before="0" w:after="0"/>
        <w:ind w:firstLine="709"/>
        <w:jc w:val="both"/>
        <w:rPr/>
      </w:pPr>
      <w:r>
        <w:rPr>
          <w:rFonts w:cs="LiberationSerif" w:ascii="Times New Roman" w:hAnsi="Times New Roman"/>
          <w:sz w:val="24"/>
          <w:szCs w:val="24"/>
        </w:rPr>
        <w:t>- Quando utilizar molde, garantir sua troca gratuita;</w:t>
      </w:r>
    </w:p>
    <w:p>
      <w:pPr>
        <w:pStyle w:val="Normal"/>
        <w:widowControl w:val="false"/>
        <w:suppressAutoHyphens w:val="true"/>
        <w:spacing w:lineRule="auto" w:line="240" w:before="0" w:after="0"/>
        <w:ind w:firstLine="709"/>
        <w:jc w:val="both"/>
        <w:rPr/>
      </w:pPr>
      <w:r>
        <w:rPr>
          <w:rFonts w:cs="LiberationSerif" w:ascii="Times New Roman" w:hAnsi="Times New Roman"/>
          <w:sz w:val="24"/>
          <w:szCs w:val="24"/>
        </w:rPr>
        <w:t>-  RECEPTOR (quando houver) deverá ter garantia mínima de 06 (seis) meses e posteriormente será por conta do usuário.</w:t>
      </w:r>
    </w:p>
    <w:p>
      <w:pPr>
        <w:pStyle w:val="Normal"/>
        <w:widowControl w:val="false"/>
        <w:suppressAutoHyphens w:val="true"/>
        <w:spacing w:lineRule="auto" w:line="240" w:before="0" w:after="0"/>
        <w:ind w:firstLine="709"/>
        <w:jc w:val="both"/>
        <w:rPr>
          <w:rFonts w:ascii="Times New Roman" w:hAnsi="Times New Roman" w:cs="LiberationSerif"/>
          <w:sz w:val="24"/>
          <w:szCs w:val="24"/>
        </w:rPr>
      </w:pPr>
      <w:r>
        <w:rPr>
          <w:rFonts w:cs="LiberationSerif" w:ascii="Times New Roman" w:hAnsi="Times New Roman"/>
          <w:sz w:val="24"/>
          <w:szCs w:val="24"/>
        </w:rPr>
      </w:r>
    </w:p>
    <w:p>
      <w:pPr>
        <w:pStyle w:val="Normal"/>
        <w:widowControl w:val="false"/>
        <w:suppressAutoHyphens w:val="true"/>
        <w:spacing w:before="0" w:after="0"/>
        <w:ind w:firstLine="709"/>
        <w:jc w:val="both"/>
        <w:rPr/>
      </w:pPr>
      <w:r>
        <w:rPr>
          <w:rFonts w:cs="LiberationSerif" w:ascii="Times New Roman" w:hAnsi="Times New Roman"/>
          <w:b/>
          <w:sz w:val="24"/>
          <w:szCs w:val="24"/>
        </w:rPr>
        <w:t>ORIENTAÇÕES GERAIS</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ato da entrega, cada aparelho deverá estar acompanhado de 06 (seis) pilhas compatíveis com o AASI adquirido e seu respectivo manual e certificado de garantia, escritos em português e fornecidos pelo fabricante. </w:t>
      </w:r>
    </w:p>
    <w:p>
      <w:pPr>
        <w:pStyle w:val="Normal"/>
        <w:widowControl w:val="false"/>
        <w:suppressAutoHyphens w:val="true"/>
        <w:spacing w:before="0" w:after="0"/>
        <w:ind w:firstLine="709"/>
        <w:jc w:val="both"/>
        <w:rPr/>
      </w:pPr>
      <w:r>
        <w:rPr>
          <w:rFonts w:cs="LiberationSerif" w:ascii="Times New Roman" w:hAnsi="Times New Roman"/>
          <w:sz w:val="24"/>
          <w:szCs w:val="24"/>
        </w:rPr>
        <w:t>- Para efeito de análise, os proponentes deverão enviar catálogo contendo todas as informações técnicas detalhadas dos aparelhos.</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Mencionar na proposta a marca e o número de registro junto ao Ministério da Saúde de todos os itens ofertados, os quais deverão estar com o registro válido, no sítio da Anvisa, na data de abertura da sessão de recebimento das propostas. </w:t>
      </w:r>
    </w:p>
    <w:p>
      <w:pPr>
        <w:pStyle w:val="Normal"/>
        <w:widowControl w:val="false"/>
        <w:suppressAutoHyphens w:val="true"/>
        <w:spacing w:before="0" w:after="0"/>
        <w:ind w:firstLine="709"/>
        <w:jc w:val="both"/>
        <w:rPr/>
      </w:pPr>
      <w:r>
        <w:rPr>
          <w:rFonts w:cs="LiberationSerif" w:ascii="Times New Roman" w:hAnsi="Times New Roman"/>
          <w:sz w:val="24"/>
          <w:szCs w:val="24"/>
        </w:rPr>
        <w:t xml:space="preserve">- No valor contratado deverão estar inclusos todos os custos com impostos, moldes, pilhas, limpeza, revisões, transporte e embalagens. </w:t>
      </w:r>
    </w:p>
    <w:p>
      <w:pPr>
        <w:pStyle w:val="Normal"/>
        <w:widowControl w:val="false"/>
        <w:tabs>
          <w:tab w:val="left" w:pos="851"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bCs/>
          <w:sz w:val="24"/>
          <w:szCs w:val="24"/>
        </w:rPr>
        <w:t>- Apresentar licença para funcionamento expedido pela Vigilância Sanitária do Estado ou município onde estiver instalado (original ou cópia autenticada).</w:t>
      </w:r>
    </w:p>
    <w:p>
      <w:pPr>
        <w:pStyle w:val="Normal"/>
        <w:widowControl w:val="false"/>
        <w:tabs>
          <w:tab w:val="left" w:pos="709"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bCs/>
          <w:sz w:val="24"/>
          <w:szCs w:val="24"/>
        </w:rPr>
        <w:t>- Apresentar documento informando o (os) fonoaudiólogo (s)  responsável técnica, endereço e telefone, registrada no Conselho de classe (Conselho Regional de Fonoaudiologia- CRF</w:t>
      </w:r>
      <w:r>
        <w:rPr>
          <w:rFonts w:cs="LiberationSerif" w:ascii="Times New Roman" w:hAnsi="Times New Roman"/>
          <w:bCs/>
          <w:sz w:val="24"/>
          <w:szCs w:val="24"/>
          <w:vertAlign w:val="superscript"/>
        </w:rPr>
        <w:t>a</w:t>
      </w:r>
      <w:r>
        <w:rPr>
          <w:rFonts w:cs="LiberationSerif" w:ascii="Times New Roman" w:hAnsi="Times New Roman"/>
          <w:bCs/>
          <w:sz w:val="24"/>
          <w:szCs w:val="24"/>
        </w:rPr>
        <w:t>), que realizará a adaptação dos aparelhos ora licitados.</w:t>
      </w:r>
    </w:p>
    <w:p>
      <w:pPr>
        <w:pStyle w:val="Normal"/>
        <w:widowControl w:val="false"/>
        <w:tabs>
          <w:tab w:val="left" w:pos="851" w:leader="none"/>
          <w:tab w:val="left" w:pos="1276" w:leader="none"/>
          <w:tab w:val="left" w:pos="1440" w:leader="none"/>
        </w:tabs>
        <w:suppressAutoHyphens w:val="true"/>
        <w:snapToGrid w:val="false"/>
        <w:spacing w:before="0" w:after="0"/>
        <w:ind w:firstLine="709"/>
        <w:jc w:val="both"/>
        <w:rPr/>
      </w:pPr>
      <w:r>
        <w:rPr>
          <w:rFonts w:cs="LiberationSerif" w:ascii="Times New Roman" w:hAnsi="Times New Roman"/>
          <w:sz w:val="24"/>
          <w:szCs w:val="24"/>
        </w:rPr>
        <w:t>- Apresentar documento informando o nome, endereço, telefone da assistência técnica e/ou subsidiária, localizado no município de Porto Velho, que realizará eventual manutenção nos equipamentos. Caso a empresa não esteja nesta localidade será necessário arcar com todos os custos de transporte, hospedagem e diária tanto para o paciente quanto para o seu acompanhante de forma PERMANENTE.</w:t>
      </w:r>
    </w:p>
    <w:p>
      <w:pPr>
        <w:pStyle w:val="Normal"/>
        <w:widowControl w:val="false"/>
        <w:tabs>
          <w:tab w:val="left" w:pos="851" w:leader="none"/>
          <w:tab w:val="left" w:pos="1276" w:leader="none"/>
          <w:tab w:val="left" w:pos="1440" w:leader="none"/>
        </w:tabs>
        <w:suppressAutoHyphens w:val="true"/>
        <w:snapToGrid w:val="false"/>
        <w:spacing w:lineRule="auto" w:line="240" w:before="0" w:after="0"/>
        <w:ind w:firstLine="709"/>
        <w:jc w:val="both"/>
        <w:rPr/>
      </w:pPr>
      <w:r>
        <w:rPr>
          <w:rFonts w:cs="LiberationSerif" w:ascii="Times New Roman" w:hAnsi="Times New Roman"/>
          <w:sz w:val="24"/>
          <w:szCs w:val="24"/>
        </w:rPr>
        <w:t xml:space="preserve">- </w:t>
      </w:r>
      <w:r>
        <w:rPr>
          <w:rFonts w:cs="LiberationSerif" w:ascii="Times New Roman" w:hAnsi="Times New Roman"/>
          <w:b/>
          <w:sz w:val="24"/>
          <w:szCs w:val="24"/>
        </w:rPr>
        <w:t xml:space="preserve">As empresas vencedoras deverão estar situadas na região de Porto Velho, pelos seguintes motivos: </w:t>
      </w:r>
      <w:r>
        <w:rPr>
          <w:rFonts w:cs="LiberationSerif" w:ascii="Times New Roman" w:hAnsi="Times New Roman"/>
          <w:sz w:val="24"/>
          <w:szCs w:val="24"/>
        </w:rPr>
        <w:t>facilidade ao acesso para a confecção dos moldes; realização de audiometria, caso necessário; aferição do aparelho pós-adaptação; retornos constantes para limpeza e manutenção dos aparelhos. Vale ressaltar que a</w:t>
      </w:r>
      <w:bookmarkStart w:id="7" w:name="_GoBack1"/>
      <w:bookmarkEnd w:id="7"/>
      <w:r>
        <w:rPr>
          <w:rFonts w:cs="LiberationSerif" w:ascii="Times New Roman" w:hAnsi="Times New Roman"/>
          <w:sz w:val="24"/>
          <w:szCs w:val="24"/>
        </w:rPr>
        <w:t xml:space="preserve"> empresa não terá responsabilidade com tais custos caso o paciente que se mude do município de Porto Velho.</w:t>
      </w:r>
    </w:p>
    <w:p>
      <w:pPr>
        <w:pStyle w:val="Normal"/>
        <w:spacing w:lineRule="auto" w:line="240" w:before="0" w:after="0"/>
        <w:ind w:firstLine="709"/>
        <w:jc w:val="both"/>
        <w:rPr>
          <w:rFonts w:ascii="Times New Roman" w:hAnsi="Times New Roman"/>
          <w:sz w:val="24"/>
          <w:szCs w:val="24"/>
        </w:rPr>
      </w:pPr>
      <w:r>
        <w:rPr>
          <w:rFonts w:ascii="Times New Roman" w:hAnsi="Times New Roman"/>
          <w:sz w:val="24"/>
          <w:szCs w:val="24"/>
        </w:rPr>
      </w:r>
    </w:p>
    <w:p>
      <w:pPr>
        <w:pStyle w:val="Ttulo51"/>
        <w:numPr>
          <w:ilvl w:val="0"/>
          <w:numId w:val="7"/>
        </w:numPr>
        <w:spacing w:beforeAutospacing="0" w:before="0" w:afterAutospacing="0" w:after="0"/>
        <w:jc w:val="both"/>
        <w:rPr/>
      </w:pPr>
      <w:r>
        <w:rPr>
          <w:sz w:val="24"/>
          <w:szCs w:val="24"/>
        </w:rPr>
        <w:t>Levantamento de Mercado</w:t>
      </w:r>
    </w:p>
    <w:p>
      <w:pPr>
        <w:pStyle w:val="Normal"/>
        <w:spacing w:lineRule="auto" w:line="240" w:before="0" w:after="0"/>
        <w:ind w:firstLine="709"/>
        <w:jc w:val="both"/>
        <w:rPr>
          <w:rFonts w:cs="LiberationSerif"/>
        </w:rPr>
      </w:pPr>
      <w:r>
        <w:rPr>
          <w:rFonts w:cs="LiberationSerif"/>
        </w:rPr>
      </w:r>
    </w:p>
    <w:p>
      <w:pPr>
        <w:pStyle w:val="Normal"/>
        <w:spacing w:lineRule="auto" w:line="240" w:before="0" w:after="0"/>
        <w:ind w:firstLine="709"/>
        <w:jc w:val="both"/>
        <w:rPr/>
      </w:pPr>
      <w:r>
        <w:rPr>
          <w:rFonts w:cs="LiberationSerif" w:ascii="Times New Roman" w:hAnsi="Times New Roman"/>
          <w:sz w:val="24"/>
          <w:szCs w:val="24"/>
        </w:rPr>
        <w:t>Contratações similares feitas por outros órgãos e entidades, com objetivo de identificar a existência de novas metodologias, tecnologias ou inovações que melhor atendam às necessidades da administração permitiu constatar que a</w:t>
      </w:r>
      <w:r>
        <w:rPr>
          <w:rStyle w:val="Fontepargpadro1"/>
          <w:rFonts w:cs="LiberationSerif" w:ascii="Times New Roman" w:hAnsi="Times New Roman"/>
          <w:sz w:val="24"/>
          <w:szCs w:val="24"/>
        </w:rPr>
        <w:t>quisição de Órteses Auditivas OPME</w:t>
      </w:r>
      <w:r>
        <w:rPr>
          <w:rFonts w:cs="LiberationSerif" w:ascii="Times New Roman" w:hAnsi="Times New Roman"/>
          <w:sz w:val="24"/>
          <w:szCs w:val="24"/>
        </w:rPr>
        <w:t>.</w:t>
      </w:r>
    </w:p>
    <w:p>
      <w:pPr>
        <w:pStyle w:val="Normal"/>
        <w:spacing w:lineRule="auto" w:line="240" w:before="0" w:after="0"/>
        <w:ind w:firstLine="709"/>
        <w:jc w:val="both"/>
        <w:rPr/>
      </w:pPr>
      <w:r>
        <w:rPr>
          <w:rStyle w:val="Fontepargpadro1"/>
          <w:rFonts w:cs="LiberationSerif" w:ascii="Times New Roman" w:hAnsi="Times New Roman"/>
          <w:sz w:val="24"/>
          <w:szCs w:val="24"/>
        </w:rPr>
        <w:t>A solução de mercado que atende ao requisito especificado é apresentada no quadro a seguir:</w:t>
        <w:tab/>
      </w:r>
    </w:p>
    <w:p>
      <w:pPr>
        <w:pStyle w:val="Normal"/>
        <w:spacing w:lineRule="auto" w:line="240" w:before="0" w:after="0"/>
        <w:ind w:firstLine="709"/>
        <w:jc w:val="both"/>
        <w:rPr/>
      </w:pPr>
      <w:r>
        <w:rPr/>
      </w:r>
    </w:p>
    <w:tbl>
      <w:tblPr>
        <w:tblW w:w="9555" w:type="dxa"/>
        <w:jc w:val="left"/>
        <w:tblInd w:w="-142"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top w:w="0" w:type="dxa"/>
          <w:left w:w="-7" w:type="dxa"/>
          <w:bottom w:w="0" w:type="dxa"/>
          <w:right w:w="108" w:type="dxa"/>
        </w:tblCellMar>
        <w:tblLook w:val="04a0"/>
      </w:tblPr>
      <w:tblGrid>
        <w:gridCol w:w="614"/>
        <w:gridCol w:w="4297"/>
        <w:gridCol w:w="4644"/>
      </w:tblGrid>
      <w:tr>
        <w:trPr>
          <w:trHeight w:val="641" w:hRule="atLeast"/>
        </w:trPr>
        <w:tc>
          <w:tcPr>
            <w:tcW w:w="6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ORD</w:t>
            </w:r>
          </w:p>
        </w:tc>
        <w:tc>
          <w:tcPr>
            <w:tcW w:w="429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DESCRIÇÃO</w:t>
            </w:r>
          </w:p>
        </w:tc>
        <w:tc>
          <w:tcPr>
            <w:tcW w:w="464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OBSERVAÇÕES</w:t>
            </w:r>
          </w:p>
        </w:tc>
      </w:tr>
      <w:tr>
        <w:trPr/>
        <w:tc>
          <w:tcPr>
            <w:tcW w:w="61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999999" w:val="clear"/>
            <w:tcMar>
              <w:left w:w="-7" w:type="dxa"/>
            </w:tcMar>
            <w:vAlign w:val="center"/>
          </w:tcPr>
          <w:p>
            <w:pPr>
              <w:pStyle w:val="Normal"/>
              <w:spacing w:lineRule="auto" w:line="288" w:beforeAutospacing="1" w:afterAutospacing="1"/>
              <w:jc w:val="both"/>
              <w:rPr/>
            </w:pPr>
            <w:r>
              <w:rPr>
                <w:rFonts w:eastAsia="Times New Roman" w:cs="Times New Roman" w:ascii="Times New Roman" w:hAnsi="Times New Roman"/>
                <w:b/>
                <w:bCs/>
                <w:color w:val="000000"/>
                <w:sz w:val="20"/>
                <w:szCs w:val="20"/>
                <w:lang w:eastAsia="pt-BR"/>
              </w:rPr>
              <w:t>01</w:t>
            </w:r>
          </w:p>
        </w:tc>
        <w:tc>
          <w:tcPr>
            <w:tcW w:w="4297"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FFFFFF" w:val="clear"/>
            <w:tcMar>
              <w:left w:w="-7" w:type="dxa"/>
            </w:tcMar>
            <w:vAlign w:val="center"/>
          </w:tcPr>
          <w:p>
            <w:pPr>
              <w:pStyle w:val="Normal"/>
              <w:widowControl w:val="false"/>
              <w:spacing w:lineRule="auto" w:line="240" w:beforeAutospacing="1" w:afterAutospacing="1"/>
              <w:ind w:left="57" w:hanging="0"/>
              <w:jc w:val="both"/>
              <w:rPr/>
            </w:pPr>
            <w:r>
              <w:rPr>
                <w:rStyle w:val="Fontepargpadro1"/>
                <w:rFonts w:eastAsia="Times New Roman" w:cs="Times New Roman" w:ascii="Times New Roman" w:hAnsi="Times New Roman"/>
                <w:color w:val="000000"/>
                <w:sz w:val="20"/>
                <w:szCs w:val="20"/>
                <w:lang w:eastAsia="pt-BR"/>
              </w:rPr>
              <w:t>Aquisição de Órteses Auditivas OPME</w:t>
            </w:r>
          </w:p>
        </w:tc>
        <w:tc>
          <w:tcPr>
            <w:tcW w:w="4644" w:type="dxa"/>
            <w:tcBorders>
              <w:top w:val="single" w:sz="6" w:space="0" w:color="000001"/>
              <w:left w:val="single" w:sz="6" w:space="0" w:color="000001"/>
              <w:bottom w:val="single" w:sz="6" w:space="0" w:color="000001"/>
              <w:right w:val="single" w:sz="6" w:space="0" w:color="000001"/>
              <w:insideH w:val="single" w:sz="6" w:space="0" w:color="000001"/>
              <w:insideV w:val="single" w:sz="6" w:space="0" w:color="000001"/>
            </w:tcBorders>
            <w:shd w:color="auto" w:fill="FFFFFF" w:val="clear"/>
            <w:tcMar>
              <w:left w:w="-7" w:type="dxa"/>
            </w:tcMar>
            <w:vAlign w:val="center"/>
          </w:tcPr>
          <w:p>
            <w:pPr>
              <w:pStyle w:val="Normal"/>
              <w:spacing w:lineRule="auto" w:line="288" w:beforeAutospacing="1" w:afterAutospacing="1"/>
              <w:ind w:left="57" w:hanging="0"/>
              <w:jc w:val="both"/>
              <w:rPr/>
            </w:pPr>
            <w:r>
              <w:rPr>
                <w:rFonts w:eastAsia="Times New Roman" w:cs="Times New Roman" w:ascii="Times New Roman" w:hAnsi="Times New Roman"/>
                <w:color w:val="000000"/>
                <w:sz w:val="20"/>
                <w:szCs w:val="20"/>
                <w:lang w:eastAsia="pt-BR"/>
              </w:rPr>
              <w:t>Solução completa das compras somente por meio de Dispensa Eletrônico.</w:t>
            </w:r>
          </w:p>
        </w:tc>
      </w:tr>
    </w:tbl>
    <w:p>
      <w:pPr>
        <w:pStyle w:val="Normal"/>
        <w:spacing w:lineRule="auto" w:line="240" w:before="0" w:after="0"/>
        <w:ind w:firstLine="709"/>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color w:val="000000"/>
          <w:sz w:val="24"/>
          <w:szCs w:val="24"/>
        </w:rPr>
        <w:t>Tem-se como parâmetro realizados pelo Hospital Militar de Área de Brasília  (UG 160088 - Pregão 08/2020) e Hospital Naval de Brasília ( UG 787700 – Pregão 13/2020), todos utilizando a aquisição de Órtese Auditiva por meio de Pregão SRP, além de outras 02 (duas) pesquisas realizadas junto a Fornecedores.</w:t>
      </w:r>
    </w:p>
    <w:p>
      <w:pPr>
        <w:pStyle w:val="Normal"/>
        <w:spacing w:lineRule="auto" w:line="240" w:before="0" w:after="0"/>
        <w:ind w:firstLine="709"/>
        <w:jc w:val="both"/>
        <w:rPr>
          <w:sz w:val="24"/>
          <w:szCs w:val="24"/>
        </w:rPr>
      </w:pPr>
      <w:r>
        <w:rPr>
          <w:sz w:val="24"/>
          <w:szCs w:val="24"/>
        </w:rPr>
      </w:r>
    </w:p>
    <w:p>
      <w:pPr>
        <w:pStyle w:val="Normal"/>
        <w:spacing w:lineRule="auto" w:line="240" w:before="0" w:after="0"/>
        <w:ind w:firstLine="709"/>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Descrição da solução como um todo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Aquisição </w:t>
      </w:r>
      <w:r>
        <w:rPr>
          <w:rStyle w:val="Fontepargpadro1"/>
          <w:rFonts w:cs="LiberationSerif" w:ascii="Times New Roman" w:hAnsi="Times New Roman"/>
          <w:sz w:val="24"/>
          <w:szCs w:val="24"/>
        </w:rPr>
        <w:t>de Órteses Auditivas OPME</w:t>
      </w:r>
      <w:r>
        <w:rPr>
          <w:rFonts w:cs="LiberationSerif" w:ascii="Times New Roman" w:hAnsi="Times New Roman"/>
          <w:sz w:val="24"/>
          <w:szCs w:val="24"/>
        </w:rPr>
        <w:t>, quantidades e exigências estabelecidas.</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Estimativa das Quantidades a serem Contratadas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O material requisitado é destinado a atender as necessidades dos 4 pacientes do HGUPV.</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Estimativa do Valor da Contratação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Conforme previsto no </w:t>
      </w:r>
      <w:r>
        <w:rPr>
          <w:rFonts w:cs="Times New Roman" w:ascii="Times New Roman" w:hAnsi="Times New Roman"/>
          <w:sz w:val="24"/>
          <w:szCs w:val="24"/>
        </w:rPr>
        <w:t>Art. 5º da IN 73, de 05 de Agosto de 2020</w:t>
      </w:r>
      <w:r>
        <w:rPr>
          <w:rFonts w:cs="LiberationSerif" w:ascii="Times New Roman" w:hAnsi="Times New Roman"/>
          <w:sz w:val="24"/>
          <w:szCs w:val="24"/>
        </w:rPr>
        <w:t xml:space="preserve"> da Secretaria de Logística e Tecnologia da Informação do Ministério do Planejamento, Orçamento e Gestão, o parâmetro utilizado para complementar a pesquisa de preço foi a apresentados nas compras públicas homologadas no Sistema de Compras do Governo Federal – COMPRASNET, disponibilizado pelo Painel de Preços, além de pesquisas realizadas junto a fornecedores locais, face esta UG não lograr êxito nos demais parâmetros.</w:t>
      </w:r>
    </w:p>
    <w:p>
      <w:pPr>
        <w:pStyle w:val="Normal"/>
        <w:spacing w:lineRule="auto" w:line="240" w:before="0" w:after="0"/>
        <w:ind w:firstLine="709"/>
        <w:jc w:val="both"/>
        <w:rPr/>
      </w:pPr>
      <w:r>
        <w:rPr>
          <w:rFonts w:cs="LiberationSerif" w:ascii="Times New Roman" w:hAnsi="Times New Roman"/>
          <w:sz w:val="24"/>
          <w:szCs w:val="24"/>
        </w:rPr>
        <w:t>Para o presente objeto utilizou-se os incisos:</w:t>
      </w:r>
    </w:p>
    <w:p>
      <w:pPr>
        <w:pStyle w:val="Normal"/>
        <w:spacing w:lineRule="auto" w:line="240" w:before="0" w:after="0"/>
        <w:ind w:firstLine="709"/>
        <w:jc w:val="both"/>
        <w:rPr>
          <w:rFonts w:ascii="LiberationSerif" w:hAnsi="LiberationSerif" w:cs="LiberationSerif"/>
          <w:sz w:val="18"/>
          <w:szCs w:val="18"/>
        </w:rPr>
      </w:pPr>
      <w:r>
        <w:rPr>
          <w:rFonts w:cs="LiberationSerif" w:ascii="LiberationSerif" w:hAnsi="LiberationSerif"/>
          <w:sz w:val="18"/>
          <w:szCs w:val="18"/>
        </w:rPr>
      </w:r>
    </w:p>
    <w:p>
      <w:pPr>
        <w:pStyle w:val="Corpodetexto"/>
        <w:ind w:firstLine="851"/>
        <w:jc w:val="both"/>
        <w:rPr/>
      </w:pPr>
      <w:r>
        <w:rPr>
          <w:rFonts w:cs="Times New Roman" w:ascii="Times New Roman" w:hAnsi="Times New Roman"/>
          <w:sz w:val="24"/>
          <w:szCs w:val="24"/>
        </w:rPr>
        <w:t>II - contratações similares de outros entes públicos, em execução ou concluídos nos 180 (cento e oitenta) dias anteriores à data da pesquisa de preços;</w:t>
      </w:r>
    </w:p>
    <w:p>
      <w:pPr>
        <w:pStyle w:val="Corpodetexto"/>
        <w:ind w:firstLine="851"/>
        <w:jc w:val="both"/>
        <w:rPr/>
      </w:pPr>
      <w:r>
        <w:rPr>
          <w:rFonts w:cs="LiberationSerif" w:ascii="Times New Roman" w:hAnsi="Times New Roman"/>
          <w:sz w:val="24"/>
          <w:szCs w:val="24"/>
        </w:rPr>
        <w:t>IV - pesquisa direta com fornecedores, mediante solicitação formal de cotação, desde que os orçamentos considerados estejam compreendidos no intervalo de até 6 (seis) meses de antecedência da data de divulgação do instrumento convocatório.</w:t>
      </w:r>
    </w:p>
    <w:p>
      <w:pPr>
        <w:pStyle w:val="Ttulo51"/>
        <w:numPr>
          <w:ilvl w:val="0"/>
          <w:numId w:val="7"/>
        </w:numPr>
        <w:spacing w:beforeAutospacing="0" w:before="0" w:afterAutospacing="0" w:after="0"/>
        <w:jc w:val="both"/>
        <w:rPr/>
      </w:pPr>
      <w:r>
        <w:rPr>
          <w:sz w:val="24"/>
          <w:szCs w:val="24"/>
        </w:rPr>
        <w:t>Justificativa para o Parcelamento ou não da Solução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Em regra, conforme § 1º do art. 18 da Lei nº 14.133/21, o objeto deverá ser divididas em tantas parcelas quantas se comprovarem técnica e economicamente viáveis, procedendo-se à licitação com vistas ao melhor aproveitamento dos recursos disponíveis no mercado e à ampliação da competitividade sem perda da economia de escala (Súmula 247 do TCU).</w:t>
      </w:r>
    </w:p>
    <w:p>
      <w:pPr>
        <w:pStyle w:val="Normal"/>
        <w:spacing w:lineRule="auto" w:line="240" w:before="0" w:after="0"/>
        <w:ind w:firstLine="709"/>
        <w:jc w:val="both"/>
        <w:rPr/>
      </w:pPr>
      <w:r>
        <w:rPr>
          <w:rFonts w:cs="LiberationSerif" w:ascii="Times New Roman" w:hAnsi="Times New Roman"/>
          <w:sz w:val="24"/>
          <w:szCs w:val="24"/>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pPr>
        <w:pStyle w:val="Normal"/>
        <w:spacing w:lineRule="auto" w:line="240" w:before="0" w:after="0"/>
        <w:ind w:firstLine="709"/>
        <w:jc w:val="both"/>
        <w:rPr/>
      </w:pPr>
      <w:r>
        <w:rPr>
          <w:rFonts w:cs="LiberationSerif" w:ascii="Times New Roman" w:hAnsi="Times New Roman"/>
          <w:sz w:val="24"/>
          <w:szCs w:val="24"/>
        </w:rPr>
        <w:t>O disposto encontra-se aplicável na presente demanda, não sendo vislumbrado, no momento, motivações para a não adoção do parcelamento do objeto em itens.</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Contratações Correlatas e/ou Interdependentes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Não verifica-se contratações correlatas nem interdependentes para a viabilidade e contratação desta demanda.</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Alinhamento entre a Contratação e o Planejamento</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A presente contratação possui alinhamento com o planejamento estratégico do HGuPV, pois contribuirá para o desenvolvimento de sua missão: "Executar as atividades inerentes a Função Logística de Saúde, em benefício dos militares e seus dependentes, das Organizações Militares sediadas na área de jurisdição da 17ª Brigada de Infantaria de Selva, bem como da 12ª Região Militar e do Comando Militar da Amazônia, com foco na Segurança do Paciente e na Gestão Eficiente de Recursos". (PLANEJAMENTO ESTRATÉGICO HGuPV/2020)</w:t>
      </w:r>
    </w:p>
    <w:p>
      <w:pPr>
        <w:pStyle w:val="Normal"/>
        <w:spacing w:lineRule="auto" w:line="240" w:before="0" w:after="0"/>
        <w:ind w:firstLine="709"/>
        <w:jc w:val="both"/>
        <w:rPr/>
      </w:pPr>
      <w:r>
        <w:rPr>
          <w:rFonts w:cs="LiberationSerif" w:ascii="Times New Roman" w:hAnsi="Times New Roman"/>
          <w:sz w:val="24"/>
          <w:szCs w:val="24"/>
        </w:rPr>
        <w:t>Cabe destacar que o Objetivo Estratégico numero 03 é “Prover apoio logístico e estrutural para atender todas as necessidades do HGuPV”.</w:t>
      </w:r>
    </w:p>
    <w:p>
      <w:pPr>
        <w:pStyle w:val="Normal"/>
        <w:spacing w:lineRule="auto" w:line="240" w:before="0" w:after="0"/>
        <w:ind w:firstLine="709"/>
        <w:jc w:val="both"/>
        <w:rPr/>
      </w:pPr>
      <w:r>
        <w:rPr>
          <w:rFonts w:cs="LiberationSerif" w:ascii="Times New Roman" w:hAnsi="Times New Roman"/>
          <w:sz w:val="24"/>
          <w:szCs w:val="24"/>
        </w:rPr>
        <w:t>A política pública vinculada à contratação é a de assistência à saúde a família militar na área de abrangência da 17ª Brigada de Infantaria de Selva, que reside no estado de Rondônia, Acre e no município de Humaitá/AM.</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Resultados Pretendidos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 xml:space="preserve">Com a </w:t>
      </w:r>
      <w:r>
        <w:rPr>
          <w:rFonts w:cs="LiberationSerif" w:ascii="Times New Roman" w:hAnsi="Times New Roman"/>
          <w:color w:val="000000"/>
          <w:sz w:val="24"/>
          <w:szCs w:val="24"/>
        </w:rPr>
        <w:t>a</w:t>
      </w:r>
      <w:r>
        <w:rPr>
          <w:rStyle w:val="Fontepargpadro1"/>
          <w:rFonts w:cs="LiberationSerif" w:ascii="Times New Roman" w:hAnsi="Times New Roman"/>
          <w:sz w:val="24"/>
          <w:szCs w:val="24"/>
        </w:rPr>
        <w:t xml:space="preserve">quisição de Órteses Auditivas OPME </w:t>
      </w:r>
      <w:r>
        <w:rPr>
          <w:rFonts w:cs="LiberationSerif" w:ascii="Times New Roman" w:hAnsi="Times New Roman"/>
          <w:sz w:val="24"/>
          <w:szCs w:val="24"/>
        </w:rPr>
        <w:t>, espera-se a continuidade da prestação dos serviços aos usuários do HguPV.</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Providências a serem Adotadas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Não se vislumbra necessidades de tomada de providências de adequações para a solução ser contratada e o serviço prestado.</w:t>
      </w:r>
    </w:p>
    <w:p>
      <w:pPr>
        <w:pStyle w:val="Ttulo51"/>
        <w:spacing w:beforeAutospacing="0" w:before="0" w:afterAutospacing="0" w:after="0"/>
        <w:jc w:val="both"/>
        <w:rPr>
          <w:sz w:val="24"/>
          <w:szCs w:val="24"/>
        </w:rPr>
      </w:pPr>
      <w:r>
        <w:rPr>
          <w:sz w:val="24"/>
          <w:szCs w:val="24"/>
        </w:rPr>
      </w:r>
    </w:p>
    <w:p>
      <w:pPr>
        <w:pStyle w:val="Ttulo51"/>
        <w:numPr>
          <w:ilvl w:val="0"/>
          <w:numId w:val="7"/>
        </w:numPr>
        <w:spacing w:beforeAutospacing="0" w:before="0" w:afterAutospacing="0" w:after="0"/>
        <w:jc w:val="both"/>
        <w:rPr/>
      </w:pPr>
      <w:r>
        <w:rPr>
          <w:sz w:val="24"/>
          <w:szCs w:val="24"/>
        </w:rPr>
        <w:t>Possíveis Impactos Ambientais</w:t>
      </w:r>
    </w:p>
    <w:p>
      <w:pPr>
        <w:pStyle w:val="Ttulo51"/>
        <w:spacing w:beforeAutospacing="0" w:before="0" w:afterAutospacing="0" w:after="0"/>
        <w:ind w:left="720" w:hanging="0"/>
        <w:jc w:val="both"/>
        <w:rPr>
          <w:sz w:val="24"/>
          <w:szCs w:val="24"/>
        </w:rPr>
      </w:pPr>
      <w:r>
        <w:rPr>
          <w:sz w:val="24"/>
          <w:szCs w:val="24"/>
        </w:rPr>
      </w:r>
    </w:p>
    <w:p>
      <w:pPr>
        <w:pStyle w:val="Normal"/>
        <w:spacing w:lineRule="auto" w:line="240" w:before="0" w:after="0"/>
        <w:ind w:firstLine="709"/>
        <w:jc w:val="both"/>
        <w:rPr/>
      </w:pPr>
      <w:r>
        <w:rPr>
          <w:rFonts w:cs="LiberationSerif" w:ascii="Times New Roman" w:hAnsi="Times New Roman"/>
          <w:sz w:val="24"/>
          <w:szCs w:val="24"/>
        </w:rPr>
        <w:t>Destaca-se ainda que a maior parte dos produtos é comercializada em embalagens plásticas, o que pode significar o risco de contaminação ambiental, caso o descarte seja feito de forma inadequada. Assim, após o uso serão verificadas as orientações para o descarte correto constantes no rótulo, uma vez que esses materiais podem ser reciclados.</w:t>
      </w:r>
    </w:p>
    <w:p>
      <w:pPr>
        <w:pStyle w:val="Normal"/>
        <w:spacing w:lineRule="auto" w:line="240" w:before="0" w:after="0"/>
        <w:ind w:firstLine="709"/>
        <w:jc w:val="both"/>
        <w:rPr/>
      </w:pPr>
      <w:r>
        <w:rPr>
          <w:rFonts w:cs="LiberationSerif" w:ascii="Times New Roman" w:hAnsi="Times New Roman"/>
          <w:sz w:val="24"/>
          <w:szCs w:val="24"/>
        </w:rPr>
        <w:t xml:space="preserve">No caso de vencimento da validade do produto, o setor responsável pela guarda entrará em contato com o fabricante e verificará quais os procedimentos para logística reversa. </w:t>
      </w:r>
    </w:p>
    <w:p>
      <w:pPr>
        <w:pStyle w:val="Normal"/>
        <w:spacing w:lineRule="auto" w:line="240" w:before="0" w:after="0"/>
        <w:ind w:firstLine="709"/>
        <w:jc w:val="both"/>
        <w:rPr/>
      </w:pPr>
      <w:r>
        <w:rPr>
          <w:rFonts w:cs="LiberationSerif" w:ascii="Times New Roman" w:hAnsi="Times New Roman"/>
          <w:sz w:val="24"/>
          <w:szCs w:val="24"/>
        </w:rPr>
        <w:t>Dentre as recomendações voltadas para sustentabilidade ambiental, a presente licitação observará também os critérios elencados na Instrução Normativa n° 1, de 19 de janeiro de 2010, da Secretaria de Logística e Tecnologia da Informação do Ministério do Planejamento, Orçamento e Gestão:</w:t>
      </w:r>
    </w:p>
    <w:p>
      <w:pPr>
        <w:pStyle w:val="Normal"/>
        <w:spacing w:lineRule="auto" w:line="240" w:before="0" w:after="0"/>
        <w:ind w:firstLine="709"/>
        <w:jc w:val="both"/>
        <w:rPr/>
      </w:pPr>
      <w:r>
        <w:rPr>
          <w:rFonts w:cs="LiberationSerif" w:ascii="Times New Roman" w:hAnsi="Times New Roman"/>
          <w:sz w:val="24"/>
          <w:szCs w:val="24"/>
        </w:rPr>
        <w:t>Que as embalagens e produtos dos materiais no todo ou em parte, sejam utilizados produtos atóxico e biodegradável, conforme ABNT NBR – 15448-1 e 15448-2;</w:t>
      </w:r>
    </w:p>
    <w:p>
      <w:pPr>
        <w:pStyle w:val="Normal"/>
        <w:spacing w:lineRule="auto" w:line="240" w:before="0" w:after="0"/>
        <w:ind w:firstLine="709"/>
        <w:jc w:val="both"/>
        <w:rPr>
          <w:rFonts w:ascii="Times New Roman" w:hAnsi="Times New Roman"/>
          <w:sz w:val="24"/>
          <w:szCs w:val="24"/>
        </w:rPr>
      </w:pPr>
      <w:r>
        <w:rPr>
          <w:rFonts w:ascii="Times New Roman" w:hAnsi="Times New Roman"/>
          <w:sz w:val="24"/>
          <w:szCs w:val="24"/>
        </w:rPr>
      </w:r>
    </w:p>
    <w:p>
      <w:pPr>
        <w:pStyle w:val="ListParagraph"/>
        <w:numPr>
          <w:ilvl w:val="0"/>
          <w:numId w:val="7"/>
        </w:numPr>
        <w:spacing w:lineRule="auto" w:line="240" w:before="0" w:after="0"/>
        <w:contextualSpacing/>
        <w:jc w:val="both"/>
        <w:rPr/>
      </w:pPr>
      <w:r>
        <w:rPr>
          <w:rFonts w:ascii="Times New Roman" w:hAnsi="Times New Roman"/>
          <w:b/>
          <w:bCs/>
          <w:sz w:val="24"/>
          <w:szCs w:val="24"/>
        </w:rPr>
        <w:t xml:space="preserve">Declaração de Viabilidade </w:t>
      </w:r>
    </w:p>
    <w:p>
      <w:pPr>
        <w:pStyle w:val="ListParagraph"/>
        <w:numPr>
          <w:ilvl w:val="0"/>
          <w:numId w:val="2"/>
        </w:numPr>
        <w:spacing w:lineRule="auto" w:line="240" w:before="0" w:after="0"/>
        <w:contextualSpacing/>
        <w:jc w:val="both"/>
        <w:rPr/>
      </w:pPr>
      <w:r>
        <w:rPr>
          <w:rFonts w:ascii="Times New Roman" w:hAnsi="Times New Roman"/>
          <w:sz w:val="24"/>
          <w:szCs w:val="24"/>
        </w:rPr>
        <w:t xml:space="preserve">Esta equipe de planejamento declara viável esta contratação com base neste Estudo Técnico Preliminar, consoante o inciso XIII, art 7º da IN 40 de 22 de maio de 2020, da SEGES/ME. </w:t>
      </w:r>
    </w:p>
    <w:p>
      <w:pPr>
        <w:pStyle w:val="ListParagraph"/>
        <w:spacing w:lineRule="auto" w:line="240" w:before="0" w:after="0"/>
        <w:contextualSpacing/>
        <w:jc w:val="both"/>
        <w:rPr>
          <w:rFonts w:ascii="Times New Roman" w:hAnsi="Times New Roman"/>
          <w:b/>
          <w:b/>
          <w:bCs/>
          <w:sz w:val="24"/>
          <w:szCs w:val="24"/>
        </w:rPr>
      </w:pPr>
      <w:r>
        <w:rPr>
          <w:rFonts w:ascii="Times New Roman" w:hAnsi="Times New Roman"/>
          <w:b/>
          <w:bCs/>
          <w:sz w:val="24"/>
          <w:szCs w:val="24"/>
        </w:rPr>
      </w:r>
    </w:p>
    <w:p>
      <w:pPr>
        <w:pStyle w:val="ListParagraph"/>
        <w:numPr>
          <w:ilvl w:val="0"/>
          <w:numId w:val="7"/>
        </w:numPr>
        <w:spacing w:lineRule="auto" w:line="240" w:before="0" w:after="0"/>
        <w:contextualSpacing/>
        <w:jc w:val="both"/>
        <w:rPr/>
      </w:pPr>
      <w:r>
        <w:rPr>
          <w:rFonts w:ascii="Times New Roman" w:hAnsi="Times New Roman"/>
          <w:b/>
          <w:bCs/>
          <w:sz w:val="24"/>
          <w:szCs w:val="24"/>
        </w:rPr>
        <w:t>Responsáveis</w:t>
      </w:r>
    </w:p>
    <w:p>
      <w:pPr>
        <w:pStyle w:val="ListParagraph"/>
        <w:spacing w:lineRule="auto" w:line="240" w:before="0" w:after="0"/>
        <w:contextualSpacing/>
        <w:jc w:val="both"/>
        <w:rPr>
          <w:rFonts w:ascii="Times New Roman" w:hAnsi="Times New Roman"/>
          <w:b/>
          <w:b/>
          <w:bCs/>
          <w:sz w:val="24"/>
          <w:szCs w:val="24"/>
        </w:rPr>
      </w:pPr>
      <w:r>
        <w:rPr>
          <w:rFonts w:ascii="Times New Roman" w:hAnsi="Times New Roman"/>
          <w:b/>
          <w:bCs/>
          <w:sz w:val="24"/>
          <w:szCs w:val="24"/>
        </w:rPr>
      </w:r>
    </w:p>
    <w:p>
      <w:pPr>
        <w:pStyle w:val="ListParagraph"/>
        <w:spacing w:lineRule="auto" w:line="240" w:before="0" w:after="0"/>
        <w:ind w:left="1440" w:hanging="0"/>
        <w:contextualSpacing/>
        <w:jc w:val="both"/>
        <w:rPr>
          <w:rFonts w:ascii="Times New Roman" w:hAnsi="Times New Roman"/>
          <w:b/>
          <w:b/>
          <w:bCs/>
          <w:sz w:val="24"/>
          <w:szCs w:val="24"/>
        </w:rPr>
      </w:pPr>
      <w:r>
        <w:rPr>
          <w:rFonts w:ascii="Times New Roman" w:hAnsi="Times New Roman"/>
          <w:b/>
          <w:bCs/>
          <w:sz w:val="24"/>
          <w:szCs w:val="24"/>
        </w:rPr>
      </w:r>
    </w:p>
    <w:p>
      <w:pPr>
        <w:pStyle w:val="ListParagraph"/>
        <w:spacing w:lineRule="auto" w:line="240" w:before="0" w:after="0"/>
        <w:contextualSpacing/>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pPr>
      <w:r>
        <w:rPr>
          <w:rFonts w:ascii="Times New Roman" w:hAnsi="Times New Roman"/>
          <w:sz w:val="24"/>
          <w:szCs w:val="24"/>
        </w:rPr>
        <w:t xml:space="preserve">RENATO VINICIUS </w:t>
      </w:r>
      <w:r>
        <w:rPr>
          <w:rFonts w:ascii="Times New Roman" w:hAnsi="Times New Roman"/>
          <w:bCs/>
          <w:sz w:val="24"/>
          <w:szCs w:val="24"/>
        </w:rPr>
        <w:t>AGOSTINI - Maj</w:t>
      </w:r>
    </w:p>
    <w:p>
      <w:pPr>
        <w:pStyle w:val="ListParagraph"/>
        <w:spacing w:lineRule="auto" w:line="240" w:before="0" w:after="0"/>
        <w:ind w:left="773" w:hanging="0"/>
        <w:contextualSpacing/>
        <w:jc w:val="center"/>
        <w:rPr/>
      </w:pPr>
      <w:r>
        <w:rPr>
          <w:rFonts w:ascii="Times New Roman" w:hAnsi="Times New Roman"/>
          <w:sz w:val="24"/>
          <w:szCs w:val="24"/>
        </w:rPr>
        <w:t>Chefe da Seção de Farmácia do HGuPV</w:t>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pPr>
      <w:r>
        <w:rPr>
          <w:rFonts w:ascii="Times New Roman" w:hAnsi="Times New Roman"/>
          <w:sz w:val="24"/>
          <w:szCs w:val="24"/>
        </w:rPr>
        <w:t>ANA KAROLINA ZAMPRONIO BASSI – 1º Ten</w:t>
      </w:r>
    </w:p>
    <w:p>
      <w:pPr>
        <w:pStyle w:val="ListParagraph"/>
        <w:spacing w:lineRule="auto" w:line="240" w:before="0" w:after="0"/>
        <w:ind w:left="773" w:hanging="0"/>
        <w:contextualSpacing/>
        <w:jc w:val="center"/>
        <w:rPr/>
      </w:pPr>
      <w:r>
        <w:rPr>
          <w:rFonts w:ascii="Times New Roman" w:hAnsi="Times New Roman"/>
          <w:sz w:val="24"/>
          <w:szCs w:val="24"/>
        </w:rPr>
        <w:t xml:space="preserve">Fonoaudióloga </w:t>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pPr>
      <w:r>
        <w:rPr>
          <w:rFonts w:ascii="Times New Roman" w:hAnsi="Times New Roman"/>
          <w:sz w:val="24"/>
          <w:szCs w:val="24"/>
        </w:rPr>
        <w:t xml:space="preserve">SÉRGIO COSTA </w:t>
      </w:r>
      <w:r>
        <w:rPr>
          <w:rFonts w:ascii="Times New Roman" w:hAnsi="Times New Roman"/>
          <w:bCs/>
          <w:sz w:val="24"/>
          <w:szCs w:val="24"/>
        </w:rPr>
        <w:t>MANUSSAKIS - Asp</w:t>
      </w:r>
    </w:p>
    <w:p>
      <w:pPr>
        <w:pStyle w:val="ListParagraph"/>
        <w:spacing w:lineRule="auto" w:line="240" w:before="0" w:after="0"/>
        <w:ind w:left="773" w:hanging="0"/>
        <w:contextualSpacing/>
        <w:jc w:val="center"/>
        <w:rPr/>
      </w:pPr>
      <w:r>
        <w:rPr>
          <w:rFonts w:ascii="Times New Roman" w:hAnsi="Times New Roman"/>
          <w:sz w:val="24"/>
          <w:szCs w:val="24"/>
        </w:rPr>
        <w:t>Adjunto da Seção de Farmácia do HGuPV</w:t>
      </w:r>
    </w:p>
    <w:p>
      <w:pPr>
        <w:pStyle w:val="ListParagraph"/>
        <w:spacing w:lineRule="auto" w:line="240" w:before="0" w:after="0"/>
        <w:ind w:left="773" w:hanging="0"/>
        <w:contextualSpacing/>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both"/>
        <w:rPr>
          <w:rFonts w:ascii="Times New Roman" w:hAnsi="Times New Roman"/>
          <w:sz w:val="24"/>
          <w:szCs w:val="24"/>
        </w:rPr>
      </w:pPr>
      <w:r>
        <w:rPr>
          <w:rFonts w:ascii="Times New Roman" w:hAnsi="Times New Roman"/>
          <w:sz w:val="24"/>
          <w:szCs w:val="24"/>
        </w:rPr>
      </w:r>
    </w:p>
    <w:p>
      <w:pPr>
        <w:pStyle w:val="ListParagraph"/>
        <w:spacing w:lineRule="auto" w:line="240" w:before="0" w:after="0"/>
        <w:ind w:left="773" w:hanging="0"/>
        <w:contextualSpacing/>
        <w:jc w:val="center"/>
        <w:rPr/>
      </w:pPr>
      <w:r>
        <w:rPr>
          <w:rFonts w:ascii="Times New Roman" w:hAnsi="Times New Roman"/>
          <w:sz w:val="24"/>
          <w:szCs w:val="24"/>
        </w:rPr>
        <w:t xml:space="preserve">ÂNGELO GABRIEL </w:t>
      </w:r>
      <w:r>
        <w:rPr>
          <w:rFonts w:ascii="Times New Roman" w:hAnsi="Times New Roman"/>
          <w:bCs/>
          <w:sz w:val="24"/>
          <w:szCs w:val="24"/>
        </w:rPr>
        <w:t>FERREIRA</w:t>
      </w:r>
      <w:r>
        <w:rPr>
          <w:rFonts w:ascii="Times New Roman" w:hAnsi="Times New Roman"/>
          <w:sz w:val="24"/>
          <w:szCs w:val="24"/>
        </w:rPr>
        <w:t xml:space="preserve"> DE ASSIS</w:t>
      </w:r>
    </w:p>
    <w:p>
      <w:pPr>
        <w:pStyle w:val="ListParagraph"/>
        <w:spacing w:lineRule="auto" w:line="240" w:before="0" w:after="0"/>
        <w:ind w:left="773" w:hanging="0"/>
        <w:contextualSpacing/>
        <w:jc w:val="center"/>
        <w:rPr/>
      </w:pPr>
      <w:r>
        <w:rPr>
          <w:rFonts w:ascii="Times New Roman" w:hAnsi="Times New Roman"/>
          <w:sz w:val="24"/>
          <w:szCs w:val="24"/>
        </w:rPr>
        <w:t xml:space="preserve">Auxiliar da Seção de Aquisições, Licitações e Contratos </w:t>
      </w:r>
      <w:bookmarkStart w:id="8" w:name="__DdeLink__19600_1506671998"/>
      <w:bookmarkEnd w:id="8"/>
      <w:r>
        <w:rPr>
          <w:rFonts w:ascii="Times New Roman" w:hAnsi="Times New Roman"/>
          <w:sz w:val="24"/>
          <w:szCs w:val="24"/>
        </w:rPr>
        <w:t>do HGuPV</w:t>
      </w:r>
    </w:p>
    <w:p>
      <w:pPr>
        <w:pStyle w:val="ListParagraph"/>
        <w:spacing w:lineRule="auto" w:line="240" w:before="0" w:after="0"/>
        <w:ind w:left="773" w:hanging="0"/>
        <w:contextualSpacing/>
        <w:jc w:val="center"/>
        <w:rPr>
          <w:rFonts w:ascii="Times New Roman" w:hAnsi="Times New Roman"/>
          <w:sz w:val="24"/>
          <w:szCs w:val="24"/>
        </w:rPr>
      </w:pPr>
      <w:r>
        <w:rPr>
          <w:rFonts w:ascii="Times New Roman" w:hAnsi="Times New Roman"/>
          <w:sz w:val="24"/>
          <w:szCs w:val="24"/>
        </w:rPr>
      </w:r>
    </w:p>
    <w:p>
      <w:pPr>
        <w:pStyle w:val="ListParagraph"/>
        <w:tabs>
          <w:tab w:val="left" w:pos="1440" w:leader="none"/>
        </w:tabs>
        <w:snapToGrid w:val="false"/>
        <w:spacing w:lineRule="auto" w:line="240" w:before="0" w:after="0"/>
        <w:ind w:left="773" w:hanging="0"/>
        <w:contextualSpacing/>
        <w:jc w:val="both"/>
        <w:rPr/>
      </w:pPr>
      <w:r>
        <w:rPr/>
      </w:r>
    </w:p>
    <w:sectPr>
      <w:footerReference w:type="default" r:id="rId10"/>
      <w:type w:val="nextPage"/>
      <w:pgSz w:w="11906" w:h="16838"/>
      <w:pgMar w:left="1701" w:right="1134" w:header="0" w:top="1701" w:footer="709" w:bottom="1134"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LiberationSerif">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Fonts w:ascii="Arial" w:hAnsi="Arial"/>
      </w:rPr>
    </w:lvl>
    <w:lvl w:ilvl="2">
      <w:start w:val="1"/>
      <w:numFmt w:val="decimal"/>
      <w:lvlText w:val="%1.%2.%3"/>
      <w:lvlJc w:val="left"/>
      <w:pPr>
        <w:ind w:left="1854" w:hanging="720"/>
      </w:pPr>
      <w:rPr>
        <w:b/>
        <w:rFonts w:ascii="Arial" w:hAnsi="Arial"/>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decimal"/>
      <w:lvlText w:val="%1."/>
      <w:lvlJc w:val="left"/>
      <w:pPr>
        <w:ind w:left="360" w:hanging="360"/>
      </w:pPr>
      <w:rPr>
        <w:b/>
        <w:color w:val="00000A"/>
      </w:rPr>
    </w:lvl>
    <w:lvl w:ilvl="1">
      <w:start w:val="1"/>
      <w:numFmt w:val="decimal"/>
      <w:lvlText w:val="%1.%2."/>
      <w:lvlJc w:val="left"/>
      <w:pPr>
        <w:ind w:left="716" w:hanging="432"/>
      </w:pPr>
      <w:rPr>
        <w:dstrike w:val="false"/>
        <w:strike w:val="false"/>
        <w:i w:val="false"/>
        <w:b/>
        <w:color w:val="00000A"/>
      </w:rPr>
    </w:lvl>
    <w:lvl w:ilvl="2">
      <w:start w:val="1"/>
      <w:numFmt w:val="decimal"/>
      <w:lvlText w:val="%1.%2.%3."/>
      <w:lvlJc w:val="left"/>
      <w:pPr>
        <w:ind w:left="930" w:hanging="504"/>
      </w:pPr>
      <w:rPr>
        <w:i w:val="false"/>
        <w:b/>
        <w:color w:val="00000A"/>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Fonts w:ascii="Arial" w:hAnsi="Arial"/>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40"/>
  <w:mirrorMargins/>
  <w:defaultTabStop w:val="708"/>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pacing w:lineRule="auto" w:line="259"/>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Title" w:uiPriority="1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0"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d0e1a"/>
    <w:pPr>
      <w:widowControl/>
      <w:bidi w:val="0"/>
      <w:spacing w:lineRule="auto" w:line="240"/>
      <w:jc w:val="left"/>
    </w:pPr>
    <w:rPr>
      <w:rFonts w:ascii="Arial" w:hAnsi="Arial" w:eastAsia="Times New Roman" w:cs="Tahoma"/>
      <w:color w:val="00000A"/>
      <w:sz w:val="20"/>
      <w:szCs w:val="24"/>
      <w:lang w:val="pt-BR" w:eastAsia="pt-BR" w:bidi="ar-SA"/>
    </w:rPr>
  </w:style>
  <w:style w:type="paragraph" w:styleId="Ttulo1">
    <w:name w:val="Título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customStyle="1">
    <w:name w:val="ListLabel 1"/>
    <w:qFormat/>
    <w:rsid w:val="006e76bb"/>
    <w:rPr>
      <w:rFonts w:ascii="Arial" w:hAnsi="Arial"/>
      <w:b/>
    </w:rPr>
  </w:style>
  <w:style w:type="character" w:styleId="ListLabel2" w:customStyle="1">
    <w:name w:val="ListLabel 2"/>
    <w:qFormat/>
    <w:rsid w:val="006e76bb"/>
    <w:rPr>
      <w:rFonts w:ascii="Arial" w:hAnsi="Arial"/>
      <w:b/>
      <w:i w:val="false"/>
      <w:iCs/>
    </w:rPr>
  </w:style>
  <w:style w:type="character" w:styleId="ListLabel3" w:customStyle="1">
    <w:name w:val="ListLabel 3"/>
    <w:qFormat/>
    <w:rsid w:val="006e76bb"/>
    <w:rPr>
      <w:rFonts w:ascii="Arial" w:hAnsi="Arial" w:cs="Arial"/>
      <w:b/>
      <w:i w:val="false"/>
      <w:iCs/>
      <w:color w:val="00000A"/>
    </w:rPr>
  </w:style>
  <w:style w:type="character" w:styleId="ListLabel4" w:customStyle="1">
    <w:name w:val="ListLabel 4"/>
    <w:qFormat/>
    <w:rsid w:val="006e76bb"/>
    <w:rPr>
      <w:rFonts w:cs="Arial"/>
    </w:rPr>
  </w:style>
  <w:style w:type="character" w:styleId="ListLabel5" w:customStyle="1">
    <w:name w:val="ListLabel 5"/>
    <w:qFormat/>
    <w:rsid w:val="006e76bb"/>
    <w:rPr>
      <w:color w:val="00000A"/>
    </w:rPr>
  </w:style>
  <w:style w:type="character" w:styleId="ListLabel6" w:customStyle="1">
    <w:name w:val="ListLabel 6"/>
    <w:qFormat/>
    <w:rsid w:val="006e76bb"/>
    <w:rPr>
      <w:i w:val="false"/>
      <w:color w:val="000000"/>
    </w:rPr>
  </w:style>
  <w:style w:type="character" w:styleId="ListLabel7" w:customStyle="1">
    <w:name w:val="ListLabel 7"/>
    <w:qFormat/>
    <w:rsid w:val="006e76bb"/>
    <w:rPr>
      <w:b/>
      <w:i w:val="false"/>
      <w:strike w:val="false"/>
      <w:dstrike w:val="false"/>
    </w:rPr>
  </w:style>
  <w:style w:type="character" w:styleId="ListLabel8" w:customStyle="1">
    <w:name w:val="ListLabel 8"/>
    <w:qFormat/>
    <w:rsid w:val="006e76bb"/>
    <w:rPr>
      <w:b w:val="false"/>
      <w:strike w:val="false"/>
      <w:dstrike w:val="false"/>
    </w:rPr>
  </w:style>
  <w:style w:type="character" w:styleId="ListLabel9" w:customStyle="1">
    <w:name w:val="ListLabel 9"/>
    <w:qFormat/>
    <w:rsid w:val="006e76bb"/>
    <w:rPr>
      <w:i w:val="false"/>
      <w:strike w:val="false"/>
      <w:dstrike w:val="false"/>
    </w:rPr>
  </w:style>
  <w:style w:type="character" w:styleId="ListLabel10" w:customStyle="1">
    <w:name w:val="ListLabel 10"/>
    <w:qFormat/>
    <w:rsid w:val="006e76bb"/>
    <w:rPr>
      <w:rFonts w:ascii="Arial" w:hAnsi="Arial"/>
      <w:b/>
    </w:rPr>
  </w:style>
  <w:style w:type="character" w:styleId="ListLabel11" w:customStyle="1">
    <w:name w:val="ListLabel 11"/>
    <w:qFormat/>
    <w:rsid w:val="006e76bb"/>
    <w:rPr>
      <w:rFonts w:cs="Courier New"/>
    </w:rPr>
  </w:style>
  <w:style w:type="character" w:styleId="ListLabel12" w:customStyle="1">
    <w:name w:val="ListLabel 12"/>
    <w:qFormat/>
    <w:rsid w:val="006e76bb"/>
    <w:rPr>
      <w:rFonts w:cs="Arial"/>
      <w:b/>
    </w:rPr>
  </w:style>
  <w:style w:type="character" w:styleId="ListLabel13" w:customStyle="1">
    <w:name w:val="ListLabel 13"/>
    <w:qFormat/>
    <w:rsid w:val="006e76bb"/>
    <w:rPr>
      <w:b w:val="false"/>
      <w:i w:val="false"/>
      <w:iCs/>
      <w:color w:val="00000A"/>
    </w:rPr>
  </w:style>
  <w:style w:type="character" w:styleId="ListLabel14" w:customStyle="1">
    <w:name w:val="ListLabel 14"/>
    <w:qFormat/>
    <w:rsid w:val="006e76bb"/>
    <w:rPr>
      <w:rFonts w:ascii="Arial" w:hAnsi="Arial"/>
      <w:b/>
    </w:rPr>
  </w:style>
  <w:style w:type="character" w:styleId="ListLabel15" w:customStyle="1">
    <w:name w:val="ListLabel 15"/>
    <w:qFormat/>
    <w:rsid w:val="006e76bb"/>
    <w:rPr>
      <w:rFonts w:ascii="Arial" w:hAnsi="Arial"/>
      <w:b/>
      <w:i w:val="false"/>
      <w:iCs/>
    </w:rPr>
  </w:style>
  <w:style w:type="character" w:styleId="ListLabel16" w:customStyle="1">
    <w:name w:val="ListLabel 16"/>
    <w:qFormat/>
    <w:rsid w:val="006e76bb"/>
    <w:rPr>
      <w:rFonts w:ascii="Arial" w:hAnsi="Arial" w:cs="Arial"/>
      <w:b/>
      <w:i w:val="false"/>
      <w:iCs/>
      <w:color w:val="00000A"/>
    </w:rPr>
  </w:style>
  <w:style w:type="character" w:styleId="ListLabel17" w:customStyle="1">
    <w:name w:val="ListLabel 17"/>
    <w:qFormat/>
    <w:rsid w:val="006e76bb"/>
    <w:rPr>
      <w:b w:val="false"/>
      <w:i w:val="false"/>
      <w:iCs/>
      <w:color w:val="00000A"/>
    </w:rPr>
  </w:style>
  <w:style w:type="character" w:styleId="Nivel1Char" w:customStyle="1">
    <w:name w:val="Nivel1 Char"/>
    <w:basedOn w:val="Ttulo1Char"/>
    <w:link w:val="Nivel1"/>
    <w:qFormat/>
    <w:rsid w:val="009f4263"/>
    <w:rPr>
      <w:rFonts w:ascii="Arial" w:hAnsi="Arial" w:cs="Times New Roman"/>
      <w:b/>
      <w:color w:val="000000"/>
      <w:szCs w:val="20"/>
    </w:rPr>
  </w:style>
  <w:style w:type="character" w:styleId="Nivel2Char" w:customStyle="1">
    <w:name w:val="Nivel 2 Char"/>
    <w:basedOn w:val="DefaultParagraphFont"/>
    <w:link w:val="Nivel2"/>
    <w:qFormat/>
    <w:rsid w:val="009f4263"/>
    <w:rPr>
      <w:rFonts w:ascii="Ecofont_Spranq_eco_Sans" w:hAnsi="Ecofont_Spranq_eco_Sans" w:eastAsia="Arial Unicode MS" w:cs="Times New Roman"/>
      <w:color w:val="00000A"/>
      <w:szCs w:val="20"/>
      <w:lang w:eastAsia="pt-BR"/>
    </w:rPr>
  </w:style>
  <w:style w:type="character" w:styleId="ListLabel18" w:customStyle="1">
    <w:name w:val="ListLabel 18"/>
    <w:qFormat/>
    <w:rsid w:val="0066480e"/>
    <w:rPr>
      <w:rFonts w:ascii="Arial" w:hAnsi="Arial"/>
      <w:b/>
    </w:rPr>
  </w:style>
  <w:style w:type="character" w:styleId="ListLabel19" w:customStyle="1">
    <w:name w:val="ListLabel 19"/>
    <w:qFormat/>
    <w:rsid w:val="0066480e"/>
    <w:rPr>
      <w:rFonts w:ascii="Arial" w:hAnsi="Arial"/>
      <w:b/>
      <w:i w:val="false"/>
      <w:iCs/>
    </w:rPr>
  </w:style>
  <w:style w:type="character" w:styleId="ListLabel20" w:customStyle="1">
    <w:name w:val="ListLabel 20"/>
    <w:qFormat/>
    <w:rsid w:val="0066480e"/>
    <w:rPr>
      <w:rFonts w:cs="Arial"/>
      <w:b/>
      <w:i w:val="false"/>
      <w:iCs/>
      <w:color w:val="00000A"/>
    </w:rPr>
  </w:style>
  <w:style w:type="character" w:styleId="ListLabel21" w:customStyle="1">
    <w:name w:val="ListLabel 21"/>
    <w:qFormat/>
    <w:rsid w:val="0066480e"/>
    <w:rPr>
      <w:b w:val="false"/>
      <w:i w:val="false"/>
      <w:iCs/>
      <w:color w:val="00000A"/>
    </w:rPr>
  </w:style>
  <w:style w:type="character" w:styleId="ListLabel22" w:customStyle="1">
    <w:name w:val="ListLabel 22"/>
    <w:qFormat/>
    <w:rsid w:val="0066480e"/>
    <w:rPr>
      <w:b/>
      <w:color w:val="00000A"/>
    </w:rPr>
  </w:style>
  <w:style w:type="character" w:styleId="ListLabel23" w:customStyle="1">
    <w:name w:val="ListLabel 23"/>
    <w:qFormat/>
    <w:rsid w:val="0066480e"/>
    <w:rPr>
      <w:b/>
      <w:i w:val="false"/>
      <w:strike w:val="false"/>
      <w:dstrike w:val="false"/>
      <w:color w:val="00000A"/>
    </w:rPr>
  </w:style>
  <w:style w:type="character" w:styleId="ListLabel24" w:customStyle="1">
    <w:name w:val="ListLabel 24"/>
    <w:qFormat/>
    <w:rsid w:val="0066480e"/>
    <w:rPr>
      <w:b/>
      <w:i w:val="false"/>
      <w:color w:val="00000A"/>
    </w:rPr>
  </w:style>
  <w:style w:type="character" w:styleId="ListLabel25">
    <w:name w:val="ListLabel 25"/>
    <w:qFormat/>
    <w:rPr>
      <w:rFonts w:ascii="Arial" w:hAnsi="Arial"/>
      <w:b/>
    </w:rPr>
  </w:style>
  <w:style w:type="character" w:styleId="ListLabel26">
    <w:name w:val="ListLabel 26"/>
    <w:qFormat/>
    <w:rPr>
      <w:rFonts w:ascii="Arial" w:hAnsi="Arial"/>
      <w:b/>
      <w:i w:val="false"/>
      <w:iCs/>
    </w:rPr>
  </w:style>
  <w:style w:type="character" w:styleId="ListLabel27">
    <w:name w:val="ListLabel 27"/>
    <w:qFormat/>
    <w:rPr>
      <w:rFonts w:cs="Arial"/>
      <w:b/>
      <w:i w:val="false"/>
      <w:iCs/>
      <w:color w:val="00000A"/>
    </w:rPr>
  </w:style>
  <w:style w:type="character" w:styleId="ListLabel28">
    <w:name w:val="ListLabel 28"/>
    <w:qFormat/>
    <w:rPr>
      <w:b w:val="false"/>
      <w:i w:val="false"/>
      <w:iCs/>
      <w:color w:val="00000A"/>
    </w:rPr>
  </w:style>
  <w:style w:type="character" w:styleId="ListLabel29">
    <w:name w:val="ListLabel 29"/>
    <w:qFormat/>
    <w:rPr>
      <w:b/>
      <w:color w:val="00000A"/>
    </w:rPr>
  </w:style>
  <w:style w:type="character" w:styleId="ListLabel30">
    <w:name w:val="ListLabel 30"/>
    <w:qFormat/>
    <w:rPr>
      <w:b/>
      <w:i w:val="false"/>
      <w:strike w:val="false"/>
      <w:dstrike w:val="false"/>
      <w:color w:val="00000A"/>
    </w:rPr>
  </w:style>
  <w:style w:type="character" w:styleId="ListLabel31">
    <w:name w:val="ListLabel 31"/>
    <w:qFormat/>
    <w:rPr>
      <w:b/>
      <w:i w:val="false"/>
      <w:color w:val="00000A"/>
    </w:rPr>
  </w:style>
  <w:style w:type="character" w:styleId="Fontepargpadro1">
    <w:name w:val="Fonte parág. padrão1"/>
    <w:qFormat/>
    <w:rPr/>
  </w:style>
  <w:style w:type="character" w:styleId="ListLabel32">
    <w:name w:val="ListLabel 32"/>
    <w:qFormat/>
    <w:rPr>
      <w:rFonts w:ascii="Arial" w:hAnsi="Arial"/>
      <w:b/>
    </w:rPr>
  </w:style>
  <w:style w:type="character" w:styleId="ListLabel33">
    <w:name w:val="ListLabel 33"/>
    <w:qFormat/>
    <w:rPr>
      <w:rFonts w:ascii="Arial" w:hAnsi="Arial"/>
      <w:b/>
      <w:i w:val="false"/>
      <w:iCs/>
    </w:rPr>
  </w:style>
  <w:style w:type="character" w:styleId="ListLabel34">
    <w:name w:val="ListLabel 34"/>
    <w:qFormat/>
    <w:rPr>
      <w:rFonts w:cs="Arial"/>
      <w:b/>
      <w:i w:val="false"/>
      <w:iCs/>
      <w:color w:val="00000A"/>
    </w:rPr>
  </w:style>
  <w:style w:type="character" w:styleId="ListLabel35">
    <w:name w:val="ListLabel 35"/>
    <w:qFormat/>
    <w:rPr>
      <w:b w:val="false"/>
      <w:i w:val="false"/>
      <w:iCs/>
      <w:color w:val="00000A"/>
    </w:rPr>
  </w:style>
  <w:style w:type="character" w:styleId="ListLabel36">
    <w:name w:val="ListLabel 36"/>
    <w:qFormat/>
    <w:rPr>
      <w:b/>
      <w:color w:val="00000A"/>
    </w:rPr>
  </w:style>
  <w:style w:type="character" w:styleId="ListLabel37">
    <w:name w:val="ListLabel 37"/>
    <w:qFormat/>
    <w:rPr>
      <w:b/>
      <w:i w:val="false"/>
      <w:strike w:val="false"/>
      <w:dstrike w:val="false"/>
      <w:color w:val="00000A"/>
    </w:rPr>
  </w:style>
  <w:style w:type="character" w:styleId="ListLabel38">
    <w:name w:val="ListLabel 38"/>
    <w:qFormat/>
    <w:rPr>
      <w:b/>
      <w:i w:val="false"/>
      <w:color w:val="00000A"/>
    </w:rPr>
  </w:style>
  <w:style w:type="character" w:styleId="ListLabel39">
    <w:name w:val="ListLabel 39"/>
    <w:qFormat/>
    <w:rPr>
      <w:rFonts w:ascii="Arial" w:hAnsi="Arial"/>
      <w:b/>
    </w:rPr>
  </w:style>
  <w:style w:type="character" w:styleId="ListLabel40">
    <w:name w:val="ListLabel 40"/>
    <w:qFormat/>
    <w:rPr>
      <w:rFonts w:ascii="Arial" w:hAnsi="Arial"/>
      <w:b/>
      <w:i w:val="false"/>
      <w:iCs/>
    </w:rPr>
  </w:style>
  <w:style w:type="character" w:styleId="ListLabel41">
    <w:name w:val="ListLabel 41"/>
    <w:qFormat/>
    <w:rPr>
      <w:rFonts w:cs="Arial"/>
      <w:b/>
      <w:i w:val="false"/>
      <w:iCs/>
      <w:color w:val="00000A"/>
    </w:rPr>
  </w:style>
  <w:style w:type="character" w:styleId="ListLabel42">
    <w:name w:val="ListLabel 42"/>
    <w:qFormat/>
    <w:rPr>
      <w:b w:val="false"/>
      <w:i w:val="false"/>
      <w:iCs/>
      <w:color w:val="00000A"/>
    </w:rPr>
  </w:style>
  <w:style w:type="character" w:styleId="ListLabel43">
    <w:name w:val="ListLabel 43"/>
    <w:qFormat/>
    <w:rPr>
      <w:b/>
      <w:color w:val="00000A"/>
    </w:rPr>
  </w:style>
  <w:style w:type="character" w:styleId="ListLabel44">
    <w:name w:val="ListLabel 44"/>
    <w:qFormat/>
    <w:rPr>
      <w:b/>
      <w:i w:val="false"/>
      <w:strike w:val="false"/>
      <w:dstrike w:val="false"/>
      <w:color w:val="00000A"/>
    </w:rPr>
  </w:style>
  <w:style w:type="character" w:styleId="ListLabel45">
    <w:name w:val="ListLabel 45"/>
    <w:qFormat/>
    <w:rPr>
      <w:b/>
      <w:i w:val="false"/>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Corpo de texto"/>
    <w:basedOn w:val="Normal"/>
    <w:rsid w:val="006e76bb"/>
    <w:pPr>
      <w:spacing w:lineRule="auto" w:line="288" w:before="0" w:after="140"/>
    </w:pPr>
    <w:rPr/>
  </w:style>
  <w:style w:type="paragraph" w:styleId="Lista">
    <w:name w:val="Lista"/>
    <w:basedOn w:val="Corpodetexto"/>
    <w:rsid w:val="006e76bb"/>
    <w:pPr/>
    <w:rPr>
      <w:rFonts w:cs="Arial"/>
    </w:rPr>
  </w:style>
  <w:style w:type="paragraph" w:styleId="Legenda">
    <w:name w:val="Legenda"/>
    <w:basedOn w:val="Normal"/>
    <w:pPr>
      <w:suppressLineNumbers/>
      <w:spacing w:before="120" w:after="120"/>
    </w:pPr>
    <w:rPr>
      <w:rFonts w:cs="Arial"/>
      <w:i/>
      <w:iCs/>
      <w:sz w:val="24"/>
      <w:szCs w:val="24"/>
    </w:rPr>
  </w:style>
  <w:style w:type="paragraph" w:styleId="Ndice" w:customStyle="1">
    <w:name w:val="Índice"/>
    <w:basedOn w:val="Normal"/>
    <w:qFormat/>
    <w:rsid w:val="006e76bb"/>
    <w:pPr>
      <w:suppressLineNumbers/>
    </w:pPr>
    <w:rPr>
      <w:rFonts w:cs="Arial"/>
    </w:rPr>
  </w:style>
  <w:style w:type="paragraph" w:styleId="Ttulododocumento" w:customStyle="1">
    <w:name w:val="Título do documento"/>
    <w:basedOn w:val="Normal"/>
    <w:qFormat/>
    <w:rsid w:val="006e76bb"/>
    <w:pPr>
      <w:keepNext/>
      <w:spacing w:before="240" w:after="120"/>
    </w:pPr>
    <w:rPr>
      <w:rFonts w:ascii="Liberation Sans" w:hAnsi="Liberation Sans" w:eastAsia="Microsoft YaHei" w:cs="Arial"/>
      <w:sz w:val="28"/>
      <w:szCs w:val="28"/>
    </w:rPr>
  </w:style>
  <w:style w:type="paragraph" w:styleId="Caption">
    <w:name w:val="caption"/>
    <w:basedOn w:val="Normal"/>
    <w:qFormat/>
    <w:rsid w:val="006e76bb"/>
    <w:pPr>
      <w:suppressLineNumbers/>
      <w:suppressAutoHyphens w:val="true"/>
      <w:spacing w:before="120" w:after="120"/>
    </w:pPr>
    <w:rPr>
      <w:rFonts w:cs="Arial"/>
      <w:i/>
      <w:iCs/>
      <w:lang w:eastAsia="zh-CN"/>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link w:val="Nivel1Char"/>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link w:val="Nivel2Char"/>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Cabeçalho"/>
    <w:basedOn w:val="Normal"/>
    <w:link w:val="CabealhoChar"/>
    <w:uiPriority w:val="99"/>
    <w:unhideWhenUsed/>
    <w:rsid w:val="00805244"/>
    <w:pPr>
      <w:tabs>
        <w:tab w:val="center" w:pos="4252" w:leader="none"/>
        <w:tab w:val="right" w:pos="8504" w:leader="none"/>
      </w:tabs>
    </w:pPr>
    <w:rPr/>
  </w:style>
  <w:style w:type="paragraph" w:styleId="Rodap">
    <w:name w:val="Rodapé"/>
    <w:basedOn w:val="Normal"/>
    <w:link w:val="RodapChar"/>
    <w:uiPriority w:val="99"/>
    <w:unhideWhenUsed/>
    <w:rsid w:val="00805244"/>
    <w:pPr>
      <w:tabs>
        <w:tab w:val="center" w:pos="4252" w:leader="none"/>
        <w:tab w:val="right" w:pos="8504" w:leader="none"/>
      </w:tabs>
    </w:pPr>
    <w:rPr/>
  </w:style>
  <w:style w:type="paragraph" w:styleId="PargrafodaLista1" w:customStyle="1">
    <w:name w:val="Parágrafo da Lista1"/>
    <w:basedOn w:val="Normal"/>
    <w:qFormat/>
    <w:rsid w:val="009f4263"/>
    <w:pPr>
      <w:ind w:left="720" w:hanging="0"/>
    </w:pPr>
    <w:rPr>
      <w:rFonts w:ascii="Ecofont_Spranq_eco_Sans" w:hAnsi="Ecofont_Spranq_eco_Sans" w:cs="Ecofont_Spranq_eco_Sans"/>
      <w:sz w:val="24"/>
    </w:rPr>
  </w:style>
  <w:style w:type="paragraph" w:styleId="Western" w:customStyle="1">
    <w:name w:val="western"/>
    <w:basedOn w:val="Normal"/>
    <w:qFormat/>
    <w:rsid w:val="009f4263"/>
    <w:pPr>
      <w:spacing w:lineRule="auto" w:line="288" w:before="113" w:after="0"/>
      <w:ind w:left="799" w:hanging="0"/>
    </w:pPr>
    <w:rPr>
      <w:rFonts w:cs="Arial"/>
      <w:sz w:val="18"/>
      <w:szCs w:val="18"/>
    </w:rPr>
  </w:style>
  <w:style w:type="paragraph" w:styleId="Ttulo51">
    <w:name w:val="Título 51"/>
    <w:basedOn w:val="Normal"/>
    <w:qFormat/>
    <w:pPr>
      <w:spacing w:lineRule="auto" w:line="240" w:beforeAutospacing="1" w:afterAutospacing="1"/>
      <w:outlineLvl w:val="4"/>
    </w:pPr>
    <w:rPr>
      <w:rFonts w:ascii="Times New Roman" w:hAnsi="Times New Roman" w:eastAsia="Times New Roman" w:cs="Times New Roman"/>
      <w:b/>
      <w:bCs/>
      <w:sz w:val="20"/>
      <w:szCs w:val="20"/>
      <w:lang w:eastAsia="pt-BR"/>
    </w:rPr>
  </w:style>
  <w:style w:type="numbering" w:styleId="NoList" w:default="1">
    <w:name w:val="No List"/>
    <w:uiPriority w:val="99"/>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styleId="Tabelacomgrade">
    <w:name w:val="Table Grid"/>
    <w:basedOn w:val="Tabelanormal"/>
    <w:rsid w:val="002f5eff"/>
    <w:pPr>
      <w:spacing w:line="240" w:lineRule="auto"/>
    </w:pPr>
    <w:rPr>
      <w:rFonts w:eastAsiaTheme="minorEastAsia"/>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image" Target="media/image2.jpeg"/><Relationship Id="rId7" Type="http://schemas.openxmlformats.org/officeDocument/2006/relationships/hyperlink" Target="mailto:gasmed@hgupv.eb.mil.br" TargetMode="External"/><Relationship Id="rId8" Type="http://schemas.openxmlformats.org/officeDocument/2006/relationships/hyperlink" Target="mailto:gasmed@hgupv.eb.mil.br"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Application>LibreOffice/5.0.5.2$Windows_X86_64 LibreOffice_project/55b006a02d247b5f7215fc6ea0fde844b30035b3</Application>
  <Paragraphs>439</Paragraphs>
  <Company>Plataforma Computadores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language>pt-BR</dc:language>
  <cp:lastPrinted>2021-09-10T10:27:23Z</cp:lastPrinted>
  <dcterms:modified xsi:type="dcterms:W3CDTF">2021-09-10T10:32:23Z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Plataforma Computadores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