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numbering.xml" ContentType="application/vnd.openxmlformats-officedocument.wordprocessingml.numbering+xml"/>
  <Override PartName="/word/document.xml" ContentType="application/vnd.openxmlformats-officedocument.wordprocessingml.document.main+xml"/>
  <Override PartName="/word/footer1.xml" ContentType="application/vnd.openxmlformats-officedocument.wordprocessingml.footer+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Calibri Light" w:hAnsi="Calibri Light" w:eastAsia="Calibri" w:cs="Calibri"/>
          <w:b/>
          <w:b/>
          <w:sz w:val="24"/>
          <w:szCs w:val="24"/>
        </w:rPr>
      </w:pPr>
      <w:r>
        <w:rPr>
          <w:rFonts w:eastAsia="Calibri" w:cs="Calibri" w:ascii="Calibri Light" w:hAnsi="Calibri Light"/>
          <w:b/>
          <w:sz w:val="24"/>
          <w:szCs w:val="24"/>
        </w:rPr>
        <w:drawing>
          <wp:anchor behindDoc="0" distT="0" distB="0" distL="0" distR="0" simplePos="0" locked="0" layoutInCell="1" allowOverlap="1" relativeHeight="2">
            <wp:simplePos x="0" y="0"/>
            <wp:positionH relativeFrom="column">
              <wp:posOffset>2217420</wp:posOffset>
            </wp:positionH>
            <wp:positionV relativeFrom="paragraph">
              <wp:posOffset>635</wp:posOffset>
            </wp:positionV>
            <wp:extent cx="1325880" cy="1165860"/>
            <wp:effectExtent l="0" t="0" r="0" b="0"/>
            <wp:wrapSquare wrapText="bothSides"/>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1325880" cy="1165860"/>
                    </a:xfrm>
                    <a:prstGeom prst="rect">
                      <a:avLst/>
                    </a:prstGeom>
                  </pic:spPr>
                </pic:pic>
              </a:graphicData>
            </a:graphic>
          </wp:anchor>
        </w:drawing>
      </w:r>
    </w:p>
    <w:p>
      <w:pPr>
        <w:pStyle w:val="Normal"/>
        <w:jc w:val="center"/>
        <w:rPr>
          <w:rFonts w:ascii="Calibri Light" w:hAnsi="Calibri Light" w:eastAsia="Calibri" w:cs="Calibri"/>
          <w:b/>
          <w:b/>
          <w:sz w:val="24"/>
          <w:szCs w:val="24"/>
        </w:rPr>
      </w:pPr>
      <w:r>
        <w:rPr>
          <w:rFonts w:eastAsia="Calibri" w:cs="Calibri" w:ascii="Calibri Light" w:hAnsi="Calibri Light"/>
          <w:b/>
          <w:sz w:val="24"/>
          <w:szCs w:val="24"/>
        </w:rPr>
      </w:r>
    </w:p>
    <w:p>
      <w:pPr>
        <w:pStyle w:val="Normal"/>
        <w:jc w:val="center"/>
        <w:rPr>
          <w:rFonts w:ascii="Calibri Light" w:hAnsi="Calibri Light" w:eastAsia="Calibri" w:cs="Calibri"/>
          <w:b/>
          <w:b/>
          <w:sz w:val="24"/>
          <w:szCs w:val="24"/>
        </w:rPr>
      </w:pPr>
      <w:r>
        <w:rPr>
          <w:rFonts w:eastAsia="Calibri" w:cs="Calibri" w:ascii="Calibri Light" w:hAnsi="Calibri Light"/>
          <w:b/>
          <w:sz w:val="24"/>
          <w:szCs w:val="24"/>
        </w:rPr>
      </w:r>
    </w:p>
    <w:p>
      <w:pPr>
        <w:pStyle w:val="Normal"/>
        <w:jc w:val="center"/>
        <w:rPr>
          <w:rFonts w:ascii="Calibri Light" w:hAnsi="Calibri Light" w:eastAsia="Calibri" w:cs="Calibri"/>
          <w:b/>
          <w:b/>
          <w:sz w:val="24"/>
          <w:szCs w:val="24"/>
        </w:rPr>
      </w:pPr>
      <w:r>
        <w:rPr>
          <w:rFonts w:eastAsia="Calibri" w:cs="Calibri" w:ascii="Calibri Light" w:hAnsi="Calibri Light"/>
          <w:b/>
          <w:sz w:val="24"/>
          <w:szCs w:val="24"/>
        </w:rPr>
      </w:r>
    </w:p>
    <w:p>
      <w:pPr>
        <w:pStyle w:val="Normal"/>
        <w:jc w:val="center"/>
        <w:rPr>
          <w:rFonts w:ascii="Calibri Light" w:hAnsi="Calibri Light" w:eastAsia="Calibri" w:cs="Calibri"/>
          <w:b/>
          <w:b/>
          <w:sz w:val="24"/>
          <w:szCs w:val="24"/>
        </w:rPr>
      </w:pPr>
      <w:r>
        <w:rPr>
          <w:rFonts w:eastAsia="Calibri" w:cs="Calibri" w:ascii="Calibri Light" w:hAnsi="Calibri Light"/>
          <w:b/>
          <w:sz w:val="24"/>
          <w:szCs w:val="24"/>
        </w:rPr>
      </w:r>
    </w:p>
    <w:p>
      <w:pPr>
        <w:pStyle w:val="Normal"/>
        <w:jc w:val="center"/>
        <w:rPr>
          <w:rFonts w:ascii="Calibri Light" w:hAnsi="Calibri Light" w:eastAsia="Calibri" w:cs="Calibri"/>
          <w:b/>
          <w:b/>
          <w:sz w:val="24"/>
          <w:szCs w:val="24"/>
        </w:rPr>
      </w:pPr>
      <w:r>
        <w:rPr>
          <w:rFonts w:eastAsia="Calibri" w:cs="Calibri" w:ascii="Calibri Light" w:hAnsi="Calibri Light"/>
          <w:b/>
          <w:sz w:val="24"/>
          <w:szCs w:val="24"/>
        </w:rPr>
      </w:r>
    </w:p>
    <w:p>
      <w:pPr>
        <w:pStyle w:val="Normal"/>
        <w:jc w:val="center"/>
        <w:rPr>
          <w:rFonts w:ascii="Calibri Light" w:hAnsi="Calibri Light" w:eastAsia="Calibri" w:cs="Calibri"/>
          <w:b/>
          <w:b/>
          <w:sz w:val="24"/>
          <w:szCs w:val="24"/>
        </w:rPr>
      </w:pPr>
      <w:r>
        <w:rPr>
          <w:rFonts w:eastAsia="Calibri" w:cs="Calibri" w:ascii="Calibri Light" w:hAnsi="Calibri Light"/>
          <w:b/>
          <w:sz w:val="24"/>
          <w:szCs w:val="24"/>
        </w:rPr>
      </w:r>
    </w:p>
    <w:p>
      <w:pPr>
        <w:pStyle w:val="Normal"/>
        <w:jc w:val="center"/>
        <w:rPr>
          <w:rFonts w:ascii="Calibri Light" w:hAnsi="Calibri Light"/>
        </w:rPr>
      </w:pPr>
      <w:r>
        <w:rPr>
          <w:rFonts w:eastAsia="Calibri" w:cs="Calibri" w:ascii="Calibri Light" w:hAnsi="Calibri Light"/>
          <w:b/>
        </w:rPr>
        <w:t>MINISTÉRIO DA DEFESA</w:t>
      </w:r>
    </w:p>
    <w:p>
      <w:pPr>
        <w:pStyle w:val="Normal"/>
        <w:jc w:val="center"/>
        <w:rPr>
          <w:rFonts w:ascii="Calibri Light" w:hAnsi="Calibri Light"/>
        </w:rPr>
      </w:pPr>
      <w:r>
        <w:rPr>
          <w:rFonts w:eastAsia="Calibri" w:cs="Calibri" w:ascii="Calibri Light" w:hAnsi="Calibri Light"/>
          <w:b/>
        </w:rPr>
        <w:t>EXÉRCITO BRASILEIRO</w:t>
      </w:r>
    </w:p>
    <w:p>
      <w:pPr>
        <w:pStyle w:val="Normal"/>
        <w:jc w:val="center"/>
        <w:rPr>
          <w:rFonts w:ascii="Calibri Light" w:hAnsi="Calibri Light"/>
        </w:rPr>
      </w:pPr>
      <w:r>
        <w:rPr>
          <w:rFonts w:eastAsia="Calibri" w:cs="Calibri" w:ascii="Calibri Light" w:hAnsi="Calibri Light"/>
          <w:b/>
        </w:rPr>
        <w:t>14º GRUPO DE ARTILHARIA DE CAMPANHA</w:t>
      </w:r>
    </w:p>
    <w:p>
      <w:pPr>
        <w:pStyle w:val="Normal"/>
        <w:jc w:val="center"/>
        <w:rPr>
          <w:rFonts w:ascii="Calibri Light" w:hAnsi="Calibri Light"/>
        </w:rPr>
      </w:pPr>
      <w:r>
        <w:rPr>
          <w:rFonts w:eastAsia="Calibri" w:cs="Calibri" w:ascii="Calibri Light" w:hAnsi="Calibri Light"/>
          <w:b/>
        </w:rPr>
        <w:t>(10º Regimento de Artilharia Montada/1918)</w:t>
      </w:r>
    </w:p>
    <w:p>
      <w:pPr>
        <w:pStyle w:val="Normal"/>
        <w:jc w:val="center"/>
        <w:rPr>
          <w:rFonts w:ascii="Calibri Light" w:hAnsi="Calibri Light"/>
        </w:rPr>
      </w:pPr>
      <w:r>
        <w:rPr>
          <w:rFonts w:eastAsia="Calibri" w:cs="Calibri" w:ascii="Calibri Light" w:hAnsi="Calibri Light"/>
          <w:b/>
        </w:rPr>
        <w:t>GRUPO FERNÃO DIAS</w:t>
      </w:r>
    </w:p>
    <w:p>
      <w:pPr>
        <w:pStyle w:val="Normal"/>
        <w:jc w:val="center"/>
        <w:rPr>
          <w:rFonts w:ascii="Calibri Light" w:hAnsi="Calibri Light" w:eastAsia="Calibri" w:cs="Calibri"/>
          <w:b/>
          <w:b/>
          <w:color w:val="000000"/>
        </w:rPr>
      </w:pPr>
      <w:r>
        <w:rPr>
          <w:rFonts w:eastAsia="Calibri" w:cs="Calibri" w:ascii="Calibri Light" w:hAnsi="Calibri Light"/>
          <w:b/>
          <w:color w:val="000000"/>
        </w:rPr>
      </w:r>
    </w:p>
    <w:p>
      <w:pPr>
        <w:pStyle w:val="Normal"/>
        <w:jc w:val="center"/>
        <w:rPr>
          <w:rFonts w:ascii="Calibri Light" w:hAnsi="Calibri Light" w:eastAsia="Calibri" w:cs="Calibri"/>
          <w:sz w:val="24"/>
          <w:szCs w:val="24"/>
        </w:rPr>
      </w:pPr>
      <w:r>
        <w:rPr>
          <w:rFonts w:eastAsia="Calibri" w:cs="Calibri" w:ascii="Calibri Light" w:hAnsi="Calibri Light"/>
          <w:sz w:val="24"/>
          <w:szCs w:val="24"/>
        </w:rPr>
      </w:r>
    </w:p>
    <w:p>
      <w:pPr>
        <w:pStyle w:val="Normal"/>
        <w:jc w:val="center"/>
        <w:rPr>
          <w:color w:val="000000" w:themeColor="text1"/>
        </w:rPr>
      </w:pPr>
      <w:r>
        <w:rPr>
          <w:rFonts w:eastAsia="Calibri" w:cs="Calibri" w:ascii="Calibri Light" w:hAnsi="Calibri Light"/>
          <w:b/>
          <w:color w:val="000000"/>
          <w:sz w:val="24"/>
          <w:szCs w:val="24"/>
        </w:rPr>
        <w:t>DISPENSA DE LICITAÇÃO Nº</w:t>
      </w:r>
      <w:r>
        <w:rPr>
          <w:rFonts w:eastAsia="Calibri" w:cs="Calibri" w:ascii="Calibri Light" w:hAnsi="Calibri Light"/>
          <w:b/>
          <w:color w:val="000000" w:themeColor="text1"/>
          <w:sz w:val="24"/>
          <w:szCs w:val="24"/>
        </w:rPr>
        <w:t xml:space="preserve"> </w:t>
      </w:r>
      <w:r>
        <w:rPr>
          <w:rFonts w:eastAsia="Calibri" w:cs="Calibri" w:ascii="Calibri Light" w:hAnsi="Calibri Light"/>
          <w:b/>
          <w:color w:val="auto"/>
          <w:sz w:val="24"/>
          <w:szCs w:val="24"/>
        </w:rPr>
        <w:t>102</w:t>
      </w:r>
      <w:r>
        <w:rPr>
          <w:rFonts w:eastAsia="Calibri" w:cs="Calibri" w:ascii="Calibri Light" w:hAnsi="Calibri Light"/>
          <w:b/>
          <w:color w:val="000000" w:themeColor="text1"/>
          <w:sz w:val="24"/>
          <w:szCs w:val="24"/>
        </w:rPr>
        <w:t>/2021</w:t>
      </w:r>
    </w:p>
    <w:p>
      <w:pPr>
        <w:pStyle w:val="Normal"/>
        <w:jc w:val="center"/>
        <w:rPr>
          <w:rFonts w:ascii="Calibri Light" w:hAnsi="Calibri Light"/>
        </w:rPr>
      </w:pPr>
      <w:r>
        <w:rPr>
          <w:rFonts w:eastAsia="Calibri" w:cs="Calibri" w:ascii="Calibri Light" w:hAnsi="Calibri Light"/>
          <w:b/>
          <w:color w:val="000000"/>
          <w:sz w:val="24"/>
          <w:szCs w:val="24"/>
        </w:rPr>
        <w:t xml:space="preserve"> </w:t>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color w:val="000000"/>
          <w:sz w:val="24"/>
          <w:szCs w:val="24"/>
        </w:rPr>
        <w:t>DO OBJETO</w:t>
      </w:r>
    </w:p>
    <w:p>
      <w:pPr>
        <w:pStyle w:val="Normal"/>
        <w:numPr>
          <w:ilvl w:val="1"/>
          <w:numId w:val="1"/>
        </w:numPr>
        <w:spacing w:lineRule="auto" w:line="276" w:before="120" w:after="120"/>
        <w:ind w:left="425" w:hanging="0"/>
        <w:jc w:val="both"/>
        <w:rPr>
          <w:color w:val="000000" w:themeColor="text1"/>
        </w:rPr>
      </w:pPr>
      <w:r>
        <w:rPr>
          <w:rFonts w:eastAsia="Calibri" w:cs="Calibri" w:ascii="Calibri Light" w:hAnsi="Calibri Light"/>
          <w:sz w:val="24"/>
          <w:szCs w:val="24"/>
        </w:rPr>
        <w:t>Aquisiçã</w:t>
      </w:r>
      <w:r>
        <w:rPr>
          <w:rFonts w:eastAsia="Calibri" w:cs="Calibri" w:ascii="Calibri Light" w:hAnsi="Calibri Light"/>
          <w:color w:val="000000" w:themeColor="text1"/>
          <w:sz w:val="24"/>
          <w:szCs w:val="24"/>
        </w:rPr>
        <w:t>o pistolas de Air Soft para o CFGS</w:t>
      </w:r>
      <w:r>
        <w:rPr>
          <w:rFonts w:eastAsia="Calibri" w:cs="Calibri" w:ascii="Calibri Light" w:hAnsi="Calibri Light"/>
          <w:b/>
          <w:color w:val="000000" w:themeColor="text1"/>
          <w:sz w:val="24"/>
          <w:szCs w:val="24"/>
        </w:rPr>
        <w:t>,</w:t>
      </w:r>
      <w:r>
        <w:rPr>
          <w:rFonts w:eastAsia="Calibri" w:cs="Calibri" w:ascii="Calibri Light" w:hAnsi="Calibri Light"/>
          <w:color w:val="000000" w:themeColor="text1"/>
          <w:sz w:val="24"/>
          <w:szCs w:val="24"/>
        </w:rPr>
        <w:t xml:space="preserve"> conforme condições, quantidades e exigências estabelecidas neste instrumento:</w:t>
      </w:r>
    </w:p>
    <w:p>
      <w:pPr>
        <w:pStyle w:val="Normal"/>
        <w:spacing w:lineRule="auto" w:line="276" w:before="0" w:after="120"/>
        <w:jc w:val="both"/>
        <w:rPr>
          <w:rFonts w:ascii="Calibri Light" w:hAnsi="Calibri Light" w:eastAsia="Calibri" w:cs="Calibri"/>
          <w:b/>
          <w:b/>
          <w:color w:val="FF0000"/>
          <w:sz w:val="24"/>
          <w:szCs w:val="24"/>
        </w:rPr>
      </w:pPr>
      <w:r>
        <w:rPr>
          <w:rFonts w:eastAsia="Calibri" w:cs="Calibri" w:ascii="Calibri Light" w:hAnsi="Calibri Light"/>
          <w:b/>
          <w:color w:val="FF0000"/>
          <w:sz w:val="24"/>
          <w:szCs w:val="24"/>
        </w:rPr>
      </w:r>
    </w:p>
    <w:tbl>
      <w:tblPr>
        <w:tblW w:w="9179" w:type="dxa"/>
        <w:jc w:val="left"/>
        <w:tblInd w:w="39" w:type="dxa"/>
        <w:tblBorders>
          <w:top w:val="single" w:sz="4" w:space="0" w:color="000001"/>
          <w:left w:val="single" w:sz="4" w:space="0" w:color="000001"/>
          <w:bottom w:val="single" w:sz="4" w:space="0" w:color="000001"/>
          <w:insideH w:val="single" w:sz="4" w:space="0" w:color="000001"/>
        </w:tblBorders>
        <w:tblCellMar>
          <w:top w:w="55" w:type="dxa"/>
          <w:left w:w="47" w:type="dxa"/>
          <w:bottom w:w="55" w:type="dxa"/>
          <w:right w:w="55" w:type="dxa"/>
        </w:tblCellMar>
        <w:tblLook w:val="0000" w:noVBand="0" w:noHBand="0" w:lastColumn="0" w:firstColumn="0" w:lastRow="0" w:firstRow="0"/>
      </w:tblPr>
      <w:tblGrid>
        <w:gridCol w:w="687"/>
        <w:gridCol w:w="3945"/>
        <w:gridCol w:w="840"/>
        <w:gridCol w:w="869"/>
        <w:gridCol w:w="1425"/>
        <w:gridCol w:w="1412"/>
      </w:tblGrid>
      <w:tr>
        <w:trPr/>
        <w:tc>
          <w:tcPr>
            <w:tcW w:w="687" w:type="dxa"/>
            <w:tcBorders>
              <w:top w:val="single" w:sz="4" w:space="0" w:color="000001"/>
              <w:left w:val="single" w:sz="4" w:space="0" w:color="000001"/>
              <w:bottom w:val="single" w:sz="4" w:space="0" w:color="000001"/>
              <w:insideH w:val="single" w:sz="4" w:space="0" w:color="000001"/>
            </w:tcBorders>
            <w:shd w:color="auto" w:fill="auto" w:val="clear"/>
            <w:tcMar>
              <w:left w:w="47" w:type="dxa"/>
            </w:tcMar>
            <w:vAlign w:val="center"/>
          </w:tcPr>
          <w:p>
            <w:pPr>
              <w:pStyle w:val="Normal"/>
              <w:widowControl w:val="false"/>
              <w:jc w:val="center"/>
              <w:rPr>
                <w:rFonts w:ascii="Calibri" w:hAnsi="Calibri" w:eastAsia="Calibri" w:cs="Calibri"/>
                <w:sz w:val="24"/>
                <w:szCs w:val="24"/>
              </w:rPr>
            </w:pPr>
            <w:r>
              <w:rPr>
                <w:rFonts w:eastAsia="Calibri" w:cs="Calibri" w:ascii="Calibri Light" w:hAnsi="Calibri Light"/>
                <w:sz w:val="24"/>
                <w:szCs w:val="24"/>
              </w:rPr>
              <w:t>N</w:t>
            </w:r>
          </w:p>
          <w:p>
            <w:pPr>
              <w:pStyle w:val="Normal"/>
              <w:widowControl w:val="false"/>
              <w:jc w:val="center"/>
              <w:rPr>
                <w:rFonts w:ascii="Calibri" w:hAnsi="Calibri" w:eastAsia="Calibri" w:cs="Calibri"/>
                <w:sz w:val="24"/>
                <w:szCs w:val="24"/>
              </w:rPr>
            </w:pPr>
            <w:r>
              <w:rPr>
                <w:rFonts w:eastAsia="Calibri" w:cs="Calibri" w:ascii="Calibri Light" w:hAnsi="Calibri Light"/>
                <w:sz w:val="24"/>
                <w:szCs w:val="24"/>
              </w:rPr>
              <w:t>ord</w:t>
            </w:r>
          </w:p>
        </w:tc>
        <w:tc>
          <w:tcPr>
            <w:tcW w:w="3945" w:type="dxa"/>
            <w:tcBorders>
              <w:top w:val="single" w:sz="4" w:space="0" w:color="000001"/>
              <w:left w:val="single" w:sz="4" w:space="0" w:color="000001"/>
              <w:bottom w:val="single" w:sz="4" w:space="0" w:color="000001"/>
              <w:insideH w:val="single" w:sz="4" w:space="0" w:color="000001"/>
            </w:tcBorders>
            <w:shd w:color="auto" w:fill="auto" w:val="clear"/>
            <w:tcMar>
              <w:left w:w="47" w:type="dxa"/>
            </w:tcMar>
            <w:vAlign w:val="center"/>
          </w:tcPr>
          <w:p>
            <w:pPr>
              <w:pStyle w:val="Normal"/>
              <w:widowControl w:val="false"/>
              <w:jc w:val="center"/>
              <w:rPr>
                <w:rFonts w:ascii="Calibri Light" w:hAnsi="Calibri Light" w:eastAsia="Calibri" w:cs="Calibri"/>
                <w:sz w:val="24"/>
                <w:szCs w:val="24"/>
              </w:rPr>
            </w:pPr>
            <w:r>
              <w:rPr>
                <w:rFonts w:eastAsia="Calibri" w:cs="Calibri" w:ascii="Calibri Light" w:hAnsi="Calibri Light"/>
                <w:sz w:val="24"/>
                <w:szCs w:val="24"/>
              </w:rPr>
            </w:r>
          </w:p>
          <w:p>
            <w:pPr>
              <w:pStyle w:val="Normal"/>
              <w:widowControl w:val="false"/>
              <w:jc w:val="center"/>
              <w:rPr>
                <w:rFonts w:ascii="Calibri" w:hAnsi="Calibri" w:eastAsia="Calibri" w:cs="Calibri"/>
                <w:sz w:val="24"/>
                <w:szCs w:val="24"/>
              </w:rPr>
            </w:pPr>
            <w:r>
              <w:rPr>
                <w:rFonts w:eastAsia="Calibri" w:cs="Calibri" w:ascii="Calibri Light" w:hAnsi="Calibri Light"/>
                <w:sz w:val="24"/>
                <w:szCs w:val="24"/>
              </w:rPr>
              <w:t>DESCRIÇÃO DO MATERIAL</w:t>
            </w:r>
          </w:p>
        </w:tc>
        <w:tc>
          <w:tcPr>
            <w:tcW w:w="840" w:type="dxa"/>
            <w:tcBorders>
              <w:top w:val="single" w:sz="4" w:space="0" w:color="000001"/>
              <w:left w:val="single" w:sz="4" w:space="0" w:color="000001"/>
              <w:bottom w:val="single" w:sz="4" w:space="0" w:color="000001"/>
              <w:insideH w:val="single" w:sz="4" w:space="0" w:color="000001"/>
            </w:tcBorders>
            <w:shd w:color="auto" w:fill="auto" w:val="clear"/>
            <w:tcMar>
              <w:left w:w="47" w:type="dxa"/>
            </w:tcMar>
            <w:vAlign w:val="center"/>
          </w:tcPr>
          <w:p>
            <w:pPr>
              <w:pStyle w:val="Normal"/>
              <w:widowControl w:val="false"/>
              <w:jc w:val="center"/>
              <w:rPr>
                <w:rFonts w:ascii="Calibri" w:hAnsi="Calibri" w:eastAsia="Calibri" w:cs="Calibri"/>
                <w:sz w:val="24"/>
                <w:szCs w:val="24"/>
              </w:rPr>
            </w:pPr>
            <w:r>
              <w:rPr>
                <w:rFonts w:eastAsia="Calibri" w:cs="Calibri" w:ascii="Calibri Light" w:hAnsi="Calibri Light"/>
                <w:sz w:val="24"/>
                <w:szCs w:val="24"/>
              </w:rPr>
              <w:t>UNID</w:t>
            </w:r>
          </w:p>
          <w:p>
            <w:pPr>
              <w:pStyle w:val="Normal"/>
              <w:widowControl w:val="false"/>
              <w:jc w:val="center"/>
              <w:rPr>
                <w:rFonts w:ascii="Calibri" w:hAnsi="Calibri" w:eastAsia="Calibri" w:cs="Calibri"/>
                <w:sz w:val="24"/>
                <w:szCs w:val="24"/>
              </w:rPr>
            </w:pPr>
            <w:r>
              <w:rPr>
                <w:rFonts w:eastAsia="Calibri" w:cs="Calibri" w:ascii="Calibri Light" w:hAnsi="Calibri Light"/>
                <w:sz w:val="24"/>
                <w:szCs w:val="24"/>
              </w:rPr>
              <w:t>Med</w:t>
            </w:r>
          </w:p>
        </w:tc>
        <w:tc>
          <w:tcPr>
            <w:tcW w:w="869" w:type="dxa"/>
            <w:tcBorders>
              <w:top w:val="single" w:sz="4" w:space="0" w:color="000001"/>
              <w:left w:val="single" w:sz="4" w:space="0" w:color="000001"/>
              <w:bottom w:val="single" w:sz="4" w:space="0" w:color="000001"/>
              <w:insideH w:val="single" w:sz="4" w:space="0" w:color="000001"/>
            </w:tcBorders>
            <w:shd w:color="auto" w:fill="auto" w:val="clear"/>
            <w:tcMar>
              <w:left w:w="47" w:type="dxa"/>
            </w:tcMar>
            <w:vAlign w:val="center"/>
          </w:tcPr>
          <w:p>
            <w:pPr>
              <w:pStyle w:val="Normal"/>
              <w:widowControl w:val="false"/>
              <w:jc w:val="center"/>
              <w:rPr>
                <w:rFonts w:ascii="Calibri Light" w:hAnsi="Calibri Light"/>
              </w:rPr>
            </w:pPr>
            <w:r>
              <w:rPr>
                <w:rFonts w:eastAsia="Calibri" w:cs="Calibri" w:ascii="Calibri Light" w:hAnsi="Calibri Light"/>
                <w:sz w:val="24"/>
                <w:szCs w:val="24"/>
              </w:rPr>
              <w:t>Qtd</w:t>
            </w:r>
          </w:p>
        </w:tc>
        <w:tc>
          <w:tcPr>
            <w:tcW w:w="1425" w:type="dxa"/>
            <w:tcBorders>
              <w:top w:val="single" w:sz="4" w:space="0" w:color="000001"/>
              <w:left w:val="single" w:sz="4" w:space="0" w:color="000001"/>
              <w:bottom w:val="single" w:sz="4" w:space="0" w:color="000001"/>
              <w:insideH w:val="single" w:sz="4" w:space="0" w:color="000001"/>
            </w:tcBorders>
            <w:shd w:color="auto" w:fill="auto" w:val="clear"/>
            <w:tcMar>
              <w:left w:w="47" w:type="dxa"/>
            </w:tcMar>
            <w:vAlign w:val="center"/>
          </w:tcPr>
          <w:p>
            <w:pPr>
              <w:pStyle w:val="Normal"/>
              <w:widowControl w:val="false"/>
              <w:jc w:val="center"/>
              <w:rPr>
                <w:rFonts w:ascii="Calibri" w:hAnsi="Calibri" w:eastAsia="Calibri" w:cs="Calibri"/>
                <w:sz w:val="24"/>
                <w:szCs w:val="24"/>
              </w:rPr>
            </w:pPr>
            <w:r>
              <w:rPr>
                <w:rFonts w:eastAsia="Calibri" w:cs="Calibri" w:ascii="Calibri Light" w:hAnsi="Calibri Light"/>
                <w:sz w:val="24"/>
                <w:szCs w:val="24"/>
              </w:rPr>
              <w:t>Valor Máximo Aceitável</w:t>
            </w:r>
          </w:p>
        </w:tc>
        <w:tc>
          <w:tcPr>
            <w:tcW w:w="14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7" w:type="dxa"/>
            </w:tcMar>
            <w:vAlign w:val="center"/>
          </w:tcPr>
          <w:p>
            <w:pPr>
              <w:pStyle w:val="Normal"/>
              <w:widowControl w:val="false"/>
              <w:jc w:val="center"/>
              <w:rPr>
                <w:rFonts w:ascii="Calibri" w:hAnsi="Calibri" w:eastAsia="Calibri" w:cs="Calibri"/>
                <w:sz w:val="24"/>
                <w:szCs w:val="24"/>
              </w:rPr>
            </w:pPr>
            <w:r>
              <w:rPr>
                <w:rFonts w:eastAsia="Calibri" w:cs="Calibri" w:ascii="Calibri Light" w:hAnsi="Calibri Light"/>
                <w:sz w:val="24"/>
                <w:szCs w:val="24"/>
              </w:rPr>
              <w:t>Valor</w:t>
            </w:r>
          </w:p>
          <w:p>
            <w:pPr>
              <w:pStyle w:val="Normal"/>
              <w:widowControl w:val="false"/>
              <w:jc w:val="center"/>
              <w:rPr>
                <w:rFonts w:ascii="Calibri" w:hAnsi="Calibri" w:eastAsia="Calibri" w:cs="Calibri"/>
                <w:sz w:val="24"/>
                <w:szCs w:val="24"/>
              </w:rPr>
            </w:pPr>
            <w:r>
              <w:rPr>
                <w:rFonts w:eastAsia="Calibri" w:cs="Calibri" w:ascii="Calibri Light" w:hAnsi="Calibri Light"/>
                <w:sz w:val="24"/>
                <w:szCs w:val="24"/>
              </w:rPr>
              <w:t>Total</w:t>
            </w:r>
          </w:p>
        </w:tc>
      </w:tr>
      <w:tr>
        <w:trPr>
          <w:trHeight w:val="597" w:hRule="atLeast"/>
        </w:trPr>
        <w:tc>
          <w:tcPr>
            <w:tcW w:w="687" w:type="dxa"/>
            <w:tcBorders>
              <w:top w:val="single" w:sz="4" w:space="0" w:color="000001"/>
              <w:left w:val="single" w:sz="4" w:space="0" w:color="000001"/>
              <w:bottom w:val="single" w:sz="4" w:space="0" w:color="000001"/>
              <w:insideH w:val="single" w:sz="4" w:space="0" w:color="000001"/>
            </w:tcBorders>
            <w:shd w:color="auto" w:fill="auto" w:val="clear"/>
            <w:tcMar>
              <w:left w:w="47" w:type="dxa"/>
            </w:tcMar>
            <w:vAlign w:val="center"/>
          </w:tcPr>
          <w:p>
            <w:pPr>
              <w:pStyle w:val="Normal"/>
              <w:widowControl w:val="false"/>
              <w:jc w:val="center"/>
              <w:rPr>
                <w:rFonts w:ascii="Calibri" w:hAnsi="Calibri" w:eastAsia="Calibri" w:cs="Calibri"/>
                <w:color w:val="000000" w:themeColor="text1"/>
                <w:sz w:val="24"/>
                <w:szCs w:val="24"/>
              </w:rPr>
            </w:pPr>
            <w:r>
              <w:rPr>
                <w:rFonts w:eastAsia="Calibri" w:cs="Calibri" w:ascii="Calibri Light" w:hAnsi="Calibri Light"/>
                <w:color w:val="000000" w:themeColor="text1"/>
                <w:sz w:val="24"/>
                <w:szCs w:val="24"/>
              </w:rPr>
              <w:t>1</w:t>
            </w:r>
          </w:p>
        </w:tc>
        <w:tc>
          <w:tcPr>
            <w:tcW w:w="3945" w:type="dxa"/>
            <w:tcBorders>
              <w:top w:val="single" w:sz="4" w:space="0" w:color="000001"/>
              <w:left w:val="single" w:sz="4" w:space="0" w:color="000001"/>
              <w:bottom w:val="single" w:sz="4" w:space="0" w:color="000001"/>
              <w:insideH w:val="single" w:sz="4" w:space="0" w:color="000001"/>
            </w:tcBorders>
            <w:shd w:color="auto" w:fill="auto" w:val="clear"/>
            <w:tcMar>
              <w:left w:w="47" w:type="dxa"/>
            </w:tcMar>
            <w:vAlign w:val="center"/>
          </w:tcPr>
          <w:p>
            <w:pPr>
              <w:pStyle w:val="Normal"/>
              <w:rPr>
                <w:rFonts w:ascii="Calibri" w:hAnsi="Calibri" w:eastAsia="Calibri" w:cs="Calibri"/>
                <w:color w:val="000000" w:themeColor="text1"/>
                <w:sz w:val="24"/>
                <w:szCs w:val="24"/>
              </w:rPr>
            </w:pPr>
            <w:r>
              <w:rPr>
                <w:rFonts w:eastAsia="Calibri" w:cs="Calibri" w:ascii="Calibri Light" w:hAnsi="Calibri Light"/>
                <w:color w:val="000000" w:themeColor="text1"/>
                <w:sz w:val="24"/>
                <w:szCs w:val="24"/>
              </w:rPr>
              <w:t>Pistola de C11</w:t>
            </w:r>
          </w:p>
          <w:p>
            <w:pPr>
              <w:pStyle w:val="Normal"/>
              <w:widowControl w:val="false"/>
              <w:spacing w:before="0" w:after="200"/>
              <w:jc w:val="both"/>
              <w:rPr>
                <w:rFonts w:ascii="Calibri" w:hAnsi="Calibri" w:eastAsia="Calibri" w:cs="Calibri"/>
                <w:color w:val="FF0000"/>
                <w:sz w:val="24"/>
                <w:szCs w:val="24"/>
              </w:rPr>
            </w:pPr>
            <w:r>
              <w:rPr>
                <w:rFonts w:eastAsia="Calibri" w:cs="Calibri" w:ascii="Calibri Light" w:hAnsi="Calibri Light"/>
                <w:color w:val="000000" w:themeColor="text1"/>
                <w:sz w:val="24"/>
                <w:szCs w:val="24"/>
              </w:rPr>
              <w:t>Corpo em ABs e interior com partes em metal, semi-automática, velocidade 130 m/s=428 Fps aproximadamente, peso 430 gr, segurança sim, trava normal, capacidade magazine 17 tiros, alcance máximo 65m, munição esferas de aço, blowback não. Acompanha 05 cilindros de gás carbônico (CO2) não recarregáveis, 12g CO2, pode ser utilizado em média para 40 disparos por cilindro.</w:t>
            </w:r>
          </w:p>
        </w:tc>
        <w:tc>
          <w:tcPr>
            <w:tcW w:w="840" w:type="dxa"/>
            <w:tcBorders>
              <w:top w:val="single" w:sz="4" w:space="0" w:color="000001"/>
              <w:left w:val="single" w:sz="4" w:space="0" w:color="000001"/>
              <w:bottom w:val="single" w:sz="4" w:space="0" w:color="000001"/>
              <w:insideH w:val="single" w:sz="4" w:space="0" w:color="000001"/>
            </w:tcBorders>
            <w:shd w:color="auto" w:fill="auto" w:val="clear"/>
            <w:tcMar>
              <w:left w:w="47" w:type="dxa"/>
            </w:tcMar>
            <w:vAlign w:val="center"/>
          </w:tcPr>
          <w:p>
            <w:pPr>
              <w:pStyle w:val="Normal"/>
              <w:widowControl w:val="false"/>
              <w:jc w:val="center"/>
              <w:rPr>
                <w:rFonts w:ascii="Calibri" w:hAnsi="Calibri" w:eastAsia="Calibri" w:cs="Calibri"/>
                <w:color w:val="FF0000"/>
                <w:sz w:val="24"/>
                <w:szCs w:val="24"/>
              </w:rPr>
            </w:pPr>
            <w:r>
              <w:rPr>
                <w:rFonts w:eastAsia="Calibri" w:cs="Calibri" w:ascii="Calibri Light" w:hAnsi="Calibri Light"/>
                <w:color w:val="000000" w:themeColor="text1"/>
                <w:sz w:val="24"/>
                <w:szCs w:val="24"/>
              </w:rPr>
              <w:t>UN</w:t>
            </w:r>
          </w:p>
        </w:tc>
        <w:tc>
          <w:tcPr>
            <w:tcW w:w="869" w:type="dxa"/>
            <w:tcBorders>
              <w:top w:val="single" w:sz="4" w:space="0" w:color="000001"/>
              <w:left w:val="single" w:sz="4" w:space="0" w:color="000001"/>
              <w:bottom w:val="single" w:sz="4" w:space="0" w:color="000001"/>
              <w:insideH w:val="single" w:sz="4" w:space="0" w:color="000001"/>
            </w:tcBorders>
            <w:shd w:color="auto" w:fill="auto" w:val="clear"/>
            <w:tcMar>
              <w:left w:w="47" w:type="dxa"/>
            </w:tcMar>
            <w:vAlign w:val="center"/>
          </w:tcPr>
          <w:p>
            <w:pPr>
              <w:pStyle w:val="Normal"/>
              <w:widowControl w:val="false"/>
              <w:rPr>
                <w:rFonts w:ascii="Calibri" w:hAnsi="Calibri" w:eastAsia="Calibri" w:cs="Calibri"/>
                <w:color w:val="FF0000"/>
                <w:sz w:val="24"/>
                <w:szCs w:val="24"/>
              </w:rPr>
            </w:pPr>
            <w:r>
              <w:rPr>
                <w:rFonts w:eastAsia="Calibri" w:cs="Calibri" w:ascii="Calibri Light" w:hAnsi="Calibri Light"/>
                <w:color w:val="FF0000"/>
                <w:sz w:val="24"/>
                <w:szCs w:val="24"/>
              </w:rPr>
              <w:t xml:space="preserve">    </w:t>
            </w:r>
            <w:r>
              <w:rPr>
                <w:rFonts w:eastAsia="Calibri" w:cs="Calibri" w:ascii="Calibri Light" w:hAnsi="Calibri Light"/>
                <w:color w:val="000000" w:themeColor="text1"/>
                <w:sz w:val="24"/>
                <w:szCs w:val="24"/>
              </w:rPr>
              <w:t>12</w:t>
            </w:r>
          </w:p>
        </w:tc>
        <w:tc>
          <w:tcPr>
            <w:tcW w:w="1425" w:type="dxa"/>
            <w:tcBorders>
              <w:top w:val="single" w:sz="4" w:space="0" w:color="000001"/>
              <w:left w:val="single" w:sz="4" w:space="0" w:color="000001"/>
              <w:bottom w:val="single" w:sz="4" w:space="0" w:color="000001"/>
              <w:insideH w:val="single" w:sz="4" w:space="0" w:color="000001"/>
            </w:tcBorders>
            <w:shd w:color="auto" w:fill="auto" w:val="clear"/>
            <w:tcMar>
              <w:left w:w="47" w:type="dxa"/>
            </w:tcMar>
            <w:vAlign w:val="center"/>
          </w:tcPr>
          <w:p>
            <w:pPr>
              <w:pStyle w:val="Normal"/>
              <w:widowControl w:val="false"/>
              <w:jc w:val="center"/>
              <w:rPr>
                <w:rFonts w:ascii="Calibri" w:hAnsi="Calibri" w:eastAsia="Calibri" w:cs="Calibri"/>
                <w:color w:val="000000" w:themeColor="text1"/>
                <w:sz w:val="24"/>
                <w:szCs w:val="24"/>
              </w:rPr>
            </w:pPr>
            <w:r>
              <w:rPr>
                <w:rFonts w:eastAsia="Calibri" w:cs="Calibri" w:ascii="Calibri Light" w:hAnsi="Calibri Light"/>
                <w:color w:val="000000" w:themeColor="text1"/>
                <w:sz w:val="24"/>
                <w:szCs w:val="24"/>
              </w:rPr>
              <w:t>R$600,00</w:t>
            </w:r>
          </w:p>
        </w:tc>
        <w:tc>
          <w:tcPr>
            <w:tcW w:w="14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7" w:type="dxa"/>
            </w:tcMar>
            <w:vAlign w:val="center"/>
          </w:tcPr>
          <w:p>
            <w:pPr>
              <w:pStyle w:val="Normal"/>
              <w:widowControl w:val="false"/>
              <w:jc w:val="center"/>
              <w:rPr>
                <w:rFonts w:ascii="Calibri" w:hAnsi="Calibri" w:eastAsia="Calibri" w:cs="Calibri"/>
                <w:color w:val="000000" w:themeColor="text1"/>
                <w:sz w:val="24"/>
                <w:szCs w:val="24"/>
              </w:rPr>
            </w:pPr>
            <w:r>
              <w:rPr>
                <w:rFonts w:eastAsia="Calibri" w:cs="Calibri" w:ascii="Calibri Light" w:hAnsi="Calibri Light"/>
                <w:color w:val="000000" w:themeColor="text1"/>
                <w:sz w:val="24"/>
                <w:szCs w:val="24"/>
              </w:rPr>
              <w:t>R$7.200,00</w:t>
            </w:r>
          </w:p>
        </w:tc>
      </w:tr>
    </w:tbl>
    <w:p>
      <w:pPr>
        <w:pStyle w:val="Normal"/>
        <w:spacing w:lineRule="auto" w:line="276" w:before="0" w:after="120"/>
        <w:jc w:val="both"/>
        <w:rPr>
          <w:rFonts w:ascii="Calibri Light" w:hAnsi="Calibri Light" w:eastAsia="Calibri" w:cs="Calibri"/>
          <w:b/>
          <w:b/>
          <w:color w:val="000000"/>
          <w:sz w:val="24"/>
          <w:szCs w:val="24"/>
        </w:rPr>
      </w:pPr>
      <w:r>
        <w:rPr>
          <w:rFonts w:eastAsia="Calibri" w:cs="Calibri" w:ascii="Calibri Light" w:hAnsi="Calibri Light"/>
          <w:b/>
          <w:color w:val="000000"/>
          <w:sz w:val="24"/>
          <w:szCs w:val="24"/>
        </w:rPr>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O prazo de vigência da contratação é de 90 dias contados do recebimento do aceite da empresa fornecedora do material.</w:t>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color w:val="000000"/>
          <w:sz w:val="24"/>
          <w:szCs w:val="24"/>
        </w:rPr>
        <w:t>JUSTIFICATIVA E OBJETIVO DA CONTRATAÇÃO</w:t>
      </w:r>
    </w:p>
    <w:p>
      <w:pPr>
        <w:pStyle w:val="Normal"/>
        <w:widowControl w:val="false"/>
        <w:suppressAutoHyphens w:val="true"/>
        <w:spacing w:lineRule="auto" w:line="360"/>
        <w:ind w:left="360" w:hanging="0"/>
        <w:jc w:val="both"/>
        <w:textAlignment w:val="baseline"/>
        <w:rPr>
          <w:rFonts w:ascii="Times New Roman" w:hAnsi="Times New Roman" w:eastAsia="SimSun" w:cs="Mangal"/>
          <w:color w:val="00000A"/>
          <w:sz w:val="24"/>
          <w:szCs w:val="24"/>
          <w:lang w:eastAsia="zh-CN" w:bidi="hi-IN"/>
        </w:rPr>
      </w:pPr>
      <w:r>
        <w:rPr>
          <w:rFonts w:eastAsia="SimSun" w:cs="Calibri" w:ascii="Calibri Light" w:hAnsi="Calibri Light"/>
          <w:color w:val="00000A"/>
          <w:sz w:val="24"/>
          <w:szCs w:val="24"/>
          <w:lang w:eastAsia="zh-CN" w:bidi="hi-IN"/>
        </w:rPr>
        <w:tab/>
        <w:t>O 14º Grupo de Artilharia de Campanha é uma Organização Militar do Exército Brasileiro subordinado ao Ministério da Defesa, possui aproximadamente um efetivo de 633 (seiscentos e trinta e três) militares, e sua função constitucional é a formação de soldados reservistas e à formação em seu período básico, dos futuros sargentos de carreira do Exército Brasileiro. Para a formação de soldados reservistas, seleciona jovens das cidades tributadas da região. Para a formação de sargentos, em seu período básico, incorpora jovens selecionados através de concurso público de todas as partes do Brasil, submetendo-os a intenso treinamento militar que lhes aprimora o caráter, desenvolve a capacidade física e o conhecimento da profissão militar.</w:t>
      </w:r>
    </w:p>
    <w:p>
      <w:pPr>
        <w:pStyle w:val="Normal"/>
        <w:widowControl w:val="false"/>
        <w:suppressAutoHyphens w:val="true"/>
        <w:spacing w:lineRule="auto" w:line="360"/>
        <w:ind w:left="360" w:hanging="0"/>
        <w:jc w:val="both"/>
        <w:textAlignment w:val="baseline"/>
        <w:rPr>
          <w:rFonts w:ascii="Times New Roman" w:hAnsi="Times New Roman" w:eastAsia="SimSun" w:cs="Mangal"/>
          <w:color w:val="00000A"/>
          <w:sz w:val="24"/>
          <w:szCs w:val="24"/>
          <w:lang w:eastAsia="zh-CN" w:bidi="hi-IN"/>
        </w:rPr>
      </w:pPr>
      <w:r>
        <w:rPr>
          <w:rFonts w:eastAsia="SimSun" w:cs="Calibri" w:ascii="Calibri Light" w:hAnsi="Calibri Light"/>
          <w:color w:val="00000A"/>
          <w:sz w:val="24"/>
          <w:szCs w:val="24"/>
          <w:lang w:eastAsia="zh-CN" w:bidi="hi-IN"/>
        </w:rPr>
        <w:tab/>
        <w:t>Com sua importante missão de formar os futuros Sargentos de Carreira do Exército Brasileiro, se torna extremamente importante a aquisição de materiais que venham a aprimorar as instruções nesse processo de formação. Como é o caso das pistolas de airsoft, que possibilitarão uma simulação dos tiros reais de pistola, acarretando uma maior economia de munição e recursos, aumento da segurança da instrução, melhor rendimento no tiro real e um maior interesse dos instruendos durante as instruções preparatórias para o tiro.</w:t>
      </w:r>
    </w:p>
    <w:p>
      <w:pPr>
        <w:pStyle w:val="Normal"/>
        <w:widowControl w:val="false"/>
        <w:suppressAutoHyphens w:val="true"/>
        <w:spacing w:lineRule="auto" w:line="360"/>
        <w:ind w:left="360" w:hanging="0"/>
        <w:jc w:val="both"/>
        <w:textAlignment w:val="baseline"/>
        <w:rPr>
          <w:rFonts w:ascii="Times New Roman" w:hAnsi="Times New Roman" w:eastAsia="SimSun" w:cs="Mangal"/>
          <w:color w:val="00000A"/>
          <w:sz w:val="24"/>
          <w:szCs w:val="24"/>
          <w:lang w:eastAsia="zh-CN" w:bidi="hi-IN"/>
        </w:rPr>
      </w:pPr>
      <w:r>
        <w:rPr>
          <w:rFonts w:eastAsia="SimSun" w:cs="Mangal" w:ascii="Calibri Light" w:hAnsi="Calibri Light"/>
          <w:color w:val="00000A"/>
          <w:sz w:val="24"/>
          <w:szCs w:val="24"/>
          <w:lang w:eastAsia="zh-CN" w:bidi="hi-IN"/>
        </w:rPr>
        <w:tab/>
        <w:t>Face ao exposto, foi iniciado o presente processo de aquisição por dispensa de licitação, com amparo no Inciso II do Art 24 da Lei 8.666/93 e § 3º da Art 1º do Decreto 10024, de 20 de setembro de 2019.</w:t>
      </w:r>
    </w:p>
    <w:p>
      <w:pPr>
        <w:pStyle w:val="Normal"/>
        <w:widowControl w:val="false"/>
        <w:suppressAutoHyphens w:val="true"/>
        <w:spacing w:lineRule="auto" w:line="360"/>
        <w:ind w:left="360" w:hanging="0"/>
        <w:jc w:val="both"/>
        <w:textAlignment w:val="baseline"/>
        <w:rPr>
          <w:rFonts w:ascii="Times New Roman" w:hAnsi="Times New Roman" w:eastAsia="SimSun" w:cs="Mangal"/>
          <w:color w:val="00000A"/>
          <w:sz w:val="24"/>
          <w:szCs w:val="24"/>
          <w:lang w:eastAsia="zh-CN" w:bidi="hi-IN"/>
        </w:rPr>
      </w:pPr>
      <w:r>
        <w:rPr>
          <w:rFonts w:eastAsia="SimSun" w:cs="Mangal" w:ascii="Calibri Light" w:hAnsi="Calibri Light"/>
          <w:color w:val="00000A"/>
          <w:sz w:val="24"/>
          <w:szCs w:val="24"/>
          <w:lang w:eastAsia="zh-CN" w:bidi="hi-IN"/>
        </w:rPr>
        <w:tab/>
        <w:t>A pesquisa de preço foi realizada de acordo com a Instrução Normativa nº 5, de 27 de junho de 2014, alterada pela  Instrução Normativa nº 3 de 20 de abril de 2017, onde foi utilizado os seguintes parâmetros:</w:t>
        <w:tab/>
      </w:r>
    </w:p>
    <w:p>
      <w:pPr>
        <w:pStyle w:val="Normal"/>
        <w:widowControl w:val="false"/>
        <w:suppressAutoHyphens w:val="true"/>
        <w:spacing w:lineRule="auto" w:line="360"/>
        <w:ind w:left="360" w:hanging="0"/>
        <w:jc w:val="both"/>
        <w:textAlignment w:val="baseline"/>
        <w:rPr>
          <w:rFonts w:ascii="Times New Roman" w:hAnsi="Times New Roman" w:eastAsia="SimSun" w:cs="Mangal"/>
          <w:color w:val="00000A"/>
          <w:sz w:val="24"/>
          <w:szCs w:val="24"/>
          <w:lang w:eastAsia="zh-CN" w:bidi="hi-IN"/>
        </w:rPr>
      </w:pPr>
      <w:r>
        <w:rPr>
          <w:rFonts w:eastAsia="SimSun" w:cs="Mangal" w:ascii="Calibri Light" w:hAnsi="Calibri Light"/>
          <w:color w:val="00000A"/>
          <w:sz w:val="24"/>
          <w:szCs w:val="24"/>
          <w:lang w:eastAsia="zh-CN" w:bidi="hi-IN"/>
        </w:rPr>
        <w:tab/>
        <w:t>IV - pesquisa com os fornecedores, desde que as datas das pesquisas não se diferenciem em mais de 180 (cento e oitenta) dias.</w:t>
      </w:r>
    </w:p>
    <w:p>
      <w:pPr>
        <w:pStyle w:val="Normal"/>
        <w:widowControl w:val="false"/>
        <w:suppressAutoHyphens w:val="true"/>
        <w:spacing w:lineRule="auto" w:line="360"/>
        <w:ind w:left="360" w:hanging="0"/>
        <w:jc w:val="both"/>
        <w:textAlignment w:val="baseline"/>
        <w:rPr>
          <w:rFonts w:ascii="Times New Roman" w:hAnsi="Times New Roman" w:eastAsia="SimSun" w:cs="Mangal"/>
          <w:color w:val="00000A"/>
          <w:sz w:val="24"/>
          <w:szCs w:val="24"/>
          <w:lang w:eastAsia="zh-CN" w:bidi="hi-IN"/>
        </w:rPr>
      </w:pPr>
      <w:r>
        <w:rPr>
          <w:rFonts w:eastAsia="SimSun" w:cs="Mangal" w:ascii="Calibri Light" w:hAnsi="Calibri Light"/>
          <w:color w:val="00000A"/>
          <w:sz w:val="24"/>
          <w:szCs w:val="24"/>
          <w:lang w:eastAsia="zh-CN" w:bidi="hi-IN"/>
        </w:rPr>
        <w:t>Saliento que a Dispensa de Licitação, que será realizada por Cotação Eletrônica, cumpre os princípios da economicidade, eficácia, celeridade e pronto atendimento à demanda desta instituição, uma vez que com este procedimento o 14° GAC irá adquirir um material de qualidade para auxiliar na formação dos futuros Sargentos do Exército Brasileiro.</w:t>
      </w:r>
    </w:p>
    <w:p>
      <w:pPr>
        <w:pStyle w:val="Normal"/>
        <w:widowControl w:val="false"/>
        <w:suppressAutoHyphens w:val="true"/>
        <w:spacing w:lineRule="auto" w:line="360"/>
        <w:ind w:left="360" w:hanging="0"/>
        <w:jc w:val="both"/>
        <w:textAlignment w:val="baseline"/>
        <w:rPr>
          <w:rFonts w:ascii="Times New Roman" w:hAnsi="Times New Roman" w:eastAsia="SimSun" w:cs="Mangal"/>
          <w:color w:val="00000A"/>
          <w:sz w:val="24"/>
          <w:szCs w:val="24"/>
          <w:lang w:eastAsia="zh-CN" w:bidi="hi-IN"/>
        </w:rPr>
      </w:pPr>
      <w:r>
        <w:rPr>
          <w:rFonts w:eastAsia="Times New Roman" w:cs="Times New Roman" w:ascii="Calibri Light" w:hAnsi="Calibri Light"/>
          <w:color w:val="000000"/>
          <w:sz w:val="24"/>
          <w:szCs w:val="24"/>
          <w:lang w:eastAsia="zh-CN" w:bidi="hi-IN"/>
        </w:rPr>
        <w:tab/>
        <w:t>De acordo com o previsto no Plano de Gestão da OM, E2.4 – emprego dos recursos econômicos e financeiros de acordo com as orientações da SEF;</w:t>
      </w:r>
    </w:p>
    <w:p>
      <w:pPr>
        <w:pStyle w:val="Normal"/>
        <w:widowControl w:val="false"/>
        <w:suppressAutoHyphens w:val="true"/>
        <w:spacing w:lineRule="auto" w:line="360"/>
        <w:ind w:left="360" w:hanging="0"/>
        <w:jc w:val="both"/>
        <w:textAlignment w:val="baseline"/>
        <w:rPr>
          <w:rFonts w:ascii="Times New Roman" w:hAnsi="Times New Roman" w:eastAsia="SimSun" w:cs="Mangal"/>
          <w:color w:val="00000A"/>
          <w:sz w:val="24"/>
          <w:szCs w:val="24"/>
          <w:lang w:eastAsia="zh-CN" w:bidi="hi-IN"/>
        </w:rPr>
      </w:pPr>
      <w:r>
        <w:rPr>
          <w:rFonts w:eastAsia="SimSun" w:cs="Mangal" w:ascii="Calibri Light" w:hAnsi="Calibri Light"/>
          <w:color w:val="00000A"/>
          <w:sz w:val="24"/>
          <w:szCs w:val="24"/>
          <w:lang w:eastAsia="zh-CN" w:bidi="hi-IN"/>
        </w:rPr>
        <w:t>Isto posto, opta-se pela Dispensa de Licitação para a aquisição do referido material permanente na quantidade que atenderá as necessidades do Curso de Formação e Graduação de Sargentos do 14° GAC.</w:t>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color w:val="000000"/>
          <w:sz w:val="24"/>
          <w:szCs w:val="24"/>
        </w:rPr>
        <w:t>DESCRIÇÃO DA SOLUÇÃO:</w:t>
      </w:r>
    </w:p>
    <w:p>
      <w:pPr>
        <w:pStyle w:val="Normal"/>
        <w:spacing w:lineRule="auto" w:line="276" w:before="120" w:after="120"/>
        <w:ind w:left="425" w:hanging="0"/>
        <w:jc w:val="both"/>
        <w:rPr>
          <w:color w:val="000000" w:themeColor="text1"/>
        </w:rPr>
      </w:pPr>
      <w:r>
        <w:rPr>
          <w:rFonts w:eastAsia="Calibri" w:cs="Calibri" w:ascii="Calibri Light" w:hAnsi="Calibri Light"/>
          <w:sz w:val="24"/>
          <w:szCs w:val="24"/>
        </w:rPr>
        <w:t xml:space="preserve">3.1 A descrição da solução </w:t>
      </w:r>
      <w:r>
        <w:rPr>
          <w:rFonts w:eastAsia="Calibri" w:cs="Calibri" w:ascii="Calibri Light" w:hAnsi="Calibri Light"/>
          <w:color w:val="000000" w:themeColor="text1"/>
          <w:sz w:val="24"/>
          <w:szCs w:val="24"/>
        </w:rPr>
        <w:t>como um todo, é a aquisição de pistolas de Air Soft para o CFGS.</w:t>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color w:val="000000"/>
          <w:sz w:val="24"/>
          <w:szCs w:val="24"/>
        </w:rPr>
        <w:t>CLASSIFICAÇÃO DOS BENS COMUNS</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color w:val="000000"/>
          <w:sz w:val="24"/>
          <w:szCs w:val="24"/>
        </w:rPr>
        <w:t>A natureza do objeto a ser contratado é comum nos termos do parágrafo único, do art.1º, da Lei nº10.520, de 2002.</w:t>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color w:val="000000"/>
          <w:sz w:val="24"/>
          <w:szCs w:val="24"/>
        </w:rPr>
        <w:t>ENTREGA E CRITÉRIOS DE ACEITAÇÃO DO OBJETO.</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color w:val="000000"/>
          <w:sz w:val="24"/>
          <w:szCs w:val="24"/>
        </w:rPr>
        <w:t>O prazo de entrega dos bens é de</w:t>
      </w:r>
      <w:r>
        <w:rPr>
          <w:rFonts w:eastAsia="Calibri" w:cs="Calibri" w:ascii="Calibri Light" w:hAnsi="Calibri Light"/>
          <w:color w:val="C9211E"/>
          <w:sz w:val="24"/>
          <w:szCs w:val="24"/>
        </w:rPr>
        <w:t xml:space="preserve"> </w:t>
      </w:r>
      <w:r>
        <w:rPr>
          <w:rFonts w:eastAsia="Calibri" w:cs="Calibri" w:ascii="Calibri Light" w:hAnsi="Calibri Light"/>
          <w:color w:val="000000"/>
          <w:sz w:val="24"/>
          <w:szCs w:val="24"/>
        </w:rPr>
        <w:t>10 (dez) dias, contados do recebimento da Nota de empenho, em remessa única, no seguinte endereço: Av. Marechal Castelo Branco 635, centro – Pouso Alegre-MG. CEP:37.550-225</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color w:val="000000"/>
          <w:sz w:val="24"/>
          <w:szCs w:val="24"/>
        </w:rPr>
        <w:t xml:space="preserve">Os bens serão recebidos provisoriamente no prazo de 10(dez) dias, pelo(a) responsável pelo acompanhamento e fiscalização do contrato, para efeito de posterior verificação de sua conformidade com as especificações constantes neste Termo de Referência e na proposta. </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color w:val="000000"/>
          <w:sz w:val="24"/>
          <w:szCs w:val="24"/>
        </w:rPr>
        <w:t>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color w:val="000000"/>
          <w:sz w:val="24"/>
          <w:szCs w:val="24"/>
        </w:rPr>
        <w:t xml:space="preserve">Os bens serão recebidos definitivamente no prazo de  </w:t>
      </w:r>
      <w:r>
        <w:rPr>
          <w:rFonts w:eastAsia="Calibri" w:cs="Calibri" w:ascii="Calibri Light" w:hAnsi="Calibri Light"/>
          <w:sz w:val="24"/>
          <w:szCs w:val="24"/>
        </w:rPr>
        <w:t>8 (oito)</w:t>
      </w:r>
      <w:r>
        <w:rPr>
          <w:rFonts w:eastAsia="Calibri" w:cs="Calibri" w:ascii="Calibri Light" w:hAnsi="Calibri Light"/>
          <w:color w:val="000000"/>
          <w:sz w:val="24"/>
          <w:szCs w:val="24"/>
        </w:rPr>
        <w:t xml:space="preserve"> dias, contados do recebimento provisório, após a verificação da qualidade e quantidade do material e consequente aceitação mediante termo circunstanciado.</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color w:val="000000"/>
          <w:sz w:val="24"/>
          <w:szCs w:val="24"/>
        </w:rPr>
        <w:t>Na hipótese de a verificação a que se refere o subitem anterior não ser procedida dentro do prazo fixado, reputar-se-á como realizada, consumando-se o recebimento definitivo no dia do esgotamento do prazo.</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color w:val="000000"/>
          <w:sz w:val="24"/>
          <w:szCs w:val="24"/>
        </w:rPr>
        <w:t>O recebimento provisório ou definitivo do objeto não exclui a responsabilidade da contratada pelos prejuízos resultantes da incorreta execução do contrato.</w:t>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color w:val="000000"/>
          <w:sz w:val="24"/>
          <w:szCs w:val="24"/>
        </w:rPr>
        <w:t>OBRIGAÇÕES DA CONTRATANTE</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sz w:val="24"/>
          <w:szCs w:val="24"/>
        </w:rPr>
        <w:t>São obrigações da Contratante:</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receber o objeto no prazo e condições estabelecidas no Edital e seus anexos;</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verificar minuciosamente, no prazo fixado, a conformidade dos bens recebidos provisoriamente com as especificações constantes do Edital e da proposta, para fins de aceitação e recebimento definitivo;</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comunicar à Contratada, por escrito, sobre imperfeições, falhas ou irregularidades verificadas no objeto fornecido, para que seja substituído, reparado ou corrigido;</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acompanhar e fiscalizar o cumprimento das obrigações da Contratada, através de comissão/servidor especialmente designado;</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efetuar o pagamento à Contratada</w:t>
      </w:r>
      <w:r>
        <w:rPr>
          <w:rFonts w:eastAsia="Calibri" w:cs="Calibri" w:ascii="Calibri Light" w:hAnsi="Calibri Light"/>
          <w:b/>
          <w:sz w:val="24"/>
          <w:szCs w:val="24"/>
        </w:rPr>
        <w:t xml:space="preserve"> </w:t>
      </w:r>
      <w:r>
        <w:rPr>
          <w:rFonts w:eastAsia="Calibri" w:cs="Calibri" w:ascii="Calibri Light" w:hAnsi="Calibri Light"/>
          <w:sz w:val="24"/>
          <w:szCs w:val="24"/>
        </w:rPr>
        <w:t>no valor correspondente ao fornecimento do objeto, no prazo e forma estabelecidos no Edital e seus anexos;</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color w:val="000000"/>
          <w:sz w:val="24"/>
          <w:szCs w:val="24"/>
        </w:rPr>
        <w:t>OBRIGAÇÕES DA CONTRATADA</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sz w:val="24"/>
          <w:szCs w:val="24"/>
        </w:rPr>
        <w:t>A Contratada deve cumprir todas as obrigações constantes no Edital, seus anexos e sua proposta, assumindo como exclusivamente seus os riscos e as despesas decorrentes da boa e perfeita execução do objeto e, ainda:</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efetuar a entrega do objeto em perfeitas condições, conforme especificações, prazo e local constantes no Termo de Referência e seus anexos, acompanhado da respectiva nota fiscal.</w:t>
      </w:r>
    </w:p>
    <w:p>
      <w:pPr>
        <w:pStyle w:val="Normal"/>
        <w:numPr>
          <w:ilvl w:val="3"/>
          <w:numId w:val="1"/>
        </w:numPr>
        <w:spacing w:lineRule="auto" w:line="276" w:before="120" w:after="120"/>
        <w:ind w:left="1701" w:hanging="0"/>
        <w:jc w:val="both"/>
        <w:rPr>
          <w:rFonts w:ascii="Calibri" w:hAnsi="Calibri" w:eastAsia="Calibri" w:cs="Calibri"/>
          <w:sz w:val="24"/>
          <w:szCs w:val="24"/>
        </w:rPr>
      </w:pPr>
      <w:r>
        <w:rPr>
          <w:rFonts w:eastAsia="Calibri" w:cs="Calibri" w:ascii="Calibri Light" w:hAnsi="Calibri Light"/>
          <w:sz w:val="24"/>
          <w:szCs w:val="24"/>
        </w:rPr>
        <w:t>O objeto deve estar acompanhado do manual do usuário, com uma versão em português e da relação da rede de assistência técnica autorizada;</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responsabilizar-se pelos vícios e danos decorrentes do objeto, de acordo com os artigos 12, 13 e 17 a 27, do Código de Defesa do Consumidor (Lei nº 8.078, de 1990);</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substituir, reparar ou corrigir, às suas expensas, no prazo fixado neste Termo de Referência, o objeto com avarias ou defeitos;</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comunicar à Contratante, no prazo máximo de 24 (vinte e quatro) horas que antecede a data da entrega, os motivos que impossibilitem o cumprimento do prazo previsto, com a devida comprovação;</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manter, durante toda a execução do contrato, em compatibilidade com as obrigações assumidas, todas as condições de habilitação e qualificação exigidas na licitação;</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indicar preposto para representá-la durante a execução do contrato.</w:t>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color w:val="000000"/>
          <w:sz w:val="24"/>
          <w:szCs w:val="24"/>
        </w:rPr>
        <w:t>DA SUBCONTRATAÇÃO</w:t>
      </w:r>
    </w:p>
    <w:p>
      <w:pPr>
        <w:pStyle w:val="Normal"/>
        <w:spacing w:lineRule="auto" w:line="276" w:before="120" w:after="120"/>
        <w:ind w:left="425" w:hanging="0"/>
        <w:jc w:val="both"/>
        <w:rPr>
          <w:rFonts w:ascii="Calibri Light" w:hAnsi="Calibri Light"/>
        </w:rPr>
      </w:pPr>
      <w:r>
        <w:rPr>
          <w:rFonts w:eastAsia="Calibri" w:cs="Calibri" w:ascii="Calibri Light" w:hAnsi="Calibri Light"/>
          <w:sz w:val="24"/>
          <w:szCs w:val="24"/>
        </w:rPr>
        <w:t>8.1 Não será admitida a subcontratação do objeto da dispensa de licitação.</w:t>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color w:val="000000"/>
          <w:sz w:val="24"/>
          <w:szCs w:val="24"/>
        </w:rPr>
        <w:t>DA ALTERAÇÃO SUBJETIVA</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color w:val="000000"/>
          <w:sz w:val="24"/>
          <w:szCs w:val="24"/>
        </w:rPr>
        <w:t xml:space="preserve">DO CONTROLE </w:t>
      </w:r>
      <w:r>
        <w:rPr>
          <w:rFonts w:eastAsia="Calibri" w:cs="Calibri" w:ascii="Calibri Light" w:hAnsi="Calibri Light"/>
          <w:b/>
          <w:sz w:val="24"/>
          <w:szCs w:val="24"/>
        </w:rPr>
        <w:t xml:space="preserve">E FISCALIZAÇÃO DA </w:t>
      </w:r>
      <w:r>
        <w:rPr>
          <w:rFonts w:eastAsia="Calibri" w:cs="Calibri" w:ascii="Calibri Light" w:hAnsi="Calibri Light"/>
          <w:b/>
          <w:color w:val="000000"/>
          <w:sz w:val="24"/>
          <w:szCs w:val="24"/>
        </w:rPr>
        <w:t>EXECUÇÃO</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color w:val="000000"/>
          <w:sz w:val="24"/>
          <w:szCs w:val="24"/>
        </w:rPr>
        <w:t>Nos termos do art. 67 Lei nº 8.666, de 1993, será designado representante para acompanhar e fiscalizar a entrega dos bens, anotando em registro próprio todas as ocorrências relacionadas com a execução e determinando o que for necessário à regularização de falhas ou defeitos observados.</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O recebimento de material será confiado a uma comissão de, no mínimo, 3 (três) membros, designados pela autoridade competente.</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color w:val="000000"/>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color w:val="000000"/>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color w:val="000000"/>
          <w:sz w:val="24"/>
          <w:szCs w:val="24"/>
        </w:rPr>
        <w:t>DO PAGAMENTO</w:t>
      </w:r>
    </w:p>
    <w:p>
      <w:pPr>
        <w:pStyle w:val="Normal"/>
        <w:spacing w:lineRule="auto" w:line="276" w:before="120" w:after="120"/>
        <w:ind w:left="425" w:hanging="0"/>
        <w:jc w:val="both"/>
        <w:rPr>
          <w:rFonts w:ascii="Calibri Light" w:hAnsi="Calibri Light" w:eastAsia="Calibri" w:cs="Calibri"/>
          <w:color w:val="000000"/>
          <w:sz w:val="24"/>
          <w:szCs w:val="24"/>
        </w:rPr>
      </w:pPr>
      <w:r>
        <w:rPr>
          <w:rFonts w:eastAsia="Calibri" w:cs="Calibri" w:ascii="Calibri Light" w:hAnsi="Calibri Light"/>
          <w:color w:val="000000"/>
          <w:sz w:val="24"/>
          <w:szCs w:val="24"/>
        </w:rPr>
      </w:r>
    </w:p>
    <w:p>
      <w:pPr>
        <w:pStyle w:val="Normal"/>
        <w:numPr>
          <w:ilvl w:val="1"/>
          <w:numId w:val="1"/>
        </w:numPr>
        <w:spacing w:lineRule="auto" w:line="276" w:before="120" w:after="0"/>
        <w:jc w:val="both"/>
        <w:rPr>
          <w:rFonts w:ascii="Calibri Light" w:hAnsi="Calibri Light"/>
        </w:rPr>
      </w:pPr>
      <w:r>
        <w:rPr>
          <w:rFonts w:eastAsia="Calibri" w:cs="Calibri" w:ascii="Calibri Light" w:hAnsi="Calibri Light"/>
          <w:color w:val="000000"/>
          <w:sz w:val="24"/>
          <w:szCs w:val="24"/>
        </w:rPr>
        <w:t xml:space="preserve">O pagamento será realizado no prazo máximo de até </w:t>
      </w:r>
      <w:r>
        <w:rPr>
          <w:rFonts w:eastAsia="Calibri" w:cs="Calibri" w:ascii="Calibri Light" w:hAnsi="Calibri Light"/>
          <w:sz w:val="24"/>
          <w:szCs w:val="24"/>
        </w:rPr>
        <w:t xml:space="preserve">30 (trinta.) </w:t>
      </w:r>
      <w:r>
        <w:rPr>
          <w:rFonts w:eastAsia="Calibri" w:cs="Calibri" w:ascii="Calibri Light" w:hAnsi="Calibri Light"/>
          <w:color w:val="000000"/>
          <w:sz w:val="24"/>
          <w:szCs w:val="24"/>
        </w:rPr>
        <w:t>dias, contados a partir do recebimento da Nota Fiscal ou Fatura, através de ordem bancária, para crédito em banco, agência e conta corrente indicados pelo contratado.</w:t>
      </w:r>
    </w:p>
    <w:p>
      <w:pPr>
        <w:pStyle w:val="Normal"/>
        <w:numPr>
          <w:ilvl w:val="2"/>
          <w:numId w:val="1"/>
        </w:numPr>
        <w:spacing w:lineRule="auto" w:line="276"/>
        <w:jc w:val="both"/>
        <w:rPr>
          <w:rFonts w:ascii="Calibri Light" w:hAnsi="Calibri Light"/>
        </w:rPr>
      </w:pPr>
      <w:r>
        <w:rPr>
          <w:rFonts w:eastAsia="Calibri" w:cs="Calibri" w:ascii="Calibri Light" w:hAnsi="Calibri Light"/>
          <w:sz w:val="24"/>
          <w:szCs w:val="24"/>
        </w:rPr>
        <w:t>Os pagamentos decorrentes de despesas cujos valores não ultrapassem o limite de que trata o inciso II do art. 24 da Lei 8.666, de 1993, deverão ser efetuados no prazo de até 5 (cinco) dias úteis, contados da data da apresentação da Nota Fiscal, nos termos do art. 5º, § 3º, da Lei nº 8.666, de 1993</w:t>
      </w:r>
      <w:r>
        <w:rPr>
          <w:rFonts w:eastAsia="Calibri" w:cs="Calibri" w:ascii="Calibri Light" w:hAnsi="Calibri Light"/>
          <w:color w:val="000000"/>
          <w:sz w:val="24"/>
          <w:szCs w:val="24"/>
        </w:rPr>
        <w:t>.</w:t>
      </w:r>
    </w:p>
    <w:p>
      <w:pPr>
        <w:pStyle w:val="Normal"/>
        <w:spacing w:lineRule="auto" w:line="276"/>
        <w:ind w:left="1436" w:hanging="0"/>
        <w:jc w:val="both"/>
        <w:rPr>
          <w:rFonts w:ascii="Calibri Light" w:hAnsi="Calibri Light" w:eastAsia="Calibri" w:cs="Calibri"/>
          <w:color w:val="000000"/>
          <w:sz w:val="24"/>
          <w:szCs w:val="24"/>
        </w:rPr>
      </w:pPr>
      <w:r>
        <w:rPr>
          <w:rFonts w:eastAsia="Calibri" w:cs="Calibri" w:ascii="Calibri Light" w:hAnsi="Calibri Light"/>
          <w:color w:val="000000"/>
          <w:sz w:val="24"/>
          <w:szCs w:val="24"/>
        </w:rPr>
      </w:r>
    </w:p>
    <w:p>
      <w:pPr>
        <w:pStyle w:val="Normal"/>
        <w:numPr>
          <w:ilvl w:val="1"/>
          <w:numId w:val="1"/>
        </w:numPr>
        <w:spacing w:lineRule="auto" w:line="276" w:before="0" w:after="120"/>
        <w:jc w:val="both"/>
        <w:rPr>
          <w:rFonts w:ascii="Calibri Light" w:hAnsi="Calibri Light"/>
        </w:rPr>
      </w:pPr>
      <w:r>
        <w:rPr>
          <w:rFonts w:eastAsia="Calibri" w:cs="Calibri" w:ascii="Calibri Light" w:hAnsi="Calibri Light"/>
          <w:color w:val="000000"/>
          <w:sz w:val="24"/>
          <w:szCs w:val="24"/>
        </w:rPr>
        <w:t>Considera-se ocorrido o recebimento da nota fiscal ou fatura no momento em que o órgão contratante atestar a execução do objeto do contrato.</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color w:val="000000"/>
          <w:sz w:val="24"/>
          <w:szCs w:val="24"/>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29 da Lei nº 8.666, de 1993. </w:t>
      </w:r>
    </w:p>
    <w:p>
      <w:pPr>
        <w:pStyle w:val="Normal"/>
        <w:numPr>
          <w:ilvl w:val="2"/>
          <w:numId w:val="1"/>
        </w:numPr>
        <w:spacing w:lineRule="auto" w:line="276" w:before="120" w:after="120"/>
        <w:jc w:val="both"/>
        <w:rPr>
          <w:rFonts w:ascii="Calibri Light" w:hAnsi="Calibri Light"/>
        </w:rPr>
      </w:pPr>
      <w:r>
        <w:rPr>
          <w:rFonts w:eastAsia="Calibri" w:cs="Calibri" w:ascii="Calibri Light" w:hAnsi="Calibri Light"/>
          <w:color w:val="000000"/>
          <w:sz w:val="24"/>
          <w:szCs w:val="24"/>
        </w:rPr>
        <w:t>Constatando-se, junto ao SICAF, a situação de irregularidade do fornecedor contratado, deverão ser tomadas as providências previstas no do art. 31 da Instrução Normativa nº 3, de 26 de abril de 2018.</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color w:val="000000"/>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Será considerada data do pagamento o dia em que constar como emitida a ordem bancária para pagamento.</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Antes de cada pagamento à contratada, será realizada consulta ao SICAF para verificar a manutenção das condições de habilitação exigidas no edital.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Persistindo a irregularidade, a contratante deverá adotar as medidas necessárias à rescisão contratual nos autos do processo administrativo correspondente, assegurada à contratada a ampla defesa.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Havendo a efetiva execução do objeto, os pagamentos serão realizados normalmente, até que se decida pela rescisão do contrato, caso a contratada não regularize sua situação junto ao SICAF.  </w:t>
      </w:r>
    </w:p>
    <w:p>
      <w:pPr>
        <w:pStyle w:val="Normal"/>
        <w:spacing w:lineRule="auto" w:line="276" w:before="120" w:after="0"/>
        <w:ind w:left="716" w:hanging="0"/>
        <w:jc w:val="both"/>
        <w:rPr>
          <w:color w:val="000000"/>
        </w:rPr>
      </w:pPr>
      <w:r>
        <w:rPr>
          <w:rFonts w:eastAsia="Calibri" w:cs="Calibri" w:ascii="Calibri Light" w:hAnsi="Calibri Light"/>
          <w:sz w:val="24"/>
          <w:szCs w:val="24"/>
        </w:rPr>
        <w:t>10.11.1.Será rescindido o contrato em execução com a contratada inadimplente no SICAF, salvo por motivo de economicidade, segurança nacional ou outro de interesse público de alta relevância, devidamente justificado, em qualquer caso, pela máxima autoridade da contratante.</w:t>
      </w:r>
    </w:p>
    <w:p>
      <w:pPr>
        <w:pStyle w:val="Normal"/>
        <w:numPr>
          <w:ilvl w:val="1"/>
          <w:numId w:val="1"/>
        </w:numPr>
        <w:spacing w:lineRule="auto" w:line="276" w:before="0" w:after="120"/>
        <w:jc w:val="both"/>
        <w:rPr>
          <w:rFonts w:ascii="Calibri Light" w:hAnsi="Calibri Light"/>
        </w:rPr>
      </w:pPr>
      <w:r>
        <w:rPr>
          <w:rFonts w:eastAsia="Calibri" w:cs="Calibri" w:ascii="Calibri Light" w:hAnsi="Calibri Light"/>
          <w:color w:val="000000"/>
          <w:sz w:val="24"/>
          <w:szCs w:val="24"/>
        </w:rPr>
        <w:t>Quando do pagamento, será efetuada a retenção tributária prevista na legislação aplicável.</w:t>
      </w:r>
    </w:p>
    <w:p>
      <w:pPr>
        <w:pStyle w:val="Normal"/>
        <w:numPr>
          <w:ilvl w:val="2"/>
          <w:numId w:val="1"/>
        </w:numPr>
        <w:tabs>
          <w:tab w:val="left" w:pos="1440" w:leader="none"/>
        </w:tabs>
        <w:spacing w:lineRule="auto" w:line="276" w:before="120" w:after="120"/>
        <w:ind w:left="1134" w:hanging="0"/>
        <w:jc w:val="both"/>
        <w:rPr>
          <w:rFonts w:ascii="Calibri Light" w:hAnsi="Calibri Light"/>
        </w:rPr>
      </w:pPr>
      <w:r>
        <w:rPr>
          <w:rFonts w:eastAsia="Calibri" w:cs="Calibri" w:ascii="Calibri Light" w:hAnsi="Calibri Light"/>
          <w:color w:val="000000"/>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spacing w:lineRule="auto" w:line="276" w:before="120" w:after="120"/>
        <w:jc w:val="both"/>
        <w:rPr>
          <w:color w:val="000000"/>
        </w:rPr>
      </w:pPr>
      <w:r>
        <w:rPr>
          <w:rFonts w:eastAsia="Calibri" w:cs="Calibri" w:ascii="Calibri Light" w:hAnsi="Calibri Light"/>
          <w:sz w:val="24"/>
          <w:szCs w:val="24"/>
        </w:rPr>
        <w:t xml:space="preserve"> </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color w:val="000000"/>
          <w:sz w:val="24"/>
          <w:szCs w:val="24"/>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pPr>
        <w:pStyle w:val="Normal"/>
        <w:tabs>
          <w:tab w:val="left" w:pos="1701" w:leader="none"/>
        </w:tabs>
        <w:spacing w:lineRule="auto" w:line="276" w:before="120" w:after="120"/>
        <w:ind w:left="425" w:hanging="0"/>
        <w:jc w:val="both"/>
        <w:rPr>
          <w:color w:val="000000"/>
        </w:rPr>
      </w:pPr>
      <w:r>
        <w:rPr>
          <w:rFonts w:eastAsia="Calibri" w:cs="Calibri" w:ascii="Calibri Light" w:hAnsi="Calibri Light"/>
          <w:color w:val="000000"/>
          <w:sz w:val="24"/>
          <w:szCs w:val="24"/>
        </w:rPr>
        <w:t>EM = I x N x VP, sendo:</w:t>
      </w:r>
    </w:p>
    <w:p>
      <w:pPr>
        <w:pStyle w:val="Normal"/>
        <w:tabs>
          <w:tab w:val="left" w:pos="1701" w:leader="none"/>
        </w:tabs>
        <w:spacing w:lineRule="auto" w:line="276" w:before="120" w:after="120"/>
        <w:ind w:left="425" w:hanging="0"/>
        <w:jc w:val="both"/>
        <w:rPr>
          <w:color w:val="000000"/>
        </w:rPr>
      </w:pPr>
      <w:r>
        <w:rPr>
          <w:rFonts w:eastAsia="Calibri" w:cs="Calibri" w:ascii="Calibri Light" w:hAnsi="Calibri Light"/>
          <w:color w:val="000000"/>
          <w:sz w:val="24"/>
          <w:szCs w:val="24"/>
        </w:rPr>
        <w:t>EM = Encargos moratórios;</w:t>
      </w:r>
    </w:p>
    <w:p>
      <w:pPr>
        <w:pStyle w:val="Normal"/>
        <w:tabs>
          <w:tab w:val="left" w:pos="1701" w:leader="none"/>
        </w:tabs>
        <w:spacing w:lineRule="auto" w:line="276" w:before="120" w:after="120"/>
        <w:ind w:left="425" w:hanging="0"/>
        <w:jc w:val="both"/>
        <w:rPr>
          <w:color w:val="000000"/>
        </w:rPr>
      </w:pPr>
      <w:r>
        <w:rPr>
          <w:rFonts w:eastAsia="Calibri" w:cs="Calibri" w:ascii="Calibri Light" w:hAnsi="Calibri Light"/>
          <w:color w:val="000000"/>
          <w:sz w:val="24"/>
          <w:szCs w:val="24"/>
        </w:rPr>
        <w:t>N = Número de dias entre a data prevista para o pagamento e a do efetivo pagamento;</w:t>
      </w:r>
    </w:p>
    <w:p>
      <w:pPr>
        <w:pStyle w:val="Normal"/>
        <w:tabs>
          <w:tab w:val="left" w:pos="1701" w:leader="none"/>
        </w:tabs>
        <w:spacing w:lineRule="auto" w:line="276" w:before="120" w:after="120"/>
        <w:ind w:left="425" w:hanging="0"/>
        <w:jc w:val="both"/>
        <w:rPr>
          <w:color w:val="000000"/>
        </w:rPr>
      </w:pPr>
      <w:r>
        <w:rPr>
          <w:rFonts w:eastAsia="Calibri" w:cs="Calibri" w:ascii="Calibri Light" w:hAnsi="Calibri Light"/>
          <w:color w:val="000000"/>
          <w:sz w:val="24"/>
          <w:szCs w:val="24"/>
        </w:rPr>
        <w:t>VP = Valor da parcela a ser paga.</w:t>
      </w:r>
    </w:p>
    <w:p>
      <w:pPr>
        <w:pStyle w:val="Normal"/>
        <w:tabs>
          <w:tab w:val="left" w:pos="1701" w:leader="none"/>
        </w:tabs>
        <w:spacing w:lineRule="auto" w:line="276" w:before="120" w:after="120"/>
        <w:ind w:left="425" w:hanging="0"/>
        <w:jc w:val="both"/>
        <w:rPr>
          <w:color w:val="000000"/>
        </w:rPr>
      </w:pPr>
      <w:r>
        <w:rPr>
          <w:rFonts w:eastAsia="Calibri" w:cs="Calibri" w:ascii="Calibri Light" w:hAnsi="Calibri Light"/>
          <w:color w:val="000000"/>
          <w:sz w:val="24"/>
          <w:szCs w:val="24"/>
        </w:rPr>
        <w:t>I = Índice de compensação financeira = 0,00016438, assim apurado:</w:t>
      </w:r>
    </w:p>
    <w:tbl>
      <w:tblPr>
        <w:tblW w:w="8646" w:type="dxa"/>
        <w:jc w:val="left"/>
        <w:tblInd w:w="425" w:type="dxa"/>
        <w:tblBorders/>
        <w:tblCellMar>
          <w:top w:w="0" w:type="dxa"/>
          <w:left w:w="113" w:type="dxa"/>
          <w:bottom w:w="0" w:type="dxa"/>
          <w:right w:w="108" w:type="dxa"/>
        </w:tblCellMar>
        <w:tblLook w:val="0400" w:noVBand="1" w:noHBand="0" w:lastColumn="0" w:firstColumn="0" w:lastRow="0" w:firstRow="0"/>
      </w:tblPr>
      <w:tblGrid>
        <w:gridCol w:w="2145"/>
        <w:gridCol w:w="576"/>
        <w:gridCol w:w="1248"/>
        <w:gridCol w:w="4676"/>
      </w:tblGrid>
      <w:tr>
        <w:trPr/>
        <w:tc>
          <w:tcPr>
            <w:tcW w:w="2145" w:type="dxa"/>
            <w:tcBorders/>
            <w:shd w:color="auto" w:fill="auto" w:val="clear"/>
            <w:vAlign w:val="center"/>
          </w:tcPr>
          <w:p>
            <w:pPr>
              <w:pStyle w:val="Normal"/>
              <w:widowControl w:val="false"/>
              <w:tabs>
                <w:tab w:val="left" w:pos="1701" w:leader="none"/>
              </w:tabs>
              <w:jc w:val="center"/>
              <w:rPr>
                <w:color w:val="000000"/>
              </w:rPr>
            </w:pPr>
            <w:r>
              <w:rPr>
                <w:rFonts w:eastAsia="Calibri" w:cs="Calibri" w:ascii="Calibri Light" w:hAnsi="Calibri Light"/>
                <w:color w:val="000000"/>
                <w:sz w:val="24"/>
                <w:szCs w:val="24"/>
              </w:rPr>
              <w:t>I = (TX)</w:t>
            </w:r>
          </w:p>
        </w:tc>
        <w:tc>
          <w:tcPr>
            <w:tcW w:w="576" w:type="dxa"/>
            <w:tcBorders/>
            <w:shd w:color="auto" w:fill="auto" w:val="clear"/>
            <w:vAlign w:val="center"/>
          </w:tcPr>
          <w:p>
            <w:pPr>
              <w:pStyle w:val="Normal"/>
              <w:widowControl w:val="false"/>
              <w:tabs>
                <w:tab w:val="left" w:pos="1701" w:leader="none"/>
              </w:tabs>
              <w:rPr>
                <w:color w:val="000000"/>
              </w:rPr>
            </w:pPr>
            <w:r>
              <w:rPr>
                <w:rFonts w:eastAsia="Calibri" w:cs="Calibri" w:ascii="Calibri Light" w:hAnsi="Calibri Light"/>
                <w:color w:val="000000"/>
                <w:sz w:val="24"/>
                <w:szCs w:val="24"/>
              </w:rPr>
              <w:t xml:space="preserve">I = </w:t>
            </w:r>
          </w:p>
        </w:tc>
        <w:tc>
          <w:tcPr>
            <w:tcW w:w="1248" w:type="dxa"/>
            <w:tcBorders>
              <w:bottom w:val="single" w:sz="4" w:space="0" w:color="000001"/>
              <w:insideH w:val="single" w:sz="4" w:space="0" w:color="000001"/>
            </w:tcBorders>
            <w:shd w:color="auto" w:fill="auto" w:val="clear"/>
          </w:tcPr>
          <w:p>
            <w:pPr>
              <w:pStyle w:val="Normal"/>
              <w:widowControl w:val="false"/>
              <w:tabs>
                <w:tab w:val="left" w:pos="1701" w:leader="none"/>
              </w:tabs>
              <w:jc w:val="center"/>
              <w:rPr>
                <w:color w:val="000000"/>
              </w:rPr>
            </w:pPr>
            <w:r>
              <w:rPr>
                <w:rFonts w:eastAsia="Calibri" w:cs="Calibri" w:ascii="Calibri Light" w:hAnsi="Calibri Light"/>
                <w:color w:val="000000"/>
                <w:sz w:val="24"/>
                <w:szCs w:val="24"/>
              </w:rPr>
              <w:t>( 6 / 100 )</w:t>
            </w:r>
          </w:p>
        </w:tc>
        <w:tc>
          <w:tcPr>
            <w:tcW w:w="4676" w:type="dxa"/>
            <w:tcBorders/>
            <w:shd w:color="auto" w:fill="auto" w:val="clear"/>
            <w:vAlign w:val="center"/>
          </w:tcPr>
          <w:p>
            <w:pPr>
              <w:pStyle w:val="Normal"/>
              <w:widowControl w:val="false"/>
              <w:tabs>
                <w:tab w:val="left" w:pos="1701" w:leader="none"/>
              </w:tabs>
              <w:ind w:left="742" w:hanging="0"/>
              <w:rPr>
                <w:color w:val="000000"/>
              </w:rPr>
            </w:pPr>
            <w:r>
              <w:rPr>
                <w:rFonts w:eastAsia="Calibri" w:cs="Calibri" w:ascii="Calibri Light" w:hAnsi="Calibri Light"/>
                <w:color w:val="000000"/>
                <w:sz w:val="24"/>
                <w:szCs w:val="24"/>
              </w:rPr>
              <w:t>I = 0,00016438</w:t>
            </w:r>
          </w:p>
          <w:p>
            <w:pPr>
              <w:pStyle w:val="Normal"/>
              <w:widowControl w:val="false"/>
              <w:tabs>
                <w:tab w:val="left" w:pos="1701" w:leader="none"/>
              </w:tabs>
              <w:ind w:left="742" w:hanging="0"/>
              <w:rPr>
                <w:color w:val="000000"/>
              </w:rPr>
            </w:pPr>
            <w:r>
              <w:rPr>
                <w:rFonts w:eastAsia="Calibri" w:cs="Calibri" w:ascii="Calibri Light" w:hAnsi="Calibri Light"/>
                <w:color w:val="000000"/>
                <w:sz w:val="24"/>
                <w:szCs w:val="24"/>
              </w:rPr>
              <w:t>TX = Percentual da taxa anual = 6%</w:t>
            </w:r>
          </w:p>
        </w:tc>
      </w:tr>
    </w:tbl>
    <w:p>
      <w:pPr>
        <w:pStyle w:val="Normal"/>
        <w:rPr>
          <w:rFonts w:ascii="Calibri" w:hAnsi="Calibri" w:eastAsia="Calibri" w:cs="Calibri"/>
          <w:sz w:val="24"/>
          <w:szCs w:val="24"/>
        </w:rPr>
      </w:pPr>
      <w:r>
        <w:rPr>
          <w:rFonts w:eastAsia="Calibri" w:cs="Calibri" w:ascii="Calibri Light" w:hAnsi="Calibri Light"/>
          <w:sz w:val="24"/>
          <w:szCs w:val="24"/>
        </w:rPr>
        <w:t xml:space="preserve">                                                            </w:t>
      </w:r>
      <w:r>
        <w:rPr>
          <w:rFonts w:eastAsia="Calibri" w:cs="Calibri" w:ascii="Calibri Light" w:hAnsi="Calibri Light"/>
          <w:sz w:val="24"/>
          <w:szCs w:val="24"/>
        </w:rPr>
        <w:t>365</w:t>
      </w:r>
    </w:p>
    <w:p>
      <w:pPr>
        <w:pStyle w:val="Normal"/>
        <w:rPr>
          <w:rFonts w:ascii="Calibri Light" w:hAnsi="Calibri Light" w:eastAsia="Calibri" w:cs="Calibri"/>
          <w:sz w:val="24"/>
          <w:szCs w:val="24"/>
        </w:rPr>
      </w:pPr>
      <w:r>
        <w:rPr>
          <w:rFonts w:eastAsia="Calibri" w:cs="Calibri" w:ascii="Calibri Light" w:hAnsi="Calibri Light"/>
          <w:sz w:val="24"/>
          <w:szCs w:val="24"/>
        </w:rPr>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color w:val="000000"/>
          <w:sz w:val="24"/>
          <w:szCs w:val="24"/>
        </w:rPr>
        <w:t xml:space="preserve">DO REAJUSTE </w:t>
      </w:r>
    </w:p>
    <w:p>
      <w:pPr>
        <w:pStyle w:val="Normal"/>
        <w:rPr>
          <w:rFonts w:ascii="Calibri Light" w:hAnsi="Calibri Light" w:eastAsia="Calibri" w:cs="Calibri"/>
          <w:sz w:val="24"/>
          <w:szCs w:val="24"/>
        </w:rPr>
      </w:pPr>
      <w:r>
        <w:rPr>
          <w:rFonts w:eastAsia="Calibri" w:cs="Calibri" w:ascii="Calibri Light" w:hAnsi="Calibri Light"/>
          <w:sz w:val="24"/>
          <w:szCs w:val="24"/>
        </w:rPr>
      </w:r>
    </w:p>
    <w:p>
      <w:pPr>
        <w:pStyle w:val="Normal"/>
        <w:numPr>
          <w:ilvl w:val="1"/>
          <w:numId w:val="1"/>
        </w:numPr>
        <w:spacing w:lineRule="auto" w:line="276" w:before="120" w:after="0"/>
        <w:ind w:left="425" w:hanging="0"/>
        <w:jc w:val="both"/>
        <w:rPr>
          <w:rFonts w:ascii="Calibri Light" w:hAnsi="Calibri Light"/>
        </w:rPr>
      </w:pPr>
      <w:r>
        <w:rPr>
          <w:rFonts w:eastAsia="Calibri" w:cs="Calibri" w:ascii="Calibri Light" w:hAnsi="Calibri Light"/>
          <w:color w:val="000000"/>
          <w:sz w:val="24"/>
          <w:szCs w:val="24"/>
        </w:rPr>
        <w:t>Os preços são fixos e irreajustáveis no prazo de um ano contado da data limite para a apresentação das propostas.</w:t>
      </w:r>
    </w:p>
    <w:p>
      <w:pPr>
        <w:pStyle w:val="Normal"/>
        <w:numPr>
          <w:ilvl w:val="1"/>
          <w:numId w:val="1"/>
        </w:numPr>
        <w:spacing w:lineRule="auto" w:line="276"/>
        <w:ind w:left="425" w:hanging="0"/>
        <w:jc w:val="both"/>
        <w:rPr>
          <w:rFonts w:ascii="Calibri Light" w:hAnsi="Calibri Light"/>
        </w:rPr>
      </w:pPr>
      <w:r>
        <w:rPr>
          <w:rFonts w:eastAsia="Calibri" w:cs="Calibri" w:ascii="Calibri Light" w:hAnsi="Calibri Light"/>
          <w:color w:val="000000"/>
          <w:sz w:val="24"/>
          <w:szCs w:val="24"/>
        </w:rPr>
        <w:t>Nos reajustes subsequentes ao primeiro, o interregno mínimo de um ano será contado a partir dos efeitos financeiros do último reajuste.</w:t>
      </w:r>
    </w:p>
    <w:p>
      <w:pPr>
        <w:pStyle w:val="Normal"/>
        <w:numPr>
          <w:ilvl w:val="1"/>
          <w:numId w:val="1"/>
        </w:numPr>
        <w:spacing w:lineRule="auto" w:line="276"/>
        <w:ind w:left="425" w:hanging="0"/>
        <w:jc w:val="both"/>
        <w:rPr>
          <w:rFonts w:ascii="Calibri Light" w:hAnsi="Calibri Light"/>
        </w:rPr>
      </w:pPr>
      <w:r>
        <w:rPr>
          <w:rFonts w:eastAsia="Calibri" w:cs="Calibri" w:ascii="Calibri Light" w:hAnsi="Calibri Light"/>
          <w:color w:val="000000"/>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pPr>
        <w:pStyle w:val="Normal"/>
        <w:numPr>
          <w:ilvl w:val="1"/>
          <w:numId w:val="1"/>
        </w:numPr>
        <w:spacing w:lineRule="auto" w:line="276"/>
        <w:ind w:left="425" w:hanging="0"/>
        <w:jc w:val="both"/>
        <w:rPr>
          <w:rFonts w:ascii="Calibri Light" w:hAnsi="Calibri Light"/>
        </w:rPr>
      </w:pPr>
      <w:r>
        <w:rPr>
          <w:rFonts w:eastAsia="Calibri" w:cs="Calibri" w:ascii="Calibri Light" w:hAnsi="Calibri Light"/>
          <w:color w:val="000000"/>
          <w:sz w:val="24"/>
          <w:szCs w:val="24"/>
        </w:rPr>
        <w:t>Nas aferições finais, o índice utilizado para reajuste será, obrigatoriamente, o definitivo.</w:t>
      </w:r>
    </w:p>
    <w:p>
      <w:pPr>
        <w:pStyle w:val="Normal"/>
        <w:numPr>
          <w:ilvl w:val="1"/>
          <w:numId w:val="1"/>
        </w:numPr>
        <w:spacing w:lineRule="auto" w:line="276"/>
        <w:ind w:left="425" w:hanging="0"/>
        <w:jc w:val="both"/>
        <w:rPr>
          <w:rFonts w:ascii="Calibri Light" w:hAnsi="Calibri Light"/>
        </w:rPr>
      </w:pPr>
      <w:r>
        <w:rPr>
          <w:rFonts w:eastAsia="Calibri" w:cs="Calibri" w:ascii="Calibri Light" w:hAnsi="Calibri Light"/>
          <w:color w:val="000000"/>
          <w:sz w:val="24"/>
          <w:szCs w:val="24"/>
        </w:rPr>
        <w:t>Caso o índice estabelecido para reajustamento venha a ser extinto ou de qualquer forma não possa mais ser utilizado, será adotado, em substituição, o que vier a ser determinado pela legislação então em vigor.</w:t>
      </w:r>
    </w:p>
    <w:p>
      <w:pPr>
        <w:pStyle w:val="Normal"/>
        <w:numPr>
          <w:ilvl w:val="1"/>
          <w:numId w:val="1"/>
        </w:numPr>
        <w:spacing w:lineRule="auto" w:line="276"/>
        <w:ind w:left="425" w:hanging="0"/>
        <w:jc w:val="both"/>
        <w:rPr>
          <w:rFonts w:ascii="Calibri Light" w:hAnsi="Calibri Light"/>
        </w:rPr>
      </w:pPr>
      <w:r>
        <w:rPr>
          <w:rFonts w:eastAsia="Calibri" w:cs="Calibri" w:ascii="Calibri Light" w:hAnsi="Calibri Light"/>
          <w:color w:val="000000"/>
          <w:sz w:val="24"/>
          <w:szCs w:val="24"/>
        </w:rPr>
        <w:t xml:space="preserve">Na ausência de previsão legal quanto ao índice substituto, as partes elegerão novo índice oficial, para reajustamento do preço do valor remanescente, por meio de termo aditivo. </w:t>
      </w:r>
    </w:p>
    <w:p>
      <w:pPr>
        <w:pStyle w:val="Normal"/>
        <w:numPr>
          <w:ilvl w:val="1"/>
          <w:numId w:val="1"/>
        </w:numPr>
        <w:spacing w:lineRule="auto" w:line="276" w:before="0" w:after="120"/>
        <w:ind w:left="425" w:hanging="0"/>
        <w:jc w:val="both"/>
        <w:rPr>
          <w:rFonts w:ascii="Calibri Light" w:hAnsi="Calibri Light"/>
        </w:rPr>
      </w:pPr>
      <w:r>
        <w:rPr>
          <w:rFonts w:eastAsia="Calibri" w:cs="Calibri" w:ascii="Calibri Light" w:hAnsi="Calibri Light"/>
          <w:color w:val="000000"/>
          <w:sz w:val="24"/>
          <w:szCs w:val="24"/>
        </w:rPr>
        <w:t>O reajuste será realizado por apostilamento.</w:t>
      </w:r>
    </w:p>
    <w:p>
      <w:pPr>
        <w:pStyle w:val="Normal"/>
        <w:spacing w:lineRule="auto" w:line="276" w:before="0" w:after="120"/>
        <w:ind w:left="425" w:hanging="0"/>
        <w:jc w:val="both"/>
        <w:rPr>
          <w:rFonts w:ascii="Calibri Light" w:hAnsi="Calibri Light" w:eastAsia="Calibri" w:cs="Calibri"/>
          <w:color w:val="000000"/>
          <w:sz w:val="24"/>
          <w:szCs w:val="24"/>
        </w:rPr>
      </w:pPr>
      <w:r>
        <w:rPr>
          <w:rFonts w:eastAsia="Calibri" w:cs="Calibri" w:ascii="Calibri Light" w:hAnsi="Calibri Light"/>
          <w:color w:val="000000"/>
          <w:sz w:val="24"/>
          <w:szCs w:val="24"/>
        </w:rPr>
      </w:r>
    </w:p>
    <w:p>
      <w:pPr>
        <w:pStyle w:val="Normal"/>
        <w:keepNext/>
        <w:keepLines/>
        <w:numPr>
          <w:ilvl w:val="0"/>
          <w:numId w:val="1"/>
        </w:numPr>
        <w:spacing w:lineRule="auto" w:line="276" w:before="0" w:after="120"/>
        <w:jc w:val="both"/>
        <w:rPr>
          <w:rFonts w:ascii="Calibri Light" w:hAnsi="Calibri Light"/>
        </w:rPr>
      </w:pPr>
      <w:r>
        <w:rPr>
          <w:rFonts w:eastAsia="Calibri" w:cs="Calibri" w:ascii="Calibri Light" w:hAnsi="Calibri Light"/>
          <w:b/>
          <w:color w:val="000000"/>
          <w:sz w:val="24"/>
          <w:szCs w:val="24"/>
        </w:rPr>
        <w:t>DA GARANTIA DE EXECUÇÃO</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Não haverá exigência de garantia contratual da execução, pelas razões abaixo justificadas:</w:t>
      </w:r>
    </w:p>
    <w:p>
      <w:pPr>
        <w:pStyle w:val="Normal"/>
        <w:keepNext/>
        <w:keepLines/>
        <w:numPr>
          <w:ilvl w:val="0"/>
          <w:numId w:val="1"/>
        </w:numPr>
        <w:spacing w:lineRule="auto" w:line="276" w:before="480" w:after="120"/>
        <w:jc w:val="both"/>
        <w:rPr>
          <w:rFonts w:ascii="Calibri Light" w:hAnsi="Calibri Light"/>
        </w:rPr>
      </w:pPr>
      <w:r>
        <w:rPr>
          <w:rFonts w:eastAsia="Calibri" w:cs="Calibri" w:ascii="Calibri Light" w:hAnsi="Calibri Light"/>
          <w:b/>
          <w:sz w:val="24"/>
          <w:szCs w:val="24"/>
        </w:rPr>
        <w:t>A GARANTIA CONTRATUAL DOS BENS.</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O prazo de garantia contratual dos bens, complementar à garantia legal, é de, no mínimo, 09 (nove) meses, ou pelo prazo fornecido pelo fabricante, se superior, contado a partir do primeiro dia útil subsequente à data do recebimento definitivo do objeto. (Justificar a exigência de garantia e o prazo estabelecido)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A garantia será prestada com vistas a manter os equipamentos fornecidos em perfeitas condições de uso, sem qualquer ônus ou custo adicional para o Contratante.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A garantia abrange a realização da manutenção corretiva dos bens pela própria Contratada, ou, se for o caso, por meio de assistência técnica autorizada, de acordo com as normas técnicas específicas.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Entende-se por manutenção corretiva aquela destinada a corrigir os defeitos apresentados pelos bens, compreendendo a substituição de peças, a realização de ajustes, reparos e correções necessárias.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Uma vez notificada, a Contratada realizará a reparação ou substituição dos bens que apresentarem vício ou defeito no prazo de até 10 ( dez) dias úteis, contados a partir da data de retirada do equipamento das dependências da Administração pela Contratada ou pela assistência técnica autorizada.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O prazo indicado no subitem anterior, durante seu transcurso, poderá ser prorrogado uma única vez, por igual período, mediante solicitação escrita e justificada da Contratada, aceita pelo Contratante.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O custo referente ao transporte dos equipamentos cobertos pela garantia será de responsabilidade da Contratada.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i/>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pStyle w:val="Normal"/>
        <w:keepNext/>
        <w:keepLines/>
        <w:numPr>
          <w:ilvl w:val="0"/>
          <w:numId w:val="1"/>
        </w:numPr>
        <w:spacing w:lineRule="auto" w:line="276" w:before="480" w:after="120"/>
        <w:ind w:left="357" w:hanging="357"/>
        <w:jc w:val="both"/>
        <w:rPr>
          <w:rFonts w:ascii="Calibri Light" w:hAnsi="Calibri Light"/>
        </w:rPr>
      </w:pPr>
      <w:r>
        <w:rPr>
          <w:rFonts w:eastAsia="Calibri" w:cs="Calibri" w:ascii="Calibri Light" w:hAnsi="Calibri Light"/>
          <w:b/>
          <w:color w:val="000000"/>
          <w:sz w:val="24"/>
          <w:szCs w:val="24"/>
        </w:rPr>
        <w:t>DAS SANÇÕES ADMINISTRATIVAS</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sz w:val="24"/>
          <w:szCs w:val="24"/>
        </w:rPr>
        <w:t>Comete infração administrativa nos termos da Lei nº 10.520, de 2002, a Contratada que:</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inexecutar total ou parcialmente qualquer das obrigações assumidas em decorrência da contratação;</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ensejar o retardamento da execução do objeto;</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falhar ou fraudar na execução do contrato;</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comportar-se de modo inidôneo;</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cometer fraude fiscal;</w:t>
      </w:r>
    </w:p>
    <w:p>
      <w:pPr>
        <w:pStyle w:val="Normal"/>
        <w:numPr>
          <w:ilvl w:val="1"/>
          <w:numId w:val="1"/>
        </w:numPr>
        <w:spacing w:lineRule="auto" w:line="276" w:before="120" w:after="120"/>
        <w:ind w:left="716" w:right="-30" w:hanging="432"/>
        <w:jc w:val="both"/>
        <w:rPr>
          <w:rFonts w:ascii="Calibri Light" w:hAnsi="Calibri Light"/>
        </w:rPr>
      </w:pPr>
      <w:r>
        <w:rPr>
          <w:rFonts w:eastAsia="Calibri" w:cs="Calibri" w:ascii="Calibri Light" w:hAnsi="Calibri Light"/>
          <w:sz w:val="24"/>
          <w:szCs w:val="24"/>
        </w:rPr>
        <w:t xml:space="preserve">Pela inexecução </w:t>
      </w:r>
      <w:r>
        <w:rPr>
          <w:rFonts w:eastAsia="Calibri" w:cs="Calibri" w:ascii="Calibri Light" w:hAnsi="Calibri Light"/>
          <w:sz w:val="24"/>
          <w:szCs w:val="24"/>
          <w:u w:val="single"/>
        </w:rPr>
        <w:t>total ou parcial</w:t>
      </w:r>
      <w:r>
        <w:rPr>
          <w:rFonts w:eastAsia="Calibri" w:cs="Calibri" w:ascii="Calibri Light" w:hAnsi="Calibri Light"/>
          <w:sz w:val="24"/>
          <w:szCs w:val="24"/>
        </w:rPr>
        <w:t xml:space="preserve"> do objeto deste contrato, a Administração pode aplicar à CONTRATADA as seguintes sanções:</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Advertência,  por faltas leves, assim entendidas aquelas que não acarretem prejuízos significativos para a Contratante;</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multa moratória de 0,1% (0,1 por cento) por dia de atraso injustificado sobre o valor da parcela inadimplida, até o limite de 30 (trinta) dias;</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multa compensatória de 10% (dez por cento) sobre o valor total do contrato, no caso de inexecução total do objeto;</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em caso de inexecução parcial, a multa compensatória, no mesmo percentual do subitem acima, será aplicada de forma proporcional à obrigação inadimplida;</w:t>
      </w:r>
    </w:p>
    <w:p>
      <w:pPr>
        <w:pStyle w:val="Normal"/>
        <w:numPr>
          <w:ilvl w:val="2"/>
          <w:numId w:val="1"/>
        </w:numPr>
        <w:spacing w:lineRule="auto" w:line="276" w:before="120" w:after="120"/>
        <w:ind w:left="1134" w:hanging="0"/>
        <w:jc w:val="both"/>
        <w:rPr>
          <w:u w:val="single"/>
        </w:rPr>
      </w:pPr>
      <w:r>
        <w:rPr>
          <w:rFonts w:eastAsia="Calibri" w:cs="Calibri" w:ascii="Calibri Light" w:hAnsi="Calibri Light"/>
          <w:sz w:val="24"/>
          <w:szCs w:val="24"/>
        </w:rPr>
        <w:t xml:space="preserve">suspensão de licitar e impedimento de contratar com o órgão, entidade ou unidade administrativa pela qual a Administração Pública opera e atua concretamente, pelo prazo de até dois anos; </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impedimento de licitar e contratar com órgãos e entidades da União com o consequente descredenciamento no SICAF pelo prazo de até cinco anos;</w:t>
      </w:r>
    </w:p>
    <w:p>
      <w:pPr>
        <w:pStyle w:val="Normal"/>
        <w:numPr>
          <w:ilvl w:val="3"/>
          <w:numId w:val="1"/>
        </w:numPr>
        <w:spacing w:lineRule="auto" w:line="276" w:before="120" w:after="120"/>
        <w:ind w:left="2491" w:right="-30" w:hanging="647"/>
        <w:jc w:val="both"/>
        <w:rPr>
          <w:rFonts w:ascii="Ecofont_Spranq_eco_Sans" w:hAnsi="Ecofont_Spranq_eco_Sans" w:eastAsia="Ecofont_Spranq_eco_Sans" w:cs="Ecofont_Spranq_eco_Sans"/>
          <w:sz w:val="24"/>
          <w:szCs w:val="24"/>
        </w:rPr>
      </w:pPr>
      <w:r>
        <w:rPr>
          <w:rFonts w:eastAsia="Calibri" w:cs="Calibri" w:ascii="Calibri Light" w:hAnsi="Calibri Light"/>
          <w:sz w:val="24"/>
          <w:szCs w:val="24"/>
        </w:rPr>
        <w:t>A Sanção de impedimento de licitar e contratar prevista neste subitem também é aplicável em quaisquer das hipóteses previstas como infração administrativa no subitem 15.1 deste Termo de Referência.</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pPr>
        <w:pStyle w:val="Normal"/>
        <w:numPr>
          <w:ilvl w:val="1"/>
          <w:numId w:val="1"/>
        </w:numPr>
        <w:spacing w:lineRule="auto" w:line="276" w:before="120" w:after="120"/>
        <w:ind w:left="716" w:right="-30" w:hanging="432"/>
        <w:jc w:val="both"/>
        <w:rPr>
          <w:rFonts w:ascii="Calibri Light" w:hAnsi="Calibri Light"/>
        </w:rPr>
      </w:pPr>
      <w:r>
        <w:rPr>
          <w:rFonts w:eastAsia="Calibri" w:cs="Calibri" w:ascii="Calibri Light" w:hAnsi="Calibri Light"/>
          <w:sz w:val="24"/>
          <w:szCs w:val="24"/>
        </w:rPr>
        <w:t>As sanções previstas nos subitens 15.2.1, 15.2.5, 15.2.6 e 15.2.7 poderão ser aplicadas à CONTRATADA juntamente com as de multa, descontando-a dos pagamentos a serem efetuados.</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sz w:val="24"/>
          <w:szCs w:val="24"/>
        </w:rPr>
        <w:t>Também ficam sujeitas às penalidades do art. 87, III e IV da Lei nº 8.666, de 1993, as empresas ou profissionais que:</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tenham sofrido condenação definitiva por praticar, por meio dolosos, fraude fiscal no recolhimento de quaisquer tributos;</w:t>
      </w:r>
    </w:p>
    <w:p>
      <w:pPr>
        <w:pStyle w:val="Normal"/>
        <w:numPr>
          <w:ilvl w:val="2"/>
          <w:numId w:val="1"/>
        </w:numPr>
        <w:spacing w:lineRule="auto" w:line="276" w:before="120" w:after="120"/>
        <w:ind w:left="1134" w:hanging="0"/>
        <w:jc w:val="both"/>
        <w:rPr>
          <w:rFonts w:ascii="Calibri Light" w:hAnsi="Calibri Light"/>
        </w:rPr>
      </w:pPr>
      <w:r>
        <w:rPr>
          <w:rFonts w:eastAsia="Calibri" w:cs="Calibri" w:ascii="Calibri Light" w:hAnsi="Calibri Light"/>
          <w:sz w:val="24"/>
          <w:szCs w:val="24"/>
        </w:rPr>
        <w:t>tenham praticado atos ilícitos visando a frustrar os objetivos da licitação;</w:t>
      </w:r>
    </w:p>
    <w:p>
      <w:pPr>
        <w:pStyle w:val="Normal"/>
        <w:numPr>
          <w:ilvl w:val="2"/>
          <w:numId w:val="1"/>
        </w:numPr>
        <w:spacing w:lineRule="auto" w:line="276" w:before="240" w:after="120"/>
        <w:ind w:left="1134" w:right="-17" w:hanging="283"/>
        <w:jc w:val="both"/>
        <w:rPr>
          <w:rFonts w:ascii="Calibri Light" w:hAnsi="Calibri Light"/>
        </w:rPr>
      </w:pPr>
      <w:r>
        <w:rPr>
          <w:rFonts w:eastAsia="Calibri" w:cs="Calibri" w:ascii="Calibri Light" w:hAnsi="Calibri Light"/>
          <w:sz w:val="24"/>
          <w:szCs w:val="24"/>
        </w:rPr>
        <w:t>demonstrem não possuir idoneidade para contratar com a Administração em virtude de atos ilícitos praticados.</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sz w:val="24"/>
          <w:szCs w:val="24"/>
        </w:rPr>
        <w:t>A aplicação de qualquer das penalidades previstas realizar-se-á em processo administrativo que assegurará o contraditório e a ampla defesa à Contratada, observando-se o procedimento previsto na Lei nº 8.666, de 1993, e subsidiariamente a Lei nº 9.784, de 1999.</w:t>
      </w:r>
    </w:p>
    <w:p>
      <w:pPr>
        <w:pStyle w:val="Normal"/>
        <w:numPr>
          <w:ilvl w:val="1"/>
          <w:numId w:val="1"/>
        </w:numPr>
        <w:spacing w:lineRule="auto" w:line="276" w:before="120" w:after="120"/>
        <w:ind w:left="716" w:right="-30" w:hanging="432"/>
        <w:jc w:val="both"/>
        <w:rPr>
          <w:rFonts w:ascii="Calibri Light" w:hAnsi="Calibri Light"/>
        </w:rPr>
      </w:pPr>
      <w:r>
        <w:rPr>
          <w:rFonts w:eastAsia="Calibri" w:cs="Calibri" w:ascii="Calibri Light" w:hAnsi="Calibri Light"/>
          <w:sz w:val="24"/>
          <w:szCs w:val="24"/>
        </w:rPr>
        <w:t>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Normal"/>
        <w:numPr>
          <w:ilvl w:val="2"/>
          <w:numId w:val="1"/>
        </w:numPr>
        <w:spacing w:lineRule="auto" w:line="276" w:before="120" w:after="120"/>
        <w:ind w:left="930" w:right="-30" w:hanging="504"/>
        <w:jc w:val="both"/>
        <w:rPr>
          <w:rFonts w:ascii="Calibri Light" w:hAnsi="Calibri Light"/>
        </w:rPr>
      </w:pPr>
      <w:r>
        <w:rPr>
          <w:rFonts w:eastAsia="Calibri" w:cs="Calibri" w:ascii="Calibri Light" w:hAnsi="Calibri Light"/>
          <w:sz w:val="24"/>
          <w:szCs w:val="24"/>
        </w:rPr>
        <w:t>Caso a Contratante determine, a multa deverá ser recolhida no prazo máximo de 10 (dez dias, a contar da data do recebimento da comunicação enviada pela autoridade competente.</w:t>
      </w:r>
    </w:p>
    <w:p>
      <w:pPr>
        <w:pStyle w:val="Normal"/>
        <w:numPr>
          <w:ilvl w:val="1"/>
          <w:numId w:val="1"/>
        </w:numPr>
        <w:spacing w:lineRule="auto" w:line="276" w:before="120" w:after="120"/>
        <w:ind w:left="716" w:right="-30" w:hanging="432"/>
        <w:jc w:val="both"/>
        <w:rPr>
          <w:rFonts w:ascii="Calibri Light" w:hAnsi="Calibri Light"/>
        </w:rPr>
      </w:pPr>
      <w:r>
        <w:rPr>
          <w:rFonts w:eastAsia="Calibri" w:cs="Calibri" w:ascii="Calibri Light" w:hAnsi="Calibri Light"/>
          <w:sz w:val="24"/>
          <w:szCs w:val="24"/>
        </w:rPr>
        <w:t>Caso o valor da multa não seja suficiente para cobrir os prejuízos causados pela conduta do licitante, a União ou Entidade poderá cobrar o valor remanescente judicialmente, conforme artigo 419 do Código Civil.</w:t>
      </w:r>
    </w:p>
    <w:p>
      <w:pPr>
        <w:pStyle w:val="Normal"/>
        <w:numPr>
          <w:ilvl w:val="1"/>
          <w:numId w:val="1"/>
        </w:numPr>
        <w:spacing w:lineRule="auto" w:line="276" w:before="120" w:after="120"/>
        <w:ind w:left="716" w:right="-30" w:hanging="432"/>
        <w:jc w:val="both"/>
        <w:rPr>
          <w:rFonts w:ascii="Calibri Light" w:hAnsi="Calibri Light"/>
        </w:rPr>
      </w:pPr>
      <w:r>
        <w:rPr>
          <w:rFonts w:eastAsia="Calibri" w:cs="Calibri" w:ascii="Calibri Light" w:hAnsi="Calibri Light"/>
          <w:sz w:val="24"/>
          <w:szCs w:val="24"/>
        </w:rPr>
        <w:t>A autoridade competente, na aplicação das sanções, levará em consideração a gravidade da conduta do infrator, o caráter educativo da pena, bem como o dano causado à Administração, observado o princípio da proporcionalidade.</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jc w:val="both"/>
        <w:rPr>
          <w:rFonts w:ascii="Calibri Light" w:hAnsi="Calibri Light"/>
        </w:rPr>
      </w:pPr>
      <w:r>
        <w:rPr>
          <w:rFonts w:eastAsia="Calibri" w:cs="Calibri" w:ascii="Calibri Light" w:hAnsi="Calibri Light"/>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ascii="Calibri Light" w:hAnsi="Calibri Light"/>
        </w:rPr>
      </w:pPr>
      <w:r>
        <w:rPr>
          <w:rFonts w:eastAsia="Calibri" w:cs="Calibri" w:ascii="Calibri Light" w:hAnsi="Calibri Light"/>
          <w:sz w:val="24"/>
          <w:szCs w:val="24"/>
        </w:rPr>
        <w:t>As penalidades serão obrigatoriamente registradas no SICAF.</w:t>
      </w:r>
    </w:p>
    <w:p>
      <w:pPr>
        <w:pStyle w:val="Normal"/>
        <w:keepNext/>
        <w:keepLines/>
        <w:spacing w:lineRule="auto" w:line="276" w:before="120" w:after="120"/>
        <w:ind w:left="357" w:right="-30" w:hanging="0"/>
        <w:jc w:val="both"/>
        <w:rPr>
          <w:rFonts w:ascii="Calibri Light" w:hAnsi="Calibri Light" w:eastAsia="Calibri" w:cs="Calibri"/>
          <w:b/>
          <w:b/>
          <w:color w:val="000000"/>
          <w:sz w:val="24"/>
          <w:szCs w:val="24"/>
        </w:rPr>
      </w:pPr>
      <w:r>
        <w:rPr>
          <w:rFonts w:eastAsia="Calibri" w:cs="Calibri" w:ascii="Calibri Light" w:hAnsi="Calibri Light"/>
          <w:b/>
          <w:color w:val="000000"/>
          <w:sz w:val="24"/>
          <w:szCs w:val="24"/>
        </w:rPr>
      </w:r>
    </w:p>
    <w:p>
      <w:pPr>
        <w:pStyle w:val="Normal"/>
        <w:keepNext/>
        <w:keepLines/>
        <w:numPr>
          <w:ilvl w:val="0"/>
          <w:numId w:val="1"/>
        </w:numPr>
        <w:spacing w:lineRule="auto" w:line="276" w:before="120" w:after="120"/>
        <w:ind w:left="360" w:right="-30" w:hanging="0"/>
        <w:jc w:val="both"/>
        <w:rPr>
          <w:rFonts w:ascii="Calibri Light" w:hAnsi="Calibri Light"/>
        </w:rPr>
      </w:pPr>
      <w:r>
        <w:rPr>
          <w:rFonts w:eastAsia="Calibri" w:cs="Calibri" w:ascii="Calibri Light" w:hAnsi="Calibri Light"/>
          <w:b/>
          <w:color w:val="000000"/>
          <w:sz w:val="24"/>
          <w:szCs w:val="24"/>
        </w:rPr>
        <w:t>ESTIMATIVA DE PREÇOS E PREÇOS REFERENCIAIS.</w:t>
      </w:r>
    </w:p>
    <w:p>
      <w:pPr>
        <w:pStyle w:val="Normal"/>
        <w:keepNext/>
        <w:keepLines/>
        <w:numPr>
          <w:ilvl w:val="1"/>
          <w:numId w:val="1"/>
        </w:numPr>
        <w:spacing w:lineRule="auto" w:line="276" w:before="120" w:after="120"/>
        <w:ind w:left="716" w:right="-30" w:hanging="432"/>
        <w:jc w:val="both"/>
        <w:rPr>
          <w:color w:val="000000" w:themeColor="text1"/>
        </w:rPr>
      </w:pPr>
      <w:r>
        <w:rPr>
          <w:rFonts w:eastAsia="Calibri" w:cs="Calibri" w:ascii="Calibri Light" w:hAnsi="Calibri Light"/>
          <w:sz w:val="24"/>
          <w:szCs w:val="24"/>
        </w:rPr>
        <w:t>O custo estimado da contratação</w:t>
      </w:r>
      <w:r>
        <w:rPr>
          <w:rFonts w:eastAsia="Calibri" w:cs="Calibri" w:ascii="Calibri Light" w:hAnsi="Calibri Light"/>
          <w:color w:val="000000" w:themeColor="text1"/>
          <w:sz w:val="24"/>
          <w:szCs w:val="24"/>
        </w:rPr>
        <w:t xml:space="preserve"> é de R$ 7.200,00.</w:t>
      </w:r>
    </w:p>
    <w:p>
      <w:pPr>
        <w:pStyle w:val="Normal"/>
        <w:rPr>
          <w:rFonts w:ascii="Calibri Light" w:hAnsi="Calibri Light" w:eastAsia="Calibri" w:cs="Calibri"/>
          <w:sz w:val="24"/>
          <w:szCs w:val="24"/>
        </w:rPr>
      </w:pPr>
      <w:r>
        <w:rPr>
          <w:rFonts w:eastAsia="Calibri" w:cs="Calibri" w:ascii="Calibri Light" w:hAnsi="Calibri Light"/>
          <w:sz w:val="24"/>
          <w:szCs w:val="24"/>
        </w:rPr>
      </w:r>
    </w:p>
    <w:p>
      <w:pPr>
        <w:pStyle w:val="Normal"/>
        <w:keepNext/>
        <w:keepLines/>
        <w:numPr>
          <w:ilvl w:val="0"/>
          <w:numId w:val="1"/>
        </w:numPr>
        <w:spacing w:lineRule="auto" w:line="276" w:before="120" w:after="120"/>
        <w:ind w:left="360" w:right="-30" w:hanging="0"/>
        <w:jc w:val="both"/>
        <w:rPr>
          <w:rFonts w:ascii="Calibri Light" w:hAnsi="Calibri Light"/>
        </w:rPr>
      </w:pPr>
      <w:r>
        <w:rPr>
          <w:rFonts w:eastAsia="Calibri" w:cs="Calibri" w:ascii="Calibri Light" w:hAnsi="Calibri Light"/>
          <w:b/>
          <w:color w:val="000000"/>
          <w:sz w:val="24"/>
          <w:szCs w:val="24"/>
        </w:rPr>
        <w:t>DOS RECURSOS ORÇAMENTÁRIOS.</w:t>
      </w:r>
    </w:p>
    <w:p>
      <w:pPr>
        <w:pStyle w:val="Normal"/>
        <w:numPr>
          <w:ilvl w:val="1"/>
          <w:numId w:val="1"/>
        </w:numPr>
        <w:spacing w:lineRule="auto" w:line="360"/>
        <w:ind w:left="0" w:hanging="0"/>
        <w:jc w:val="both"/>
        <w:rPr>
          <w:rFonts w:ascii="Calibri Light" w:hAnsi="Calibri Light"/>
        </w:rPr>
      </w:pPr>
      <w:r>
        <w:rPr>
          <w:rFonts w:eastAsia="Calibri" w:cs="Calibri" w:ascii="Calibri Light" w:hAnsi="Calibri Light"/>
          <w:sz w:val="24"/>
          <w:szCs w:val="24"/>
          <w:highlight w:val="white"/>
        </w:rPr>
        <w:t>P</w:t>
      </w:r>
      <w:r>
        <w:rPr>
          <w:rFonts w:eastAsia="Calibri" w:cs="Calibri" w:ascii="Calibri Light" w:hAnsi="Calibri Light"/>
          <w:color w:val="000000" w:themeColor="text1"/>
          <w:sz w:val="24"/>
          <w:szCs w:val="24"/>
          <w:highlight w:val="white"/>
        </w:rPr>
        <w:t>TRES 171423, ND 449052, Fonte 01702700130100000000 e PI D5SAFUSASOCC4ENMILCAPE NC 2021NC002225</w:t>
      </w:r>
      <w:r>
        <w:rPr>
          <w:rFonts w:eastAsia="Calibri" w:cs="Calibri" w:ascii="Calibri Light" w:hAnsi="Calibri Light"/>
          <w:color w:val="FF0000"/>
          <w:sz w:val="24"/>
          <w:szCs w:val="24"/>
          <w:highlight w:val="white"/>
        </w:rPr>
        <w:t>.</w:t>
      </w:r>
    </w:p>
    <w:p>
      <w:pPr>
        <w:pStyle w:val="Normal"/>
        <w:spacing w:lineRule="auto" w:line="276" w:before="120" w:after="120"/>
        <w:ind w:left="425" w:hanging="0"/>
        <w:jc w:val="both"/>
        <w:rPr>
          <w:rFonts w:ascii="Calibri Light" w:hAnsi="Calibri Light" w:eastAsia="Calibri" w:cs="Calibri"/>
          <w:i/>
          <w:i/>
          <w:sz w:val="24"/>
          <w:szCs w:val="24"/>
        </w:rPr>
      </w:pPr>
      <w:r>
        <w:rPr>
          <w:rFonts w:eastAsia="Calibri" w:cs="Calibri" w:ascii="Calibri Light" w:hAnsi="Calibri Light"/>
          <w:i/>
          <w:sz w:val="24"/>
          <w:szCs w:val="24"/>
        </w:rPr>
      </w:r>
    </w:p>
    <w:p>
      <w:pPr>
        <w:pStyle w:val="Normal"/>
        <w:spacing w:lineRule="auto" w:line="276" w:before="119" w:after="119"/>
        <w:jc w:val="center"/>
        <w:rPr>
          <w:rFonts w:ascii="Calibri" w:hAnsi="Calibri" w:eastAsia="Calibri" w:cs="Calibri"/>
          <w:color w:val="000000" w:themeColor="text1"/>
          <w:sz w:val="24"/>
          <w:szCs w:val="24"/>
        </w:rPr>
      </w:pPr>
      <w:r>
        <w:rPr>
          <w:rFonts w:eastAsia="Calibri" w:cs="Calibri" w:ascii="Calibri Light" w:hAnsi="Calibri Light"/>
          <w:sz w:val="24"/>
          <w:szCs w:val="24"/>
        </w:rPr>
        <w:t xml:space="preserve">Pouso Alegre – </w:t>
      </w:r>
      <w:r>
        <w:rPr>
          <w:rFonts w:eastAsia="Calibri" w:cs="Calibri" w:ascii="Calibri Light" w:hAnsi="Calibri Light"/>
          <w:color w:val="000000" w:themeColor="text1"/>
          <w:sz w:val="24"/>
          <w:szCs w:val="24"/>
        </w:rPr>
        <w:t>MG, 23 de agosto de 2021.</w:t>
      </w:r>
    </w:p>
    <w:p>
      <w:pPr>
        <w:pStyle w:val="Normal"/>
        <w:spacing w:lineRule="auto" w:line="276" w:before="119" w:after="119"/>
        <w:rPr>
          <w:rFonts w:ascii="Calibri Light" w:hAnsi="Calibri Light" w:eastAsia="Calibri" w:cs="Calibri"/>
          <w:color w:val="000000" w:themeColor="text1"/>
          <w:sz w:val="24"/>
          <w:szCs w:val="24"/>
        </w:rPr>
      </w:pPr>
      <w:r>
        <w:rPr>
          <w:rFonts w:eastAsia="Calibri" w:cs="Calibri" w:ascii="Calibri Light" w:hAnsi="Calibri Light"/>
          <w:color w:val="000000" w:themeColor="text1"/>
          <w:sz w:val="24"/>
          <w:szCs w:val="24"/>
        </w:rPr>
      </w:r>
    </w:p>
    <w:p>
      <w:pPr>
        <w:pStyle w:val="Normal"/>
        <w:spacing w:lineRule="auto" w:line="276" w:before="119" w:after="119"/>
        <w:rPr>
          <w:rFonts w:ascii="Calibri Light" w:hAnsi="Calibri Light" w:eastAsia="Calibri" w:cs="Calibri"/>
          <w:color w:val="000000" w:themeColor="text1"/>
          <w:sz w:val="24"/>
          <w:szCs w:val="24"/>
        </w:rPr>
      </w:pPr>
      <w:r>
        <w:rPr>
          <w:rFonts w:eastAsia="Calibri" w:cs="Calibri" w:ascii="Calibri Light" w:hAnsi="Calibri Light"/>
          <w:color w:val="000000" w:themeColor="text1"/>
          <w:sz w:val="24"/>
          <w:szCs w:val="24"/>
        </w:rPr>
      </w:r>
    </w:p>
    <w:p>
      <w:pPr>
        <w:pStyle w:val="Normal"/>
        <w:spacing w:lineRule="auto" w:line="276" w:before="119" w:after="119"/>
        <w:rPr>
          <w:rFonts w:ascii="Calibri Light" w:hAnsi="Calibri Light" w:eastAsia="Calibri" w:cs="Calibri"/>
          <w:color w:val="000000" w:themeColor="text1"/>
          <w:sz w:val="24"/>
          <w:szCs w:val="24"/>
        </w:rPr>
      </w:pPr>
      <w:r>
        <w:rPr>
          <w:rFonts w:eastAsia="Calibri" w:cs="Calibri" w:ascii="Calibri Light" w:hAnsi="Calibri Light"/>
          <w:color w:val="000000" w:themeColor="text1"/>
          <w:sz w:val="24"/>
          <w:szCs w:val="24"/>
        </w:rPr>
      </w:r>
    </w:p>
    <w:p>
      <w:pPr>
        <w:pStyle w:val="Normal"/>
        <w:jc w:val="center"/>
        <w:rPr>
          <w:rFonts w:ascii="Calibri" w:hAnsi="Calibri" w:eastAsia="Calibri" w:cs="Calibri"/>
          <w:b/>
          <w:b/>
          <w:color w:val="000000" w:themeColor="text1"/>
          <w:sz w:val="24"/>
          <w:szCs w:val="24"/>
        </w:rPr>
      </w:pPr>
      <w:r>
        <w:rPr>
          <w:rFonts w:eastAsia="Calibri" w:cs="Calibri" w:ascii="Calibri Light" w:hAnsi="Calibri Light"/>
          <w:b/>
          <w:color w:val="000000" w:themeColor="text1"/>
          <w:sz w:val="24"/>
          <w:szCs w:val="24"/>
          <w:highlight w:val="white"/>
        </w:rPr>
        <w:t xml:space="preserve">PAULO RAPHAEL SILVA E SOUSA – </w:t>
      </w:r>
      <w:r>
        <w:rPr>
          <w:rFonts w:eastAsia="Calibri" w:cs="Calibri" w:ascii="Calibri Light" w:hAnsi="Calibri Light"/>
          <w:b/>
          <w:color w:val="000000" w:themeColor="text1"/>
          <w:sz w:val="24"/>
          <w:szCs w:val="24"/>
        </w:rPr>
        <w:t>Cap</w:t>
      </w:r>
    </w:p>
    <w:p>
      <w:pPr>
        <w:pStyle w:val="Normal"/>
        <w:tabs>
          <w:tab w:val="left" w:pos="0" w:leader="none"/>
        </w:tabs>
        <w:jc w:val="center"/>
        <w:rPr>
          <w:color w:val="000000" w:themeColor="text1"/>
        </w:rPr>
      </w:pPr>
      <w:r>
        <w:rPr>
          <w:rFonts w:eastAsia="Calibri" w:cs="Calibri" w:ascii="Calibri Light" w:hAnsi="Calibri Light"/>
          <w:color w:val="000000" w:themeColor="text1"/>
          <w:sz w:val="24"/>
          <w:szCs w:val="24"/>
        </w:rPr>
        <w:t>Instrutor Chefe do CFGS</w:t>
      </w:r>
    </w:p>
    <w:p>
      <w:pPr>
        <w:pStyle w:val="Normal"/>
        <w:tabs>
          <w:tab w:val="left" w:pos="0" w:leader="none"/>
        </w:tabs>
        <w:jc w:val="center"/>
        <w:rPr>
          <w:rFonts w:ascii="Calibri Light" w:hAnsi="Calibri Light" w:eastAsia="Calibri" w:cs="Calibri"/>
          <w:color w:val="000000" w:themeColor="text1"/>
          <w:sz w:val="24"/>
          <w:szCs w:val="24"/>
        </w:rPr>
      </w:pPr>
      <w:r>
        <w:rPr>
          <w:rFonts w:eastAsia="Calibri" w:cs="Calibri" w:ascii="Calibri Light" w:hAnsi="Calibri Light"/>
          <w:color w:val="000000" w:themeColor="text1"/>
          <w:sz w:val="24"/>
          <w:szCs w:val="24"/>
        </w:rPr>
      </w:r>
    </w:p>
    <w:p>
      <w:pPr>
        <w:pStyle w:val="Normal"/>
        <w:tabs>
          <w:tab w:val="left" w:pos="0" w:leader="none"/>
        </w:tabs>
        <w:jc w:val="center"/>
        <w:rPr>
          <w:rFonts w:ascii="Calibri Light" w:hAnsi="Calibri Light" w:eastAsia="Calibri" w:cs="Calibri"/>
          <w:color w:val="000000" w:themeColor="text1"/>
          <w:sz w:val="24"/>
          <w:szCs w:val="24"/>
        </w:rPr>
      </w:pPr>
      <w:r>
        <w:rPr>
          <w:rFonts w:eastAsia="Calibri" w:cs="Calibri" w:ascii="Calibri Light" w:hAnsi="Calibri Light"/>
          <w:color w:val="000000" w:themeColor="text1"/>
          <w:sz w:val="24"/>
          <w:szCs w:val="24"/>
        </w:rPr>
      </w:r>
    </w:p>
    <w:p>
      <w:pPr>
        <w:pStyle w:val="Normal"/>
        <w:spacing w:lineRule="auto" w:line="360" w:before="278" w:after="278"/>
        <w:jc w:val="both"/>
        <w:rPr>
          <w:rFonts w:ascii="Calibri" w:hAnsi="Calibri" w:eastAsia="Calibri" w:cs="Calibri"/>
          <w:sz w:val="24"/>
          <w:szCs w:val="24"/>
        </w:rPr>
      </w:pPr>
      <w:r>
        <w:rPr>
          <w:rFonts w:eastAsia="Calibri" w:cs="Calibri" w:ascii="Calibri Light" w:hAnsi="Calibri Light"/>
          <w:b/>
          <w:sz w:val="24"/>
          <w:szCs w:val="24"/>
        </w:rPr>
        <w:t>DESPACHO DA AUTORIDADE COMPETENTE:</w:t>
      </w:r>
    </w:p>
    <w:p>
      <w:pPr>
        <w:pStyle w:val="Normal"/>
        <w:spacing w:lineRule="auto" w:line="360" w:before="278" w:after="278"/>
        <w:jc w:val="both"/>
        <w:rPr>
          <w:rFonts w:ascii="Calibri" w:hAnsi="Calibri" w:eastAsia="Calibri" w:cs="Calibri"/>
          <w:sz w:val="24"/>
          <w:szCs w:val="24"/>
        </w:rPr>
      </w:pPr>
      <w:r>
        <w:rPr>
          <w:rFonts w:eastAsia="Calibri" w:cs="Calibri" w:ascii="Calibri Light" w:hAnsi="Calibri Light"/>
          <w:sz w:val="24"/>
          <w:szCs w:val="24"/>
        </w:rPr>
        <w:tab/>
        <w:t xml:space="preserve">Aprovo o presente Termo de Referência, por satisfazer os requisitos atinentes ao objeto solicitado na requisição, conforme documentos inclusos no processo licitatório, bem como por atender as exigências legais e regulamentares concernentes a esta </w:t>
      </w:r>
      <w:r>
        <w:rPr>
          <w:rFonts w:eastAsia="Calibri" w:cs="Calibri" w:ascii="Calibri Light" w:hAnsi="Calibri Light"/>
          <w:sz w:val="24"/>
          <w:szCs w:val="24"/>
        </w:rPr>
        <w:t>Dispensa de L</w:t>
      </w:r>
      <w:r>
        <w:rPr>
          <w:rFonts w:eastAsia="Calibri" w:cs="Calibri" w:ascii="Calibri Light" w:hAnsi="Calibri Light"/>
          <w:sz w:val="24"/>
          <w:szCs w:val="24"/>
        </w:rPr>
        <w:t>icitação.</w:t>
      </w:r>
    </w:p>
    <w:p>
      <w:pPr>
        <w:pStyle w:val="Normal"/>
        <w:spacing w:lineRule="auto" w:line="276" w:before="119" w:after="119"/>
        <w:ind w:left="357" w:hanging="357"/>
        <w:jc w:val="center"/>
        <w:rPr>
          <w:rFonts w:ascii="Calibri" w:hAnsi="Calibri" w:eastAsia="Calibri" w:cs="Calibri"/>
          <w:color w:val="000000" w:themeColor="text1"/>
          <w:sz w:val="24"/>
          <w:szCs w:val="24"/>
        </w:rPr>
      </w:pPr>
      <w:r>
        <w:rPr>
          <w:rFonts w:eastAsia="Calibri" w:cs="Calibri" w:ascii="Calibri Light" w:hAnsi="Calibri Light"/>
          <w:sz w:val="24"/>
          <w:szCs w:val="24"/>
        </w:rPr>
        <w:t>Pouso Aleg</w:t>
      </w:r>
      <w:r>
        <w:rPr>
          <w:rFonts w:eastAsia="Calibri" w:cs="Calibri" w:ascii="Calibri Light" w:hAnsi="Calibri Light"/>
          <w:color w:val="000000" w:themeColor="text1"/>
          <w:sz w:val="24"/>
          <w:szCs w:val="24"/>
        </w:rPr>
        <w:t>re – MG, 23  de agosto de 2021.</w:t>
      </w:r>
    </w:p>
    <w:p>
      <w:pPr>
        <w:pStyle w:val="Normal"/>
        <w:spacing w:lineRule="auto" w:line="276" w:before="119" w:after="119"/>
        <w:ind w:left="357" w:hanging="357"/>
        <w:rPr>
          <w:rFonts w:ascii="Calibri Light" w:hAnsi="Calibri Light" w:eastAsia="Calibri" w:cs="Calibri"/>
          <w:sz w:val="24"/>
          <w:szCs w:val="24"/>
        </w:rPr>
      </w:pPr>
      <w:r>
        <w:rPr>
          <w:rFonts w:eastAsia="Calibri" w:cs="Calibri" w:ascii="Calibri Light" w:hAnsi="Calibri Light"/>
          <w:sz w:val="24"/>
          <w:szCs w:val="24"/>
        </w:rPr>
      </w:r>
    </w:p>
    <w:p>
      <w:pPr>
        <w:pStyle w:val="Normal"/>
        <w:spacing w:lineRule="auto" w:line="276" w:before="280" w:after="0"/>
        <w:jc w:val="center"/>
        <w:rPr>
          <w:rFonts w:ascii="Calibri Light" w:hAnsi="Calibri Light"/>
        </w:rPr>
      </w:pPr>
      <w:r>
        <w:rPr>
          <w:rFonts w:ascii="Calibri Light" w:hAnsi="Calibri Light"/>
        </w:rPr>
      </w:r>
    </w:p>
    <w:p>
      <w:pPr>
        <w:pStyle w:val="Normal"/>
        <w:jc w:val="center"/>
        <w:rPr>
          <w:rFonts w:ascii="Calibri Light" w:hAnsi="Calibri Light"/>
        </w:rPr>
      </w:pPr>
      <w:r>
        <w:rPr>
          <w:rFonts w:eastAsia="Calibri" w:cs="Calibri" w:ascii="Calibri Light" w:hAnsi="Calibri Light"/>
          <w:sz w:val="24"/>
          <w:szCs w:val="24"/>
        </w:rPr>
        <w:t>MARCEL MADEIRA DE JESUS - Cel</w:t>
      </w:r>
    </w:p>
    <w:p>
      <w:pPr>
        <w:pStyle w:val="Normal"/>
        <w:tabs>
          <w:tab w:val="left" w:pos="0" w:leader="none"/>
        </w:tabs>
        <w:jc w:val="center"/>
        <w:rPr>
          <w:rFonts w:ascii="Calibri Light" w:hAnsi="Calibri Light"/>
        </w:rPr>
      </w:pPr>
      <w:r>
        <w:rPr>
          <w:rFonts w:eastAsia="Calibri" w:cs="Calibri" w:ascii="Calibri Light" w:hAnsi="Calibri Light"/>
          <w:sz w:val="24"/>
          <w:szCs w:val="24"/>
        </w:rPr>
        <w:t xml:space="preserve"> </w:t>
      </w:r>
      <w:r>
        <w:rPr>
          <w:rFonts w:eastAsia="Calibri" w:cs="Calibri" w:ascii="Calibri Light" w:hAnsi="Calibri Light"/>
          <w:sz w:val="24"/>
          <w:szCs w:val="24"/>
        </w:rPr>
        <w:t>Ordenador de Despesas do 14º GAC</w:t>
      </w:r>
    </w:p>
    <w:p>
      <w:pPr>
        <w:pStyle w:val="Normal"/>
        <w:rPr>
          <w:rFonts w:ascii="Calibri Light" w:hAnsi="Calibri Light" w:eastAsia="Calibri" w:cs="Calibri"/>
          <w:sz w:val="24"/>
          <w:szCs w:val="24"/>
        </w:rPr>
      </w:pPr>
      <w:r>
        <w:rPr>
          <w:rFonts w:eastAsia="Calibri" w:cs="Calibri" w:ascii="Calibri Light" w:hAnsi="Calibri Light"/>
          <w:sz w:val="24"/>
          <w:szCs w:val="24"/>
        </w:rPr>
      </w:r>
    </w:p>
    <w:p>
      <w:pPr>
        <w:pStyle w:val="Normal"/>
        <w:rPr>
          <w:rFonts w:ascii="Calibri Light" w:hAnsi="Calibri Light" w:eastAsia="Calibri" w:cs="Calibri"/>
          <w:sz w:val="24"/>
          <w:szCs w:val="24"/>
        </w:rPr>
      </w:pPr>
      <w:r>
        <w:rPr>
          <w:rFonts w:eastAsia="Calibri" w:cs="Calibri" w:ascii="Calibri Light" w:hAnsi="Calibri Light"/>
          <w:sz w:val="24"/>
          <w:szCs w:val="24"/>
        </w:rPr>
      </w:r>
    </w:p>
    <w:p>
      <w:pPr>
        <w:pStyle w:val="Normal"/>
        <w:rPr>
          <w:rFonts w:ascii="Calibri Light" w:hAnsi="Calibri Light"/>
        </w:rPr>
      </w:pPr>
      <w:r>
        <w:rPr>
          <w:rFonts w:ascii="Calibri Light" w:hAnsi="Calibri Light"/>
        </w:rPr>
      </w:r>
    </w:p>
    <w:sectPr>
      <w:footerReference w:type="default" r:id="rId3"/>
      <w:type w:val="nextPage"/>
      <w:pgSz w:w="11906" w:h="16838"/>
      <w:pgMar w:left="1701" w:right="1134" w:header="0" w:top="1418" w:footer="709" w:bottom="1418" w:gutter="0"/>
      <w:pgNumType w:start="1" w:fmt="decimal"/>
      <w:formProt w:val="false"/>
      <w:textDirection w:val="lrTb"/>
      <w:docGrid w:type="default" w:linePitch="28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Cambria">
    <w:charset w:val="01"/>
    <w:family w:val="roman"/>
    <w:pitch w:val="variable"/>
  </w:font>
  <w:font w:name="Times New Roman">
    <w:charset w:val="01"/>
    <w:family w:val="roman"/>
    <w:pitch w:val="variable"/>
  </w:font>
  <w:font w:name="Liberation Sans">
    <w:altName w:val="Arial"/>
    <w:charset w:val="01"/>
    <w:family w:val="roman"/>
    <w:pitch w:val="variable"/>
  </w:font>
  <w:font w:name="Georgia">
    <w:charset w:val="01"/>
    <w:family w:val="roman"/>
    <w:pitch w:val="variable"/>
  </w:font>
  <w:font w:name="Calibri Light">
    <w:charset w:val="01"/>
    <w:family w:val="auto"/>
    <w:pitch w:val="variable"/>
  </w:font>
  <w:font w:name="Calibri">
    <w:charset w:val="01"/>
    <w:family w:val="roman"/>
    <w:pitch w:val="variable"/>
  </w:font>
  <w:font w:name="Ecofont_Spranq_eco_Sans">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enter" w:pos="4252" w:leader="none"/>
        <w:tab w:val="right" w:pos="8504" w:leader="none"/>
      </w:tabs>
      <w:rPr/>
    </w:pPr>
    <w:r>
      <w:rPr>
        <w:rFonts w:eastAsia="Times New Roman" w:cs="Times New Roman" w:ascii="Times New Roman" w:hAnsi="Times New Roman"/>
      </w:rPr>
      <w:t>____________________________________________________________________</w:t>
    </w:r>
  </w:p>
  <w:p>
    <w:pPr>
      <w:pStyle w:val="Normal"/>
      <w:tabs>
        <w:tab w:val="center" w:pos="4252" w:leader="none"/>
        <w:tab w:val="right" w:pos="8504" w:leader="none"/>
      </w:tabs>
      <w:rPr/>
    </w:pPr>
    <w:r>
      <w:rPr>
        <w:sz w:val="12"/>
        <w:szCs w:val="12"/>
      </w:rPr>
      <w:t>Termo de Referência – Dispensa de Lictação – Compras</w:t>
    </w:r>
  </w:p>
  <w:p>
    <w:pPr>
      <w:pStyle w:val="Normal"/>
      <w:tabs>
        <w:tab w:val="center" w:pos="4252" w:leader="none"/>
        <w:tab w:val="right" w:pos="8504" w:leader="none"/>
      </w:tabs>
      <w:rPr>
        <w:sz w:val="12"/>
        <w:szCs w:val="12"/>
      </w:rPr>
    </w:pPr>
    <w:r>
      <w:rPr>
        <w:sz w:val="12"/>
        <w:szCs w:val="12"/>
      </w:rPr>
      <w:t>14º GAC / 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szCs w:val="24"/>
        <w:rFonts w:eastAsia="Calibri" w:cs="Calibri"/>
        <w:color w:val="00000A"/>
      </w:rPr>
    </w:lvl>
    <w:lvl w:ilvl="1">
      <w:start w:val="1"/>
      <w:numFmt w:val="decimal"/>
      <w:lvlText w:val="%1.%2."/>
      <w:lvlJc w:val="left"/>
      <w:pPr>
        <w:ind w:left="716" w:hanging="432"/>
      </w:pPr>
      <w:rPr>
        <w:dstrike w:val="false"/>
        <w:strike w:val="false"/>
        <w:sz w:val="24"/>
        <w:i w:val="false"/>
        <w:b/>
        <w:szCs w:val="24"/>
        <w:rFonts w:eastAsia="Calibri" w:cs="Calibri"/>
        <w:color w:val="00000A"/>
      </w:rPr>
    </w:lvl>
    <w:lvl w:ilvl="2">
      <w:start w:val="1"/>
      <w:numFmt w:val="decimal"/>
      <w:lvlText w:val="%1.%2.%3."/>
      <w:lvlJc w:val="left"/>
      <w:pPr>
        <w:ind w:left="930" w:hanging="504"/>
      </w:pPr>
      <w:rPr>
        <w:sz w:val="24"/>
        <w:i w:val="false"/>
        <w:b/>
        <w:szCs w:val="24"/>
        <w:rFonts w:eastAsia="Calibri" w:cs="Calibri"/>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color w:val="00000A"/>
        <w:lang w:val="pt-BR" w:eastAsia="pt-BR"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jc w:val="left"/>
    </w:pPr>
    <w:rPr>
      <w:rFonts w:ascii="Arial" w:hAnsi="Arial" w:eastAsia="Arial" w:cs="Arial"/>
      <w:color w:val="00000A"/>
      <w:sz w:val="20"/>
      <w:szCs w:val="20"/>
      <w:lang w:val="pt-BR" w:eastAsia="pt-BR" w:bidi="ar-SA"/>
    </w:rPr>
  </w:style>
  <w:style w:type="paragraph" w:styleId="Ttulo1">
    <w:name w:val="Heading 1"/>
    <w:basedOn w:val="Normal"/>
    <w:next w:val="Normal"/>
    <w:uiPriority w:val="9"/>
    <w:qFormat/>
    <w:pPr>
      <w:keepNext/>
      <w:keepLines/>
      <w:spacing w:before="240" w:after="0"/>
      <w:outlineLvl w:val="0"/>
    </w:pPr>
    <w:rPr>
      <w:rFonts w:ascii="Cambria" w:hAnsi="Cambria" w:eastAsia="Cambria" w:cs="Cambria"/>
      <w:color w:val="366091"/>
      <w:sz w:val="32"/>
      <w:szCs w:val="32"/>
    </w:rPr>
  </w:style>
  <w:style w:type="paragraph" w:styleId="Ttulo2">
    <w:name w:val="Heading 2"/>
    <w:basedOn w:val="Normal"/>
    <w:next w:val="Normal"/>
    <w:uiPriority w:val="9"/>
    <w:semiHidden/>
    <w:unhideWhenUsed/>
    <w:qFormat/>
    <w:pPr>
      <w:keepNext/>
      <w:tabs>
        <w:tab w:val="left" w:pos="1701" w:leader="none"/>
      </w:tabs>
      <w:jc w:val="center"/>
      <w:outlineLvl w:val="1"/>
    </w:pPr>
    <w:rPr>
      <w:rFonts w:ascii="Times New Roman" w:hAnsi="Times New Roman" w:eastAsia="Times New Roman" w:cs="Times New Roman"/>
      <w:b/>
      <w:color w:val="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styleId="DefaultParagraphFont" w:default="1">
    <w:name w:val="Default Paragraph Font"/>
    <w:uiPriority w:val="1"/>
    <w:semiHidden/>
    <w:unhideWhenUsed/>
    <w:qFormat/>
    <w:rPr/>
  </w:style>
  <w:style w:type="character" w:styleId="Fontepargpadro1" w:customStyle="1">
    <w:name w:val="Fonte parág. padrão1"/>
    <w:qFormat/>
    <w:rsid w:val="000e51d3"/>
    <w:rPr/>
  </w:style>
  <w:style w:type="character" w:styleId="CabealhoChar" w:customStyle="1">
    <w:name w:val="Cabeçalho Char"/>
    <w:basedOn w:val="DefaultParagraphFont"/>
    <w:link w:val="Cabealho"/>
    <w:uiPriority w:val="99"/>
    <w:semiHidden/>
    <w:qFormat/>
    <w:rsid w:val="009d176a"/>
    <w:rPr/>
  </w:style>
  <w:style w:type="character" w:styleId="RodapChar" w:customStyle="1">
    <w:name w:val="Rodapé Char"/>
    <w:basedOn w:val="DefaultParagraphFont"/>
    <w:link w:val="Rodap"/>
    <w:uiPriority w:val="99"/>
    <w:semiHidden/>
    <w:qFormat/>
    <w:rsid w:val="009d176a"/>
    <w:rPr/>
  </w:style>
  <w:style w:type="character" w:styleId="ListLabel1">
    <w:name w:val="ListLabel 1"/>
    <w:qFormat/>
    <w:rPr>
      <w:rFonts w:eastAsia="Calibri" w:cs="Calibri"/>
      <w:b/>
      <w:color w:val="00000A"/>
      <w:sz w:val="24"/>
      <w:szCs w:val="24"/>
    </w:rPr>
  </w:style>
  <w:style w:type="character" w:styleId="ListLabel2">
    <w:name w:val="ListLabel 2"/>
    <w:qFormat/>
    <w:rPr>
      <w:rFonts w:eastAsia="Calibri" w:cs="Calibri"/>
      <w:b/>
      <w:i w:val="false"/>
      <w:strike w:val="false"/>
      <w:dstrike w:val="false"/>
      <w:color w:val="00000A"/>
      <w:sz w:val="24"/>
      <w:szCs w:val="24"/>
    </w:rPr>
  </w:style>
  <w:style w:type="character" w:styleId="ListLabel3">
    <w:name w:val="ListLabel 3"/>
    <w:qFormat/>
    <w:rPr>
      <w:rFonts w:eastAsia="Calibri" w:cs="Calibri"/>
      <w:b/>
      <w:i w:val="false"/>
      <w:color w:val="00000A"/>
      <w:sz w:val="24"/>
      <w:szCs w:val="24"/>
    </w:rPr>
  </w:style>
  <w:style w:type="paragraph" w:styleId="Ttulo">
    <w:name w:val="Título"/>
    <w:basedOn w:val="Normal"/>
    <w:next w:val="Corpodetexto"/>
    <w:qFormat/>
    <w:pPr>
      <w:keepNext/>
      <w:spacing w:before="240" w:after="120"/>
    </w:pPr>
    <w:rPr>
      <w:rFonts w:ascii="Liberation Sans" w:hAnsi="Liberation Sans" w:eastAsia="WenQuanYi Micro Hei"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dodocumen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paragraph" w:styleId="Standard" w:customStyle="1">
    <w:name w:val="Standard"/>
    <w:qFormat/>
    <w:rsid w:val="000e51d3"/>
    <w:pPr>
      <w:widowControl w:val="false"/>
      <w:suppressAutoHyphens w:val="true"/>
      <w:bidi w:val="0"/>
      <w:jc w:val="left"/>
      <w:textAlignment w:val="baseline"/>
    </w:pPr>
    <w:rPr>
      <w:rFonts w:ascii="Times New Roman" w:hAnsi="Times New Roman" w:eastAsia="SimSun" w:cs="Mangal"/>
      <w:color w:val="00000A"/>
      <w:sz w:val="24"/>
      <w:szCs w:val="24"/>
      <w:lang w:val="pt-BR" w:eastAsia="zh-CN" w:bidi="hi-IN"/>
    </w:rPr>
  </w:style>
  <w:style w:type="paragraph" w:styleId="Textbody" w:customStyle="1">
    <w:name w:val="Text body"/>
    <w:basedOn w:val="Standard"/>
    <w:qFormat/>
    <w:rsid w:val="000e51d3"/>
    <w:pPr>
      <w:spacing w:before="0" w:after="120"/>
    </w:pPr>
    <w:rPr/>
  </w:style>
  <w:style w:type="paragraph" w:styleId="PargrafodaLista1" w:customStyle="1">
    <w:name w:val="Parágrafo da Lista1"/>
    <w:basedOn w:val="Standard"/>
    <w:qFormat/>
    <w:rsid w:val="000e51d3"/>
    <w:pPr>
      <w:ind w:left="720" w:hanging="0"/>
    </w:pPr>
    <w:rPr/>
  </w:style>
  <w:style w:type="paragraph" w:styleId="ListParagraph">
    <w:name w:val="List Paragraph"/>
    <w:basedOn w:val="Normal"/>
    <w:uiPriority w:val="34"/>
    <w:qFormat/>
    <w:rsid w:val="00745b15"/>
    <w:pPr>
      <w:spacing w:before="0" w:after="0"/>
      <w:ind w:left="720" w:hanging="0"/>
      <w:contextualSpacing/>
    </w:pPr>
    <w:rPr/>
  </w:style>
  <w:style w:type="paragraph" w:styleId="CabealhoeRodap">
    <w:name w:val="Cabeçalho e Rodapé"/>
    <w:basedOn w:val="Normal"/>
    <w:qFormat/>
    <w:pPr/>
    <w:rPr/>
  </w:style>
  <w:style w:type="paragraph" w:styleId="Cabealho">
    <w:name w:val="Header"/>
    <w:basedOn w:val="Normal"/>
    <w:link w:val="CabealhoChar"/>
    <w:uiPriority w:val="99"/>
    <w:semiHidden/>
    <w:unhideWhenUsed/>
    <w:rsid w:val="009d176a"/>
    <w:pPr>
      <w:tabs>
        <w:tab w:val="center" w:pos="4252" w:leader="none"/>
        <w:tab w:val="right" w:pos="8504" w:leader="none"/>
      </w:tabs>
    </w:pPr>
    <w:rPr/>
  </w:style>
  <w:style w:type="paragraph" w:styleId="Rodap">
    <w:name w:val="Footer"/>
    <w:basedOn w:val="Normal"/>
    <w:link w:val="RodapChar"/>
    <w:uiPriority w:val="99"/>
    <w:semiHidden/>
    <w:unhideWhenUsed/>
    <w:rsid w:val="009d176a"/>
    <w:pPr>
      <w:tabs>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Application>LibreOffice/5.1.2.2$Linux_X86_64 LibreOffice_project/10m0$Build-2</Application>
  <Pages>12</Pages>
  <Words>3686</Words>
  <Characters>20558</Characters>
  <CharactersWithSpaces>24076</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2021-08-17T22:11:00Z</dcterms:created>
  <dc:creator/>
  <dc:description/>
  <dc:language>pt-BR</dc:language>
  <cp:lastModifiedBy/>
  <dcterms:modified xsi:type="dcterms:W3CDTF">2021-08-19T09:08:08Z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