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mbeddings/oleObject1.bin" ContentType="application/vnd.openxmlformats-officedocument.oleObject"/>
  <Override PartName="/word/theme/theme1.xml" ContentType="application/vnd.openxmlformats-officedocument.theme+xml"/>
  <Override PartName="/word/header1.xml" ContentType="application/vnd.openxmlformats-officedocument.wordprocessingml.header+xml"/>
  <Override PartName="/word/media/image1.emf" ContentType="image/x-emf"/>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cs="Times New Roman"/>
          <w:sz w:val="24"/>
          <w:szCs w:val="24"/>
        </w:rPr>
      </w:pPr>
      <w:bookmarkStart w:id="0" w:name="_MON_1693746105"/>
      <w:bookmarkEnd w:id="0"/>
      <w:r>
        <w:rPr/>
        <w:object>
          <v:shape id="ole_rId2" style="width:28.35pt;height:28.35pt" o:ole="">
            <v:imagedata r:id="rId3" o:title=""/>
          </v:shape>
          <o:OLEObject Type="Embed" ProgID="Word.Picture.8" ShapeID="ole_rId2" DrawAspect="Content" ObjectID="_776612065" r:id="rId2"/>
        </w:object>
      </w:r>
      <w:r>
        <w:rPr>
          <w:rFonts w:cs="Times New Roman" w:ascii="Times New Roman" w:hAnsi="Times New Roman"/>
          <w:b/>
          <w:sz w:val="24"/>
          <w:szCs w:val="24"/>
        </w:rPr>
        <w:br/>
        <w:t>MINISTÉRIO DA DEFESA</w:t>
      </w:r>
    </w:p>
    <w:p>
      <w:pPr>
        <w:pStyle w:val="Normal"/>
        <w:rPr>
          <w:rFonts w:ascii="Times New Roman" w:hAnsi="Times New Roman" w:cs="Times New Roman"/>
          <w:b/>
          <w:b/>
          <w:sz w:val="24"/>
          <w:szCs w:val="24"/>
        </w:rPr>
      </w:pPr>
      <w:r>
        <w:rPr>
          <w:rFonts w:cs="Times New Roman" w:ascii="Times New Roman" w:hAnsi="Times New Roman"/>
          <w:b/>
          <w:sz w:val="24"/>
          <w:szCs w:val="24"/>
        </w:rPr>
        <w:t>EXÉRCITO BRASILEIRO</w:t>
      </w:r>
    </w:p>
    <w:p>
      <w:pPr>
        <w:pStyle w:val="Normal"/>
        <w:rPr>
          <w:rFonts w:ascii="Times New Roman" w:hAnsi="Times New Roman" w:cs="Times New Roman"/>
          <w:b/>
          <w:b/>
          <w:sz w:val="24"/>
          <w:szCs w:val="24"/>
        </w:rPr>
      </w:pPr>
      <w:r>
        <w:rPr>
          <w:rFonts w:cs="Times New Roman" w:ascii="Times New Roman" w:hAnsi="Times New Roman"/>
          <w:b/>
          <w:sz w:val="24"/>
          <w:szCs w:val="24"/>
        </w:rPr>
        <w:t>7º GRUPO DE ARTILHARIA DE CAMPANHA</w:t>
      </w:r>
    </w:p>
    <w:p>
      <w:pPr>
        <w:pStyle w:val="Normal"/>
        <w:rPr>
          <w:rFonts w:ascii="Times New Roman" w:hAnsi="Times New Roman" w:cs="Times New Roman"/>
          <w:b/>
          <w:b/>
          <w:bCs/>
          <w:sz w:val="24"/>
          <w:szCs w:val="24"/>
          <w:lang w:val="en-US"/>
        </w:rPr>
      </w:pPr>
      <w:r>
        <w:rPr>
          <w:rFonts w:cs="Times New Roman" w:ascii="Times New Roman" w:hAnsi="Times New Roman"/>
          <w:b/>
          <w:bCs/>
          <w:sz w:val="24"/>
          <w:szCs w:val="24"/>
          <w:lang w:val="en-US"/>
        </w:rPr>
        <w:t>(1º G Ind Art Ms/1942)</w:t>
      </w:r>
    </w:p>
    <w:p>
      <w:pPr>
        <w:pStyle w:val="Normal"/>
        <w:rPr>
          <w:rFonts w:ascii="Times New Roman" w:hAnsi="Times New Roman" w:cs="Times New Roman"/>
          <w:b/>
          <w:b/>
          <w:i/>
          <w:i/>
          <w:iCs/>
          <w:sz w:val="24"/>
          <w:szCs w:val="24"/>
        </w:rPr>
      </w:pPr>
      <w:r>
        <w:rPr>
          <w:rFonts w:cs="Times New Roman" w:ascii="Times New Roman" w:hAnsi="Times New Roman"/>
          <w:b/>
          <w:bCs/>
          <w:sz w:val="24"/>
          <w:szCs w:val="24"/>
        </w:rPr>
        <w:t>REGIMENTO OLINDA</w:t>
      </w:r>
    </w:p>
    <w:p>
      <w:pPr>
        <w:pStyle w:val="Normal"/>
        <w:rPr>
          <w:rFonts w:ascii="Times New Roman" w:hAnsi="Times New Roman" w:cs="Times New Roman"/>
          <w:b/>
          <w:b/>
          <w:i/>
          <w:i/>
          <w:iCs/>
          <w:sz w:val="24"/>
          <w:szCs w:val="24"/>
        </w:rPr>
      </w:pPr>
      <w:r>
        <w:rPr>
          <w:rFonts w:cs="Times New Roman" w:ascii="Times New Roman" w:hAnsi="Times New Roman"/>
          <w:b/>
          <w:i/>
          <w:iCs/>
          <w:sz w:val="24"/>
          <w:szCs w:val="24"/>
        </w:rPr>
      </w:r>
    </w:p>
    <w:p>
      <w:pPr>
        <w:pStyle w:val="Normal"/>
        <w:rPr>
          <w:rFonts w:ascii="Times New Roman" w:hAnsi="Times New Roman" w:cs="Times New Roman"/>
          <w:b/>
          <w:b/>
          <w:sz w:val="24"/>
          <w:szCs w:val="24"/>
        </w:rPr>
      </w:pPr>
      <w:r>
        <w:rPr>
          <w:rFonts w:cs="Times New Roman" w:ascii="Times New Roman" w:hAnsi="Times New Roman"/>
          <w:b/>
          <w:sz w:val="24"/>
          <w:szCs w:val="24"/>
        </w:rPr>
        <w:t xml:space="preserve">ANEXO II - ESTUDO TÉCNICO PRELIMINAR </w:t>
      </w:r>
    </w:p>
    <w:p>
      <w:pPr>
        <w:pStyle w:val="Normal"/>
        <w:rPr>
          <w:rFonts w:ascii="Times New Roman" w:hAnsi="Times New Roman" w:cs="Times New Roman"/>
          <w:b/>
          <w:b/>
          <w:sz w:val="24"/>
          <w:szCs w:val="24"/>
        </w:rPr>
      </w:pPr>
      <w:r>
        <w:rPr>
          <w:rFonts w:cs="Times New Roman" w:ascii="Times New Roman" w:hAnsi="Times New Roman"/>
          <w:b/>
          <w:sz w:val="24"/>
          <w:szCs w:val="24"/>
        </w:rPr>
      </w:r>
    </w:p>
    <w:tbl>
      <w:tblPr>
        <w:tblStyle w:val="Tabelacomgrade"/>
        <w:tblW w:w="10735" w:type="dxa"/>
        <w:jc w:val="center"/>
        <w:tblInd w:w="0" w:type="dxa"/>
        <w:tblCellMar>
          <w:top w:w="0" w:type="dxa"/>
          <w:left w:w="113" w:type="dxa"/>
          <w:bottom w:w="0" w:type="dxa"/>
          <w:right w:w="108" w:type="dxa"/>
        </w:tblCellMar>
        <w:tblLook w:val="04a0" w:noVBand="1" w:noHBand="0" w:lastColumn="0" w:firstColumn="1" w:lastRow="0" w:firstRow="1"/>
      </w:tblPr>
      <w:tblGrid>
        <w:gridCol w:w="10735"/>
      </w:tblGrid>
      <w:tr>
        <w:trPr>
          <w:trHeight w:val="350" w:hRule="atLeast"/>
        </w:trPr>
        <w:tc>
          <w:tcPr>
            <w:tcW w:w="10735" w:type="dxa"/>
            <w:tcBorders/>
            <w:shd w:color="auto" w:fill="17365D" w:themeFill="text2" w:themeFillShade="bf" w:val="clear"/>
            <w:vAlign w:val="center"/>
          </w:tcPr>
          <w:p>
            <w:pPr>
              <w:pStyle w:val="Normal"/>
              <w:jc w:val="both"/>
              <w:rPr>
                <w:rFonts w:ascii="Times New Roman" w:hAnsi="Times New Roman" w:cs="Times New Roman"/>
                <w:b/>
                <w:b/>
                <w:sz w:val="24"/>
                <w:szCs w:val="24"/>
              </w:rPr>
            </w:pPr>
            <w:r>
              <w:rPr>
                <w:rFonts w:cs="Times New Roman" w:ascii="Times New Roman" w:hAnsi="Times New Roman"/>
                <w:b/>
                <w:sz w:val="24"/>
                <w:szCs w:val="24"/>
              </w:rPr>
              <w:t>I – Descrição da necessidade da contratação</w:t>
            </w:r>
          </w:p>
        </w:tc>
      </w:tr>
      <w:tr>
        <w:trPr>
          <w:trHeight w:val="2932" w:hRule="atLeast"/>
        </w:trPr>
        <w:tc>
          <w:tcPr>
            <w:tcW w:w="10735" w:type="dxa"/>
            <w:tcBorders/>
            <w:shd w:fill="auto" w:val="clear"/>
            <w:vAlign w:val="center"/>
          </w:tcPr>
          <w:p>
            <w:pPr>
              <w:pStyle w:val="Normal"/>
              <w:spacing w:lineRule="auto" w:line="276"/>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A presente contratação está em conformidade com o plano de gestão do 7º Grupo de Artilharia de Campanha e tem por objetivo a </w:t>
            </w:r>
            <w:bookmarkStart w:id="1" w:name="__DdeLink__396_965089900"/>
            <w:r>
              <w:rPr>
                <w:rFonts w:cs="Times New Roman" w:ascii="Times New Roman" w:hAnsi="Times New Roman"/>
                <w:b/>
                <w:bCs/>
                <w:sz w:val="24"/>
                <w:szCs w:val="24"/>
              </w:rPr>
              <w:t>A</w:t>
            </w:r>
            <w:bookmarkEnd w:id="1"/>
            <w:r>
              <w:rPr>
                <w:rFonts w:cs="Times New Roman" w:ascii="Times New Roman" w:hAnsi="Times New Roman"/>
                <w:b/>
                <w:bCs/>
                <w:sz w:val="24"/>
                <w:szCs w:val="24"/>
              </w:rPr>
              <w:t>quisição de material para confecção de suporte móvel de alvos</w:t>
            </w:r>
            <w:r>
              <w:rPr>
                <w:rFonts w:cs="Times New Roman" w:ascii="Times New Roman" w:hAnsi="Times New Roman"/>
                <w:sz w:val="24"/>
                <w:szCs w:val="24"/>
              </w:rPr>
              <w:t>, para atender as necessidades do estande de tiro de 7º GAC.</w:t>
            </w:r>
          </w:p>
          <w:p>
            <w:pPr>
              <w:pStyle w:val="Itemnivel1"/>
              <w:spacing w:lineRule="auto" w:line="276" w:before="280" w:after="280"/>
              <w:jc w:val="both"/>
              <w:rPr/>
            </w:pPr>
            <w:r>
              <w:rPr/>
              <w:t xml:space="preserve">       </w:t>
            </w:r>
            <w:r>
              <w:rPr/>
              <w:t>A referida compra justificasse pela necessidade de melhoramento do estande de tiro.</w:t>
            </w:r>
          </w:p>
        </w:tc>
      </w:tr>
      <w:tr>
        <w:trPr>
          <w:trHeight w:val="288" w:hRule="atLeast"/>
        </w:trPr>
        <w:tc>
          <w:tcPr>
            <w:tcW w:w="10735" w:type="dxa"/>
            <w:tcBorders/>
            <w:shd w:color="auto" w:fill="17365D" w:themeFill="text2" w:themeFillShade="bf" w:val="clear"/>
            <w:vAlign w:val="center"/>
          </w:tcPr>
          <w:p>
            <w:pPr>
              <w:pStyle w:val="Normal"/>
              <w:jc w:val="both"/>
              <w:rPr>
                <w:rFonts w:ascii="Times New Roman" w:hAnsi="Times New Roman" w:cs="Times New Roman"/>
                <w:b/>
                <w:b/>
                <w:sz w:val="24"/>
                <w:szCs w:val="24"/>
              </w:rPr>
            </w:pPr>
            <w:r>
              <w:rPr>
                <w:rFonts w:cs="Times New Roman" w:ascii="Times New Roman" w:hAnsi="Times New Roman"/>
                <w:b/>
                <w:sz w:val="24"/>
                <w:szCs w:val="24"/>
              </w:rPr>
              <w:t>II – Área requisitante</w:t>
            </w:r>
          </w:p>
        </w:tc>
      </w:tr>
      <w:tr>
        <w:trPr>
          <w:trHeight w:val="288" w:hRule="atLeast"/>
        </w:trPr>
        <w:tc>
          <w:tcPr>
            <w:tcW w:w="10735" w:type="dxa"/>
            <w:tcBorders/>
            <w:shd w:fill="auto" w:val="clear"/>
            <w:vAlign w:val="center"/>
          </w:tcPr>
          <w:p>
            <w:pPr>
              <w:pStyle w:val="Normal"/>
              <w:ind w:right="-430" w:hanging="0"/>
              <w:jc w:val="both"/>
              <w:rPr>
                <w:rFonts w:ascii="Times New Roman" w:hAnsi="Times New Roman" w:cs="Times New Roman"/>
                <w:sz w:val="24"/>
                <w:szCs w:val="24"/>
              </w:rPr>
            </w:pPr>
            <w:r>
              <w:rPr>
                <w:rFonts w:cs="Times New Roman" w:ascii="Times New Roman" w:hAnsi="Times New Roman"/>
                <w:sz w:val="24"/>
                <w:szCs w:val="24"/>
              </w:rPr>
            </w:r>
          </w:p>
          <w:tbl>
            <w:tblPr>
              <w:tblStyle w:val="Tabelacomgrade"/>
              <w:tblW w:w="10648" w:type="dxa"/>
              <w:jc w:val="left"/>
              <w:tblInd w:w="0" w:type="dxa"/>
              <w:tblCellMar>
                <w:top w:w="0" w:type="dxa"/>
                <w:left w:w="78" w:type="dxa"/>
                <w:bottom w:w="0" w:type="dxa"/>
                <w:right w:w="108" w:type="dxa"/>
              </w:tblCellMar>
              <w:tblLook w:val="04a0" w:noVBand="1" w:noHBand="0" w:lastColumn="0" w:firstColumn="1" w:lastRow="0" w:firstRow="1"/>
            </w:tblPr>
            <w:tblGrid>
              <w:gridCol w:w="4000"/>
              <w:gridCol w:w="6647"/>
            </w:tblGrid>
            <w:tr>
              <w:trPr/>
              <w:tc>
                <w:tcPr>
                  <w:tcW w:w="4000" w:type="dxa"/>
                  <w:tcBorders/>
                  <w:shd w:color="auto" w:fill="000000" w:themeFill="text1"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Área Requisitante</w:t>
                  </w:r>
                </w:p>
              </w:tc>
              <w:tc>
                <w:tcPr>
                  <w:tcW w:w="6647" w:type="dxa"/>
                  <w:tcBorders/>
                  <w:shd w:color="auto" w:fill="000000" w:themeFill="text1"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Responsável</w:t>
                  </w:r>
                </w:p>
              </w:tc>
            </w:tr>
            <w:tr>
              <w:trPr/>
              <w:tc>
                <w:tcPr>
                  <w:tcW w:w="4000" w:type="dxa"/>
                  <w:tcBorders/>
                  <w:shd w:fill="auto" w:val="clear"/>
                </w:tcPr>
                <w:p>
                  <w:pPr>
                    <w:pStyle w:val="Normal"/>
                    <w:jc w:val="both"/>
                    <w:rPr>
                      <w:rFonts w:ascii="Times New Roman" w:hAnsi="Times New Roman" w:cs="Times New Roman"/>
                      <w:sz w:val="24"/>
                      <w:szCs w:val="24"/>
                    </w:rPr>
                  </w:pPr>
                  <w:r>
                    <w:rPr>
                      <w:rFonts w:cs="Times New Roman" w:ascii="Times New Roman" w:hAnsi="Times New Roman"/>
                      <w:sz w:val="24"/>
                      <w:szCs w:val="24"/>
                    </w:rPr>
                    <w:t>Almoxarifado - Chefe</w:t>
                  </w:r>
                </w:p>
              </w:tc>
              <w:tc>
                <w:tcPr>
                  <w:tcW w:w="6647" w:type="dxa"/>
                  <w:tcBorders/>
                  <w:shd w:fill="auto" w:val="clear"/>
                </w:tcPr>
                <w:p>
                  <w:pPr>
                    <w:pStyle w:val="Normal"/>
                    <w:jc w:val="both"/>
                    <w:rPr>
                      <w:rFonts w:ascii="Times New Roman" w:hAnsi="Times New Roman" w:cs="Times New Roman"/>
                      <w:sz w:val="24"/>
                      <w:szCs w:val="24"/>
                    </w:rPr>
                  </w:pPr>
                  <w:r>
                    <w:rPr>
                      <w:rFonts w:cs="Times New Roman" w:ascii="Times New Roman" w:hAnsi="Times New Roman"/>
                      <w:sz w:val="24"/>
                      <w:szCs w:val="24"/>
                    </w:rPr>
                    <w:t>CAP GIOVANNY FÁBIO DE LUCENA</w:t>
                  </w:r>
                </w:p>
              </w:tc>
            </w:tr>
            <w:tr>
              <w:trPr/>
              <w:tc>
                <w:tcPr>
                  <w:tcW w:w="4000" w:type="dxa"/>
                  <w:tcBorders/>
                  <w:shd w:fill="auto" w:val="clear"/>
                </w:tcPr>
                <w:p>
                  <w:pPr>
                    <w:pStyle w:val="Normal"/>
                    <w:jc w:val="both"/>
                    <w:rPr>
                      <w:rFonts w:ascii="Times New Roman" w:hAnsi="Times New Roman" w:cs="Times New Roman"/>
                      <w:sz w:val="24"/>
                      <w:szCs w:val="24"/>
                    </w:rPr>
                  </w:pPr>
                  <w:r>
                    <w:rPr>
                      <w:rFonts w:cs="Times New Roman" w:ascii="Times New Roman" w:hAnsi="Times New Roman"/>
                      <w:sz w:val="24"/>
                      <w:szCs w:val="24"/>
                    </w:rPr>
                    <w:t>Almoxarifado - Auxiliar</w:t>
                  </w:r>
                </w:p>
              </w:tc>
              <w:tc>
                <w:tcPr>
                  <w:tcW w:w="6647" w:type="dxa"/>
                  <w:tcBorders/>
                  <w:shd w:fill="auto" w:val="clear"/>
                </w:tcPr>
                <w:p>
                  <w:pPr>
                    <w:pStyle w:val="Normal"/>
                    <w:jc w:val="both"/>
                    <w:rPr>
                      <w:rFonts w:ascii="Times New Roman" w:hAnsi="Times New Roman" w:cs="Times New Roman"/>
                      <w:sz w:val="24"/>
                      <w:szCs w:val="24"/>
                    </w:rPr>
                  </w:pPr>
                  <w:r>
                    <w:rPr>
                      <w:rFonts w:cs="Times New Roman" w:ascii="Times New Roman" w:hAnsi="Times New Roman"/>
                      <w:sz w:val="24"/>
                      <w:szCs w:val="24"/>
                    </w:rPr>
                    <w:t>2º SGT THIAGO JUAREZ DE SOUSA SANTOS</w:t>
                  </w:r>
                </w:p>
              </w:tc>
            </w:tr>
          </w:tbl>
          <w:p>
            <w:pPr>
              <w:pStyle w:val="Normal"/>
              <w:jc w:val="both"/>
              <w:rPr>
                <w:rFonts w:ascii="Times New Roman" w:hAnsi="Times New Roman" w:cs="Times New Roman"/>
                <w:sz w:val="24"/>
                <w:szCs w:val="24"/>
              </w:rPr>
            </w:pPr>
            <w:r>
              <w:rPr>
                <w:rFonts w:cs="Times New Roman" w:ascii="Times New Roman" w:hAnsi="Times New Roman"/>
                <w:sz w:val="24"/>
                <w:szCs w:val="24"/>
              </w:rPr>
            </w:r>
          </w:p>
        </w:tc>
      </w:tr>
      <w:tr>
        <w:trPr>
          <w:trHeight w:val="288"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sz w:val="24"/>
                <w:szCs w:val="24"/>
              </w:rPr>
            </w:pPr>
            <w:r>
              <w:rPr>
                <w:rFonts w:cs="Times New Roman" w:ascii="Times New Roman" w:hAnsi="Times New Roman"/>
                <w:sz w:val="24"/>
                <w:szCs w:val="24"/>
              </w:rPr>
            </w:r>
          </w:p>
        </w:tc>
      </w:tr>
      <w:tr>
        <w:trPr>
          <w:trHeight w:val="288"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sz w:val="24"/>
                <w:szCs w:val="24"/>
              </w:rPr>
            </w:pPr>
            <w:r>
              <w:rPr>
                <w:rFonts w:cs="Times New Roman" w:ascii="Times New Roman" w:hAnsi="Times New Roman"/>
                <w:b/>
                <w:sz w:val="24"/>
                <w:szCs w:val="24"/>
              </w:rPr>
              <w:t>III – Descrição dos Requisitos da Aquisição</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jc w:val="both"/>
              <w:rPr>
                <w:rFonts w:ascii="Times New Roman" w:hAnsi="Times New Roman" w:cs="Times New Roman"/>
                <w:b/>
                <w:b/>
                <w:bCs/>
                <w:sz w:val="24"/>
                <w:szCs w:val="24"/>
                <w:u w:val="single"/>
              </w:rPr>
            </w:pPr>
            <w:r>
              <w:rPr>
                <w:rFonts w:cs="Times New Roman" w:ascii="Times New Roman" w:hAnsi="Times New Roman"/>
                <w:sz w:val="24"/>
                <w:szCs w:val="24"/>
              </w:rPr>
              <w:t xml:space="preserve">      </w:t>
            </w:r>
            <w:r>
              <w:rPr>
                <w:rFonts w:cs="Times New Roman" w:ascii="Times New Roman" w:hAnsi="Times New Roman"/>
                <w:b/>
                <w:bCs/>
                <w:sz w:val="24"/>
                <w:szCs w:val="24"/>
                <w:u w:val="single"/>
              </w:rPr>
              <w:t>Os objetos referentes a esta aquisição deverão ser entregues pelo fornecedor, ora denominado de contratado, de acordo com as especificações abaixo:</w:t>
            </w:r>
          </w:p>
          <w:p>
            <w:pPr>
              <w:pStyle w:val="Normal"/>
              <w:spacing w:lineRule="auto" w:line="276"/>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Apresentação de catálogos, folders de produtos;</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Possuir atestados de capacidade técnica, afim de comprovar que está em condições de fornecer os objetos licitados;</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As empresas fornecedoras deverão atender as normas que possam garantir o cumprimento da obrigação, bem como garantir a segurança imprescindível ao manuseio dos produtos;</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 fornecedor deve atender às chamadas do atendimento, devendo a entrega ocorrer no prazo máximo de 30 (trinta) dias a contar da solicitação feita pelo responsável do setor requisitante;</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 fornecedor deverá entregar o material no local indicado pela Administração, acompanhado da respectiva nota fiscal;</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A entrega dos materiais será feita conforme descrito no Termo de Referência, anexo ao edital da Unidade Gestora Gerenciadora;</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Os produtos deverão estar acondicionados em caixas de papelão não sendo aceitos materiais entregues em caixas de madeira ou plástico;</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Os bens deverão ser entregues na sede do órgão, obrigatoriamente, de 09:00 h às 16:00 h (horário local), salvo determinação em contrário, no Almoxarifado, localizado Av. Dr Joaquim Nabuco, 1957, Ouro Preto, Olinda – PE;</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Os bens serão recebidos provisoriamente no prazo de 05 (cinco) dias, pelo(a) responsável pelo acompanhamento e fiscalização do contrato, para efeito de posterior verificação de sua conformidade com as especificações constantes no Termo de Referência e na proposta;</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Os bens poderão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Os</w:t>
            </w:r>
            <w:r>
              <w:rPr>
                <w:rFonts w:cs="Times New Roman" w:ascii="Times New Roman" w:hAnsi="Times New Roman"/>
                <w:spacing w:val="1"/>
                <w:sz w:val="24"/>
                <w:szCs w:val="24"/>
              </w:rPr>
              <w:t xml:space="preserve"> </w:t>
            </w:r>
            <w:r>
              <w:rPr>
                <w:rFonts w:cs="Times New Roman" w:ascii="Times New Roman" w:hAnsi="Times New Roman"/>
                <w:sz w:val="24"/>
                <w:szCs w:val="24"/>
              </w:rPr>
              <w:t>bens</w:t>
            </w:r>
            <w:r>
              <w:rPr>
                <w:rFonts w:cs="Times New Roman" w:ascii="Times New Roman" w:hAnsi="Times New Roman"/>
                <w:spacing w:val="1"/>
                <w:sz w:val="24"/>
                <w:szCs w:val="24"/>
              </w:rPr>
              <w:t xml:space="preserve"> </w:t>
            </w:r>
            <w:r>
              <w:rPr>
                <w:rFonts w:cs="Times New Roman" w:ascii="Times New Roman" w:hAnsi="Times New Roman"/>
                <w:sz w:val="24"/>
                <w:szCs w:val="24"/>
              </w:rPr>
              <w:t>serão</w:t>
            </w:r>
            <w:r>
              <w:rPr>
                <w:rFonts w:cs="Times New Roman" w:ascii="Times New Roman" w:hAnsi="Times New Roman"/>
                <w:spacing w:val="55"/>
                <w:sz w:val="24"/>
                <w:szCs w:val="24"/>
              </w:rPr>
              <w:t xml:space="preserve"> </w:t>
            </w:r>
            <w:r>
              <w:rPr>
                <w:rFonts w:cs="Times New Roman" w:ascii="Times New Roman" w:hAnsi="Times New Roman"/>
                <w:sz w:val="24"/>
                <w:szCs w:val="24"/>
              </w:rPr>
              <w:t>recebidos</w:t>
            </w:r>
            <w:r>
              <w:rPr>
                <w:rFonts w:cs="Times New Roman" w:ascii="Times New Roman" w:hAnsi="Times New Roman"/>
                <w:spacing w:val="55"/>
                <w:sz w:val="24"/>
                <w:szCs w:val="24"/>
              </w:rPr>
              <w:t xml:space="preserve"> </w:t>
            </w:r>
            <w:r>
              <w:rPr>
                <w:rFonts w:cs="Times New Roman" w:ascii="Times New Roman" w:hAnsi="Times New Roman"/>
                <w:sz w:val="24"/>
                <w:szCs w:val="24"/>
              </w:rPr>
              <w:t>definitivamente no</w:t>
            </w:r>
            <w:r>
              <w:rPr>
                <w:rFonts w:cs="Times New Roman" w:ascii="Times New Roman" w:hAnsi="Times New Roman"/>
                <w:spacing w:val="55"/>
                <w:sz w:val="24"/>
                <w:szCs w:val="24"/>
              </w:rPr>
              <w:t xml:space="preserve"> </w:t>
            </w:r>
            <w:r>
              <w:rPr>
                <w:rFonts w:cs="Times New Roman" w:ascii="Times New Roman" w:hAnsi="Times New Roman"/>
                <w:sz w:val="24"/>
                <w:szCs w:val="24"/>
              </w:rPr>
              <w:t>prazo</w:t>
            </w:r>
            <w:r>
              <w:rPr>
                <w:rFonts w:cs="Times New Roman" w:ascii="Times New Roman" w:hAnsi="Times New Roman"/>
                <w:spacing w:val="55"/>
                <w:sz w:val="24"/>
                <w:szCs w:val="24"/>
              </w:rPr>
              <w:t xml:space="preserve"> </w:t>
            </w:r>
            <w:r>
              <w:rPr>
                <w:rFonts w:cs="Times New Roman" w:ascii="Times New Roman" w:hAnsi="Times New Roman"/>
                <w:sz w:val="24"/>
                <w:szCs w:val="24"/>
              </w:rPr>
              <w:t>de</w:t>
            </w:r>
            <w:r>
              <w:rPr>
                <w:rFonts w:cs="Times New Roman" w:ascii="Times New Roman" w:hAnsi="Times New Roman"/>
                <w:spacing w:val="55"/>
                <w:sz w:val="24"/>
                <w:szCs w:val="24"/>
              </w:rPr>
              <w:t xml:space="preserve"> </w:t>
            </w:r>
            <w:r>
              <w:rPr>
                <w:rFonts w:cs="Times New Roman" w:ascii="Times New Roman" w:hAnsi="Times New Roman"/>
                <w:sz w:val="24"/>
                <w:szCs w:val="24"/>
              </w:rPr>
              <w:t>10</w:t>
            </w:r>
            <w:r>
              <w:rPr>
                <w:rFonts w:cs="Times New Roman" w:ascii="Times New Roman" w:hAnsi="Times New Roman"/>
                <w:spacing w:val="55"/>
                <w:sz w:val="24"/>
                <w:szCs w:val="24"/>
              </w:rPr>
              <w:t xml:space="preserve"> </w:t>
            </w:r>
            <w:r>
              <w:rPr>
                <w:rFonts w:cs="Times New Roman" w:ascii="Times New Roman" w:hAnsi="Times New Roman"/>
                <w:sz w:val="24"/>
                <w:szCs w:val="24"/>
              </w:rPr>
              <w:t>(dez)</w:t>
            </w:r>
            <w:r>
              <w:rPr>
                <w:rFonts w:cs="Times New Roman" w:ascii="Times New Roman" w:hAnsi="Times New Roman"/>
                <w:spacing w:val="55"/>
                <w:sz w:val="24"/>
                <w:szCs w:val="24"/>
              </w:rPr>
              <w:t xml:space="preserve"> </w:t>
            </w:r>
            <w:r>
              <w:rPr>
                <w:rFonts w:cs="Times New Roman" w:ascii="Times New Roman" w:hAnsi="Times New Roman"/>
                <w:sz w:val="24"/>
                <w:szCs w:val="24"/>
              </w:rPr>
              <w:t>dias,</w:t>
            </w:r>
            <w:r>
              <w:rPr>
                <w:rFonts w:cs="Times New Roman" w:ascii="Times New Roman" w:hAnsi="Times New Roman"/>
                <w:spacing w:val="55"/>
                <w:sz w:val="24"/>
                <w:szCs w:val="24"/>
              </w:rPr>
              <w:t xml:space="preserve"> </w:t>
            </w:r>
            <w:r>
              <w:rPr>
                <w:rFonts w:cs="Times New Roman" w:ascii="Times New Roman" w:hAnsi="Times New Roman"/>
                <w:sz w:val="24"/>
                <w:szCs w:val="24"/>
              </w:rPr>
              <w:t>contados</w:t>
            </w:r>
            <w:r>
              <w:rPr>
                <w:rFonts w:cs="Times New Roman" w:ascii="Times New Roman" w:hAnsi="Times New Roman"/>
                <w:spacing w:val="55"/>
                <w:sz w:val="24"/>
                <w:szCs w:val="24"/>
              </w:rPr>
              <w:t xml:space="preserve"> </w:t>
            </w:r>
            <w:r>
              <w:rPr>
                <w:rFonts w:cs="Times New Roman" w:ascii="Times New Roman" w:hAnsi="Times New Roman"/>
                <w:sz w:val="24"/>
                <w:szCs w:val="24"/>
              </w:rPr>
              <w:t>do</w:t>
            </w:r>
            <w:r>
              <w:rPr>
                <w:rFonts w:cs="Times New Roman" w:ascii="Times New Roman" w:hAnsi="Times New Roman"/>
                <w:spacing w:val="55"/>
                <w:sz w:val="24"/>
                <w:szCs w:val="24"/>
              </w:rPr>
              <w:t xml:space="preserve"> </w:t>
            </w:r>
            <w:r>
              <w:rPr>
                <w:rFonts w:cs="Times New Roman" w:ascii="Times New Roman" w:hAnsi="Times New Roman"/>
                <w:sz w:val="24"/>
                <w:szCs w:val="24"/>
              </w:rPr>
              <w:t>recebimento</w:t>
            </w:r>
            <w:r>
              <w:rPr>
                <w:rFonts w:cs="Times New Roman" w:ascii="Times New Roman" w:hAnsi="Times New Roman"/>
                <w:spacing w:val="1"/>
                <w:sz w:val="24"/>
                <w:szCs w:val="24"/>
              </w:rPr>
              <w:t xml:space="preserve"> </w:t>
            </w:r>
            <w:r>
              <w:rPr>
                <w:rFonts w:cs="Times New Roman" w:ascii="Times New Roman" w:hAnsi="Times New Roman"/>
                <w:w w:val="105"/>
                <w:sz w:val="24"/>
                <w:szCs w:val="24"/>
              </w:rPr>
              <w:t>provisório, após</w:t>
            </w:r>
            <w:r>
              <w:rPr>
                <w:rFonts w:cs="Times New Roman" w:ascii="Times New Roman" w:hAnsi="Times New Roman"/>
                <w:spacing w:val="1"/>
                <w:w w:val="105"/>
                <w:sz w:val="24"/>
                <w:szCs w:val="24"/>
              </w:rPr>
              <w:t xml:space="preserve"> </w:t>
            </w:r>
            <w:r>
              <w:rPr>
                <w:rFonts w:cs="Times New Roman" w:ascii="Times New Roman" w:hAnsi="Times New Roman"/>
                <w:w w:val="105"/>
                <w:sz w:val="24"/>
                <w:szCs w:val="24"/>
              </w:rPr>
              <w:t>a</w:t>
            </w:r>
            <w:r>
              <w:rPr>
                <w:rFonts w:cs="Times New Roman" w:ascii="Times New Roman" w:hAnsi="Times New Roman"/>
                <w:spacing w:val="1"/>
                <w:w w:val="105"/>
                <w:sz w:val="24"/>
                <w:szCs w:val="24"/>
              </w:rPr>
              <w:t xml:space="preserve"> </w:t>
            </w:r>
            <w:r>
              <w:rPr>
                <w:rFonts w:cs="Times New Roman" w:ascii="Times New Roman" w:hAnsi="Times New Roman"/>
                <w:w w:val="105"/>
                <w:sz w:val="24"/>
                <w:szCs w:val="24"/>
              </w:rPr>
              <w:t>verificação</w:t>
            </w:r>
            <w:r>
              <w:rPr>
                <w:rFonts w:cs="Times New Roman" w:ascii="Times New Roman" w:hAnsi="Times New Roman"/>
                <w:spacing w:val="1"/>
                <w:w w:val="105"/>
                <w:sz w:val="24"/>
                <w:szCs w:val="24"/>
              </w:rPr>
              <w:t xml:space="preserve"> </w:t>
            </w:r>
            <w:r>
              <w:rPr>
                <w:rFonts w:cs="Times New Roman" w:ascii="Times New Roman" w:hAnsi="Times New Roman"/>
                <w:w w:val="105"/>
                <w:sz w:val="24"/>
                <w:szCs w:val="24"/>
              </w:rPr>
              <w:t>da qualidade</w:t>
            </w:r>
            <w:r>
              <w:rPr>
                <w:rFonts w:cs="Times New Roman" w:ascii="Times New Roman" w:hAnsi="Times New Roman"/>
                <w:spacing w:val="1"/>
                <w:w w:val="105"/>
                <w:sz w:val="24"/>
                <w:szCs w:val="24"/>
              </w:rPr>
              <w:t xml:space="preserve"> </w:t>
            </w:r>
            <w:r>
              <w:rPr>
                <w:rFonts w:cs="Times New Roman" w:ascii="Times New Roman" w:hAnsi="Times New Roman"/>
                <w:w w:val="105"/>
                <w:sz w:val="24"/>
                <w:szCs w:val="24"/>
              </w:rPr>
              <w:t>e quantidade do material e consequente aceitação mediante</w:t>
            </w:r>
            <w:r>
              <w:rPr>
                <w:rFonts w:cs="Times New Roman" w:ascii="Times New Roman" w:hAnsi="Times New Roman"/>
                <w:spacing w:val="1"/>
                <w:w w:val="105"/>
                <w:sz w:val="24"/>
                <w:szCs w:val="24"/>
              </w:rPr>
              <w:t xml:space="preserve"> </w:t>
            </w:r>
            <w:r>
              <w:rPr>
                <w:rFonts w:cs="Times New Roman" w:ascii="Times New Roman" w:hAnsi="Times New Roman"/>
                <w:w w:val="105"/>
                <w:sz w:val="24"/>
                <w:szCs w:val="24"/>
              </w:rPr>
              <w:t>termo</w:t>
            </w:r>
            <w:r>
              <w:rPr>
                <w:rFonts w:cs="Times New Roman" w:ascii="Times New Roman" w:hAnsi="Times New Roman"/>
                <w:spacing w:val="26"/>
                <w:w w:val="105"/>
                <w:sz w:val="24"/>
                <w:szCs w:val="24"/>
              </w:rPr>
              <w:t xml:space="preserve"> </w:t>
            </w:r>
            <w:r>
              <w:rPr>
                <w:rFonts w:cs="Times New Roman" w:ascii="Times New Roman" w:hAnsi="Times New Roman"/>
                <w:w w:val="105"/>
                <w:sz w:val="24"/>
                <w:szCs w:val="24"/>
              </w:rPr>
              <w:t>circunstanciado;</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 recebimento provisório ou definitivo do objeto não exclui a responsabilidade da contratada pelos prejuízos resultantes da incorreta execução do contrato;</w:t>
            </w:r>
          </w:p>
          <w:p>
            <w:pPr>
              <w:pStyle w:val="ListParagraph"/>
              <w:numPr>
                <w:ilvl w:val="0"/>
                <w:numId w:val="1"/>
              </w:numPr>
              <w:spacing w:lineRule="auto" w:line="276"/>
              <w:jc w:val="both"/>
              <w:rPr>
                <w:rFonts w:ascii="Times New Roman" w:hAnsi="Times New Roman" w:cs="Times New Roman"/>
                <w:sz w:val="24"/>
                <w:szCs w:val="24"/>
              </w:rPr>
            </w:pPr>
            <w:r>
              <w:rPr>
                <w:rFonts w:cs="Times New Roman" w:ascii="Times New Roman" w:hAnsi="Times New Roman"/>
                <w:sz w:val="24"/>
                <w:szCs w:val="24"/>
              </w:rPr>
              <w:t>Os critérios e práticas de sustentabilidade encontram-se no item XIII deste estudo.</w:t>
            </w:r>
          </w:p>
          <w:p>
            <w:pPr>
              <w:pStyle w:val="ListParagraph"/>
              <w:spacing w:lineRule="auto" w:line="276"/>
              <w:jc w:val="both"/>
              <w:rPr>
                <w:rFonts w:ascii="Times New Roman" w:hAnsi="Times New Roman" w:cs="Times New Roman"/>
                <w:sz w:val="24"/>
                <w:szCs w:val="24"/>
              </w:rPr>
            </w:pPr>
            <w:r>
              <w:rPr>
                <w:rFonts w:cs="Times New Roman" w:ascii="Times New Roman" w:hAnsi="Times New Roman"/>
                <w:sz w:val="24"/>
                <w:szCs w:val="24"/>
              </w:rPr>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color w:val="FFFFFF" w:themeColor="background1"/>
                <w:sz w:val="24"/>
                <w:szCs w:val="24"/>
              </w:rPr>
            </w:pPr>
            <w:r>
              <w:rPr>
                <w:rFonts w:cs="Times New Roman" w:ascii="Times New Roman" w:hAnsi="Times New Roman"/>
                <w:b/>
                <w:color w:val="FFFFFF" w:themeColor="background1"/>
                <w:sz w:val="24"/>
                <w:szCs w:val="24"/>
              </w:rPr>
              <w:t>IV - Levantamento de Mercado</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Standard"/>
              <w:spacing w:lineRule="auto" w:line="276"/>
              <w:jc w:val="both"/>
              <w:rPr>
                <w:rFonts w:eastAsia="Times New Roman" w:cs="Times New Roman"/>
                <w:color w:val="00000A"/>
                <w:lang w:eastAsia="pt-BR"/>
              </w:rPr>
            </w:pPr>
            <w:r>
              <w:rPr>
                <w:rFonts w:cs="Times New Roman"/>
              </w:rPr>
              <w:t xml:space="preserve">          </w:t>
            </w:r>
            <w:r>
              <w:rPr>
                <w:rFonts w:eastAsia="Times New Roman" w:cs="Times New Roman"/>
                <w:color w:val="00000A"/>
                <w:lang w:eastAsia="pt-BR"/>
              </w:rPr>
              <w:t>Foram analisadas contratações similares feitas por outros órgãos e entidades, por meio de consultas a outros editais, com objetivo de identificar a existência de novas metodologias, tecnologias ou inovações que melhor atendessem às necessidades da Administração, e as que foram identificadas foram incorporadas na contratação em análise.</w:t>
            </w:r>
          </w:p>
          <w:p>
            <w:pPr>
              <w:pStyle w:val="Standard"/>
              <w:spacing w:lineRule="auto" w:line="276"/>
              <w:jc w:val="both"/>
              <w:rPr/>
            </w:pPr>
            <w:r>
              <w:rPr>
                <w:rFonts w:eastAsia="Times New Roman" w:cs="Times New Roman"/>
                <w:color w:val="00000A"/>
                <w:lang w:eastAsia="pt-BR"/>
              </w:rPr>
              <w:t xml:space="preserve">          </w:t>
            </w:r>
            <w:r>
              <w:rPr>
                <w:rFonts w:eastAsia="Times New Roman" w:cs="Times New Roman"/>
                <w:color w:val="00000A"/>
                <w:lang w:eastAsia="pt-BR"/>
              </w:rPr>
              <w:t xml:space="preserve">Tendo em vista o alto custo para se realizar uma licitação, será optado por realizar uma dispensa eletrônica, amparado no inciso II, Art. 75, da </w:t>
            </w:r>
            <w:hyperlink r:id="rId4">
              <w:r>
                <w:rPr>
                  <w:rStyle w:val="LinkdaInternet"/>
                  <w:rFonts w:cs="Arial" w:ascii="Arial" w:hAnsi="Arial"/>
                  <w:b/>
                  <w:bCs/>
                  <w:color w:val="auto"/>
                  <w:sz w:val="20"/>
                  <w:szCs w:val="20"/>
                </w:rPr>
                <w:t xml:space="preserve">LEI Nº 14.133, DE 1º DE ABRIL DE 2021. </w:t>
              </w:r>
            </w:hyperlink>
          </w:p>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color w:val="FFFFFF" w:themeColor="background1"/>
                <w:sz w:val="24"/>
                <w:szCs w:val="24"/>
              </w:rPr>
            </w:pPr>
            <w:r>
              <w:rPr>
                <w:rFonts w:cs="Times New Roman" w:ascii="Times New Roman" w:hAnsi="Times New Roman"/>
                <w:b/>
                <w:color w:val="FFFFFF" w:themeColor="background1"/>
                <w:sz w:val="24"/>
                <w:szCs w:val="24"/>
              </w:rPr>
              <w:t>V - Descrição da solução como um todo</w:t>
            </w:r>
          </w:p>
        </w:tc>
      </w:tr>
      <w:tr>
        <w:trPr>
          <w:trHeight w:val="254"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76"/>
              <w:jc w:val="both"/>
              <w:rPr/>
            </w:pPr>
            <w:r>
              <w:rPr>
                <w:rFonts w:cs="Times New Roman" w:ascii="Times New Roman" w:hAnsi="Times New Roman"/>
                <w:color w:val="FF0000"/>
                <w:sz w:val="24"/>
                <w:szCs w:val="24"/>
              </w:rPr>
              <w:t xml:space="preserve">        </w:t>
            </w:r>
            <w:r>
              <w:rPr>
                <w:rFonts w:cs="Times New Roman" w:ascii="Times New Roman" w:hAnsi="Times New Roman"/>
                <w:color w:val="CE181E"/>
                <w:sz w:val="24"/>
                <w:szCs w:val="24"/>
              </w:rPr>
              <w:t xml:space="preserve"> </w:t>
            </w:r>
            <w:r>
              <w:rPr>
                <w:rFonts w:cs="Times New Roman" w:ascii="Times New Roman" w:hAnsi="Times New Roman"/>
                <w:color w:val="000000"/>
                <w:sz w:val="24"/>
                <w:szCs w:val="24"/>
              </w:rPr>
              <w:t>A contratação do serviço descrito no objeto, visa atender as necessidades do 7º Grupo de Artilharia de Campanha, conforme condições, quantidades e exigências estabelecidas neste instrumento e seus anexos.</w:t>
            </w:r>
          </w:p>
          <w:p>
            <w:pPr>
              <w:pStyle w:val="Normal"/>
              <w:jc w:val="both"/>
              <w:rPr>
                <w:rFonts w:ascii="Times New Roman" w:hAnsi="Times New Roman" w:cs="Times New Roman"/>
                <w:sz w:val="24"/>
                <w:szCs w:val="24"/>
              </w:rPr>
            </w:pPr>
            <w:r>
              <w:rPr>
                <w:rFonts w:cs="Times New Roman" w:ascii="Times New Roman" w:hAnsi="Times New Roman"/>
                <w:sz w:val="24"/>
                <w:szCs w:val="24"/>
              </w:rPr>
            </w:r>
          </w:p>
        </w:tc>
      </w:tr>
      <w:tr>
        <w:trPr>
          <w:trHeight w:val="310"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FFFFF" w:themeFill="background1" w:val="clear"/>
            <w:vAlign w:val="center"/>
          </w:tcPr>
          <w:p>
            <w:pPr>
              <w:pStyle w:val="NoSpacing"/>
              <w:shd w:val="clear" w:color="auto" w:fill="244061" w:themeFill="accent1" w:themeFillShade="80"/>
              <w:jc w:val="both"/>
              <w:rPr>
                <w:rFonts w:ascii="Times New Roman" w:hAnsi="Times New Roman" w:cs="Times New Roman"/>
                <w:b/>
                <w:b/>
                <w:bCs/>
                <w:sz w:val="24"/>
                <w:szCs w:val="24"/>
              </w:rPr>
            </w:pPr>
            <w:r>
              <w:rPr>
                <w:rFonts w:cs="Times New Roman" w:ascii="Times New Roman" w:hAnsi="Times New Roman"/>
                <w:b/>
                <w:bCs/>
                <w:sz w:val="24"/>
                <w:szCs w:val="24"/>
              </w:rPr>
              <w:t xml:space="preserve">VI - Estimativa das quantidades a serem contratadas </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A estimativa das quantidades a serem contratadas foi baseada na necessidade apresentada, bem como na quantidade do material existente.</w:t>
            </w:r>
          </w:p>
          <w:p>
            <w:pPr>
              <w:pStyle w:val="NoSpacing"/>
              <w:jc w:val="both"/>
              <w:rPr>
                <w:rFonts w:ascii="Times New Roman" w:hAnsi="Times New Roman" w:eastAsia="Times New Roman" w:cs="Times New Roman"/>
                <w:bCs/>
                <w:sz w:val="24"/>
                <w:szCs w:val="24"/>
                <w:lang w:eastAsia="ar-SA"/>
              </w:rPr>
            </w:pPr>
            <w:r>
              <w:rPr>
                <w:rFonts w:eastAsia="Times New Roman" w:cs="Times New Roman" w:ascii="Times New Roman" w:hAnsi="Times New Roman"/>
                <w:bCs/>
                <w:sz w:val="24"/>
                <w:szCs w:val="24"/>
                <w:lang w:eastAsia="ar-SA"/>
              </w:rPr>
              <w:t xml:space="preserve">       </w:t>
            </w:r>
          </w:p>
          <w:p>
            <w:pPr>
              <w:pStyle w:val="NoSpacing"/>
              <w:jc w:val="both"/>
              <w:rPr>
                <w:rFonts w:ascii="Times New Roman" w:hAnsi="Times New Roman" w:cs="Times New Roman"/>
                <w:sz w:val="24"/>
                <w:szCs w:val="24"/>
              </w:rPr>
            </w:pPr>
            <w:r>
              <w:rPr>
                <w:rFonts w:cs="Times New Roman" w:ascii="Times New Roman" w:hAnsi="Times New Roman"/>
                <w:sz w:val="24"/>
                <w:szCs w:val="24"/>
              </w:rPr>
            </w:r>
          </w:p>
        </w:tc>
      </w:tr>
      <w:tr>
        <w:trPr>
          <w:trHeight w:val="290"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FFFFFF" w:themeFill="background1" w:val="clear"/>
            <w:vAlign w:val="center"/>
          </w:tcPr>
          <w:p>
            <w:pPr>
              <w:pStyle w:val="Normal"/>
              <w:shd w:val="clear" w:color="auto" w:fill="244061" w:themeFill="accent1" w:themeFillShade="80"/>
              <w:jc w:val="both"/>
              <w:rPr>
                <w:rFonts w:ascii="Times New Roman" w:hAnsi="Times New Roman" w:cs="Times New Roman"/>
                <w:b/>
                <w:b/>
                <w:bCs/>
                <w:sz w:val="24"/>
                <w:szCs w:val="24"/>
              </w:rPr>
            </w:pPr>
            <w:r>
              <w:rPr>
                <w:rFonts w:cs="Times New Roman" w:ascii="Times New Roman" w:hAnsi="Times New Roman"/>
                <w:b/>
                <w:bCs/>
                <w:sz w:val="24"/>
                <w:szCs w:val="24"/>
              </w:rPr>
              <w:t>VII - Estimativa do valor da contratação</w:t>
            </w:r>
          </w:p>
          <w:p>
            <w:pPr>
              <w:pStyle w:val="Normal"/>
              <w:shd w:val="clear" w:color="auto" w:fill="FFFFFF" w:themeFill="background1"/>
              <w:jc w:val="both"/>
              <w:rPr>
                <w:rFonts w:ascii="Times New Roman" w:hAnsi="Times New Roman" w:cs="Times New Roman"/>
                <w:sz w:val="24"/>
                <w:szCs w:val="24"/>
              </w:rPr>
            </w:pPr>
            <w:r>
              <w:rPr>
                <w:rFonts w:cs="Times New Roman" w:ascii="Times New Roman" w:hAnsi="Times New Roman"/>
                <w:sz w:val="24"/>
                <w:szCs w:val="24"/>
              </w:rPr>
            </w:r>
          </w:p>
          <w:p>
            <w:pPr>
              <w:pStyle w:val="Ttulo2"/>
              <w:jc w:val="left"/>
              <w:rPr>
                <w:rFonts w:ascii="Times New Roman" w:hAnsi="Times New Roman" w:cs="Times New Roman"/>
                <w:sz w:val="24"/>
                <w:szCs w:val="24"/>
              </w:rPr>
            </w:pPr>
            <w:r>
              <w:rPr>
                <w:rFonts w:cs="Times New Roman" w:ascii="Times New Roman" w:hAnsi="Times New Roman"/>
                <w:color w:val="auto"/>
                <w:sz w:val="24"/>
                <w:szCs w:val="24"/>
              </w:rPr>
              <w:t xml:space="preserve">          </w:t>
            </w:r>
            <w:r>
              <w:rPr>
                <w:rFonts w:cs="Times New Roman" w:ascii="Times New Roman" w:hAnsi="Times New Roman"/>
                <w:color w:val="auto"/>
                <w:sz w:val="24"/>
                <w:szCs w:val="24"/>
              </w:rPr>
              <w:t>A estimativa do valor da contratação será definida no relatório da pesquisa de preços.</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VIII - Justificativas para o parcelamento ou não da solução (se aplicável)</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Em regra, conforme § 1º do art. 23 da Lei nº 8.666/93, o objeto deverá ser dividido em tantas parcelas quantas se comprovarem técnica e economicamente viáveis, procedendo-se à licitação com vistas ao melhor aproveitamento dos recursos disponíveis no mercado e à ampliação da competitividade sem perda da economia de escala (Súmula 247 do TCU).</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O disposto encontra-se aplicável na presente demanda, não sendo vislumbrado, no momento, motivações para a não adoção do parcelamento do objeto em itens.</w:t>
            </w:r>
          </w:p>
          <w:p>
            <w:pPr>
              <w:pStyle w:val="Normal"/>
              <w:jc w:val="both"/>
              <w:rPr>
                <w:rFonts w:ascii="Times New Roman" w:hAnsi="Times New Roman" w:cs="Times New Roman"/>
                <w:sz w:val="24"/>
                <w:szCs w:val="24"/>
              </w:rPr>
            </w:pPr>
            <w:r>
              <w:rPr>
                <w:rFonts w:cs="Times New Roman" w:ascii="Times New Roman" w:hAnsi="Times New Roman"/>
                <w:sz w:val="24"/>
                <w:szCs w:val="24"/>
              </w:rPr>
            </w:r>
          </w:p>
        </w:tc>
      </w:tr>
      <w:tr>
        <w:trPr>
          <w:trHeight w:val="254"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IX - Contratações correlatas e/ou interdependentes</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Não se faz necessária a realização de aquisições correlatas ou interdependentes para a viabilidade e contratação desta demanda. </w:t>
            </w:r>
          </w:p>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tc>
      </w:tr>
      <w:tr>
        <w:trPr>
          <w:trHeight w:val="262"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 xml:space="preserve">X - Alinhamento entre a Contratação e o Planejamento </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rmal"/>
              <w:jc w:val="both"/>
              <w:rPr/>
            </w:pPr>
            <w:r>
              <w:rPr>
                <w:rFonts w:cs="Times New Roman" w:ascii="Times New Roman" w:hAnsi="Times New Roman"/>
                <w:sz w:val="24"/>
                <w:szCs w:val="24"/>
              </w:rPr>
              <w:t xml:space="preserve">       </w:t>
            </w:r>
            <w:r>
              <w:rPr>
                <w:rFonts w:cs="Times New Roman" w:ascii="Times New Roman" w:hAnsi="Times New Roman"/>
                <w:color w:val="000000"/>
                <w:sz w:val="24"/>
                <w:szCs w:val="24"/>
              </w:rPr>
              <w:t xml:space="preserve">A </w:t>
            </w:r>
            <w:r>
              <w:rPr>
                <w:rFonts w:cs="Times New Roman" w:ascii="Times New Roman" w:hAnsi="Times New Roman"/>
                <w:b/>
                <w:bCs/>
                <w:color w:val="000000"/>
                <w:sz w:val="24"/>
                <w:szCs w:val="24"/>
              </w:rPr>
              <w:t>aquisição de ferragens</w:t>
            </w:r>
            <w:r>
              <w:rPr>
                <w:rFonts w:cs="Times New Roman" w:ascii="Times New Roman" w:hAnsi="Times New Roman"/>
                <w:color w:val="FF0000"/>
                <w:sz w:val="24"/>
                <w:szCs w:val="24"/>
              </w:rPr>
              <w:t xml:space="preserve"> </w:t>
            </w:r>
            <w:r>
              <w:rPr>
                <w:rFonts w:cs="Times New Roman" w:ascii="Times New Roman" w:hAnsi="Times New Roman"/>
                <w:sz w:val="24"/>
                <w:szCs w:val="24"/>
              </w:rPr>
              <w:t>destinam-se atender as demandas do 7º Grupo de Artilharia de Campanha</w:t>
            </w:r>
            <w:r>
              <w:rPr>
                <w:rFonts w:cs="Times New Roman" w:ascii="Times New Roman" w:hAnsi="Times New Roman"/>
                <w:color w:val="FF0000"/>
                <w:sz w:val="24"/>
                <w:szCs w:val="24"/>
              </w:rPr>
              <w:t>,</w:t>
            </w:r>
            <w:r>
              <w:rPr>
                <w:rFonts w:cs="Times New Roman" w:ascii="Times New Roman" w:hAnsi="Times New Roman"/>
                <w:sz w:val="24"/>
                <w:szCs w:val="24"/>
              </w:rPr>
              <w:t xml:space="preserve"> utilizando-se de séries históricas de consumo e a necessidade de novas demandas específicas, ocasionando na inclusão de itens para realizar a previsão da demanda necessária à manutenção das atividades desenvolvidas.</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bCs/>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A referida aquisição não está vinculada ao Sistema de Planejamento e Gerenciamento de Contratações (SPGC) do Ministério de Planejamento, Desenvolvimento e Gestão, conforme IN n° 1, de 29 Jun 18, que dispõe sobre o PGC no âmbito da Administração Pública Federal. O Sistema ainda não está regulado no âmbito da força conforme o </w:t>
            </w:r>
            <w:r>
              <w:rPr>
                <w:rFonts w:cs="Times New Roman" w:ascii="Times New Roman" w:hAnsi="Times New Roman"/>
                <w:bCs/>
                <w:sz w:val="24"/>
                <w:szCs w:val="24"/>
              </w:rPr>
              <w:t>DIEx nº 1236-S2/8ª ICFEx – CIRCULAR de 11 de julho de 2018.</w:t>
            </w:r>
          </w:p>
          <w:p>
            <w:pPr>
              <w:pStyle w:val="Normal"/>
              <w:jc w:val="both"/>
              <w:rPr>
                <w:rFonts w:ascii="Times New Roman" w:hAnsi="Times New Roman" w:cs="Times New Roman"/>
                <w:sz w:val="24"/>
                <w:szCs w:val="24"/>
              </w:rPr>
            </w:pPr>
            <w:r>
              <w:rPr>
                <w:rFonts w:cs="Times New Roman" w:ascii="Times New Roman" w:hAnsi="Times New Roman"/>
                <w:sz w:val="24"/>
                <w:szCs w:val="24"/>
              </w:rPr>
            </w:r>
          </w:p>
        </w:tc>
      </w:tr>
      <w:tr>
        <w:trPr>
          <w:trHeight w:val="254"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XI - Resultados pretendidos</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jc w:val="both"/>
              <w:rPr/>
            </w:pPr>
            <w:r>
              <w:rPr>
                <w:rFonts w:cs="Times New Roman" w:ascii="Times New Roman" w:hAnsi="Times New Roman"/>
                <w:color w:val="FF0000"/>
                <w:sz w:val="24"/>
                <w:szCs w:val="24"/>
              </w:rPr>
              <w:t xml:space="preserve">       </w:t>
            </w:r>
            <w:r>
              <w:rPr>
                <w:rFonts w:cs="Times New Roman" w:ascii="Times New Roman" w:hAnsi="Times New Roman"/>
                <w:sz w:val="24"/>
                <w:szCs w:val="24"/>
              </w:rPr>
              <w:t>Com a contratação dos materiais, esta Administração pretende atender as necessidades de melhoramento do estande de tiro.</w:t>
            </w:r>
          </w:p>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tc>
      </w:tr>
      <w:tr>
        <w:trPr>
          <w:trHeight w:val="290"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tabs>
                <w:tab w:val="clear" w:pos="708"/>
                <w:tab w:val="left" w:pos="3138" w:leader="none"/>
              </w:tabs>
              <w:jc w:val="both"/>
              <w:rPr>
                <w:rFonts w:ascii="Times New Roman" w:hAnsi="Times New Roman" w:cs="Times New Roman"/>
                <w:b/>
                <w:b/>
                <w:bCs/>
                <w:sz w:val="24"/>
                <w:szCs w:val="24"/>
              </w:rPr>
            </w:pPr>
            <w:r>
              <w:rPr>
                <w:rFonts w:cs="Times New Roman" w:ascii="Times New Roman" w:hAnsi="Times New Roman"/>
                <w:b/>
                <w:bCs/>
                <w:sz w:val="24"/>
                <w:szCs w:val="24"/>
              </w:rPr>
              <w:t>XII - Providências a serem adotadas</w:t>
              <w:tab/>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A presente aquisição requer por parte da administração o acompanhamento de profissional qualificado para analisar, julgar e receber os serviços contratados, de forma a verificar que todas as especificações técnicas e exigências solicitadas foram cumpridas.</w:t>
            </w:r>
          </w:p>
          <w:p>
            <w:pPr>
              <w:pStyle w:val="Normal"/>
              <w:jc w:val="both"/>
              <w:rPr>
                <w:rFonts w:ascii="Times New Roman" w:hAnsi="Times New Roman" w:cs="Times New Roman"/>
                <w:sz w:val="24"/>
                <w:szCs w:val="24"/>
              </w:rPr>
            </w:pPr>
            <w:r>
              <w:rPr>
                <w:rFonts w:cs="Times New Roman" w:ascii="Times New Roman" w:hAnsi="Times New Roman"/>
                <w:sz w:val="24"/>
                <w:szCs w:val="24"/>
              </w:rPr>
            </w:r>
          </w:p>
        </w:tc>
      </w:tr>
      <w:tr>
        <w:trPr>
          <w:trHeight w:val="254"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XIII - Possíveis Impactos Ambientais</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numPr>
                <w:ilvl w:val="0"/>
                <w:numId w:val="2"/>
              </w:numPr>
              <w:spacing w:lineRule="auto" w:line="276" w:before="240" w:after="120"/>
              <w:contextualSpacing/>
              <w:jc w:val="left"/>
              <w:rPr>
                <w:rFonts w:ascii="Times New Roman" w:hAnsi="Times New Roman" w:cs="Times New Roman"/>
                <w:sz w:val="24"/>
                <w:szCs w:val="24"/>
              </w:rPr>
            </w:pPr>
            <w:r>
              <w:rPr>
                <w:rFonts w:cs="Times New Roman" w:ascii="Times New Roman" w:hAnsi="Times New Roman"/>
                <w:sz w:val="24"/>
                <w:szCs w:val="24"/>
              </w:rPr>
              <w:t xml:space="preserve">Bens constituídos, no todo ou em parte, por material reciclado, atóxico, biodegradável, conforme ABNT NBR – 15448-1 e 15448-2; </w:t>
            </w:r>
          </w:p>
          <w:p>
            <w:pPr>
              <w:pStyle w:val="ListParagraph"/>
              <w:numPr>
                <w:ilvl w:val="0"/>
                <w:numId w:val="2"/>
              </w:numPr>
              <w:spacing w:lineRule="auto" w:line="276" w:before="240" w:after="120"/>
              <w:contextualSpacing/>
              <w:jc w:val="left"/>
              <w:rPr>
                <w:rFonts w:ascii="Times New Roman" w:hAnsi="Times New Roman" w:cs="Times New Roman"/>
                <w:sz w:val="24"/>
                <w:szCs w:val="24"/>
              </w:rPr>
            </w:pPr>
            <w:r>
              <w:rPr>
                <w:rFonts w:cs="Times New Roman" w:ascii="Times New Roman" w:hAnsi="Times New Roman"/>
                <w:sz w:val="24"/>
                <w:szCs w:val="24"/>
              </w:rPr>
              <w:t xml:space="preserve">Que sejam observados os requisitos ambientais para a obtenção de certificação do instituto nacional de metrologia, normalização e qualidade industrial – INMETRO como produtos sustentáveis ou de menor impacto ambiental em relação aos seus similares; </w:t>
            </w:r>
          </w:p>
          <w:p>
            <w:pPr>
              <w:pStyle w:val="ListParagraph"/>
              <w:numPr>
                <w:ilvl w:val="0"/>
                <w:numId w:val="2"/>
              </w:numPr>
              <w:spacing w:lineRule="auto" w:line="276" w:before="240" w:after="120"/>
              <w:contextualSpacing/>
              <w:jc w:val="left"/>
              <w:rPr>
                <w:rFonts w:ascii="Times New Roman" w:hAnsi="Times New Roman" w:cs="Times New Roman"/>
                <w:sz w:val="24"/>
                <w:szCs w:val="24"/>
              </w:rPr>
            </w:pPr>
            <w:r>
              <w:rPr>
                <w:rFonts w:cs="Times New Roman" w:ascii="Times New Roman" w:hAnsi="Times New Roman"/>
                <w:sz w:val="24"/>
                <w:szCs w:val="24"/>
              </w:rPr>
              <w:t xml:space="preserve">Que os bens devam ser, preferencialmente, acondicionados em embalagem individual adequada, com o menor volume possível, que utilize materiais recicláveis, de forma a garantir a máxima proteção durante o transporte e o armazenamento; e </w:t>
            </w:r>
          </w:p>
          <w:p>
            <w:pPr>
              <w:pStyle w:val="ListParagraph"/>
              <w:numPr>
                <w:ilvl w:val="0"/>
                <w:numId w:val="2"/>
              </w:numPr>
              <w:spacing w:lineRule="auto" w:line="276" w:before="240" w:after="120"/>
              <w:contextualSpacing/>
              <w:jc w:val="left"/>
              <w:rPr>
                <w:rFonts w:ascii="Times New Roman" w:hAnsi="Times New Roman" w:cs="Times New Roman"/>
                <w:b/>
                <w:b/>
                <w:bCs/>
                <w:sz w:val="24"/>
                <w:szCs w:val="24"/>
                <w:u w:val="single"/>
              </w:rPr>
            </w:pPr>
            <w:r>
              <w:rPr>
                <w:rFonts w:cs="Times New Roman" w:ascii="Times New Roman" w:hAnsi="Times New Roman"/>
                <w:sz w:val="24"/>
                <w:szCs w:val="24"/>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pPr>
              <w:pStyle w:val="ListParagraph"/>
              <w:numPr>
                <w:ilvl w:val="0"/>
                <w:numId w:val="3"/>
              </w:numPr>
              <w:spacing w:lineRule="auto" w:line="276" w:before="240" w:after="120"/>
              <w:contextualSpacing/>
              <w:jc w:val="both"/>
              <w:rPr>
                <w:rFonts w:ascii="Times New Roman" w:hAnsi="Times New Roman" w:cs="Times New Roman"/>
                <w:sz w:val="24"/>
                <w:szCs w:val="24"/>
                <w:u w:val="single"/>
              </w:rPr>
            </w:pPr>
            <w:r>
              <w:rPr>
                <w:rFonts w:cs="Times New Roman" w:ascii="Times New Roman" w:hAnsi="Times New Roman"/>
                <w:sz w:val="24"/>
                <w:szCs w:val="24"/>
              </w:rPr>
              <w:t>Para os itens,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p>
          <w:p>
            <w:pPr>
              <w:pStyle w:val="ListParagraph"/>
              <w:numPr>
                <w:ilvl w:val="0"/>
                <w:numId w:val="3"/>
              </w:numPr>
              <w:spacing w:lineRule="auto" w:line="276" w:before="240" w:after="120"/>
              <w:contextualSpacing/>
              <w:jc w:val="both"/>
              <w:rPr>
                <w:rFonts w:ascii="Times New Roman" w:hAnsi="Times New Roman" w:cs="Times New Roman"/>
                <w:sz w:val="24"/>
                <w:szCs w:val="24"/>
                <w:u w:val="single"/>
              </w:rPr>
            </w:pPr>
            <w:r>
              <w:rPr>
                <w:rFonts w:cs="Times New Roman" w:ascii="Times New Roman" w:hAnsi="Times New Roman"/>
                <w:sz w:val="24"/>
                <w:szCs w:val="24"/>
              </w:rPr>
              <w:t>Para os itens enquadrados no Anexo I da Instrução Normativa IBAMA n° 06, de 15/03/2013, o Pregoeiro solicitará ao licitante provisoriamente classificado em primeiro lugar que apresente ou envie juntamente com a proposta, sob pena de não-aceitação, o Comprovante de Registro do fabricante do produto no Cadastro Técnico Federal de Atividades Potencialmente Poluidoras ou Utilizadoras de Recursos Ambientais, acompanhado do respectivo Certificado de Regularidade válido, nos termos do artigo 17, inciso II, da Lei n° 6.938, de 1981, e da Instrução Normativa IBAMA n° 06, de 15/03/2013, e legislação correlata. a.1) A apresentação do Certificado de Regularidade será dispensada, caso o Pregoeiro logre êxito em obtê-lo mediante consulta on lineao sítio oficial do IBAMA, anexando-o ao processo;</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sz w:val="24"/>
                <w:szCs w:val="24"/>
              </w:rPr>
              <w:t>Utilização de produtos florestais madeireiros e não madeireiros originários de manejo florestal sustentável ou de reflorestamento;</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sz w:val="24"/>
                <w:szCs w:val="24"/>
              </w:rPr>
              <w:t>Bens constituídos, no todo ou em parte, por material reciclado, atóxico, biodegradável, conforme ABNT NBR – 15448-1 e 15448-2;</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sz w:val="24"/>
                <w:szCs w:val="24"/>
              </w:rPr>
              <w:t>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sz w:val="24"/>
                <w:szCs w:val="24"/>
              </w:rPr>
              <w:t>Que os bens devam ser, preferencialmente, acondicionados em embalagem individual adequada, com o menor volume possível, que utilize materiais recicláveis, de forma a garantir a máxima proteção durante o transporte e o armazenamento;</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sz w:val="24"/>
                <w:szCs w:val="24"/>
              </w:rPr>
              <w:t>A cumprir estritamente as Resoluções da ANVISA acerca dos materiais fornecidos, quando for possível;</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bCs/>
                <w:sz w:val="24"/>
                <w:szCs w:val="24"/>
              </w:rPr>
              <w:t>A</w:t>
            </w:r>
            <w:r>
              <w:rPr>
                <w:rFonts w:cs="Times New Roman" w:ascii="Times New Roman" w:hAnsi="Times New Roman"/>
                <w:b/>
                <w:sz w:val="24"/>
                <w:szCs w:val="24"/>
              </w:rPr>
              <w:t xml:space="preserve"> </w:t>
            </w:r>
            <w:r>
              <w:rPr>
                <w:rFonts w:cs="Times New Roman" w:ascii="Times New Roman" w:hAnsi="Times New Roman"/>
                <w:bCs/>
                <w:sz w:val="24"/>
                <w:szCs w:val="24"/>
              </w:rPr>
              <w:t>comprovação do disposto neste item poderá ser feita mediante apresentação de certificação emitida por instituição pública oficial ou instituição credenciada ou por qualquer outro meio de prova que ateste que o bem fornecido cumpre com as exigências do edital;</w:t>
            </w:r>
          </w:p>
          <w:p>
            <w:pPr>
              <w:pStyle w:val="ListParagraph"/>
              <w:numPr>
                <w:ilvl w:val="0"/>
                <w:numId w:val="3"/>
              </w:numPr>
              <w:spacing w:lineRule="auto" w:line="276" w:before="240" w:after="120"/>
              <w:contextualSpacing/>
              <w:jc w:val="both"/>
              <w:rPr>
                <w:rFonts w:ascii="Times New Roman" w:hAnsi="Times New Roman" w:cs="Times New Roman"/>
                <w:sz w:val="24"/>
                <w:szCs w:val="24"/>
              </w:rPr>
            </w:pPr>
            <w:r>
              <w:rPr>
                <w:rFonts w:cs="Times New Roman" w:ascii="Times New Roman" w:hAnsi="Times New Roman"/>
                <w:sz w:val="24"/>
                <w:szCs w:val="24"/>
              </w:rPr>
              <w:t>Em caso de inexistência da certificação referida no caput, o instrumento convocatório estabelecerá que, após a seleção da proposta e antes da adjudicação do objeto, o contratante poderá realizar diligências para verificar a adequação do bem ou serviço às exigências do instrumento convocatório.</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17365D" w:themeFill="text2" w:themeFillShade="bf" w:val="clear"/>
            <w:vAlign w:val="center"/>
          </w:tcPr>
          <w:p>
            <w:pPr>
              <w:pStyle w:val="Normal"/>
              <w:jc w:val="both"/>
              <w:rPr>
                <w:rFonts w:ascii="Times New Roman" w:hAnsi="Times New Roman" w:cs="Times New Roman"/>
                <w:b/>
                <w:b/>
                <w:bCs/>
                <w:sz w:val="24"/>
                <w:szCs w:val="24"/>
              </w:rPr>
            </w:pPr>
            <w:r>
              <w:rPr>
                <w:rFonts w:cs="Times New Roman" w:ascii="Times New Roman" w:hAnsi="Times New Roman"/>
                <w:b/>
                <w:bCs/>
                <w:sz w:val="24"/>
                <w:szCs w:val="24"/>
              </w:rPr>
              <w:t>XIV - Posicionamento conclusivo sobre a viabilidade e razoabilidade da contratação</w:t>
            </w:r>
          </w:p>
        </w:tc>
      </w:tr>
      <w:tr>
        <w:trPr>
          <w:trHeight w:val="269" w:hRule="atLeast"/>
        </w:trPr>
        <w:tc>
          <w:tcPr>
            <w:tcW w:w="107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ascii="Times New Roman" w:hAnsi="Times New Roman" w:cs="Times New Roman"/>
                <w:color w:val="FF0000"/>
                <w:sz w:val="24"/>
                <w:szCs w:val="24"/>
              </w:rPr>
            </w:pPr>
            <w:r>
              <w:rPr>
                <w:rFonts w:cs="Times New Roman" w:ascii="Times New Roman" w:hAnsi="Times New Roman"/>
                <w:color w:val="FF0000"/>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Esta equipe de planejamento declara esta contratação com base neste Estudo Técnico Preliminar, é viável, consoante o inciso XIII, art. 7º da IN 40 de 22 de maio de 2020, da SEGES/ME.</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t>DECLARO que:</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(X ) É VIÁVEL a presente contratação. </w:t>
            </w:r>
          </w:p>
          <w:p>
            <w:pPr>
              <w:pStyle w:val="Normal"/>
              <w:jc w:val="both"/>
              <w:rPr>
                <w:rFonts w:ascii="Times New Roman" w:hAnsi="Times New Roman" w:cs="Times New Roman"/>
                <w:b/>
                <w:b/>
                <w:color w:val="FF0000"/>
                <w:sz w:val="24"/>
                <w:szCs w:val="24"/>
              </w:rPr>
            </w:pPr>
            <w:r>
              <w:rPr>
                <w:rFonts w:cs="Times New Roman" w:ascii="Times New Roman" w:hAnsi="Times New Roman"/>
                <w:sz w:val="24"/>
                <w:szCs w:val="24"/>
              </w:rPr>
              <w:t>(    ) NÃO É VIÁVEL a presente contratação</w:t>
            </w:r>
            <w:r>
              <w:rPr>
                <w:rFonts w:cs="Times New Roman" w:ascii="Times New Roman" w:hAnsi="Times New Roman"/>
                <w:b/>
                <w:sz w:val="24"/>
                <w:szCs w:val="24"/>
              </w:rPr>
              <w:t>.</w:t>
            </w:r>
          </w:p>
        </w:tc>
      </w:tr>
    </w:tbl>
    <w:p>
      <w:pPr>
        <w:pStyle w:val="Normal"/>
        <w:tabs>
          <w:tab w:val="clear" w:pos="708"/>
          <w:tab w:val="left" w:pos="1680" w:leader="none"/>
          <w:tab w:val="center" w:pos="5233" w:leader="none"/>
        </w:tabs>
        <w:jc w:val="left"/>
        <w:rPr/>
      </w:pPr>
      <w:r>
        <mc:AlternateContent>
          <mc:Choice Requires="wps">
            <w:drawing>
              <wp:anchor behindDoc="0" distT="0" distB="0" distL="89535" distR="89535" simplePos="0" locked="0" layoutInCell="1" allowOverlap="1" relativeHeight="2" wp14:anchorId="640961C4">
                <wp:simplePos x="0" y="0"/>
                <wp:positionH relativeFrom="column">
                  <wp:posOffset>1200150</wp:posOffset>
                </wp:positionH>
                <wp:positionV relativeFrom="paragraph">
                  <wp:posOffset>5715</wp:posOffset>
                </wp:positionV>
                <wp:extent cx="4252595" cy="3131820"/>
                <wp:effectExtent l="0" t="0" r="17145" b="10795"/>
                <wp:wrapSquare wrapText="bothSides"/>
                <wp:docPr id="1" name="Quadro1"/>
                <a:graphic xmlns:a="http://schemas.openxmlformats.org/drawingml/2006/main">
                  <a:graphicData uri="http://schemas.microsoft.com/office/word/2010/wordprocessingShape">
                    <wps:wsp>
                      <wps:cNvSpPr/>
                      <wps:spPr>
                        <a:xfrm>
                          <a:off x="0" y="0"/>
                          <a:ext cx="4251960" cy="3131280"/>
                        </a:xfrm>
                        <a:prstGeom prst="rect">
                          <a:avLst/>
                        </a:prstGeom>
                        <a:noFill/>
                        <a:ln>
                          <a:noFill/>
                        </a:ln>
                      </wps:spPr>
                      <wps:style>
                        <a:lnRef idx="0"/>
                        <a:fillRef idx="0"/>
                        <a:effectRef idx="0"/>
                        <a:fontRef idx="minor"/>
                      </wps:style>
                      <wps:txbx>
                        <w:txbxContent>
                          <w:tbl>
                            <w:tblPr>
                              <w:tblW w:w="6693" w:type="dxa"/>
                              <w:jc w:val="center"/>
                              <w:tblInd w:w="0" w:type="dxa"/>
                              <w:tblBorders/>
                              <w:tblCellMar>
                                <w:top w:w="0" w:type="dxa"/>
                                <w:left w:w="108" w:type="dxa"/>
                                <w:bottom w:w="0" w:type="dxa"/>
                                <w:right w:w="108" w:type="dxa"/>
                              </w:tblCellMar>
                              <w:tblLook w:val="01e0" w:noVBand="0" w:noHBand="0" w:lastColumn="1" w:firstColumn="1" w:lastRow="1" w:firstRow="1"/>
                            </w:tblPr>
                            <w:tblGrid>
                              <w:gridCol w:w="281"/>
                              <w:gridCol w:w="6411"/>
                            </w:tblGrid>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2" w:name="__UnoMark__400_1681548094"/>
                                  <w:bookmarkStart w:id="3" w:name="__UnoMark__400_1681548094"/>
                                  <w:bookmarkEnd w:id="3"/>
                                </w:p>
                              </w:tc>
                              <w:tc>
                                <w:tcPr>
                                  <w:tcW w:w="641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4" w:name="__UnoMark__401_1681548094"/>
                                  <w:bookmarkStart w:id="5" w:name="__UnoMark__401_1681548094"/>
                                  <w:bookmarkEnd w:id="5"/>
                                </w:p>
                                <w:p>
                                  <w:pPr>
                                    <w:pStyle w:val="Contedodoquadro"/>
                                    <w:jc w:val="both"/>
                                    <w:rPr/>
                                  </w:pPr>
                                  <w:r>
                                    <w:rPr>
                                      <w:rFonts w:cs="Times New Roman" w:ascii="Times New Roman" w:hAnsi="Times New Roman"/>
                                      <w:b/>
                                      <w:sz w:val="24"/>
                                      <w:szCs w:val="24"/>
                                    </w:rPr>
                                    <w:t xml:space="preserve">            </w:t>
                                  </w:r>
                                  <w:r>
                                    <w:rPr>
                                      <w:rFonts w:cs="Times New Roman" w:ascii="Times New Roman" w:hAnsi="Times New Roman"/>
                                      <w:b/>
                                      <w:sz w:val="24"/>
                                      <w:szCs w:val="24"/>
                                    </w:rPr>
                                    <w:t>Olinda, PE, 0</w:t>
                                  </w:r>
                                  <w:r>
                                    <w:rPr>
                                      <w:rFonts w:cs="Times New Roman" w:ascii="Times New Roman" w:hAnsi="Times New Roman"/>
                                      <w:b/>
                                      <w:sz w:val="24"/>
                                      <w:szCs w:val="24"/>
                                    </w:rPr>
                                    <w:t>7</w:t>
                                  </w:r>
                                  <w:r>
                                    <w:rPr>
                                      <w:rFonts w:cs="Times New Roman" w:ascii="Times New Roman" w:hAnsi="Times New Roman"/>
                                      <w:b/>
                                      <w:sz w:val="24"/>
                                      <w:szCs w:val="24"/>
                                    </w:rPr>
                                    <w:t xml:space="preserve"> de outubro de 2021</w:t>
                                  </w:r>
                                </w:p>
                                <w:p>
                                  <w:pPr>
                                    <w:pStyle w:val="Contedodoquadro"/>
                                    <w:rPr>
                                      <w:rFonts w:ascii="Times New Roman" w:hAnsi="Times New Roman" w:cs="Times New Roman"/>
                                      <w:b/>
                                      <w:b/>
                                      <w:sz w:val="24"/>
                                      <w:szCs w:val="24"/>
                                    </w:rPr>
                                  </w:pPr>
                                  <w:r>
                                    <w:rPr>
                                      <w:rFonts w:cs="Times New Roman" w:ascii="Times New Roman" w:hAnsi="Times New Roman"/>
                                      <w:b/>
                                      <w:sz w:val="24"/>
                                      <w:szCs w:val="24"/>
                                    </w:rPr>
                                  </w:r>
                                </w:p>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6" w:name="__UnoMark__402_1681548094"/>
                                  <w:bookmarkStart w:id="7" w:name="__UnoMark__402_1681548094"/>
                                  <w:bookmarkEnd w:id="7"/>
                                </w:p>
                              </w:tc>
                            </w:tr>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8" w:name="__UnoMark__403_1681548094"/>
                                  <w:bookmarkStart w:id="9" w:name="__UnoMark__404_1681548094"/>
                                  <w:bookmarkStart w:id="10" w:name="__UnoMark__403_1681548094"/>
                                  <w:bookmarkStart w:id="11" w:name="__UnoMark__404_1681548094"/>
                                  <w:bookmarkEnd w:id="10"/>
                                  <w:bookmarkEnd w:id="11"/>
                                </w:p>
                              </w:tc>
                              <w:tc>
                                <w:tcPr>
                                  <w:tcW w:w="6411" w:type="dxa"/>
                                  <w:tcBorders/>
                                  <w:shd w:fill="auto" w:val="clear"/>
                                </w:tcPr>
                                <w:p>
                                  <w:pPr>
                                    <w:pStyle w:val="Contedodoquadro"/>
                                    <w:jc w:val="both"/>
                                    <w:rPr/>
                                  </w:pPr>
                                  <w:bookmarkStart w:id="12" w:name="__UnoMark__405_1681548094"/>
                                  <w:bookmarkEnd w:id="12"/>
                                  <w:r>
                                    <w:rPr>
                                      <w:rFonts w:cs="Times New Roman" w:ascii="Times New Roman" w:hAnsi="Times New Roman"/>
                                      <w:b/>
                                      <w:bCs/>
                                      <w:sz w:val="24"/>
                                      <w:szCs w:val="24"/>
                                    </w:rPr>
                                    <w:t xml:space="preserve">   </w:t>
                                  </w:r>
                                  <w:r>
                                    <w:rPr>
                                      <w:rFonts w:cs="Times New Roman" w:ascii="Times New Roman" w:hAnsi="Times New Roman"/>
                                      <w:b/>
                                      <w:bCs/>
                                      <w:sz w:val="24"/>
                                      <w:szCs w:val="24"/>
                                    </w:rPr>
                                    <w:t>GIOVANNY FÁVIO DE LUCENA – Cap</w:t>
                                  </w:r>
                                  <w:bookmarkStart w:id="13" w:name="__UnoMark__406_1681548094"/>
                                  <w:bookmarkEnd w:id="13"/>
                                </w:p>
                              </w:tc>
                            </w:tr>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14" w:name="__UnoMark__407_1681548094"/>
                                  <w:bookmarkStart w:id="15" w:name="__UnoMark__408_1681548094"/>
                                  <w:bookmarkStart w:id="16" w:name="__UnoMark__407_1681548094"/>
                                  <w:bookmarkStart w:id="17" w:name="__UnoMark__408_1681548094"/>
                                  <w:bookmarkEnd w:id="16"/>
                                  <w:bookmarkEnd w:id="17"/>
                                </w:p>
                              </w:tc>
                              <w:tc>
                                <w:tcPr>
                                  <w:tcW w:w="6411" w:type="dxa"/>
                                  <w:tcBorders/>
                                  <w:shd w:fill="auto" w:val="clear"/>
                                </w:tcPr>
                                <w:p>
                                  <w:pPr>
                                    <w:pStyle w:val="Contedodoquadro"/>
                                    <w:jc w:val="both"/>
                                    <w:rPr/>
                                  </w:pPr>
                                  <w:bookmarkStart w:id="18" w:name="__UnoMark__409_1681548094"/>
                                  <w:bookmarkEnd w:id="18"/>
                                  <w:r>
                                    <w:rPr>
                                      <w:rFonts w:cs="Times New Roman" w:ascii="Times New Roman" w:hAnsi="Times New Roman"/>
                                      <w:bCs/>
                                      <w:sz w:val="24"/>
                                      <w:szCs w:val="24"/>
                                    </w:rPr>
                                    <w:t xml:space="preserve">          </w:t>
                                  </w:r>
                                  <w:r>
                                    <w:rPr>
                                      <w:rFonts w:cs="Times New Roman" w:ascii="Times New Roman" w:hAnsi="Times New Roman"/>
                                      <w:bCs/>
                                      <w:sz w:val="24"/>
                                      <w:szCs w:val="24"/>
                                    </w:rPr>
                                    <w:t>Encarregado do Setor de Material</w:t>
                                  </w:r>
                                </w:p>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19" w:name="__UnoMark__410_1681548094"/>
                                  <w:bookmarkStart w:id="20" w:name="__UnoMark__410_1681548094"/>
                                  <w:bookmarkEnd w:id="20"/>
                                </w:p>
                              </w:tc>
                            </w:tr>
                            <w:tr>
                              <w:trPr>
                                <w:trHeight w:val="245"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21" w:name="__UnoMark__411_1681548094"/>
                                  <w:bookmarkStart w:id="22" w:name="__UnoMark__412_1681548094"/>
                                  <w:bookmarkStart w:id="23" w:name="__UnoMark__411_1681548094"/>
                                  <w:bookmarkStart w:id="24" w:name="__UnoMark__412_1681548094"/>
                                  <w:bookmarkEnd w:id="23"/>
                                  <w:bookmarkEnd w:id="24"/>
                                </w:p>
                              </w:tc>
                              <w:tc>
                                <w:tcPr>
                                  <w:tcW w:w="641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25" w:name="__UnoMark__414_1681548094"/>
                                  <w:bookmarkStart w:id="26" w:name="__UnoMark__414_1681548094"/>
                                  <w:bookmarkEnd w:id="26"/>
                                </w:p>
                              </w:tc>
                            </w:tr>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27" w:name="__UnoMark__415_1681548094"/>
                                  <w:bookmarkStart w:id="28" w:name="__UnoMark__416_1681548094"/>
                                  <w:bookmarkStart w:id="29" w:name="__UnoMark__415_1681548094"/>
                                  <w:bookmarkStart w:id="30" w:name="__UnoMark__416_1681548094"/>
                                  <w:bookmarkEnd w:id="29"/>
                                  <w:bookmarkEnd w:id="30"/>
                                </w:p>
                              </w:tc>
                              <w:tc>
                                <w:tcPr>
                                  <w:tcW w:w="6411" w:type="dxa"/>
                                  <w:tcBorders/>
                                  <w:shd w:fill="auto" w:val="clear"/>
                                </w:tcPr>
                                <w:p>
                                  <w:pPr>
                                    <w:pStyle w:val="Contedodoquadro"/>
                                    <w:jc w:val="both"/>
                                    <w:rPr/>
                                  </w:pPr>
                                  <w:bookmarkStart w:id="31" w:name="__UnoMark__417_1681548094"/>
                                  <w:bookmarkEnd w:id="31"/>
                                  <w:r>
                                    <w:rPr>
                                      <w:rFonts w:cs="Times New Roman" w:ascii="Times New Roman" w:hAnsi="Times New Roman"/>
                                      <w:b/>
                                      <w:bCs/>
                                      <w:sz w:val="24"/>
                                      <w:szCs w:val="24"/>
                                    </w:rPr>
                                    <w:t>THIAGO JUAREZ DE SOUSA SANTOS – 2º Sgt</w:t>
                                  </w:r>
                                </w:p>
                                <w:p>
                                  <w:pPr>
                                    <w:pStyle w:val="Contedodoquadro"/>
                                    <w:jc w:val="both"/>
                                    <w:rPr/>
                                  </w:pPr>
                                  <w:r>
                                    <w:rPr>
                                      <w:rFonts w:cs="Times New Roman" w:ascii="Times New Roman" w:hAnsi="Times New Roman"/>
                                      <w:bCs/>
                                      <w:sz w:val="24"/>
                                      <w:szCs w:val="24"/>
                                    </w:rPr>
                                    <w:t xml:space="preserve">    </w:t>
                                  </w:r>
                                  <w:r>
                                    <w:rPr>
                                      <w:rFonts w:cs="Times New Roman" w:ascii="Times New Roman" w:hAnsi="Times New Roman"/>
                                      <w:bCs/>
                                      <w:sz w:val="24"/>
                                      <w:szCs w:val="24"/>
                                    </w:rPr>
                                    <w:t>Auxiliar do Encarregado do Setor de Material</w:t>
                                  </w:r>
                                </w:p>
                                <w:p>
                                  <w:pPr>
                                    <w:pStyle w:val="Contedodoquadro"/>
                                    <w:jc w:val="both"/>
                                    <w:rPr>
                                      <w:rFonts w:ascii="Times New Roman" w:hAnsi="Times New Roman" w:cs="Times New Roman"/>
                                      <w:bCs/>
                                      <w:sz w:val="24"/>
                                      <w:szCs w:val="24"/>
                                    </w:rPr>
                                  </w:pPr>
                                  <w:r>
                                    <w:rPr>
                                      <w:rFonts w:cs="Times New Roman" w:ascii="Times New Roman" w:hAnsi="Times New Roman"/>
                                      <w:bCs/>
                                      <w:sz w:val="24"/>
                                      <w:szCs w:val="24"/>
                                    </w:rPr>
                                  </w:r>
                                </w:p>
                                <w:p>
                                  <w:pPr>
                                    <w:pStyle w:val="Contedodoquadro"/>
                                    <w:jc w:val="both"/>
                                    <w:rPr>
                                      <w:rFonts w:ascii="Times New Roman" w:hAnsi="Times New Roman" w:cs="Times New Roman"/>
                                      <w:bCs/>
                                      <w:sz w:val="24"/>
                                      <w:szCs w:val="24"/>
                                    </w:rPr>
                                  </w:pPr>
                                  <w:r>
                                    <w:rPr>
                                      <w:rFonts w:cs="Times New Roman" w:ascii="Times New Roman" w:hAnsi="Times New Roman"/>
                                      <w:bCs/>
                                      <w:sz w:val="24"/>
                                      <w:szCs w:val="24"/>
                                    </w:rPr>
                                  </w:r>
                                </w:p>
                                <w:p>
                                  <w:pPr>
                                    <w:pStyle w:val="Contedodoquadro"/>
                                    <w:jc w:val="both"/>
                                    <w:rPr>
                                      <w:rFonts w:ascii="Times New Roman" w:hAnsi="Times New Roman" w:cs="Times New Roman"/>
                                      <w:bCs/>
                                      <w:sz w:val="24"/>
                                      <w:szCs w:val="24"/>
                                    </w:rPr>
                                  </w:pPr>
                                  <w:r>
                                    <w:rPr>
                                      <w:rFonts w:cs="Times New Roman" w:ascii="Times New Roman" w:hAnsi="Times New Roman"/>
                                      <w:bCs/>
                                      <w:sz w:val="24"/>
                                      <w:szCs w:val="24"/>
                                    </w:rPr>
                                  </w:r>
                                </w:p>
                                <w:p>
                                  <w:pPr>
                                    <w:pStyle w:val="Contedodoquadro"/>
                                    <w:jc w:val="left"/>
                                    <w:rPr>
                                      <w:rFonts w:ascii="Times New Roman" w:hAnsi="Times New Roman" w:cs="Times New Roman"/>
                                      <w:b/>
                                      <w:b/>
                                      <w:bCs/>
                                      <w:sz w:val="24"/>
                                      <w:szCs w:val="24"/>
                                    </w:rPr>
                                  </w:pPr>
                                  <w:r>
                                    <w:rPr>
                                      <w:rFonts w:cs="Times New Roman" w:ascii="Times New Roman" w:hAnsi="Times New Roman"/>
                                      <w:b/>
                                      <w:bCs/>
                                      <w:sz w:val="24"/>
                                      <w:szCs w:val="24"/>
                                    </w:rPr>
                                  </w:r>
                                </w:p>
                                <w:p>
                                  <w:pPr>
                                    <w:pStyle w:val="Contedodoquadro"/>
                                    <w:rPr>
                                      <w:rFonts w:ascii="Times New Roman" w:hAnsi="Times New Roman" w:cs="Times New Roman"/>
                                      <w:b/>
                                      <w:b/>
                                      <w:sz w:val="24"/>
                                      <w:szCs w:val="24"/>
                                    </w:rPr>
                                  </w:pPr>
                                  <w:r>
                                    <w:rPr>
                                      <w:rFonts w:cs="Times New Roman" w:ascii="Times New Roman" w:hAnsi="Times New Roman"/>
                                      <w:b/>
                                      <w:sz w:val="24"/>
                                      <w:szCs w:val="24"/>
                                    </w:rPr>
                                  </w:r>
                                </w:p>
                              </w:tc>
                            </w:tr>
                          </w:tbl>
                          <w:p>
                            <w:pPr>
                              <w:pStyle w:val="Contedodoquadro"/>
                              <w:rPr/>
                            </w:pPr>
                            <w:r>
                              <w:rPr/>
                            </w:r>
                          </w:p>
                        </w:txbxContent>
                      </wps:txbx>
                      <wps:bodyPr lIns="0" rIns="0" tIns="0" bIns="0">
                        <a:noAutofit/>
                      </wps:bodyPr>
                    </wps:wsp>
                  </a:graphicData>
                </a:graphic>
              </wp:anchor>
            </w:drawing>
          </mc:Choice>
          <mc:Fallback>
            <w:pict>
              <v:rect id="shape_0" ID="Quadro1" stroked="f" style="position:absolute;margin-left:94.5pt;margin-top:0.45pt;width:334.75pt;height:246.5pt" wp14:anchorId="640961C4">
                <w10:wrap type="none"/>
                <v:fill o:detectmouseclick="t" on="false"/>
                <v:stroke color="#3465a4" joinstyle="round" endcap="flat"/>
                <v:textbox>
                  <w:txbxContent>
                    <w:tbl>
                      <w:tblPr>
                        <w:tblW w:w="6693" w:type="dxa"/>
                        <w:jc w:val="center"/>
                        <w:tblInd w:w="0" w:type="dxa"/>
                        <w:tblBorders/>
                        <w:tblCellMar>
                          <w:top w:w="0" w:type="dxa"/>
                          <w:left w:w="108" w:type="dxa"/>
                          <w:bottom w:w="0" w:type="dxa"/>
                          <w:right w:w="108" w:type="dxa"/>
                        </w:tblCellMar>
                        <w:tblLook w:val="01e0" w:noVBand="0" w:noHBand="0" w:lastColumn="1" w:firstColumn="1" w:lastRow="1" w:firstRow="1"/>
                      </w:tblPr>
                      <w:tblGrid>
                        <w:gridCol w:w="281"/>
                        <w:gridCol w:w="6411"/>
                      </w:tblGrid>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32" w:name="__UnoMark__400_1681548094"/>
                            <w:bookmarkStart w:id="33" w:name="__UnoMark__400_1681548094"/>
                            <w:bookmarkEnd w:id="33"/>
                          </w:p>
                        </w:tc>
                        <w:tc>
                          <w:tcPr>
                            <w:tcW w:w="641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34" w:name="__UnoMark__401_1681548094"/>
                            <w:bookmarkStart w:id="35" w:name="__UnoMark__401_1681548094"/>
                            <w:bookmarkEnd w:id="35"/>
                          </w:p>
                          <w:p>
                            <w:pPr>
                              <w:pStyle w:val="Contedodoquadro"/>
                              <w:jc w:val="both"/>
                              <w:rPr/>
                            </w:pPr>
                            <w:r>
                              <w:rPr>
                                <w:rFonts w:cs="Times New Roman" w:ascii="Times New Roman" w:hAnsi="Times New Roman"/>
                                <w:b/>
                                <w:sz w:val="24"/>
                                <w:szCs w:val="24"/>
                              </w:rPr>
                              <w:t xml:space="preserve">            </w:t>
                            </w:r>
                            <w:r>
                              <w:rPr>
                                <w:rFonts w:cs="Times New Roman" w:ascii="Times New Roman" w:hAnsi="Times New Roman"/>
                                <w:b/>
                                <w:sz w:val="24"/>
                                <w:szCs w:val="24"/>
                              </w:rPr>
                              <w:t>Olinda, PE, 0</w:t>
                            </w:r>
                            <w:r>
                              <w:rPr>
                                <w:rFonts w:cs="Times New Roman" w:ascii="Times New Roman" w:hAnsi="Times New Roman"/>
                                <w:b/>
                                <w:sz w:val="24"/>
                                <w:szCs w:val="24"/>
                              </w:rPr>
                              <w:t>7</w:t>
                            </w:r>
                            <w:r>
                              <w:rPr>
                                <w:rFonts w:cs="Times New Roman" w:ascii="Times New Roman" w:hAnsi="Times New Roman"/>
                                <w:b/>
                                <w:sz w:val="24"/>
                                <w:szCs w:val="24"/>
                              </w:rPr>
                              <w:t xml:space="preserve"> de outubro de 2021</w:t>
                            </w:r>
                          </w:p>
                          <w:p>
                            <w:pPr>
                              <w:pStyle w:val="Contedodoquadro"/>
                              <w:rPr>
                                <w:rFonts w:ascii="Times New Roman" w:hAnsi="Times New Roman" w:cs="Times New Roman"/>
                                <w:b/>
                                <w:b/>
                                <w:sz w:val="24"/>
                                <w:szCs w:val="24"/>
                              </w:rPr>
                            </w:pPr>
                            <w:r>
                              <w:rPr>
                                <w:rFonts w:cs="Times New Roman" w:ascii="Times New Roman" w:hAnsi="Times New Roman"/>
                                <w:b/>
                                <w:sz w:val="24"/>
                                <w:szCs w:val="24"/>
                              </w:rPr>
                            </w:r>
                          </w:p>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36" w:name="__UnoMark__402_1681548094"/>
                            <w:bookmarkStart w:id="37" w:name="__UnoMark__402_1681548094"/>
                            <w:bookmarkEnd w:id="37"/>
                          </w:p>
                        </w:tc>
                      </w:tr>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38" w:name="__UnoMark__403_1681548094"/>
                            <w:bookmarkStart w:id="39" w:name="__UnoMark__404_1681548094"/>
                            <w:bookmarkStart w:id="40" w:name="__UnoMark__403_1681548094"/>
                            <w:bookmarkStart w:id="41" w:name="__UnoMark__404_1681548094"/>
                            <w:bookmarkEnd w:id="40"/>
                            <w:bookmarkEnd w:id="41"/>
                          </w:p>
                        </w:tc>
                        <w:tc>
                          <w:tcPr>
                            <w:tcW w:w="6411" w:type="dxa"/>
                            <w:tcBorders/>
                            <w:shd w:fill="auto" w:val="clear"/>
                          </w:tcPr>
                          <w:p>
                            <w:pPr>
                              <w:pStyle w:val="Contedodoquadro"/>
                              <w:jc w:val="both"/>
                              <w:rPr/>
                            </w:pPr>
                            <w:bookmarkStart w:id="42" w:name="__UnoMark__405_1681548094"/>
                            <w:bookmarkEnd w:id="42"/>
                            <w:r>
                              <w:rPr>
                                <w:rFonts w:cs="Times New Roman" w:ascii="Times New Roman" w:hAnsi="Times New Roman"/>
                                <w:b/>
                                <w:bCs/>
                                <w:sz w:val="24"/>
                                <w:szCs w:val="24"/>
                              </w:rPr>
                              <w:t xml:space="preserve">   </w:t>
                            </w:r>
                            <w:r>
                              <w:rPr>
                                <w:rFonts w:cs="Times New Roman" w:ascii="Times New Roman" w:hAnsi="Times New Roman"/>
                                <w:b/>
                                <w:bCs/>
                                <w:sz w:val="24"/>
                                <w:szCs w:val="24"/>
                              </w:rPr>
                              <w:t>GIOVANNY FÁVIO DE LUCENA – Cap</w:t>
                            </w:r>
                            <w:bookmarkStart w:id="43" w:name="__UnoMark__406_1681548094"/>
                            <w:bookmarkEnd w:id="43"/>
                          </w:p>
                        </w:tc>
                      </w:tr>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44" w:name="__UnoMark__407_1681548094"/>
                            <w:bookmarkStart w:id="45" w:name="__UnoMark__408_1681548094"/>
                            <w:bookmarkStart w:id="46" w:name="__UnoMark__407_1681548094"/>
                            <w:bookmarkStart w:id="47" w:name="__UnoMark__408_1681548094"/>
                            <w:bookmarkEnd w:id="46"/>
                            <w:bookmarkEnd w:id="47"/>
                          </w:p>
                        </w:tc>
                        <w:tc>
                          <w:tcPr>
                            <w:tcW w:w="6411" w:type="dxa"/>
                            <w:tcBorders/>
                            <w:shd w:fill="auto" w:val="clear"/>
                          </w:tcPr>
                          <w:p>
                            <w:pPr>
                              <w:pStyle w:val="Contedodoquadro"/>
                              <w:jc w:val="both"/>
                              <w:rPr/>
                            </w:pPr>
                            <w:bookmarkStart w:id="48" w:name="__UnoMark__409_1681548094"/>
                            <w:bookmarkEnd w:id="48"/>
                            <w:r>
                              <w:rPr>
                                <w:rFonts w:cs="Times New Roman" w:ascii="Times New Roman" w:hAnsi="Times New Roman"/>
                                <w:bCs/>
                                <w:sz w:val="24"/>
                                <w:szCs w:val="24"/>
                              </w:rPr>
                              <w:t xml:space="preserve">          </w:t>
                            </w:r>
                            <w:r>
                              <w:rPr>
                                <w:rFonts w:cs="Times New Roman" w:ascii="Times New Roman" w:hAnsi="Times New Roman"/>
                                <w:bCs/>
                                <w:sz w:val="24"/>
                                <w:szCs w:val="24"/>
                              </w:rPr>
                              <w:t>Encarregado do Setor de Material</w:t>
                            </w:r>
                          </w:p>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49" w:name="__UnoMark__410_1681548094"/>
                            <w:bookmarkStart w:id="50" w:name="__UnoMark__410_1681548094"/>
                            <w:bookmarkEnd w:id="50"/>
                          </w:p>
                        </w:tc>
                      </w:tr>
                      <w:tr>
                        <w:trPr>
                          <w:trHeight w:val="245"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51" w:name="__UnoMark__411_1681548094"/>
                            <w:bookmarkStart w:id="52" w:name="__UnoMark__412_1681548094"/>
                            <w:bookmarkStart w:id="53" w:name="__UnoMark__411_1681548094"/>
                            <w:bookmarkStart w:id="54" w:name="__UnoMark__412_1681548094"/>
                            <w:bookmarkEnd w:id="53"/>
                            <w:bookmarkEnd w:id="54"/>
                          </w:p>
                        </w:tc>
                        <w:tc>
                          <w:tcPr>
                            <w:tcW w:w="641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55" w:name="__UnoMark__414_1681548094"/>
                            <w:bookmarkStart w:id="56" w:name="__UnoMark__414_1681548094"/>
                            <w:bookmarkEnd w:id="56"/>
                          </w:p>
                        </w:tc>
                      </w:tr>
                      <w:tr>
                        <w:trPr>
                          <w:trHeight w:val="256" w:hRule="atLeast"/>
                        </w:trPr>
                        <w:tc>
                          <w:tcPr>
                            <w:tcW w:w="281" w:type="dxa"/>
                            <w:tcBorders/>
                            <w:shd w:fill="auto" w:val="clear"/>
                          </w:tcPr>
                          <w:p>
                            <w:pPr>
                              <w:pStyle w:val="Contedodoquadro"/>
                              <w:rPr>
                                <w:rFonts w:ascii="Times New Roman" w:hAnsi="Times New Roman" w:cs="Times New Roman"/>
                                <w:b/>
                                <w:b/>
                                <w:sz w:val="24"/>
                                <w:szCs w:val="24"/>
                              </w:rPr>
                            </w:pPr>
                            <w:r>
                              <w:rPr>
                                <w:rFonts w:cs="Times New Roman" w:ascii="Times New Roman" w:hAnsi="Times New Roman"/>
                                <w:b/>
                                <w:sz w:val="24"/>
                                <w:szCs w:val="24"/>
                              </w:rPr>
                            </w:r>
                            <w:bookmarkStart w:id="57" w:name="__UnoMark__415_1681548094"/>
                            <w:bookmarkStart w:id="58" w:name="__UnoMark__416_1681548094"/>
                            <w:bookmarkStart w:id="59" w:name="__UnoMark__415_1681548094"/>
                            <w:bookmarkStart w:id="60" w:name="__UnoMark__416_1681548094"/>
                            <w:bookmarkEnd w:id="59"/>
                            <w:bookmarkEnd w:id="60"/>
                          </w:p>
                        </w:tc>
                        <w:tc>
                          <w:tcPr>
                            <w:tcW w:w="6411" w:type="dxa"/>
                            <w:tcBorders/>
                            <w:shd w:fill="auto" w:val="clear"/>
                          </w:tcPr>
                          <w:p>
                            <w:pPr>
                              <w:pStyle w:val="Contedodoquadro"/>
                              <w:jc w:val="both"/>
                              <w:rPr/>
                            </w:pPr>
                            <w:bookmarkStart w:id="61" w:name="__UnoMark__417_1681548094"/>
                            <w:bookmarkEnd w:id="61"/>
                            <w:r>
                              <w:rPr>
                                <w:rFonts w:cs="Times New Roman" w:ascii="Times New Roman" w:hAnsi="Times New Roman"/>
                                <w:b/>
                                <w:bCs/>
                                <w:sz w:val="24"/>
                                <w:szCs w:val="24"/>
                              </w:rPr>
                              <w:t>THIAGO JUAREZ DE SOUSA SANTOS – 2º Sgt</w:t>
                            </w:r>
                          </w:p>
                          <w:p>
                            <w:pPr>
                              <w:pStyle w:val="Contedodoquadro"/>
                              <w:jc w:val="both"/>
                              <w:rPr/>
                            </w:pPr>
                            <w:r>
                              <w:rPr>
                                <w:rFonts w:cs="Times New Roman" w:ascii="Times New Roman" w:hAnsi="Times New Roman"/>
                                <w:bCs/>
                                <w:sz w:val="24"/>
                                <w:szCs w:val="24"/>
                              </w:rPr>
                              <w:t xml:space="preserve">    </w:t>
                            </w:r>
                            <w:r>
                              <w:rPr>
                                <w:rFonts w:cs="Times New Roman" w:ascii="Times New Roman" w:hAnsi="Times New Roman"/>
                                <w:bCs/>
                                <w:sz w:val="24"/>
                                <w:szCs w:val="24"/>
                              </w:rPr>
                              <w:t>Auxiliar do Encarregado do Setor de Material</w:t>
                            </w:r>
                          </w:p>
                          <w:p>
                            <w:pPr>
                              <w:pStyle w:val="Contedodoquadro"/>
                              <w:jc w:val="both"/>
                              <w:rPr>
                                <w:rFonts w:ascii="Times New Roman" w:hAnsi="Times New Roman" w:cs="Times New Roman"/>
                                <w:bCs/>
                                <w:sz w:val="24"/>
                                <w:szCs w:val="24"/>
                              </w:rPr>
                            </w:pPr>
                            <w:r>
                              <w:rPr>
                                <w:rFonts w:cs="Times New Roman" w:ascii="Times New Roman" w:hAnsi="Times New Roman"/>
                                <w:bCs/>
                                <w:sz w:val="24"/>
                                <w:szCs w:val="24"/>
                              </w:rPr>
                            </w:r>
                          </w:p>
                          <w:p>
                            <w:pPr>
                              <w:pStyle w:val="Contedodoquadro"/>
                              <w:jc w:val="both"/>
                              <w:rPr>
                                <w:rFonts w:ascii="Times New Roman" w:hAnsi="Times New Roman" w:cs="Times New Roman"/>
                                <w:bCs/>
                                <w:sz w:val="24"/>
                                <w:szCs w:val="24"/>
                              </w:rPr>
                            </w:pPr>
                            <w:r>
                              <w:rPr>
                                <w:rFonts w:cs="Times New Roman" w:ascii="Times New Roman" w:hAnsi="Times New Roman"/>
                                <w:bCs/>
                                <w:sz w:val="24"/>
                                <w:szCs w:val="24"/>
                              </w:rPr>
                            </w:r>
                          </w:p>
                          <w:p>
                            <w:pPr>
                              <w:pStyle w:val="Contedodoquadro"/>
                              <w:jc w:val="both"/>
                              <w:rPr>
                                <w:rFonts w:ascii="Times New Roman" w:hAnsi="Times New Roman" w:cs="Times New Roman"/>
                                <w:bCs/>
                                <w:sz w:val="24"/>
                                <w:szCs w:val="24"/>
                              </w:rPr>
                            </w:pPr>
                            <w:r>
                              <w:rPr>
                                <w:rFonts w:cs="Times New Roman" w:ascii="Times New Roman" w:hAnsi="Times New Roman"/>
                                <w:bCs/>
                                <w:sz w:val="24"/>
                                <w:szCs w:val="24"/>
                              </w:rPr>
                            </w:r>
                          </w:p>
                          <w:p>
                            <w:pPr>
                              <w:pStyle w:val="Contedodoquadro"/>
                              <w:jc w:val="left"/>
                              <w:rPr>
                                <w:rFonts w:ascii="Times New Roman" w:hAnsi="Times New Roman" w:cs="Times New Roman"/>
                                <w:b/>
                                <w:b/>
                                <w:bCs/>
                                <w:sz w:val="24"/>
                                <w:szCs w:val="24"/>
                              </w:rPr>
                            </w:pPr>
                            <w:r>
                              <w:rPr>
                                <w:rFonts w:cs="Times New Roman" w:ascii="Times New Roman" w:hAnsi="Times New Roman"/>
                                <w:b/>
                                <w:bCs/>
                                <w:sz w:val="24"/>
                                <w:szCs w:val="24"/>
                              </w:rPr>
                            </w:r>
                          </w:p>
                          <w:p>
                            <w:pPr>
                              <w:pStyle w:val="Contedodoquadro"/>
                              <w:rPr>
                                <w:rFonts w:ascii="Times New Roman" w:hAnsi="Times New Roman" w:cs="Times New Roman"/>
                                <w:b/>
                                <w:b/>
                                <w:sz w:val="24"/>
                                <w:szCs w:val="24"/>
                              </w:rPr>
                            </w:pPr>
                            <w:r>
                              <w:rPr>
                                <w:rFonts w:cs="Times New Roman" w:ascii="Times New Roman" w:hAnsi="Times New Roman"/>
                                <w:b/>
                                <w:sz w:val="24"/>
                                <w:szCs w:val="24"/>
                              </w:rPr>
                            </w:r>
                          </w:p>
                        </w:tc>
                      </w:tr>
                    </w:tbl>
                    <w:p>
                      <w:pPr>
                        <w:pStyle w:val="Contedodoquadro"/>
                        <w:rPr/>
                      </w:pPr>
                      <w:r>
                        <w:rPr/>
                      </w:r>
                    </w:p>
                  </w:txbxContent>
                </v:textbox>
              </v:rect>
            </w:pict>
          </mc:Fallback>
        </mc:AlternateContent>
      </w:r>
      <w:r>
        <w:rPr>
          <w:rFonts w:cs="Times New Roman" w:ascii="Times New Roman" w:hAnsi="Times New Roman"/>
          <w:sz w:val="24"/>
          <w:szCs w:val="24"/>
        </w:rPr>
        <w:tab/>
        <w:tab/>
        <w:tab/>
      </w:r>
    </w:p>
    <w:sectPr>
      <w:headerReference w:type="default" r:id="rId5"/>
      <w:footerReference w:type="default" r:id="rId6"/>
      <w:type w:val="nextPage"/>
      <w:pgSz w:w="11906" w:h="16838"/>
      <w:pgMar w:left="720" w:right="720" w:header="57" w:top="1985" w:footer="737" w:bottom="79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pBdr>
        <w:top w:val="thinThickSmallGap" w:sz="24" w:space="1" w:color="622423"/>
      </w:pBdr>
      <w:rPr/>
    </w:pPr>
    <w:r>
      <w:rPr>
        <w:rFonts w:ascii="Cambria" w:hAnsi="Cambria" w:asciiTheme="majorHAnsi" w:hAnsiTheme="majorHAnsi"/>
        <w:sz w:val="16"/>
        <w:szCs w:val="16"/>
      </w:rPr>
      <w:tab/>
      <w:t xml:space="preserve">Página </w:t>
    </w:r>
    <w:r>
      <w:rPr>
        <w:sz w:val="16"/>
        <w:szCs w:val="16"/>
      </w:rPr>
      <w:fldChar w:fldCharType="begin"/>
    </w:r>
    <w:r>
      <w:rPr>
        <w:sz w:val="16"/>
        <w:szCs w:val="16"/>
      </w:rPr>
      <w:instrText> PAGE </w:instrText>
    </w:r>
    <w:r>
      <w:rPr>
        <w:sz w:val="16"/>
        <w:szCs w:val="16"/>
      </w:rPr>
      <w:fldChar w:fldCharType="separate"/>
    </w:r>
    <w:r>
      <w:rPr>
        <w:sz w:val="16"/>
        <w:szCs w:val="16"/>
      </w:rPr>
      <w:t>5</w:t>
    </w:r>
    <w:r>
      <w:rPr>
        <w:sz w:val="16"/>
        <w:szCs w:val="16"/>
      </w:rPr>
      <w:fldChar w:fldCharType="end"/>
    </w:r>
  </w:p>
  <w:p>
    <w:pPr>
      <w:pStyle w:val="Rodap"/>
      <w:jc w:val="both"/>
      <w:rPr>
        <w:sz w:val="16"/>
        <w:szCs w:val="16"/>
      </w:rPr>
    </w:pPr>
    <w:r>
      <w:rPr>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both"/>
      <w:rPr>
        <w:rFonts w:ascii="Times New Roman" w:hAnsi="Times New Roman" w:cs="Times New Roman"/>
        <w:b/>
        <w:b/>
        <w:sz w:val="16"/>
        <w:szCs w:val="16"/>
      </w:rPr>
    </w:pPr>
    <w:r>
      <w:rPr>
        <w:rFonts w:cs="Times New Roman" w:ascii="Times New Roman" w:hAnsi="Times New Roman"/>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24"/>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24"/>
        <w:rFonts w:cs="Symbol"/>
        <w:color w:val="auto"/>
      </w:rPr>
    </w:lvl>
    <w:lvl w:ilvl="1">
      <w:start w:val="1"/>
      <w:numFmt w:val="bullet"/>
      <w:lvlText w:val=""/>
      <w:lvlJc w:val="left"/>
      <w:pPr>
        <w:ind w:left="1440" w:hanging="360"/>
      </w:pPr>
      <w:rPr>
        <w:rFonts w:ascii="Symbol" w:hAnsi="Symbol" w:cs="Symbol" w:hint="default"/>
        <w:rFonts w:cs="Symbol"/>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1022d"/>
    <w:pPr>
      <w:widowControl/>
      <w:bidi w:val="0"/>
      <w:jc w:val="center"/>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6a6d3d"/>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uiPriority w:val="9"/>
    <w:unhideWhenUsed/>
    <w:qFormat/>
    <w:rsid w:val="00f94743"/>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cf28b4"/>
    <w:rPr/>
  </w:style>
  <w:style w:type="character" w:styleId="RodapChar" w:customStyle="1">
    <w:name w:val="Rodapé Char"/>
    <w:basedOn w:val="DefaultParagraphFont"/>
    <w:link w:val="Rodap"/>
    <w:uiPriority w:val="99"/>
    <w:qFormat/>
    <w:rsid w:val="00cf28b4"/>
    <w:rPr/>
  </w:style>
  <w:style w:type="character" w:styleId="TextodebaloChar" w:customStyle="1">
    <w:name w:val="Texto de balão Char"/>
    <w:basedOn w:val="DefaultParagraphFont"/>
    <w:link w:val="Textodebalo"/>
    <w:uiPriority w:val="99"/>
    <w:semiHidden/>
    <w:qFormat/>
    <w:rsid w:val="00cf28b4"/>
    <w:rPr>
      <w:rFonts w:ascii="Tahoma" w:hAnsi="Tahoma" w:cs="Tahoma"/>
      <w:sz w:val="16"/>
      <w:szCs w:val="16"/>
    </w:rPr>
  </w:style>
  <w:style w:type="character" w:styleId="Nfaseforte" w:customStyle="1">
    <w:name w:val="Ênfase forte"/>
    <w:qFormat/>
    <w:rsid w:val="001507cb"/>
    <w:rPr>
      <w:b/>
      <w:bCs/>
    </w:rPr>
  </w:style>
  <w:style w:type="character" w:styleId="Strong">
    <w:name w:val="Strong"/>
    <w:basedOn w:val="DefaultParagraphFont"/>
    <w:uiPriority w:val="22"/>
    <w:qFormat/>
    <w:rsid w:val="007b5eba"/>
    <w:rPr>
      <w:b/>
      <w:bCs/>
    </w:rPr>
  </w:style>
  <w:style w:type="character" w:styleId="Corpodetexto2Char" w:customStyle="1">
    <w:name w:val="Corpo de texto 2 Char"/>
    <w:basedOn w:val="DefaultParagraphFont"/>
    <w:link w:val="Corpodetexto2"/>
    <w:qFormat/>
    <w:rsid w:val="007b5eba"/>
    <w:rPr>
      <w:rFonts w:ascii="Times New Roman" w:hAnsi="Times New Roman" w:eastAsia="WenQuanYi Micro Hei" w:cs="Lohit Hindi"/>
      <w:kern w:val="2"/>
      <w:sz w:val="24"/>
      <w:szCs w:val="24"/>
      <w:lang w:eastAsia="zh-CN" w:bidi="hi-IN"/>
    </w:rPr>
  </w:style>
  <w:style w:type="character" w:styleId="Ttulo1Char" w:customStyle="1">
    <w:name w:val="Título 1 Char"/>
    <w:basedOn w:val="DefaultParagraphFont"/>
    <w:link w:val="Ttulo1"/>
    <w:uiPriority w:val="9"/>
    <w:qFormat/>
    <w:rsid w:val="006a6d3d"/>
    <w:rPr>
      <w:rFonts w:ascii="Cambria" w:hAnsi="Cambria" w:eastAsia="" w:cs="" w:asciiTheme="majorHAnsi" w:cstheme="majorBidi" w:eastAsiaTheme="majorEastAsia" w:hAnsiTheme="majorHAnsi"/>
      <w:color w:val="365F91" w:themeColor="accent1" w:themeShade="bf"/>
      <w:sz w:val="32"/>
      <w:szCs w:val="32"/>
    </w:rPr>
  </w:style>
  <w:style w:type="character" w:styleId="Hgkelc" w:customStyle="1">
    <w:name w:val="hgkelc"/>
    <w:basedOn w:val="DefaultParagraphFont"/>
    <w:qFormat/>
    <w:rsid w:val="003e5c23"/>
    <w:rPr/>
  </w:style>
  <w:style w:type="character" w:styleId="Ttulo2Char" w:customStyle="1">
    <w:name w:val="Título 2 Char"/>
    <w:basedOn w:val="DefaultParagraphFont"/>
    <w:link w:val="Ttulo2"/>
    <w:uiPriority w:val="9"/>
    <w:qFormat/>
    <w:rsid w:val="00f94743"/>
    <w:rPr>
      <w:rFonts w:ascii="Cambria" w:hAnsi="Cambria" w:eastAsia="" w:cs="" w:asciiTheme="majorHAnsi" w:cstheme="majorBidi" w:eastAsiaTheme="majorEastAsia" w:hAnsiTheme="majorHAnsi"/>
      <w:color w:val="365F91" w:themeColor="accent1" w:themeShade="bf"/>
      <w:sz w:val="26"/>
      <w:szCs w:val="26"/>
    </w:rPr>
  </w:style>
  <w:style w:type="character" w:styleId="LinkdaInternet">
    <w:name w:val="Link da Internet"/>
    <w:basedOn w:val="DefaultParagraphFont"/>
    <w:uiPriority w:val="99"/>
    <w:semiHidden/>
    <w:unhideWhenUsed/>
    <w:rsid w:val="00c015ea"/>
    <w:rPr>
      <w:color w:val="0000FF"/>
      <w:u w:val="single"/>
    </w:rPr>
  </w:style>
  <w:style w:type="character" w:styleId="Orgaodoudata" w:customStyle="1">
    <w:name w:val="orgao-dou-data"/>
    <w:qFormat/>
    <w:rsid w:val="00f94743"/>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b w:val="false"/>
      <w:i w:val="false"/>
      <w:color w:val="auto"/>
      <w:lang w:val="x-none"/>
    </w:rPr>
  </w:style>
  <w:style w:type="character" w:styleId="ListLabel8" w:customStyle="1">
    <w:name w:val="ListLabel 8"/>
    <w:qFormat/>
    <w:rPr>
      <w:color w:val="auto"/>
    </w:rPr>
  </w:style>
  <w:style w:type="character" w:styleId="ListLabel9" w:customStyle="1">
    <w:name w:val="ListLabel 9"/>
    <w:qFormat/>
    <w:rPr>
      <w:i w:val="false"/>
      <w:color w:val="auto"/>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color w:val="auto"/>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color w:val="auto"/>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eastAsia="Bitstream Charter" w:cs="Arial"/>
      <w:color w:val="auto"/>
      <w:u w:val="none"/>
    </w:rPr>
  </w:style>
  <w:style w:type="character" w:styleId="ListLabel22" w:customStyle="1">
    <w:name w:val="ListLabel 22"/>
    <w:qFormat/>
    <w:rPr>
      <w:rFonts w:eastAsia="Bitstream Charter" w:cs="Arial"/>
      <w:color w:val="auto"/>
      <w:u w:val="none"/>
    </w:rPr>
  </w:style>
  <w:style w:type="character" w:styleId="ListLabel23" w:customStyle="1">
    <w:name w:val="ListLabel 23"/>
    <w:qFormat/>
    <w:rPr>
      <w:rFonts w:eastAsia="Bitstream Charter" w:cs="Arial"/>
      <w:color w:val="auto"/>
      <w:u w:val="none"/>
    </w:rPr>
  </w:style>
  <w:style w:type="character" w:styleId="ListLabel24" w:customStyle="1">
    <w:name w:val="ListLabel 24"/>
    <w:qFormat/>
    <w:rPr>
      <w:rFonts w:eastAsia="Bitstream Charter" w:cs="Arial"/>
      <w:color w:val="auto"/>
      <w:u w:val="single"/>
    </w:rPr>
  </w:style>
  <w:style w:type="character" w:styleId="ListLabel25" w:customStyle="1">
    <w:name w:val="ListLabel 25"/>
    <w:qFormat/>
    <w:rPr>
      <w:rFonts w:eastAsia="Bitstream Charter" w:cs="Arial"/>
      <w:color w:val="auto"/>
      <w:u w:val="single"/>
    </w:rPr>
  </w:style>
  <w:style w:type="character" w:styleId="ListLabel26" w:customStyle="1">
    <w:name w:val="ListLabel 26"/>
    <w:qFormat/>
    <w:rPr>
      <w:rFonts w:eastAsia="Bitstream Charter" w:cs="Arial"/>
      <w:color w:val="auto"/>
      <w:u w:val="single"/>
    </w:rPr>
  </w:style>
  <w:style w:type="character" w:styleId="ListLabel27" w:customStyle="1">
    <w:name w:val="ListLabel 27"/>
    <w:qFormat/>
    <w:rPr>
      <w:rFonts w:eastAsia="Bitstream Charter" w:cs="Arial"/>
      <w:color w:val="auto"/>
      <w:u w:val="single"/>
    </w:rPr>
  </w:style>
  <w:style w:type="character" w:styleId="ListLabel28" w:customStyle="1">
    <w:name w:val="ListLabel 28"/>
    <w:qFormat/>
    <w:rPr>
      <w:rFonts w:eastAsia="Bitstream Charter" w:cs="Arial"/>
      <w:color w:val="auto"/>
      <w:u w:val="single"/>
    </w:rPr>
  </w:style>
  <w:style w:type="character" w:styleId="ListLabel29" w:customStyle="1">
    <w:name w:val="ListLabel 29"/>
    <w:qFormat/>
    <w:rPr>
      <w:rFonts w:eastAsia="Bitstream Charter" w:cs="Arial"/>
      <w:color w:val="auto"/>
      <w:u w:val="single"/>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rFonts w:ascii="Times New Roman" w:hAnsi="Times New Roman"/>
      <w:color w:val="auto"/>
      <w:sz w:val="24"/>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cs="Arial"/>
      <w:b/>
      <w:color w:val="000000"/>
      <w:u w:val="none"/>
    </w:rPr>
  </w:style>
  <w:style w:type="character" w:styleId="ListLabel46" w:customStyle="1">
    <w:name w:val="ListLabel 46"/>
    <w:qFormat/>
    <w:rPr>
      <w:rFonts w:cs="Arial"/>
      <w:b w:val="false"/>
      <w:bCs/>
      <w:strike w:val="false"/>
      <w:dstrike w:val="false"/>
      <w:color w:val="000000"/>
      <w:u w:val="none"/>
    </w:rPr>
  </w:style>
  <w:style w:type="character" w:styleId="ListLabel47" w:customStyle="1">
    <w:name w:val="ListLabel 47"/>
    <w:qFormat/>
    <w:rPr>
      <w:rFonts w:cs="Arial"/>
      <w:b w:val="false"/>
      <w:bCs/>
      <w:color w:val="000000"/>
      <w:u w:val="none"/>
    </w:rPr>
  </w:style>
  <w:style w:type="character" w:styleId="ListLabel48" w:customStyle="1">
    <w:name w:val="ListLabel 48"/>
    <w:qFormat/>
    <w:rPr>
      <w:rFonts w:cs="Arial"/>
      <w:b w:val="false"/>
      <w:bCs/>
      <w:color w:val="000000"/>
      <w:u w:val="none"/>
    </w:rPr>
  </w:style>
  <w:style w:type="character" w:styleId="ListLabel49" w:customStyle="1">
    <w:name w:val="ListLabel 49"/>
    <w:qFormat/>
    <w:rPr>
      <w:rFonts w:cs="Arial"/>
      <w:b/>
      <w:color w:val="000000"/>
      <w:u w:val="single"/>
    </w:rPr>
  </w:style>
  <w:style w:type="character" w:styleId="ListLabel50" w:customStyle="1">
    <w:name w:val="ListLabel 50"/>
    <w:qFormat/>
    <w:rPr>
      <w:rFonts w:cs="Arial"/>
      <w:b/>
      <w:color w:val="000000"/>
      <w:u w:val="single"/>
    </w:rPr>
  </w:style>
  <w:style w:type="character" w:styleId="ListLabel51" w:customStyle="1">
    <w:name w:val="ListLabel 51"/>
    <w:qFormat/>
    <w:rPr>
      <w:rFonts w:cs="Arial"/>
      <w:b/>
      <w:color w:val="000000"/>
      <w:u w:val="single"/>
    </w:rPr>
  </w:style>
  <w:style w:type="character" w:styleId="ListLabel52" w:customStyle="1">
    <w:name w:val="ListLabel 52"/>
    <w:qFormat/>
    <w:rPr>
      <w:rFonts w:cs="Arial"/>
      <w:b/>
      <w:color w:val="000000"/>
      <w:u w:val="single"/>
    </w:rPr>
  </w:style>
  <w:style w:type="character" w:styleId="ListLabel53" w:customStyle="1">
    <w:name w:val="ListLabel 53"/>
    <w:qFormat/>
    <w:rPr>
      <w:rFonts w:cs="Arial"/>
      <w:b/>
      <w:color w:val="000000"/>
      <w:u w:val="single"/>
    </w:rPr>
  </w:style>
  <w:style w:type="character" w:styleId="ListLabel54" w:customStyle="1">
    <w:name w:val="ListLabel 54"/>
    <w:qFormat/>
    <w:rPr>
      <w:color w:val="auto"/>
    </w:rPr>
  </w:style>
  <w:style w:type="character" w:styleId="ListLabel55" w:customStyle="1">
    <w:name w:val="ListLabel 55"/>
    <w:qFormat/>
    <w:rPr>
      <w:rFonts w:ascii="Times New Roman" w:hAnsi="Times New Roman" w:cs="Symbol"/>
    </w:rPr>
  </w:style>
  <w:style w:type="character" w:styleId="ListLabel56" w:customStyle="1">
    <w:name w:val="ListLabel 56"/>
    <w:qFormat/>
    <w:rPr>
      <w:rFonts w:cs="Courier New"/>
    </w:rPr>
  </w:style>
  <w:style w:type="character" w:styleId="ListLabel57" w:customStyle="1">
    <w:name w:val="ListLabel 57"/>
    <w:qFormat/>
    <w:rPr>
      <w:rFonts w:cs="Wingdings"/>
    </w:rPr>
  </w:style>
  <w:style w:type="character" w:styleId="ListLabel58" w:customStyle="1">
    <w:name w:val="ListLabel 58"/>
    <w:qFormat/>
    <w:rPr>
      <w:rFonts w:cs="Symbol"/>
    </w:rPr>
  </w:style>
  <w:style w:type="character" w:styleId="ListLabel59" w:customStyle="1">
    <w:name w:val="ListLabel 59"/>
    <w:qFormat/>
    <w:rPr>
      <w:rFonts w:cs="Courier New"/>
    </w:rPr>
  </w:style>
  <w:style w:type="character" w:styleId="ListLabel60" w:customStyle="1">
    <w:name w:val="ListLabel 60"/>
    <w:qFormat/>
    <w:rPr>
      <w:rFonts w:cs="Wingdings"/>
    </w:rPr>
  </w:style>
  <w:style w:type="character" w:styleId="ListLabel61" w:customStyle="1">
    <w:name w:val="ListLabel 61"/>
    <w:qFormat/>
    <w:rPr>
      <w:rFonts w:cs="Symbol"/>
    </w:rPr>
  </w:style>
  <w:style w:type="character" w:styleId="ListLabel62" w:customStyle="1">
    <w:name w:val="ListLabel 62"/>
    <w:qFormat/>
    <w:rPr>
      <w:rFonts w:cs="Courier New"/>
    </w:rPr>
  </w:style>
  <w:style w:type="character" w:styleId="ListLabel63" w:customStyle="1">
    <w:name w:val="ListLabel 63"/>
    <w:qFormat/>
    <w:rPr>
      <w:rFonts w:cs="Wingdings"/>
    </w:rPr>
  </w:style>
  <w:style w:type="character" w:styleId="ListLabel64" w:customStyle="1">
    <w:name w:val="ListLabel 64"/>
    <w:qFormat/>
    <w:rPr>
      <w:rFonts w:ascii="Times New Roman" w:hAnsi="Times New Roman" w:cs="Symbol"/>
      <w:color w:val="auto"/>
      <w:sz w:val="24"/>
    </w:rPr>
  </w:style>
  <w:style w:type="character" w:styleId="ListLabel65" w:customStyle="1">
    <w:name w:val="ListLabel 65"/>
    <w:qFormat/>
    <w:rPr>
      <w:rFonts w:cs="Symbol"/>
    </w:rPr>
  </w:style>
  <w:style w:type="character" w:styleId="ListLabel66" w:customStyle="1">
    <w:name w:val="ListLabel 66"/>
    <w:qFormat/>
    <w:rPr>
      <w:rFonts w:cs="Wingdings"/>
    </w:rPr>
  </w:style>
  <w:style w:type="character" w:styleId="ListLabel67" w:customStyle="1">
    <w:name w:val="ListLabel 67"/>
    <w:qFormat/>
    <w:rPr>
      <w:rFonts w:cs="Symbol"/>
    </w:rPr>
  </w:style>
  <w:style w:type="character" w:styleId="ListLabel68" w:customStyle="1">
    <w:name w:val="ListLabel 68"/>
    <w:qFormat/>
    <w:rPr>
      <w:rFonts w:cs="Courier New"/>
    </w:rPr>
  </w:style>
  <w:style w:type="character" w:styleId="ListLabel69" w:customStyle="1">
    <w:name w:val="ListLabel 69"/>
    <w:qFormat/>
    <w:rPr>
      <w:rFonts w:cs="Wingdings"/>
    </w:rPr>
  </w:style>
  <w:style w:type="character" w:styleId="ListLabel70" w:customStyle="1">
    <w:name w:val="ListLabel 70"/>
    <w:qFormat/>
    <w:rPr>
      <w:rFonts w:cs="Symbol"/>
    </w:rPr>
  </w:style>
  <w:style w:type="character" w:styleId="ListLabel71" w:customStyle="1">
    <w:name w:val="ListLabel 71"/>
    <w:qFormat/>
    <w:rPr>
      <w:rFonts w:cs="Courier New"/>
    </w:rPr>
  </w:style>
  <w:style w:type="character" w:styleId="ListLabel72" w:customStyle="1">
    <w:name w:val="ListLabel 72"/>
    <w:qFormat/>
    <w:rPr>
      <w:rFonts w:cs="Wingdings"/>
    </w:rPr>
  </w:style>
  <w:style w:type="character" w:styleId="ListLabel73" w:customStyle="1">
    <w:name w:val="ListLabel 73"/>
    <w:qFormat/>
    <w:rPr>
      <w:color w:val="auto"/>
    </w:rPr>
  </w:style>
  <w:style w:type="character" w:styleId="ListLabel74">
    <w:name w:val="ListLabel 74"/>
    <w:qFormat/>
    <w:rPr>
      <w:rFonts w:ascii="Times New Roman" w:hAnsi="Times New Roman" w:cs="Symbol"/>
      <w:sz w:val="24"/>
    </w:rPr>
  </w:style>
  <w:style w:type="character" w:styleId="ListLabel75">
    <w:name w:val="ListLabel 75"/>
    <w:qFormat/>
    <w:rPr>
      <w:rFonts w:cs="Courier New"/>
    </w:rPr>
  </w:style>
  <w:style w:type="character" w:styleId="ListLabel76">
    <w:name w:val="ListLabel 76"/>
    <w:qFormat/>
    <w:rPr>
      <w:rFonts w:cs="Wingdings"/>
    </w:rPr>
  </w:style>
  <w:style w:type="character" w:styleId="ListLabel77">
    <w:name w:val="ListLabel 77"/>
    <w:qFormat/>
    <w:rPr>
      <w:rFonts w:cs="Symbol"/>
    </w:rPr>
  </w:style>
  <w:style w:type="character" w:styleId="ListLabel78">
    <w:name w:val="ListLabel 78"/>
    <w:qFormat/>
    <w:rPr>
      <w:rFonts w:cs="Courier New"/>
    </w:rPr>
  </w:style>
  <w:style w:type="character" w:styleId="ListLabel79">
    <w:name w:val="ListLabel 79"/>
    <w:qFormat/>
    <w:rPr>
      <w:rFonts w:cs="Wingdings"/>
    </w:rPr>
  </w:style>
  <w:style w:type="character" w:styleId="ListLabel80">
    <w:name w:val="ListLabel 80"/>
    <w:qFormat/>
    <w:rPr>
      <w:rFonts w:cs="Symbol"/>
    </w:rPr>
  </w:style>
  <w:style w:type="character" w:styleId="ListLabel81">
    <w:name w:val="ListLabel 81"/>
    <w:qFormat/>
    <w:rPr>
      <w:rFonts w:cs="Courier New"/>
    </w:rPr>
  </w:style>
  <w:style w:type="character" w:styleId="ListLabel82">
    <w:name w:val="ListLabel 82"/>
    <w:qFormat/>
    <w:rPr>
      <w:rFonts w:cs="Wingdings"/>
    </w:rPr>
  </w:style>
  <w:style w:type="character" w:styleId="ListLabel83">
    <w:name w:val="ListLabel 83"/>
    <w:qFormat/>
    <w:rPr>
      <w:rFonts w:cs="Symbol"/>
      <w:color w:val="auto"/>
      <w:sz w:val="24"/>
    </w:rPr>
  </w:style>
  <w:style w:type="character" w:styleId="ListLabel84">
    <w:name w:val="ListLabel 84"/>
    <w:qFormat/>
    <w:rPr>
      <w:rFonts w:cs="Symbol"/>
    </w:rPr>
  </w:style>
  <w:style w:type="character" w:styleId="ListLabel85">
    <w:name w:val="ListLabel 85"/>
    <w:qFormat/>
    <w:rPr>
      <w:rFonts w:cs="Wingdings"/>
    </w:rPr>
  </w:style>
  <w:style w:type="character" w:styleId="ListLabel86">
    <w:name w:val="ListLabel 86"/>
    <w:qFormat/>
    <w:rPr>
      <w:rFonts w:cs="Symbol"/>
    </w:rPr>
  </w:style>
  <w:style w:type="character" w:styleId="ListLabel87">
    <w:name w:val="ListLabel 87"/>
    <w:qFormat/>
    <w:rPr>
      <w:rFonts w:cs="Courier New"/>
    </w:rPr>
  </w:style>
  <w:style w:type="character" w:styleId="ListLabel88">
    <w:name w:val="ListLabel 88"/>
    <w:qFormat/>
    <w:rPr>
      <w:rFonts w:cs="Wingdings"/>
    </w:rPr>
  </w:style>
  <w:style w:type="character" w:styleId="ListLabel89">
    <w:name w:val="ListLabel 89"/>
    <w:qFormat/>
    <w:rPr>
      <w:rFonts w:cs="Symbol"/>
    </w:rPr>
  </w:style>
  <w:style w:type="character" w:styleId="ListLabel90">
    <w:name w:val="ListLabel 90"/>
    <w:qFormat/>
    <w:rPr>
      <w:rFonts w:cs="Courier New"/>
    </w:rPr>
  </w:style>
  <w:style w:type="character" w:styleId="ListLabel91">
    <w:name w:val="ListLabel 91"/>
    <w:qFormat/>
    <w:rPr>
      <w:rFonts w:cs="Wingdings"/>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rFonts w:ascii="Times New Roman" w:hAnsi="Times New Roman"/>
      <w:color w:val="auto"/>
      <w:sz w:val="24"/>
    </w:rPr>
  </w:style>
  <w:style w:type="character" w:styleId="ListLabel96">
    <w:name w:val="ListLabel 96"/>
    <w:qFormat/>
    <w:rPr>
      <w:rFonts w:cs="Courier New"/>
    </w:rPr>
  </w:style>
  <w:style w:type="character" w:styleId="ListLabel97">
    <w:name w:val="ListLabel 97"/>
    <w:qFormat/>
    <w:rPr>
      <w:rFonts w:cs="Courier New"/>
    </w:rPr>
  </w:style>
  <w:style w:type="character" w:styleId="ListLabel98">
    <w:name w:val="ListLabel 98"/>
    <w:qFormat/>
    <w:rPr>
      <w:b/>
      <w:sz w:val="22"/>
    </w:rPr>
  </w:style>
  <w:style w:type="character" w:styleId="ListLabel99">
    <w:name w:val="ListLabel 99"/>
    <w:qFormat/>
    <w:rPr>
      <w:i w:val="false"/>
      <w:iCs/>
    </w:rPr>
  </w:style>
  <w:style w:type="character" w:styleId="ListLabel100">
    <w:name w:val="ListLabel 100"/>
    <w:qFormat/>
    <w:rPr>
      <w:rFonts w:ascii="Arial" w:hAnsi="Arial" w:cs="Arial"/>
      <w:b/>
      <w:bCs/>
      <w:color w:val="auto"/>
      <w:sz w:val="20"/>
      <w:szCs w:val="20"/>
    </w:rPr>
  </w:style>
  <w:style w:type="character" w:styleId="ListLabel101">
    <w:name w:val="ListLabel 101"/>
    <w:qFormat/>
    <w:rPr>
      <w:rFonts w:ascii="Times New Roman" w:hAnsi="Times New Roman" w:cs="Symbol"/>
      <w:sz w:val="24"/>
    </w:rPr>
  </w:style>
  <w:style w:type="character" w:styleId="ListLabel102">
    <w:name w:val="ListLabel 102"/>
    <w:qFormat/>
    <w:rPr>
      <w:rFonts w:cs="Courier New"/>
    </w:rPr>
  </w:style>
  <w:style w:type="character" w:styleId="ListLabel103">
    <w:name w:val="ListLabel 103"/>
    <w:qFormat/>
    <w:rPr>
      <w:rFonts w:cs="Wingdings"/>
    </w:rPr>
  </w:style>
  <w:style w:type="character" w:styleId="ListLabel104">
    <w:name w:val="ListLabel 104"/>
    <w:qFormat/>
    <w:rPr>
      <w:rFonts w:cs="Symbol"/>
    </w:rPr>
  </w:style>
  <w:style w:type="character" w:styleId="ListLabel105">
    <w:name w:val="ListLabel 105"/>
    <w:qFormat/>
    <w:rPr>
      <w:rFonts w:cs="Courier New"/>
    </w:rPr>
  </w:style>
  <w:style w:type="character" w:styleId="ListLabel106">
    <w:name w:val="ListLabel 106"/>
    <w:qFormat/>
    <w:rPr>
      <w:rFonts w:cs="Wingdings"/>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ascii="Times New Roman" w:hAnsi="Times New Roman" w:cs="Symbol"/>
      <w:b/>
      <w:sz w:val="24"/>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cs="Symbol"/>
    </w:rPr>
  </w:style>
  <w:style w:type="character" w:styleId="ListLabel114">
    <w:name w:val="ListLabel 114"/>
    <w:qFormat/>
    <w:rPr>
      <w:rFonts w:cs="Courier New"/>
    </w:rPr>
  </w:style>
  <w:style w:type="character" w:styleId="ListLabel115">
    <w:name w:val="ListLabel 115"/>
    <w:qFormat/>
    <w:rPr>
      <w:rFonts w:cs="Wingdings"/>
    </w:rPr>
  </w:style>
  <w:style w:type="character" w:styleId="ListLabel116">
    <w:name w:val="ListLabel 116"/>
    <w:qFormat/>
    <w:rPr>
      <w:rFonts w:cs="Symbol"/>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ascii="Times New Roman" w:hAnsi="Times New Roman" w:cs="Symbol"/>
      <w:color w:val="auto"/>
      <w:sz w:val="24"/>
    </w:rPr>
  </w:style>
  <w:style w:type="character" w:styleId="ListLabel120">
    <w:name w:val="ListLabel 120"/>
    <w:qFormat/>
    <w:rPr>
      <w:rFonts w:cs="Symbol"/>
    </w:rPr>
  </w:style>
  <w:style w:type="character" w:styleId="ListLabel121">
    <w:name w:val="ListLabel 121"/>
    <w:qFormat/>
    <w:rPr>
      <w:rFonts w:cs="Wingdings"/>
    </w:rPr>
  </w:style>
  <w:style w:type="character" w:styleId="ListLabel122">
    <w:name w:val="ListLabel 122"/>
    <w:qFormat/>
    <w:rPr>
      <w:rFonts w:cs="Symbol"/>
    </w:rPr>
  </w:style>
  <w:style w:type="character" w:styleId="ListLabel123">
    <w:name w:val="ListLabel 123"/>
    <w:qFormat/>
    <w:rPr>
      <w:rFonts w:cs="Courier New"/>
    </w:rPr>
  </w:style>
  <w:style w:type="character" w:styleId="ListLabel124">
    <w:name w:val="ListLabel 124"/>
    <w:qFormat/>
    <w:rPr>
      <w:rFonts w:cs="Wingdings"/>
    </w:rPr>
  </w:style>
  <w:style w:type="character" w:styleId="ListLabel125">
    <w:name w:val="ListLabel 125"/>
    <w:qFormat/>
    <w:rPr>
      <w:rFonts w:cs="Symbol"/>
    </w:rPr>
  </w:style>
  <w:style w:type="character" w:styleId="ListLabel126">
    <w:name w:val="ListLabel 126"/>
    <w:qFormat/>
    <w:rPr>
      <w:rFonts w:cs="Courier New"/>
    </w:rPr>
  </w:style>
  <w:style w:type="character" w:styleId="ListLabel127">
    <w:name w:val="ListLabel 127"/>
    <w:qFormat/>
    <w:rPr>
      <w:rFonts w:cs="Wingdings"/>
    </w:rPr>
  </w:style>
  <w:style w:type="character" w:styleId="ListLabel128">
    <w:name w:val="ListLabel 128"/>
    <w:qFormat/>
    <w:rPr>
      <w:rFonts w:ascii="Arial" w:hAnsi="Arial" w:cs="Arial"/>
      <w:b/>
      <w:bCs/>
      <w:color w:val="auto"/>
      <w:sz w:val="20"/>
      <w:szCs w:val="20"/>
    </w:rPr>
  </w:style>
  <w:style w:type="character" w:styleId="ListLabel129">
    <w:name w:val="ListLabel 129"/>
    <w:qFormat/>
    <w:rPr>
      <w:rFonts w:ascii="Times New Roman" w:hAnsi="Times New Roman" w:cs="Symbol"/>
      <w:sz w:val="24"/>
    </w:rPr>
  </w:style>
  <w:style w:type="character" w:styleId="ListLabel130">
    <w:name w:val="ListLabel 130"/>
    <w:qFormat/>
    <w:rPr>
      <w:rFonts w:cs="Courier New"/>
    </w:rPr>
  </w:style>
  <w:style w:type="character" w:styleId="ListLabel131">
    <w:name w:val="ListLabel 131"/>
    <w:qFormat/>
    <w:rPr>
      <w:rFonts w:cs="Wingdings"/>
    </w:rPr>
  </w:style>
  <w:style w:type="character" w:styleId="ListLabel132">
    <w:name w:val="ListLabel 132"/>
    <w:qFormat/>
    <w:rPr>
      <w:rFonts w:cs="Symbol"/>
    </w:rPr>
  </w:style>
  <w:style w:type="character" w:styleId="ListLabel133">
    <w:name w:val="ListLabel 133"/>
    <w:qFormat/>
    <w:rPr>
      <w:rFonts w:cs="Courier New"/>
    </w:rPr>
  </w:style>
  <w:style w:type="character" w:styleId="ListLabel134">
    <w:name w:val="ListLabel 134"/>
    <w:qFormat/>
    <w:rPr>
      <w:rFonts w:cs="Wingdings"/>
    </w:rPr>
  </w:style>
  <w:style w:type="character" w:styleId="ListLabel135">
    <w:name w:val="ListLabel 135"/>
    <w:qFormat/>
    <w:rPr>
      <w:rFonts w:cs="Symbol"/>
    </w:rPr>
  </w:style>
  <w:style w:type="character" w:styleId="ListLabel136">
    <w:name w:val="ListLabel 136"/>
    <w:qFormat/>
    <w:rPr>
      <w:rFonts w:cs="Courier New"/>
    </w:rPr>
  </w:style>
  <w:style w:type="character" w:styleId="ListLabel137">
    <w:name w:val="ListLabel 137"/>
    <w:qFormat/>
    <w:rPr>
      <w:rFonts w:cs="Wingdings"/>
    </w:rPr>
  </w:style>
  <w:style w:type="character" w:styleId="ListLabel138">
    <w:name w:val="ListLabel 138"/>
    <w:qFormat/>
    <w:rPr>
      <w:rFonts w:ascii="Times New Roman" w:hAnsi="Times New Roman" w:cs="Symbol"/>
      <w:b/>
      <w:sz w:val="24"/>
    </w:rPr>
  </w:style>
  <w:style w:type="character" w:styleId="ListLabel139">
    <w:name w:val="ListLabel 139"/>
    <w:qFormat/>
    <w:rPr>
      <w:rFonts w:cs="Courier New"/>
    </w:rPr>
  </w:style>
  <w:style w:type="character" w:styleId="ListLabel140">
    <w:name w:val="ListLabel 140"/>
    <w:qFormat/>
    <w:rPr>
      <w:rFonts w:cs="Wingdings"/>
    </w:rPr>
  </w:style>
  <w:style w:type="character" w:styleId="ListLabel141">
    <w:name w:val="ListLabel 141"/>
    <w:qFormat/>
    <w:rPr>
      <w:rFonts w:cs="Symbol"/>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ascii="Times New Roman" w:hAnsi="Times New Roman" w:cs="Symbol"/>
      <w:color w:val="auto"/>
      <w:sz w:val="24"/>
    </w:rPr>
  </w:style>
  <w:style w:type="character" w:styleId="ListLabel148">
    <w:name w:val="ListLabel 148"/>
    <w:qFormat/>
    <w:rPr>
      <w:rFonts w:cs="Symbol"/>
    </w:rPr>
  </w:style>
  <w:style w:type="character" w:styleId="ListLabel149">
    <w:name w:val="ListLabel 149"/>
    <w:qFormat/>
    <w:rPr>
      <w:rFonts w:cs="Wingdings"/>
    </w:rPr>
  </w:style>
  <w:style w:type="character" w:styleId="ListLabel150">
    <w:name w:val="ListLabel 150"/>
    <w:qFormat/>
    <w:rPr>
      <w:rFonts w:cs="Symbol"/>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ascii="Arial" w:hAnsi="Arial" w:cs="Arial"/>
      <w:b/>
      <w:bCs/>
      <w:color w:val="auto"/>
      <w:sz w:val="20"/>
      <w:szCs w:val="20"/>
    </w:rPr>
  </w:style>
  <w:style w:type="character" w:styleId="ListLabel157">
    <w:name w:val="ListLabel 157"/>
    <w:qFormat/>
    <w:rPr>
      <w:rFonts w:ascii="Times New Roman" w:hAnsi="Times New Roman" w:cs="Symbol"/>
      <w:sz w:val="24"/>
    </w:rPr>
  </w:style>
  <w:style w:type="character" w:styleId="ListLabel158">
    <w:name w:val="ListLabel 158"/>
    <w:qFormat/>
    <w:rPr>
      <w:rFonts w:cs="Courier New"/>
    </w:rPr>
  </w:style>
  <w:style w:type="character" w:styleId="ListLabel159">
    <w:name w:val="ListLabel 159"/>
    <w:qFormat/>
    <w:rPr>
      <w:rFonts w:cs="Wingdings"/>
    </w:rPr>
  </w:style>
  <w:style w:type="character" w:styleId="ListLabel160">
    <w:name w:val="ListLabel 160"/>
    <w:qFormat/>
    <w:rPr>
      <w:rFonts w:cs="Symbol"/>
    </w:rPr>
  </w:style>
  <w:style w:type="character" w:styleId="ListLabel161">
    <w:name w:val="ListLabel 161"/>
    <w:qFormat/>
    <w:rPr>
      <w:rFonts w:cs="Courier New"/>
    </w:rPr>
  </w:style>
  <w:style w:type="character" w:styleId="ListLabel162">
    <w:name w:val="ListLabel 162"/>
    <w:qFormat/>
    <w:rPr>
      <w:rFonts w:cs="Wingdings"/>
    </w:rPr>
  </w:style>
  <w:style w:type="character" w:styleId="ListLabel163">
    <w:name w:val="ListLabel 163"/>
    <w:qFormat/>
    <w:rPr>
      <w:rFonts w:cs="Symbol"/>
    </w:rPr>
  </w:style>
  <w:style w:type="character" w:styleId="ListLabel164">
    <w:name w:val="ListLabel 164"/>
    <w:qFormat/>
    <w:rPr>
      <w:rFonts w:cs="Courier New"/>
    </w:rPr>
  </w:style>
  <w:style w:type="character" w:styleId="ListLabel165">
    <w:name w:val="ListLabel 165"/>
    <w:qFormat/>
    <w:rPr>
      <w:rFonts w:cs="Wingdings"/>
    </w:rPr>
  </w:style>
  <w:style w:type="character" w:styleId="ListLabel166">
    <w:name w:val="ListLabel 166"/>
    <w:qFormat/>
    <w:rPr>
      <w:rFonts w:ascii="Times New Roman" w:hAnsi="Times New Roman" w:cs="Symbol"/>
      <w:b/>
      <w:sz w:val="24"/>
    </w:rPr>
  </w:style>
  <w:style w:type="character" w:styleId="ListLabel167">
    <w:name w:val="ListLabel 167"/>
    <w:qFormat/>
    <w:rPr>
      <w:rFonts w:cs="Courier New"/>
    </w:rPr>
  </w:style>
  <w:style w:type="character" w:styleId="ListLabel168">
    <w:name w:val="ListLabel 168"/>
    <w:qFormat/>
    <w:rPr>
      <w:rFonts w:cs="Wingdings"/>
    </w:rPr>
  </w:style>
  <w:style w:type="character" w:styleId="ListLabel169">
    <w:name w:val="ListLabel 169"/>
    <w:qFormat/>
    <w:rPr>
      <w:rFonts w:cs="Symbol"/>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cs="Symbol"/>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ascii="Times New Roman" w:hAnsi="Times New Roman" w:cs="Symbol"/>
      <w:color w:val="auto"/>
      <w:sz w:val="24"/>
    </w:rPr>
  </w:style>
  <w:style w:type="character" w:styleId="ListLabel176">
    <w:name w:val="ListLabel 176"/>
    <w:qFormat/>
    <w:rPr>
      <w:rFonts w:cs="Symbol"/>
    </w:rPr>
  </w:style>
  <w:style w:type="character" w:styleId="ListLabel177">
    <w:name w:val="ListLabel 177"/>
    <w:qFormat/>
    <w:rPr>
      <w:rFonts w:cs="Wingdings"/>
    </w:rPr>
  </w:style>
  <w:style w:type="character" w:styleId="ListLabel178">
    <w:name w:val="ListLabel 178"/>
    <w:qFormat/>
    <w:rPr>
      <w:rFonts w:cs="Symbo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ascii="Arial" w:hAnsi="Arial" w:cs="Arial"/>
      <w:b/>
      <w:bCs/>
      <w:color w:val="auto"/>
      <w:sz w:val="20"/>
      <w:szCs w:val="20"/>
    </w:rPr>
  </w:style>
  <w:style w:type="paragraph" w:styleId="Ttulo">
    <w:name w:val="Título"/>
    <w:basedOn w:val="Normal"/>
    <w:next w:val="Corpodotexto"/>
    <w:qFormat/>
    <w:pPr>
      <w:keepNext w:val="true"/>
      <w:spacing w:before="240" w:after="120"/>
    </w:pPr>
    <w:rPr>
      <w:rFonts w:ascii="Liberation Sans" w:hAnsi="Liberation Sans" w:eastAsia="Liberation Sans" w:cs="Free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Ttulododocumento">
    <w:name w:val="Title"/>
    <w:basedOn w:val="Normal"/>
    <w:next w:val="Corpodotexto"/>
    <w:qFormat/>
    <w:pPr>
      <w:keepNext w:val="true"/>
      <w:spacing w:before="240" w:after="120"/>
    </w:pPr>
    <w:rPr>
      <w:rFonts w:ascii="Liberation Sans" w:hAnsi="Liberation Sans" w:eastAsia="Liberation Sans" w:cs="FreeSans"/>
      <w:sz w:val="28"/>
      <w:szCs w:val="28"/>
    </w:rPr>
  </w:style>
  <w:style w:type="paragraph" w:styleId="Caption">
    <w:name w:val="caption"/>
    <w:basedOn w:val="Normal"/>
    <w:qFormat/>
    <w:pPr>
      <w:suppressLineNumbers/>
      <w:spacing w:before="120" w:after="120"/>
    </w:pPr>
    <w:rPr>
      <w:rFonts w:cs="FreeSans"/>
      <w:i/>
      <w:iCs/>
      <w:sz w:val="24"/>
      <w:szCs w:val="24"/>
    </w:rPr>
  </w:style>
  <w:style w:type="paragraph" w:styleId="Cabealho">
    <w:name w:val="Header"/>
    <w:basedOn w:val="Normal"/>
    <w:link w:val="CabealhoChar"/>
    <w:uiPriority w:val="99"/>
    <w:unhideWhenUsed/>
    <w:rsid w:val="00cf28b4"/>
    <w:pPr>
      <w:tabs>
        <w:tab w:val="clear" w:pos="708"/>
        <w:tab w:val="center" w:pos="4252" w:leader="none"/>
        <w:tab w:val="right" w:pos="8504" w:leader="none"/>
      </w:tabs>
    </w:pPr>
    <w:rPr/>
  </w:style>
  <w:style w:type="paragraph" w:styleId="Rodap">
    <w:name w:val="Footer"/>
    <w:basedOn w:val="Normal"/>
    <w:link w:val="RodapChar"/>
    <w:uiPriority w:val="99"/>
    <w:unhideWhenUsed/>
    <w:rsid w:val="00cf28b4"/>
    <w:pPr>
      <w:tabs>
        <w:tab w:val="clear" w:pos="708"/>
        <w:tab w:val="center" w:pos="4252" w:leader="none"/>
        <w:tab w:val="right" w:pos="8504" w:leader="none"/>
      </w:tabs>
    </w:pPr>
    <w:rPr/>
  </w:style>
  <w:style w:type="paragraph" w:styleId="BalloonText">
    <w:name w:val="Balloon Text"/>
    <w:basedOn w:val="Normal"/>
    <w:link w:val="TextodebaloChar"/>
    <w:uiPriority w:val="99"/>
    <w:semiHidden/>
    <w:unhideWhenUsed/>
    <w:qFormat/>
    <w:rsid w:val="00cf28b4"/>
    <w:pPr/>
    <w:rPr>
      <w:rFonts w:ascii="Tahoma" w:hAnsi="Tahoma" w:cs="Tahoma"/>
      <w:sz w:val="16"/>
      <w:szCs w:val="16"/>
    </w:rPr>
  </w:style>
  <w:style w:type="paragraph" w:styleId="ListParagraph">
    <w:name w:val="List Paragraph"/>
    <w:basedOn w:val="Normal"/>
    <w:uiPriority w:val="34"/>
    <w:qFormat/>
    <w:rsid w:val="00cb54f8"/>
    <w:pPr>
      <w:spacing w:before="0" w:after="0"/>
      <w:ind w:left="720" w:hanging="0"/>
      <w:contextualSpacing/>
    </w:pPr>
    <w:rPr/>
  </w:style>
  <w:style w:type="paragraph" w:styleId="Standard" w:customStyle="1">
    <w:name w:val="Standard"/>
    <w:qFormat/>
    <w:rsid w:val="001507cb"/>
    <w:pPr>
      <w:widowControl w:val="false"/>
      <w:suppressAutoHyphens w:val="true"/>
      <w:bidi w:val="0"/>
      <w:jc w:val="left"/>
      <w:textAlignment w:val="baseline"/>
    </w:pPr>
    <w:rPr>
      <w:rFonts w:ascii="Times New Roman" w:hAnsi="Times New Roman" w:eastAsia="Droid Sans" w:cs="Lohit Hindi"/>
      <w:color w:val="auto"/>
      <w:kern w:val="2"/>
      <w:sz w:val="24"/>
      <w:szCs w:val="24"/>
      <w:lang w:val="pt-BR" w:eastAsia="zh-CN" w:bidi="hi-IN"/>
    </w:rPr>
  </w:style>
  <w:style w:type="paragraph" w:styleId="Textbody" w:customStyle="1">
    <w:name w:val="Text body"/>
    <w:basedOn w:val="Standard"/>
    <w:qFormat/>
    <w:rsid w:val="000f480d"/>
    <w:pPr>
      <w:spacing w:before="0" w:after="120"/>
    </w:pPr>
    <w:rPr/>
  </w:style>
  <w:style w:type="paragraph" w:styleId="Corpodetexto21" w:customStyle="1">
    <w:name w:val="Corpo de texto 21"/>
    <w:basedOn w:val="Normal"/>
    <w:qFormat/>
    <w:rsid w:val="007b5eba"/>
    <w:pPr>
      <w:widowControl w:val="false"/>
      <w:suppressAutoHyphens w:val="true"/>
      <w:ind w:left="1701" w:hanging="1701"/>
      <w:jc w:val="both"/>
    </w:pPr>
    <w:rPr>
      <w:rFonts w:ascii="Times New Roman" w:hAnsi="Times New Roman" w:eastAsia="WenQuanYi Micro Hei" w:cs="Lohit Hindi"/>
      <w:kern w:val="2"/>
      <w:sz w:val="24"/>
      <w:szCs w:val="24"/>
      <w:lang w:eastAsia="zh-CN" w:bidi="hi-IN"/>
    </w:rPr>
  </w:style>
  <w:style w:type="paragraph" w:styleId="BodyText2">
    <w:name w:val="Body Text 2"/>
    <w:basedOn w:val="Normal"/>
    <w:link w:val="Corpodetexto2Char"/>
    <w:qFormat/>
    <w:rsid w:val="007b5eba"/>
    <w:pPr>
      <w:widowControl w:val="false"/>
      <w:suppressAutoHyphens w:val="true"/>
      <w:ind w:left="1701" w:hanging="1701"/>
      <w:jc w:val="both"/>
    </w:pPr>
    <w:rPr>
      <w:rFonts w:ascii="Times New Roman" w:hAnsi="Times New Roman" w:eastAsia="WenQuanYi Micro Hei" w:cs="Lohit Hindi"/>
      <w:kern w:val="2"/>
      <w:sz w:val="24"/>
      <w:szCs w:val="24"/>
      <w:lang w:eastAsia="zh-CN" w:bidi="hi-IN"/>
    </w:rPr>
  </w:style>
  <w:style w:type="paragraph" w:styleId="NormalWeb">
    <w:name w:val="Normal (Web)"/>
    <w:basedOn w:val="Normal"/>
    <w:uiPriority w:val="99"/>
    <w:unhideWhenUsed/>
    <w:qFormat/>
    <w:rsid w:val="007b5eba"/>
    <w:pPr>
      <w:spacing w:beforeAutospacing="1" w:afterAutospacing="1"/>
      <w:jc w:val="left"/>
    </w:pPr>
    <w:rPr>
      <w:rFonts w:ascii="Times New Roman" w:hAnsi="Times New Roman" w:eastAsia="Times New Roman" w:cs="Times New Roman"/>
      <w:sz w:val="24"/>
      <w:szCs w:val="24"/>
      <w:lang w:eastAsia="pt-BR"/>
    </w:rPr>
  </w:style>
  <w:style w:type="paragraph" w:styleId="Xl84" w:customStyle="1">
    <w:name w:val="xl84"/>
    <w:basedOn w:val="Normal"/>
    <w:qFormat/>
    <w:rsid w:val="007b5eba"/>
    <w:pPr>
      <w:spacing w:before="280" w:after="280"/>
      <w:textAlignment w:val="center"/>
    </w:pPr>
    <w:rPr>
      <w:rFonts w:ascii="Times New Roman" w:hAnsi="Times New Roman" w:eastAsia="Arial Unicode MS" w:cs="Tahoma"/>
      <w:sz w:val="24"/>
      <w:szCs w:val="24"/>
      <w:lang w:eastAsia="zh-CN"/>
    </w:rPr>
  </w:style>
  <w:style w:type="paragraph" w:styleId="Nivel1" w:customStyle="1">
    <w:name w:val="Nivel1"/>
    <w:basedOn w:val="Ttulo1"/>
    <w:qFormat/>
    <w:rsid w:val="006a6d3d"/>
    <w:pPr>
      <w:spacing w:lineRule="auto" w:line="276" w:before="480" w:after="0"/>
      <w:ind w:left="1080" w:hanging="720"/>
      <w:jc w:val="both"/>
    </w:pPr>
    <w:rPr>
      <w:rFonts w:ascii="Arial" w:hAnsi="Arial" w:cs="Times New Roman"/>
      <w:b/>
      <w:color w:val="000000"/>
      <w:sz w:val="20"/>
      <w:szCs w:val="20"/>
      <w:lang w:eastAsia="pt-BR"/>
    </w:rPr>
  </w:style>
  <w:style w:type="paragraph" w:styleId="NoSpacing">
    <w:name w:val="No Spacing"/>
    <w:uiPriority w:val="1"/>
    <w:qFormat/>
    <w:rsid w:val="00fe28c3"/>
    <w:pPr>
      <w:widowControl/>
      <w:bidi w:val="0"/>
      <w:jc w:val="center"/>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extojustificadorecuoprimeiralinha" w:customStyle="1">
    <w:name w:val="textojustificadorecuoprimeiralinha"/>
    <w:basedOn w:val="Normal"/>
    <w:qFormat/>
    <w:rsid w:val="00f94743"/>
    <w:pPr>
      <w:spacing w:beforeAutospacing="1" w:afterAutospacing="1"/>
      <w:jc w:val="left"/>
    </w:pPr>
    <w:rPr>
      <w:rFonts w:ascii="Times New Roman" w:hAnsi="Times New Roman" w:eastAsia="Times New Roman" w:cs="Times New Roman"/>
      <w:sz w:val="24"/>
      <w:szCs w:val="24"/>
      <w:lang w:eastAsia="pt-BR"/>
    </w:rPr>
  </w:style>
  <w:style w:type="paragraph" w:styleId="PargrafodaLista" w:customStyle="1">
    <w:name w:val="ParÃ¡grafo da Lista"/>
    <w:basedOn w:val="Normal"/>
    <w:qFormat/>
    <w:rsid w:val="00ee190d"/>
    <w:pPr>
      <w:suppressLineNumbers/>
      <w:suppressAutoHyphens w:val="true"/>
      <w:spacing w:lineRule="auto" w:line="276" w:before="0" w:after="200"/>
      <w:ind w:left="720" w:hanging="0"/>
      <w:jc w:val="left"/>
    </w:pPr>
    <w:rPr>
      <w:rFonts w:ascii="Calibri" w:hAnsi="Calibri" w:eastAsia="Calibri" w:cs="Calibri"/>
      <w:color w:val="000000"/>
      <w:kern w:val="2"/>
      <w:szCs w:val="24"/>
      <w:lang w:eastAsia="ar-SA" w:bidi="hi-IN"/>
    </w:rPr>
  </w:style>
  <w:style w:type="paragraph" w:styleId="Itemnivel1" w:customStyle="1">
    <w:name w:val="item_nivel_1"/>
    <w:basedOn w:val="Normal"/>
    <w:qFormat/>
    <w:rsid w:val="00515af0"/>
    <w:pPr>
      <w:spacing w:beforeAutospacing="1" w:afterAutospacing="1"/>
      <w:jc w:val="left"/>
    </w:pPr>
    <w:rPr>
      <w:rFonts w:ascii="Times New Roman" w:hAnsi="Times New Roman" w:eastAsia="Times New Roman" w:cs="Times New Roman"/>
      <w:sz w:val="24"/>
      <w:szCs w:val="24"/>
      <w:lang w:eastAsia="pt-B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f28b4"/>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hyperlink" Target="http://legislacao.planalto.gov.br/legisla/legislacao.nsf/Viw_Identificacao/lei 14.133-2021?OpenDocument"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Application>LibreOffice/6.1.1.2$Linux_X86_64 LibreOffice_project/5d19a1bfa650b796764388cd8b33a5af1f5baa1b</Application>
  <Pages>5</Pages>
  <Words>1602</Words>
  <Characters>8990</Characters>
  <CharactersWithSpaces>10691</CharactersWithSpaces>
  <Paragraphs>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2021-09-22T13:38:00Z</dcterms:created>
  <dc:creator>Ufjf</dc:creator>
  <dc:description/>
  <dc:language>pt-BR</dc:language>
  <cp:lastModifiedBy/>
  <cp:lastPrinted>2020-07-29T14:56:00Z</cp:lastPrinted>
  <dcterms:modified xsi:type="dcterms:W3CDTF">2021-10-08T08:24:30Z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