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
        <w:pBdr>
          <w:top w:val="single" w:sz="4" w:space="0" w:color="1F497D"/>
          <w:left w:val="single" w:sz="4" w:space="4" w:color="1F497D"/>
          <w:bottom w:val="single" w:sz="4" w:space="0" w:color="1F497D"/>
          <w:right w:val="single" w:sz="4" w:space="4" w:color="1F497D"/>
        </w:pBdr>
        <w:tabs>
          <w:tab w:val="left" w:pos="0" w:leader="none"/>
          <w:tab w:val="left" w:pos="1635" w:leader="none"/>
          <w:tab w:val="center" w:pos="4432" w:leader="none"/>
        </w:tabs>
        <w:spacing w:lineRule="auto" w:line="276" w:before="120" w:after="120"/>
        <w:ind w:left="360" w:hanging="0"/>
        <w:rPr>
          <w:rFonts w:ascii="Times New Roman" w:hAnsi="Times New Roman"/>
          <w:b/>
          <w:b/>
          <w:bCs/>
          <w:sz w:val="20"/>
          <w:szCs w:val="20"/>
        </w:rPr>
      </w:pPr>
      <w:r>
        <w:drawing>
          <wp:anchor behindDoc="1" distT="0" distB="0" distL="0" distR="0" simplePos="0" locked="0" layoutInCell="1" allowOverlap="1" relativeHeight="2">
            <wp:simplePos x="0" y="0"/>
            <wp:positionH relativeFrom="column">
              <wp:posOffset>2385060</wp:posOffset>
            </wp:positionH>
            <wp:positionV relativeFrom="paragraph">
              <wp:posOffset>64135</wp:posOffset>
            </wp:positionV>
            <wp:extent cx="660400" cy="682625"/>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660400" cy="682625"/>
                    </a:xfrm>
                    <a:prstGeom prst="rect">
                      <a:avLst/>
                    </a:prstGeom>
                  </pic:spPr>
                </pic:pic>
              </a:graphicData>
            </a:graphic>
          </wp:anchor>
        </w:drawing>
      </w:r>
      <w:r>
        <w:rPr>
          <w:rFonts w:ascii="Times New Roman" w:hAnsi="Times New Roman"/>
          <w:b/>
          <w:bCs/>
          <w:sz w:val="20"/>
          <w:szCs w:val="20"/>
        </w:rPr>
        <w:tab/>
      </w:r>
    </w:p>
    <w:p>
      <w:pPr>
        <w:pStyle w:val="Caption"/>
        <w:pBdr>
          <w:top w:val="single" w:sz="4" w:space="0" w:color="1F497D"/>
          <w:left w:val="single" w:sz="4" w:space="4" w:color="1F497D"/>
          <w:bottom w:val="single" w:sz="4" w:space="0" w:color="1F497D"/>
          <w:right w:val="single" w:sz="4" w:space="4" w:color="1F497D"/>
        </w:pBdr>
        <w:tabs>
          <w:tab w:val="left" w:pos="0" w:leader="none"/>
        </w:tabs>
        <w:spacing w:lineRule="auto" w:line="276"/>
        <w:ind w:left="360" w:hanging="0"/>
        <w:jc w:val="center"/>
        <w:rPr>
          <w:rFonts w:ascii="Times New Roman" w:hAnsi="Times New Roman"/>
          <w:b/>
          <w:b/>
          <w:bCs/>
          <w:sz w:val="20"/>
          <w:szCs w:val="20"/>
        </w:rPr>
      </w:pPr>
      <w:r>
        <w:rPr>
          <w:rFonts w:ascii="Times New Roman" w:hAnsi="Times New Roman"/>
          <w:b/>
          <w:bCs/>
          <w:sz w:val="20"/>
          <w:szCs w:val="20"/>
        </w:rPr>
      </w:r>
    </w:p>
    <w:p>
      <w:pPr>
        <w:pStyle w:val="Caption"/>
        <w:pBdr>
          <w:top w:val="single" w:sz="4" w:space="0" w:color="1F497D"/>
          <w:left w:val="single" w:sz="4" w:space="4" w:color="1F497D"/>
          <w:bottom w:val="single" w:sz="4" w:space="0" w:color="1F497D"/>
          <w:right w:val="single" w:sz="4" w:space="4" w:color="1F497D"/>
        </w:pBdr>
        <w:tabs>
          <w:tab w:val="left" w:pos="0" w:leader="none"/>
        </w:tabs>
        <w:spacing w:lineRule="auto" w:line="276"/>
        <w:ind w:left="360" w:hanging="0"/>
        <w:jc w:val="center"/>
        <w:rPr>
          <w:rFonts w:ascii="Times New Roman" w:hAnsi="Times New Roman"/>
          <w:sz w:val="20"/>
          <w:szCs w:val="20"/>
        </w:rPr>
      </w:pPr>
      <w:r>
        <w:rPr>
          <w:rFonts w:ascii="Times New Roman" w:hAnsi="Times New Roman"/>
          <w:sz w:val="20"/>
          <w:szCs w:val="20"/>
        </w:rPr>
      </w:r>
    </w:p>
    <w:p>
      <w:pPr>
        <w:pStyle w:val="Caption"/>
        <w:pBdr>
          <w:top w:val="single" w:sz="4" w:space="0" w:color="1F497D"/>
          <w:left w:val="single" w:sz="4" w:space="4" w:color="1F497D"/>
          <w:bottom w:val="single" w:sz="4" w:space="0" w:color="1F497D"/>
          <w:right w:val="single" w:sz="4" w:space="4" w:color="1F497D"/>
        </w:pBdr>
        <w:tabs>
          <w:tab w:val="left" w:pos="0" w:leader="none"/>
        </w:tabs>
        <w:spacing w:lineRule="auto" w:line="276"/>
        <w:ind w:left="360" w:hanging="0"/>
        <w:jc w:val="center"/>
        <w:rPr>
          <w:rFonts w:ascii="Times New Roman" w:hAnsi="Times New Roman"/>
          <w:sz w:val="20"/>
          <w:szCs w:val="20"/>
        </w:rPr>
      </w:pPr>
      <w:r>
        <w:rPr>
          <w:rFonts w:ascii="Times New Roman" w:hAnsi="Times New Roman"/>
          <w:b/>
          <w:bCs/>
          <w:sz w:val="20"/>
          <w:szCs w:val="20"/>
        </w:rPr>
        <w:t>MINISTÉRIO DA DEFESA</w:t>
      </w:r>
    </w:p>
    <w:p>
      <w:pPr>
        <w:pStyle w:val="Normal"/>
        <w:pBdr>
          <w:top w:val="single" w:sz="4" w:space="0" w:color="1F497D"/>
          <w:left w:val="single" w:sz="4" w:space="4" w:color="1F497D"/>
          <w:bottom w:val="single" w:sz="4" w:space="0" w:color="1F497D"/>
          <w:right w:val="single" w:sz="4" w:space="4" w:color="1F497D"/>
        </w:pBdr>
        <w:tabs>
          <w:tab w:val="left" w:pos="0" w:leader="none"/>
        </w:tabs>
        <w:spacing w:lineRule="auto" w:line="276"/>
        <w:ind w:left="360" w:hanging="0"/>
        <w:jc w:val="center"/>
        <w:rPr/>
      </w:pPr>
      <w:r>
        <w:rPr>
          <w:rFonts w:ascii="Times New Roman" w:hAnsi="Times New Roman"/>
          <w:b/>
          <w:szCs w:val="20"/>
        </w:rPr>
        <w:t>EXÉRCITO BRASILEIRO</w:t>
      </w:r>
    </w:p>
    <w:p>
      <w:pPr>
        <w:pStyle w:val="Normal"/>
        <w:pBdr>
          <w:top w:val="single" w:sz="4" w:space="0" w:color="1F497D"/>
          <w:left w:val="single" w:sz="4" w:space="4" w:color="1F497D"/>
          <w:bottom w:val="single" w:sz="4" w:space="0" w:color="1F497D"/>
          <w:right w:val="single" w:sz="4" w:space="4" w:color="1F497D"/>
        </w:pBdr>
        <w:tabs>
          <w:tab w:val="left" w:pos="0" w:leader="none"/>
        </w:tabs>
        <w:spacing w:lineRule="auto" w:line="276"/>
        <w:ind w:left="360" w:hanging="0"/>
        <w:jc w:val="center"/>
        <w:rPr/>
      </w:pPr>
      <w:r>
        <w:rPr>
          <w:rFonts w:ascii="Times New Roman" w:hAnsi="Times New Roman"/>
          <w:b/>
          <w:szCs w:val="20"/>
        </w:rPr>
        <w:t>COLÉGIO MILITAR DE CAMPO GRANDE</w:t>
      </w:r>
    </w:p>
    <w:p>
      <w:pPr>
        <w:pStyle w:val="Normal"/>
        <w:pBdr>
          <w:top w:val="single" w:sz="4" w:space="0" w:color="1F497D"/>
          <w:left w:val="single" w:sz="4" w:space="4" w:color="1F497D"/>
          <w:bottom w:val="single" w:sz="4" w:space="0" w:color="1F497D"/>
          <w:right w:val="single" w:sz="4" w:space="4" w:color="1F497D"/>
        </w:pBdr>
        <w:tabs>
          <w:tab w:val="left" w:pos="0" w:leader="none"/>
        </w:tabs>
        <w:spacing w:lineRule="auto" w:line="276"/>
        <w:ind w:left="360" w:hanging="0"/>
        <w:jc w:val="center"/>
        <w:rPr>
          <w:rFonts w:ascii="Times New Roman" w:hAnsi="Times New Roman"/>
          <w:b/>
          <w:b/>
          <w:szCs w:val="20"/>
        </w:rPr>
      </w:pPr>
      <w:r>
        <w:rPr>
          <w:rFonts w:ascii="Times New Roman" w:hAnsi="Times New Roman"/>
          <w:b/>
          <w:szCs w:val="20"/>
        </w:rPr>
      </w:r>
    </w:p>
    <w:p>
      <w:pPr>
        <w:pStyle w:val="Normal"/>
        <w:spacing w:lineRule="auto" w:line="276"/>
        <w:jc w:val="center"/>
        <w:rPr>
          <w:rFonts w:ascii="Times New Roman" w:hAnsi="Times New Roman"/>
          <w:szCs w:val="20"/>
        </w:rPr>
      </w:pPr>
      <w:r>
        <w:rPr>
          <w:rFonts w:ascii="Times New Roman" w:hAnsi="Times New Roman"/>
          <w:szCs w:val="20"/>
        </w:rPr>
      </w:r>
    </w:p>
    <w:p>
      <w:pPr>
        <w:pStyle w:val="Normal"/>
        <w:spacing w:lineRule="auto" w:line="276"/>
        <w:jc w:val="center"/>
        <w:rPr/>
      </w:pPr>
      <w:r>
        <w:rPr>
          <w:rFonts w:cs="Arial" w:ascii="Times New Roman" w:hAnsi="Times New Roman"/>
          <w:b/>
          <w:bCs/>
          <w:color w:val="000000" w:themeColor="text1"/>
          <w:szCs w:val="20"/>
        </w:rPr>
        <w:t xml:space="preserve">AVISO DE DISPENSA ELETRÔNICA Nº </w:t>
      </w:r>
      <w:r>
        <w:rPr>
          <w:rFonts w:cs="Arial" w:ascii="Times New Roman" w:hAnsi="Times New Roman"/>
          <w:b/>
          <w:bCs/>
          <w:color w:val="000000" w:themeColor="text1"/>
          <w:szCs w:val="20"/>
        </w:rPr>
        <w:t>34</w:t>
      </w:r>
      <w:r>
        <w:rPr>
          <w:rFonts w:cs="Arial" w:ascii="Times New Roman" w:hAnsi="Times New Roman"/>
          <w:b/>
          <w:bCs/>
          <w:color w:val="000000" w:themeColor="text1"/>
          <w:szCs w:val="20"/>
        </w:rPr>
        <w:t>/2022</w:t>
      </w:r>
    </w:p>
    <w:p>
      <w:pPr>
        <w:pStyle w:val="Normal"/>
        <w:spacing w:lineRule="auto" w:line="276" w:before="0" w:after="120"/>
        <w:ind w:right="0" w:hanging="0"/>
        <w:jc w:val="center"/>
        <w:rPr/>
      </w:pPr>
      <w:r>
        <w:rPr>
          <w:rFonts w:cs="Arial" w:ascii="Times New Roman" w:hAnsi="Times New Roman"/>
          <w:b/>
          <w:bCs/>
          <w:color w:val="000000" w:themeColor="text1"/>
          <w:szCs w:val="20"/>
        </w:rPr>
        <w:t xml:space="preserve">(Processo Administrativo n° </w:t>
      </w:r>
      <w:r>
        <w:rPr>
          <w:rFonts w:cs="Arial" w:ascii="Times New Roman" w:hAnsi="Times New Roman"/>
          <w:b/>
          <w:bCs/>
          <w:color w:val="000000" w:themeColor="text1"/>
          <w:szCs w:val="20"/>
        </w:rPr>
        <w:t xml:space="preserve"> 6425100289120228 </w:t>
      </w:r>
      <w:r>
        <w:rPr>
          <w:rFonts w:cs="Arial" w:ascii="Times New Roman" w:hAnsi="Times New Roman"/>
          <w:b/>
          <w:bCs/>
          <w:color w:val="000000" w:themeColor="text1"/>
          <w:szCs w:val="20"/>
        </w:rPr>
        <w:t>)</w:t>
      </w:r>
    </w:p>
    <w:p>
      <w:pPr>
        <w:pStyle w:val="Normal"/>
        <w:rPr>
          <w:rFonts w:ascii="Times New Roman" w:hAnsi="Times New Roman" w:cs="Arial"/>
          <w:szCs w:val="20"/>
        </w:rPr>
      </w:pPr>
      <w:r>
        <w:rPr>
          <w:rFonts w:cs="Arial" w:ascii="Times New Roman" w:hAnsi="Times New Roman"/>
          <w:szCs w:val="20"/>
        </w:rPr>
      </w:r>
    </w:p>
    <w:p>
      <w:pPr>
        <w:pStyle w:val="Normal"/>
        <w:snapToGrid w:val="false"/>
        <w:spacing w:lineRule="auto" w:line="276" w:before="0" w:after="120"/>
        <w:ind w:right="0" w:firstLine="540"/>
        <w:jc w:val="both"/>
        <w:rPr/>
      </w:pPr>
      <w:r>
        <w:rPr>
          <w:rFonts w:cs="Arial" w:ascii="Times New Roman" w:hAnsi="Times New Roman"/>
          <w:color w:val="000000" w:themeColor="text1"/>
          <w:szCs w:val="20"/>
        </w:rPr>
        <w:t xml:space="preserve">Torna-se público que o Colégio Militar de Campo Grande, por meio da Seção de Aquisições, Licitações e Contratos, realizará Dispensa Eletrônica, </w:t>
      </w:r>
      <w:r>
        <w:rPr>
          <w:rFonts w:cs="Arial" w:ascii="Times New Roman" w:hAnsi="Times New Roman"/>
          <w:bCs/>
          <w:color w:val="000000" w:themeColor="text1"/>
          <w:szCs w:val="20"/>
        </w:rPr>
        <w:t>com critério de julgamento</w:t>
      </w:r>
      <w:r>
        <w:rPr>
          <w:rFonts w:cs="Arial" w:ascii="Times New Roman" w:hAnsi="Times New Roman"/>
          <w:b/>
          <w:bCs/>
          <w:color w:val="000000" w:themeColor="text1"/>
          <w:szCs w:val="20"/>
        </w:rPr>
        <w:t xml:space="preserve"> </w:t>
      </w:r>
      <w:r>
        <w:rPr>
          <w:rFonts w:cs="Arial" w:ascii="Times New Roman" w:hAnsi="Times New Roman"/>
          <w:i/>
          <w:color w:val="00000A"/>
          <w:szCs w:val="20"/>
        </w:rPr>
        <w:t>menor preço</w:t>
      </w:r>
      <w:r>
        <w:rPr>
          <w:rFonts w:cs="Arial" w:ascii="Times New Roman" w:hAnsi="Times New Roman"/>
          <w:b w:val="false"/>
          <w:bCs w:val="false"/>
          <w:i/>
          <w:color w:val="00000A"/>
          <w:szCs w:val="20"/>
        </w:rPr>
        <w:t>,</w:t>
      </w:r>
      <w:r>
        <w:rPr>
          <w:rFonts w:cs="Arial" w:ascii="Times New Roman" w:hAnsi="Times New Roman"/>
          <w:b w:val="false"/>
          <w:bCs w:val="false"/>
          <w:i/>
          <w:color w:val="FF0000"/>
          <w:szCs w:val="20"/>
        </w:rPr>
        <w:t xml:space="preserve"> </w:t>
      </w:r>
      <w:r>
        <w:rPr>
          <w:rFonts w:cs="Arial" w:ascii="Times New Roman" w:hAnsi="Times New Roman"/>
          <w:color w:val="000000" w:themeColor="text1"/>
          <w:szCs w:val="20"/>
        </w:rPr>
        <w:t>na hipótese do art. 75</w:t>
      </w:r>
      <w:r>
        <w:rPr>
          <w:rFonts w:cs="Arial" w:ascii="Times New Roman" w:hAnsi="Times New Roman"/>
          <w:i/>
          <w:iCs/>
          <w:color w:val="000000" w:themeColor="text1"/>
          <w:szCs w:val="20"/>
        </w:rPr>
        <w:t xml:space="preserve">, </w:t>
      </w:r>
      <w:r>
        <w:rPr>
          <w:rFonts w:cs="Arial" w:ascii="Times New Roman" w:hAnsi="Times New Roman"/>
          <w:i/>
          <w:iCs/>
          <w:color w:val="00000A"/>
          <w:szCs w:val="20"/>
        </w:rPr>
        <w:t xml:space="preserve">inciso </w:t>
      </w:r>
      <w:r>
        <w:rPr>
          <w:rFonts w:cs="Arial" w:ascii="Times New Roman" w:hAnsi="Times New Roman"/>
          <w:b/>
          <w:i/>
          <w:iCs/>
          <w:color w:val="00000A"/>
          <w:szCs w:val="20"/>
        </w:rPr>
        <w:t>II</w:t>
      </w:r>
      <w:r>
        <w:rPr>
          <w:rFonts w:cs="Arial" w:ascii="Times New Roman" w:hAnsi="Times New Roman"/>
          <w:i/>
          <w:iCs/>
          <w:color w:val="00000A"/>
          <w:szCs w:val="20"/>
        </w:rPr>
        <w:t>,</w:t>
      </w:r>
      <w:r>
        <w:rPr>
          <w:rFonts w:cs="Arial" w:ascii="Times New Roman" w:hAnsi="Times New Roman"/>
          <w:color w:val="FF0000"/>
          <w:szCs w:val="20"/>
        </w:rPr>
        <w:t xml:space="preserve"> </w:t>
      </w:r>
      <w:r>
        <w:rPr>
          <w:rFonts w:cs="Arial" w:ascii="Times New Roman" w:hAnsi="Times New Roman"/>
          <w:bCs/>
          <w:szCs w:val="20"/>
        </w:rPr>
        <w:t>nos termos da Lei nº 14.133, de 1º de abril de 2021, da Instrução Normativa SEGES/ME nº 67/2021 e demais legislação aplicável</w:t>
      </w:r>
      <w:r>
        <w:rPr>
          <w:rFonts w:cs="Arial" w:ascii="Times New Roman" w:hAnsi="Times New Roman"/>
          <w:color w:val="000000"/>
          <w:szCs w:val="20"/>
        </w:rPr>
        <w:t>.</w:t>
      </w:r>
    </w:p>
    <w:p>
      <w:pPr>
        <w:pStyle w:val="Normal"/>
        <w:spacing w:lineRule="auto" w:line="276"/>
        <w:jc w:val="both"/>
        <w:rPr/>
      </w:pPr>
      <w:r>
        <w:rPr>
          <w:rFonts w:cs="Arial" w:ascii="Times New Roman" w:hAnsi="Times New Roman"/>
          <w:color w:val="000000" w:themeColor="text1"/>
          <w:szCs w:val="20"/>
        </w:rPr>
        <w:t xml:space="preserve">Data da sessão: </w:t>
      </w:r>
      <w:r>
        <w:rPr>
          <w:rFonts w:cs="Arial" w:ascii="Times New Roman" w:hAnsi="Times New Roman"/>
          <w:color w:val="000000" w:themeColor="text1"/>
          <w:szCs w:val="20"/>
        </w:rPr>
        <w:t>11</w:t>
      </w:r>
      <w:r>
        <w:rPr>
          <w:rFonts w:cs="Arial" w:ascii="Times New Roman" w:hAnsi="Times New Roman"/>
          <w:color w:val="000000" w:themeColor="text1"/>
          <w:szCs w:val="20"/>
        </w:rPr>
        <w:t>/0</w:t>
      </w:r>
      <w:r>
        <w:rPr>
          <w:rFonts w:cs="Arial" w:ascii="Times New Roman" w:hAnsi="Times New Roman"/>
          <w:color w:val="000000" w:themeColor="text1"/>
          <w:szCs w:val="20"/>
        </w:rPr>
        <w:t>4</w:t>
      </w:r>
      <w:r>
        <w:rPr>
          <w:rFonts w:cs="Arial" w:ascii="Times New Roman" w:hAnsi="Times New Roman"/>
          <w:color w:val="000000" w:themeColor="text1"/>
          <w:szCs w:val="20"/>
        </w:rPr>
        <w:t>/2022</w:t>
      </w:r>
    </w:p>
    <w:p>
      <w:pPr>
        <w:pStyle w:val="Normal"/>
        <w:rPr>
          <w:rFonts w:ascii="Times New Roman" w:hAnsi="Times New Roman"/>
          <w:szCs w:val="20"/>
        </w:rPr>
      </w:pPr>
      <w:r>
        <w:rPr>
          <w:rFonts w:cs="Arial" w:ascii="Times New Roman" w:hAnsi="Times New Roman"/>
          <w:color w:val="000000" w:themeColor="text1"/>
          <w:szCs w:val="20"/>
        </w:rPr>
        <w:t xml:space="preserve">Link: </w:t>
      </w:r>
      <w:r>
        <w:rPr>
          <w:rFonts w:cs="Arial" w:ascii="Times New Roman" w:hAnsi="Times New Roman"/>
          <w:b/>
          <w:bCs/>
          <w:color w:val="000000" w:themeColor="text1"/>
          <w:szCs w:val="20"/>
          <w:u w:val="single"/>
        </w:rPr>
        <w:t>https://www.gov.br/compras/pt-br/</w:t>
      </w:r>
    </w:p>
    <w:p>
      <w:pPr>
        <w:pStyle w:val="Normal"/>
        <w:rPr/>
      </w:pPr>
      <w:r>
        <w:rPr>
          <w:rFonts w:cs="Arial" w:ascii="Times New Roman" w:hAnsi="Times New Roman"/>
          <w:color w:val="000000" w:themeColor="text1"/>
          <w:szCs w:val="20"/>
        </w:rPr>
        <w:t xml:space="preserve">Horário da Fase de Lances:  8:00 às 14:00 </w:t>
      </w:r>
    </w:p>
    <w:p>
      <w:pPr>
        <w:pStyle w:val="Normal"/>
        <w:widowControl/>
        <w:shd w:val="clear" w:color="auto" w:fill="auto"/>
        <w:spacing w:lineRule="auto" w:line="276" w:before="0" w:after="120"/>
        <w:ind w:right="0" w:hanging="0"/>
        <w:jc w:val="center"/>
        <w:rPr>
          <w:bCs/>
          <w:color w:val="000000" w:themeColor="text1"/>
        </w:rPr>
      </w:pPr>
      <w:r>
        <w:rPr>
          <w:bCs/>
          <w:color w:val="000000" w:themeColor="text1"/>
        </w:rPr>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OBJETO DA CONTRATAÇÃO DIRETA</w:t>
      </w:r>
    </w:p>
    <w:p>
      <w:pPr>
        <w:pStyle w:val="PADRO"/>
        <w:widowControl/>
        <w:numPr>
          <w:ilvl w:val="1"/>
          <w:numId w:val="1"/>
        </w:numPr>
        <w:shd w:val="clear" w:color="auto" w:fill="auto"/>
        <w:spacing w:before="120" w:after="120"/>
        <w:rPr/>
      </w:pPr>
      <w:r>
        <w:rPr>
          <w:rFonts w:cs="Arial" w:ascii="Times New Roman" w:hAnsi="Times New Roman"/>
          <w:color w:val="000000" w:themeColor="text1"/>
          <w:szCs w:val="20"/>
        </w:rPr>
        <w:t xml:space="preserve">O objeto da presente dispensa é a escolha da proposta mais vantajosa para a </w:t>
      </w:r>
      <w:r>
        <w:rPr>
          <w:rFonts w:cs="Arial" w:ascii="Times New Roman" w:hAnsi="Times New Roman"/>
          <w:color w:val="00000A"/>
          <w:szCs w:val="20"/>
        </w:rPr>
        <w:t xml:space="preserve">contratação </w:t>
      </w:r>
      <w:r>
        <w:rPr>
          <w:rFonts w:cs="Arial" w:ascii="Times New Roman" w:hAnsi="Times New Roman"/>
          <w:color w:val="000000" w:themeColor="text1"/>
          <w:szCs w:val="20"/>
        </w:rPr>
        <w:t>por dispensa de licitação de aquisição</w:t>
      </w:r>
      <w:bookmarkStart w:id="0" w:name="__DdeLink__5630_411786423"/>
      <w:r>
        <w:rPr>
          <w:rFonts w:cs="Arial" w:ascii="Times New Roman" w:hAnsi="Times New Roman"/>
          <w:color w:val="000000" w:themeColor="text1"/>
          <w:szCs w:val="20"/>
        </w:rPr>
        <w:t xml:space="preserve"> de </w:t>
      </w:r>
      <w:r>
        <w:rPr>
          <w:rFonts w:cs="Arial" w:ascii="Times New Roman" w:hAnsi="Times New Roman"/>
          <w:color w:val="000000" w:themeColor="text1"/>
          <w:szCs w:val="20"/>
        </w:rPr>
        <w:t xml:space="preserve">Balança Analítica </w:t>
      </w:r>
      <w:r>
        <w:rPr>
          <w:rFonts w:cs="Arial" w:ascii="Times New Roman" w:hAnsi="Times New Roman"/>
          <w:color w:val="000000" w:themeColor="text1"/>
          <w:szCs w:val="20"/>
        </w:rPr>
        <w:t>para o Colégio Militar de Campo Grande-MS</w:t>
      </w:r>
      <w:r>
        <w:rPr>
          <w:rFonts w:cs="Arial" w:ascii="Times New Roman" w:hAnsi="Times New Roman"/>
          <w:b w:val="false"/>
          <w:bCs w:val="false"/>
          <w:i/>
          <w:iCs/>
          <w:color w:val="000000" w:themeColor="text1"/>
          <w:szCs w:val="20"/>
        </w:rPr>
        <w:t>,</w:t>
      </w:r>
      <w:bookmarkEnd w:id="0"/>
      <w:r>
        <w:rPr>
          <w:rFonts w:cs="Arial" w:ascii="Times New Roman" w:hAnsi="Times New Roman"/>
          <w:b w:val="false"/>
          <w:bCs w:val="false"/>
          <w:color w:val="000000" w:themeColor="text1"/>
          <w:szCs w:val="20"/>
        </w:rPr>
        <w:t xml:space="preserve"> </w:t>
      </w:r>
      <w:r>
        <w:rPr>
          <w:rFonts w:cs="Arial" w:ascii="Times New Roman" w:hAnsi="Times New Roman"/>
          <w:color w:val="000000" w:themeColor="text1"/>
          <w:szCs w:val="20"/>
        </w:rPr>
        <w:t>conforme condições, quantidades e exigências estabelecidas neste Aviso de Contratação Direta e seus anexos.</w:t>
      </w:r>
    </w:p>
    <w:p>
      <w:pPr>
        <w:pStyle w:val="PADRO"/>
        <w:widowControl/>
        <w:numPr>
          <w:ilvl w:val="1"/>
          <w:numId w:val="1"/>
        </w:numPr>
        <w:shd w:val="clear" w:color="auto" w:fill="auto"/>
        <w:spacing w:before="120" w:after="120"/>
        <w:rPr/>
      </w:pPr>
      <w:r>
        <w:rPr>
          <w:rFonts w:cs="Arial" w:ascii="Times New Roman" w:hAnsi="Times New Roman"/>
          <w:i w:val="false"/>
          <w:iCs w:val="false"/>
          <w:color w:val="00000A"/>
          <w:szCs w:val="20"/>
        </w:rPr>
        <w:t xml:space="preserve">A contratação será em </w:t>
      </w:r>
      <w:r>
        <w:rPr>
          <w:rFonts w:cs="Arial" w:ascii="Times New Roman" w:hAnsi="Times New Roman"/>
          <w:i w:val="false"/>
          <w:iCs w:val="false"/>
          <w:color w:val="00000A"/>
          <w:szCs w:val="20"/>
        </w:rPr>
        <w:t>1</w:t>
      </w:r>
      <w:r>
        <w:rPr>
          <w:rFonts w:cs="Arial" w:ascii="Times New Roman" w:hAnsi="Times New Roman"/>
          <w:i w:val="false"/>
          <w:iCs w:val="false"/>
          <w:color w:val="00000A"/>
          <w:szCs w:val="20"/>
        </w:rPr>
        <w:t xml:space="preserve"> (</w:t>
      </w:r>
      <w:r>
        <w:rPr>
          <w:rFonts w:cs="Arial" w:ascii="Times New Roman" w:hAnsi="Times New Roman"/>
          <w:i w:val="false"/>
          <w:iCs w:val="false"/>
          <w:color w:val="00000A"/>
          <w:szCs w:val="20"/>
        </w:rPr>
        <w:t>Um</w:t>
      </w:r>
      <w:r>
        <w:rPr>
          <w:rFonts w:cs="Arial" w:ascii="Times New Roman" w:hAnsi="Times New Roman"/>
          <w:i w:val="false"/>
          <w:iCs w:val="false"/>
          <w:color w:val="00000A"/>
          <w:szCs w:val="20"/>
        </w:rPr>
        <w:t>) ite</w:t>
      </w:r>
      <w:r>
        <w:rPr>
          <w:rFonts w:cs="Arial" w:ascii="Times New Roman" w:hAnsi="Times New Roman"/>
          <w:i w:val="false"/>
          <w:iCs w:val="false"/>
          <w:color w:val="00000A"/>
          <w:szCs w:val="20"/>
        </w:rPr>
        <w:t>m</w:t>
      </w:r>
      <w:r>
        <w:rPr>
          <w:rFonts w:cs="Arial" w:ascii="Times New Roman" w:hAnsi="Times New Roman"/>
          <w:b/>
          <w:bCs/>
          <w:i w:val="false"/>
          <w:iCs w:val="false"/>
          <w:color w:val="00000A"/>
          <w:szCs w:val="20"/>
        </w:rPr>
        <w:t>,</w:t>
      </w:r>
      <w:r>
        <w:rPr>
          <w:rFonts w:cs="Arial" w:ascii="Times New Roman" w:hAnsi="Times New Roman"/>
          <w:i w:val="false"/>
          <w:iCs w:val="false"/>
          <w:color w:val="00000A"/>
          <w:szCs w:val="20"/>
        </w:rPr>
        <w:t xml:space="preserve"> conforme tabela constante abaixo</w:t>
      </w:r>
      <w:r>
        <w:rPr>
          <w:rFonts w:cs="Arial" w:ascii="Times New Roman" w:hAnsi="Times New Roman"/>
          <w:i/>
          <w:iCs/>
          <w:color w:val="00000A"/>
          <w:szCs w:val="20"/>
        </w:rPr>
        <w:t>.</w:t>
      </w:r>
    </w:p>
    <w:tbl>
      <w:tblPr>
        <w:tblW w:w="9952" w:type="dxa"/>
        <w:jc w:val="left"/>
        <w:tblInd w:w="-73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48" w:type="dxa"/>
          <w:bottom w:w="0" w:type="dxa"/>
          <w:right w:w="108" w:type="dxa"/>
        </w:tblCellMar>
        <w:tblLook w:firstRow="1" w:noVBand="1" w:lastRow="0" w:firstColumn="1" w:lastColumn="0" w:noHBand="0" w:val="04a0"/>
      </w:tblPr>
      <w:tblGrid>
        <w:gridCol w:w="578"/>
        <w:gridCol w:w="2318"/>
        <w:gridCol w:w="1070"/>
        <w:gridCol w:w="1017"/>
        <w:gridCol w:w="462"/>
        <w:gridCol w:w="1304"/>
        <w:gridCol w:w="1076"/>
        <w:gridCol w:w="1306"/>
        <w:gridCol w:w="820"/>
      </w:tblGrid>
      <w:tr>
        <w:trPr/>
        <w:tc>
          <w:tcPr>
            <w:tcW w:w="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cs="Arial"/>
                <w:b/>
                <w:b/>
                <w:bCs/>
                <w:color w:val="000000"/>
                <w:szCs w:val="20"/>
              </w:rPr>
            </w:pPr>
            <w:r>
              <w:rPr>
                <w:rFonts w:cs="Arial" w:ascii="Times New Roman" w:hAnsi="Times New Roman"/>
                <w:b/>
                <w:bCs/>
                <w:color w:val="000000"/>
                <w:sz w:val="20"/>
                <w:szCs w:val="20"/>
              </w:rPr>
              <w:t>ITEM</w:t>
            </w:r>
          </w:p>
          <w:p>
            <w:pPr>
              <w:pStyle w:val="Normal"/>
              <w:widowControl w:val="false"/>
              <w:jc w:val="center"/>
              <w:rPr>
                <w:rFonts w:ascii="Times New Roman" w:hAnsi="Times New Roman" w:cs="Arial"/>
                <w:b/>
                <w:b/>
                <w:bCs/>
                <w:color w:val="000000"/>
                <w:sz w:val="20"/>
                <w:szCs w:val="20"/>
              </w:rPr>
            </w:pPr>
            <w:r>
              <w:rPr>
                <w:rFonts w:cs="Arial" w:ascii="Times New Roman" w:hAnsi="Times New Roman"/>
                <w:b/>
                <w:bCs/>
                <w:color w:val="000000"/>
                <w:sz w:val="20"/>
                <w:szCs w:val="20"/>
              </w:rPr>
            </w:r>
          </w:p>
        </w:tc>
        <w:tc>
          <w:tcPr>
            <w:tcW w:w="2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cs="Arial"/>
                <w:b/>
                <w:b/>
                <w:bCs/>
                <w:color w:val="000000"/>
                <w:szCs w:val="20"/>
              </w:rPr>
            </w:pPr>
            <w:r>
              <w:rPr>
                <w:rFonts w:cs="Arial" w:ascii="Times New Roman" w:hAnsi="Times New Roman"/>
                <w:b/>
                <w:bCs/>
                <w:color w:val="000000"/>
                <w:sz w:val="20"/>
                <w:szCs w:val="20"/>
              </w:rPr>
              <w:t>DESCRIÇÃO/</w:t>
            </w:r>
          </w:p>
          <w:p>
            <w:pPr>
              <w:pStyle w:val="Normal"/>
              <w:widowControl w:val="false"/>
              <w:jc w:val="center"/>
              <w:rPr>
                <w:rFonts w:ascii="Times New Roman" w:hAnsi="Times New Roman" w:cs="Arial"/>
                <w:color w:val="000000"/>
                <w:szCs w:val="20"/>
              </w:rPr>
            </w:pPr>
            <w:r>
              <w:rPr>
                <w:rFonts w:cs="Arial" w:ascii="Times New Roman" w:hAnsi="Times New Roman"/>
                <w:b/>
                <w:bCs/>
                <w:color w:val="000000"/>
                <w:sz w:val="20"/>
                <w:szCs w:val="20"/>
              </w:rPr>
              <w:t>ESPECIFICAÇÃO</w:t>
            </w:r>
          </w:p>
        </w:tc>
        <w:tc>
          <w:tcPr>
            <w:tcW w:w="10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sz w:val="20"/>
                <w:szCs w:val="20"/>
              </w:rPr>
            </w:pPr>
            <w:r>
              <w:rPr>
                <w:rFonts w:cs="Arial" w:ascii="Times New Roman" w:hAnsi="Times New Roman"/>
                <w:b/>
                <w:bCs/>
                <w:color w:val="000000"/>
                <w:sz w:val="20"/>
                <w:szCs w:val="20"/>
              </w:rPr>
              <w:t>CATMAT</w:t>
            </w:r>
          </w:p>
        </w:tc>
        <w:tc>
          <w:tcPr>
            <w:tcW w:w="10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cs="Arial"/>
                <w:color w:val="000000"/>
                <w:szCs w:val="20"/>
              </w:rPr>
            </w:pPr>
            <w:r>
              <w:rPr>
                <w:rFonts w:cs="Arial" w:ascii="Times New Roman" w:hAnsi="Times New Roman"/>
                <w:b/>
                <w:bCs/>
                <w:color w:val="000000"/>
                <w:sz w:val="20"/>
                <w:szCs w:val="20"/>
              </w:rPr>
              <w:t>UNIDADE DE MEDIDA</w:t>
            </w:r>
          </w:p>
        </w:tc>
        <w:tc>
          <w:tcPr>
            <w:tcW w:w="4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rPr>
            </w:pPr>
            <w:r>
              <w:rPr>
                <w:rFonts w:cs="Arial" w:ascii="Times New Roman" w:hAnsi="Times New Roman"/>
                <w:b/>
                <w:bCs/>
                <w:color w:val="000000"/>
                <w:sz w:val="20"/>
                <w:szCs w:val="20"/>
              </w:rPr>
              <w:t>QT</w:t>
            </w:r>
          </w:p>
        </w:tc>
        <w:tc>
          <w:tcPr>
            <w:tcW w:w="13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cs="Arial"/>
                <w:b/>
                <w:b/>
                <w:bCs/>
                <w:color w:val="000000"/>
                <w:szCs w:val="20"/>
              </w:rPr>
            </w:pPr>
            <w:r>
              <w:rPr>
                <w:rFonts w:cs="Arial" w:ascii="Times New Roman" w:hAnsi="Times New Roman"/>
                <w:b/>
                <w:bCs/>
                <w:color w:val="000000"/>
                <w:sz w:val="20"/>
                <w:szCs w:val="20"/>
              </w:rPr>
              <w:t>PREÇO ESTIMADO</w:t>
            </w:r>
          </w:p>
        </w:tc>
        <w:tc>
          <w:tcPr>
            <w:tcW w:w="10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b/>
                <w:b/>
                <w:bCs/>
                <w:sz w:val="16"/>
                <w:szCs w:val="16"/>
              </w:rPr>
            </w:pPr>
            <w:r>
              <w:rPr>
                <w:rFonts w:ascii="Times New Roman" w:hAnsi="Times New Roman"/>
                <w:b/>
                <w:bCs/>
                <w:sz w:val="20"/>
                <w:szCs w:val="20"/>
              </w:rPr>
              <w:t>Valor Total</w:t>
            </w:r>
          </w:p>
        </w:tc>
        <w:tc>
          <w:tcPr>
            <w:tcW w:w="13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sz w:val="20"/>
                <w:szCs w:val="20"/>
              </w:rPr>
            </w:pPr>
            <w:r>
              <w:rPr>
                <w:rFonts w:cs="Arial" w:ascii="Times New Roman" w:hAnsi="Times New Roman"/>
                <w:b/>
                <w:bCs/>
                <w:color w:val="000000"/>
                <w:sz w:val="20"/>
                <w:szCs w:val="20"/>
              </w:rPr>
              <w:t>LOCAL DE ENTREGA</w:t>
            </w:r>
          </w:p>
        </w:tc>
        <w:tc>
          <w:tcPr>
            <w:tcW w:w="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jc w:val="center"/>
              <w:rPr>
                <w:rFonts w:ascii="Times New Roman" w:hAnsi="Times New Roman"/>
                <w:sz w:val="20"/>
                <w:szCs w:val="20"/>
              </w:rPr>
            </w:pPr>
            <w:r>
              <w:rPr>
                <w:rFonts w:cs="Arial" w:ascii="Times New Roman" w:hAnsi="Times New Roman"/>
                <w:b/>
                <w:bCs/>
                <w:color w:val="000000"/>
                <w:sz w:val="20"/>
                <w:szCs w:val="20"/>
              </w:rPr>
              <w:t>PRAZO DE ENTREGA</w:t>
            </w:r>
          </w:p>
        </w:tc>
      </w:tr>
      <w:tr>
        <w:trPr/>
        <w:tc>
          <w:tcPr>
            <w:tcW w:w="57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spacing w:lineRule="auto" w:line="276" w:before="0" w:after="120"/>
              <w:jc w:val="center"/>
              <w:rPr>
                <w:rFonts w:ascii="Times New Roman" w:hAnsi="Times New Roman" w:cs="Arial"/>
                <w:b/>
                <w:b/>
                <w:color w:val="000000"/>
                <w:szCs w:val="20"/>
              </w:rPr>
            </w:pPr>
            <w:r>
              <w:rPr>
                <w:rFonts w:cs="Arial" w:ascii="Times New Roman" w:hAnsi="Times New Roman"/>
                <w:b w:val="false"/>
                <w:bCs w:val="false"/>
                <w:color w:val="000000"/>
                <w:sz w:val="20"/>
                <w:szCs w:val="20"/>
              </w:rPr>
              <w:t>01</w:t>
            </w:r>
          </w:p>
        </w:tc>
        <w:tc>
          <w:tcPr>
            <w:tcW w:w="2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spacing w:lineRule="auto" w:line="240" w:before="0" w:after="0"/>
              <w:rPr>
                <w:rFonts w:ascii="Times New Roman" w:hAnsi="Times New Roman"/>
                <w:sz w:val="20"/>
                <w:szCs w:val="20"/>
              </w:rPr>
            </w:pPr>
            <w:r>
              <w:rPr>
                <w:rFonts w:eastAsia="Times New Roman" w:cs="Calibri" w:ascii="Times New Roman" w:hAnsi="Times New Roman" w:cstheme="minorHAnsi"/>
                <w:b w:val="false"/>
                <w:bCs w:val="false"/>
                <w:color w:val="000000"/>
                <w:sz w:val="20"/>
                <w:szCs w:val="20"/>
                <w:lang w:eastAsia="pt-BR"/>
              </w:rPr>
              <w:t>Balança analítica, capacidade mínima de 200 g, resolução: 0,0001 g, diâmetro mínimo do prato 80 mm, tempo medição máximo de 2 s, equipado com capela de proteção, ajuste de nível. Devem ser fornecido juntamente com a balança os respectivos pesos de calibração. Garantia mínima de 12 meses. Assistência técnica permanente no Brasil.</w:t>
            </w:r>
          </w:p>
        </w:tc>
        <w:tc>
          <w:tcPr>
            <w:tcW w:w="107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spacing w:lineRule="auto" w:line="240" w:before="0" w:after="0"/>
              <w:jc w:val="center"/>
              <w:rPr>
                <w:rFonts w:ascii="Times New Roman" w:hAnsi="Times New Roman"/>
                <w:sz w:val="20"/>
                <w:szCs w:val="20"/>
              </w:rPr>
            </w:pPr>
            <w:r>
              <w:rPr>
                <w:rFonts w:eastAsia="Times New Roman" w:cs="Calibri" w:ascii="Times New Roman" w:hAnsi="Times New Roman" w:cstheme="minorHAnsi"/>
                <w:b w:val="false"/>
                <w:bCs w:val="false"/>
                <w:color w:val="000000"/>
                <w:sz w:val="20"/>
                <w:szCs w:val="20"/>
                <w:lang w:eastAsia="pt-BR"/>
              </w:rPr>
              <w:t>455296</w:t>
            </w:r>
          </w:p>
        </w:tc>
        <w:tc>
          <w:tcPr>
            <w:tcW w:w="10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spacing w:lineRule="auto" w:line="276" w:before="0" w:after="120"/>
              <w:jc w:val="center"/>
              <w:rPr>
                <w:rFonts w:ascii="Times New Roman" w:hAnsi="Times New Roman"/>
                <w:sz w:val="20"/>
                <w:szCs w:val="20"/>
              </w:rPr>
            </w:pPr>
            <w:r>
              <w:rPr>
                <w:rFonts w:cs="Arial" w:ascii="Times New Roman" w:hAnsi="Times New Roman"/>
                <w:color w:val="000000"/>
                <w:sz w:val="20"/>
                <w:szCs w:val="20"/>
              </w:rPr>
              <w:t>U</w:t>
            </w:r>
            <w:r>
              <w:rPr>
                <w:rFonts w:cs="Arial" w:ascii="Times New Roman" w:hAnsi="Times New Roman"/>
                <w:color w:val="000000"/>
                <w:sz w:val="20"/>
                <w:szCs w:val="20"/>
              </w:rPr>
              <w:t>n</w:t>
            </w:r>
          </w:p>
        </w:tc>
        <w:tc>
          <w:tcPr>
            <w:tcW w:w="4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Contedodatabela"/>
              <w:jc w:val="center"/>
              <w:rPr>
                <w:rFonts w:ascii="Times New Roman" w:hAnsi="Times New Roman"/>
                <w:sz w:val="20"/>
                <w:szCs w:val="20"/>
              </w:rPr>
            </w:pPr>
            <w:r>
              <w:rPr>
                <w:rFonts w:ascii="Times New Roman" w:hAnsi="Times New Roman"/>
                <w:color w:val="00000A"/>
                <w:sz w:val="20"/>
                <w:szCs w:val="20"/>
              </w:rPr>
              <w:t>1</w:t>
            </w:r>
          </w:p>
        </w:tc>
        <w:tc>
          <w:tcPr>
            <w:tcW w:w="13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Contedodatabela"/>
              <w:jc w:val="center"/>
              <w:rPr>
                <w:rFonts w:ascii="Times New Roman" w:hAnsi="Times New Roman"/>
                <w:b w:val="false"/>
                <w:b w:val="false"/>
                <w:bCs w:val="false"/>
                <w:i w:val="false"/>
                <w:i w:val="false"/>
                <w:caps w:val="false"/>
                <w:smallCaps w:val="false"/>
                <w:color w:val="000000"/>
                <w:spacing w:val="0"/>
                <w:sz w:val="20"/>
                <w:szCs w:val="20"/>
              </w:rPr>
            </w:pPr>
            <w:r>
              <w:rPr>
                <w:rFonts w:ascii="Times New Roman" w:hAnsi="Times New Roman"/>
                <w:b w:val="false"/>
                <w:bCs w:val="false"/>
                <w:i w:val="false"/>
                <w:caps w:val="false"/>
                <w:smallCaps w:val="false"/>
                <w:color w:val="000000"/>
                <w:spacing w:val="0"/>
                <w:sz w:val="20"/>
                <w:szCs w:val="20"/>
              </w:rPr>
              <w:t xml:space="preserve">5.957,33 </w:t>
            </w:r>
          </w:p>
        </w:tc>
        <w:tc>
          <w:tcPr>
            <w:tcW w:w="10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Contedodatabela"/>
              <w:jc w:val="center"/>
              <w:rPr>
                <w:rFonts w:ascii="Times New Roman" w:hAnsi="Times New Roman"/>
                <w:sz w:val="20"/>
                <w:szCs w:val="20"/>
              </w:rPr>
            </w:pPr>
            <w:r>
              <w:rPr>
                <w:rFonts w:ascii="Times New Roman" w:hAnsi="Times New Roman"/>
                <w:b w:val="false"/>
                <w:bCs w:val="false"/>
                <w:i w:val="false"/>
                <w:caps w:val="false"/>
                <w:smallCaps w:val="false"/>
                <w:color w:val="000000"/>
                <w:spacing w:val="0"/>
                <w:sz w:val="20"/>
                <w:szCs w:val="20"/>
              </w:rPr>
              <w:t xml:space="preserve">5.957,33 </w:t>
            </w:r>
          </w:p>
        </w:tc>
        <w:tc>
          <w:tcPr>
            <w:tcW w:w="13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spacing w:lineRule="auto" w:line="276" w:before="0" w:after="120"/>
              <w:jc w:val="center"/>
              <w:rPr>
                <w:rFonts w:ascii="Times New Roman" w:hAnsi="Times New Roman"/>
                <w:sz w:val="20"/>
                <w:szCs w:val="20"/>
              </w:rPr>
            </w:pPr>
            <w:r>
              <w:rPr>
                <w:rFonts w:cs="Arial" w:ascii="Times New Roman" w:hAnsi="Times New Roman"/>
                <w:color w:val="000000"/>
                <w:sz w:val="20"/>
                <w:szCs w:val="20"/>
              </w:rPr>
              <w:t xml:space="preserve">Colégio Militar de Campo Grande </w:t>
            </w:r>
          </w:p>
        </w:tc>
        <w:tc>
          <w:tcPr>
            <w:tcW w:w="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spacing w:lineRule="auto" w:line="276" w:before="0" w:after="120"/>
              <w:jc w:val="center"/>
              <w:rPr>
                <w:rFonts w:ascii="Times New Roman" w:hAnsi="Times New Roman"/>
                <w:sz w:val="20"/>
                <w:szCs w:val="20"/>
              </w:rPr>
            </w:pPr>
            <w:bookmarkStart w:id="1" w:name="__DdeLink__5086_2706863665"/>
            <w:bookmarkEnd w:id="1"/>
            <w:r>
              <w:rPr>
                <w:rFonts w:cs="Arial" w:ascii="Times New Roman" w:hAnsi="Times New Roman"/>
                <w:color w:val="000000"/>
                <w:sz w:val="20"/>
                <w:szCs w:val="20"/>
              </w:rPr>
              <w:t>10 DIAS ÚTEIS</w:t>
            </w:r>
          </w:p>
        </w:tc>
      </w:tr>
      <w:tr>
        <w:trPr/>
        <w:tc>
          <w:tcPr>
            <w:tcW w:w="9951" w:type="dxa"/>
            <w:gridSpan w:val="9"/>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48" w:type="dxa"/>
            </w:tcMar>
            <w:vAlign w:val="center"/>
          </w:tcPr>
          <w:p>
            <w:pPr>
              <w:pStyle w:val="Normal"/>
              <w:widowControl w:val="false"/>
              <w:spacing w:lineRule="auto" w:line="276" w:before="0" w:after="120"/>
              <w:jc w:val="both"/>
              <w:rPr>
                <w:rFonts w:cs="Arial"/>
                <w:b/>
                <w:b/>
                <w:color w:val="00000A"/>
              </w:rPr>
            </w:pPr>
            <w:r>
              <w:rPr>
                <w:rFonts w:cs="Arial"/>
                <w:b/>
                <w:color w:val="00000A"/>
              </w:rPr>
            </w:r>
          </w:p>
        </w:tc>
      </w:tr>
    </w:tbl>
    <w:p>
      <w:pPr>
        <w:pStyle w:val="Quote"/>
        <w:shd w:val="clear" w:fill="FFFFCC"/>
        <w:tabs>
          <w:tab w:val="center" w:pos="4252" w:leader="none"/>
          <w:tab w:val="left" w:pos="5823" w:leader="none"/>
        </w:tabs>
        <w:spacing w:lineRule="auto" w:line="276" w:before="0" w:after="0"/>
        <w:rPr>
          <w:rFonts w:ascii="Times New Roman" w:hAnsi="Times New Roman" w:cs="Arial"/>
          <w:bCs/>
          <w:szCs w:val="20"/>
        </w:rPr>
      </w:pPr>
      <w:r>
        <w:rPr>
          <w:rFonts w:cs="Arial" w:ascii="Times New Roman" w:hAnsi="Times New Roman"/>
          <w:bCs/>
          <w:szCs w:val="20"/>
        </w:rPr>
      </w:r>
    </w:p>
    <w:p>
      <w:pPr>
        <w:pStyle w:val="PADRO"/>
        <w:widowControl/>
        <w:numPr>
          <w:ilvl w:val="2"/>
          <w:numId w:val="1"/>
        </w:numPr>
        <w:shd w:val="clear" w:color="auto" w:fill="auto"/>
        <w:spacing w:before="120" w:after="120"/>
        <w:rPr>
          <w:rFonts w:ascii="Times New Roman" w:hAnsi="Times New Roman"/>
          <w:szCs w:val="20"/>
        </w:rPr>
      </w:pPr>
      <w:r>
        <w:rPr>
          <w:rFonts w:cs="Arial" w:ascii="Times New Roman" w:hAnsi="Times New Roman"/>
          <w:szCs w:val="20"/>
        </w:rPr>
        <w:t>Havendo mais de um item ou lote faculta-se ao fornecedor a participação em quantos forem de seu interesse. Entretanto, optando-se por participar de um lote, deve o fornecedor enviar proposta para todos os itens que o compõem.</w:t>
      </w:r>
    </w:p>
    <w:p>
      <w:pPr>
        <w:pStyle w:val="PADRO"/>
        <w:widowControl/>
        <w:numPr>
          <w:ilvl w:val="1"/>
          <w:numId w:val="1"/>
        </w:numPr>
        <w:shd w:val="clear" w:color="auto" w:fill="auto"/>
        <w:spacing w:before="120" w:after="120"/>
        <w:rPr>
          <w:rFonts w:ascii="Times New Roman" w:hAnsi="Times New Roman"/>
          <w:szCs w:val="20"/>
        </w:rPr>
      </w:pPr>
      <w:r>
        <w:rPr>
          <w:rFonts w:cs="Arial" w:ascii="Times New Roman" w:hAnsi="Times New Roman"/>
          <w:szCs w:val="20"/>
        </w:rPr>
        <w:t>O critério de julgamento adotado será o</w:t>
      </w:r>
      <w:r>
        <w:rPr>
          <w:rFonts w:cs="Arial" w:ascii="Times New Roman" w:hAnsi="Times New Roman"/>
          <w:i/>
          <w:iCs/>
          <w:szCs w:val="20"/>
        </w:rPr>
        <w:t xml:space="preserve"> </w:t>
      </w:r>
      <w:r>
        <w:rPr>
          <w:rFonts w:cs="Arial" w:ascii="Times New Roman" w:hAnsi="Times New Roman"/>
          <w:i/>
          <w:iCs/>
          <w:color w:val="00000A"/>
          <w:szCs w:val="20"/>
        </w:rPr>
        <w:t>menor preço,</w:t>
      </w:r>
      <w:r>
        <w:rPr>
          <w:rFonts w:cs="Arial" w:ascii="Times New Roman" w:hAnsi="Times New Roman"/>
          <w:color w:val="FF0000"/>
          <w:szCs w:val="20"/>
        </w:rPr>
        <w:t xml:space="preserve"> </w:t>
      </w:r>
      <w:r>
        <w:rPr>
          <w:rFonts w:cs="Arial" w:ascii="Times New Roman" w:hAnsi="Times New Roman"/>
          <w:szCs w:val="20"/>
        </w:rPr>
        <w:t>observadas as exigências contidas neste Aviso de Contratação Direta conforme item 1.2 quanto às especificações do objeto.</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PARTICIPAÇÃO NA DISPENSA ELETRÔNICA.</w:t>
      </w:r>
    </w:p>
    <w:p>
      <w:pPr>
        <w:pStyle w:val="Normal"/>
        <w:numPr>
          <w:ilvl w:val="1"/>
          <w:numId w:val="1"/>
        </w:numPr>
        <w:snapToGrid w:val="false"/>
        <w:spacing w:lineRule="auto" w:line="276" w:before="120" w:after="120"/>
        <w:ind w:left="425" w:hanging="0"/>
        <w:jc w:val="both"/>
        <w:rPr>
          <w:rFonts w:ascii="Times New Roman" w:hAnsi="Times New Roman"/>
          <w:szCs w:val="20"/>
        </w:rPr>
      </w:pPr>
      <w:r>
        <w:rPr>
          <w:rFonts w:cs="Arial" w:ascii="Times New Roman" w:hAnsi="Times New Roman"/>
          <w:szCs w:val="20"/>
        </w:rPr>
        <w:t xml:space="preserve">A participação na presente dispensa eletrônica se dará mediante </w:t>
      </w:r>
      <w:r>
        <w:rPr>
          <w:rFonts w:cs="Arial" w:ascii="Times New Roman" w:hAnsi="Times New Roman"/>
          <w:bCs/>
          <w:szCs w:val="20"/>
        </w:rPr>
        <w:t>Sistema de Dispensa Eletrônica</w:t>
      </w:r>
      <w:r>
        <w:rPr>
          <w:rFonts w:cs="Arial" w:ascii="Times New Roman" w:hAnsi="Times New Roman"/>
          <w:szCs w:val="20"/>
        </w:rPr>
        <w:t xml:space="preserve"> integrante do Sistema de Compras do Governo Federal – Comprasnet 4.0, disponível no </w:t>
      </w:r>
      <w:r>
        <w:rPr>
          <w:rFonts w:cs="Arial" w:ascii="Times New Roman" w:hAnsi="Times New Roman"/>
          <w:bCs/>
          <w:szCs w:val="20"/>
        </w:rPr>
        <w:t xml:space="preserve">endereço eletrônico: </w:t>
      </w:r>
      <w:r>
        <w:rPr>
          <w:rFonts w:cs="Arial" w:ascii="Times New Roman" w:hAnsi="Times New Roman"/>
          <w:b/>
          <w:bCs/>
          <w:szCs w:val="20"/>
          <w:u w:val="single"/>
        </w:rPr>
        <w:t>https://pncp.gov.br/</w:t>
      </w:r>
    </w:p>
    <w:p>
      <w:pPr>
        <w:pStyle w:val="Normal"/>
        <w:numPr>
          <w:ilvl w:val="2"/>
          <w:numId w:val="1"/>
        </w:numPr>
        <w:snapToGrid w:val="false"/>
        <w:spacing w:lineRule="auto" w:line="276" w:before="120" w:after="120"/>
        <w:jc w:val="both"/>
        <w:rPr>
          <w:rFonts w:ascii="Times New Roman" w:hAnsi="Times New Roman"/>
          <w:szCs w:val="20"/>
        </w:rPr>
      </w:pPr>
      <w:r>
        <w:rPr>
          <w:rFonts w:cs="Arial" w:ascii="Times New Roman" w:hAnsi="Times New Roman"/>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Times New Roman" w:hAnsi="Times New Roman"/>
          <w:szCs w:val="20"/>
        </w:rPr>
      </w:pPr>
      <w:r>
        <w:rPr>
          <w:rFonts w:cs="Arial" w:ascii="Times New Roman" w:hAnsi="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themeColor="text1"/>
          <w:szCs w:val="20"/>
        </w:rPr>
        <w:t>Não poderão participar desta dispensa os fornecedores: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não atendam às condições deste Aviso de Contratação Direta;</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se enquadrem nas seguintes vedações:</w:t>
      </w:r>
    </w:p>
    <w:p>
      <w:pPr>
        <w:pStyle w:val="Normal"/>
        <w:numPr>
          <w:ilvl w:val="3"/>
          <w:numId w:val="4"/>
        </w:numPr>
        <w:spacing w:lineRule="auto" w:line="276" w:before="120" w:after="120"/>
        <w:jc w:val="both"/>
        <w:rPr>
          <w:rFonts w:ascii="Times New Roman" w:hAnsi="Times New Roman"/>
          <w:szCs w:val="20"/>
        </w:rPr>
      </w:pPr>
      <w:r>
        <w:rPr>
          <w:rFonts w:cs="Arial" w:ascii="Times New Roman" w:hAnsi="Times New Roman"/>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Times New Roman" w:hAnsi="Times New Roman"/>
          <w:szCs w:val="20"/>
        </w:rPr>
      </w:pPr>
      <w:r>
        <w:rPr>
          <w:rFonts w:cs="Arial" w:ascii="Times New Roman" w:hAnsi="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Times New Roman" w:hAnsi="Times New Roman"/>
          <w:szCs w:val="20"/>
        </w:rPr>
      </w:pPr>
      <w:r>
        <w:rPr>
          <w:rFonts w:cs="Arial" w:ascii="Times New Roman" w:hAnsi="Times New Roman"/>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Times New Roman" w:hAnsi="Times New Roman"/>
          <w:szCs w:val="20"/>
        </w:rPr>
      </w:pPr>
      <w:r>
        <w:rPr>
          <w:rFonts w:cs="Arial" w:ascii="Times New Roman" w:hAnsi="Times New Roman"/>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Times New Roman" w:hAnsi="Times New Roman"/>
          <w:color w:val="000000"/>
          <w:szCs w:val="20"/>
        </w:rPr>
        <w:t xml:space="preserve">empresas controladoras, controladas ou coligadas, nos termos da </w:t>
      </w:r>
      <w:hyperlink r:id="rId3">
        <w:r>
          <w:rPr>
            <w:rStyle w:val="LinkdaInternet"/>
            <w:rFonts w:eastAsia="Calibri" w:cs="Arial" w:ascii="Times New Roman" w:hAnsi="Times New Roman"/>
            <w:szCs w:val="20"/>
          </w:rPr>
          <w:t>Lei nº 6.404, de 15 de dezembro de 1976</w:t>
        </w:r>
      </w:hyperlink>
      <w:r>
        <w:rPr>
          <w:rFonts w:cs="Arial" w:ascii="Times New Roman" w:hAnsi="Times New Roman"/>
          <w:color w:val="000000"/>
          <w:szCs w:val="20"/>
        </w:rPr>
        <w:t>, concorrendo entre si;</w:t>
      </w:r>
    </w:p>
    <w:p>
      <w:pPr>
        <w:pStyle w:val="Normal"/>
        <w:numPr>
          <w:ilvl w:val="3"/>
          <w:numId w:val="4"/>
        </w:numPr>
        <w:spacing w:lineRule="auto" w:line="276" w:before="120" w:after="120"/>
        <w:jc w:val="both"/>
        <w:rPr>
          <w:rFonts w:ascii="Times New Roman" w:hAnsi="Times New Roman"/>
          <w:szCs w:val="20"/>
        </w:rPr>
      </w:pPr>
      <w:r>
        <w:rPr>
          <w:rFonts w:cs="Arial" w:ascii="Times New Roman" w:hAnsi="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Times New Roman" w:hAnsi="Times New Roman"/>
          <w:szCs w:val="20"/>
        </w:rPr>
      </w:pPr>
      <w:r>
        <w:rPr>
          <w:rFonts w:cs="Arial" w:ascii="Times New Roman" w:hAnsi="Times New Roman"/>
          <w:color w:val="000000"/>
          <w:szCs w:val="20"/>
        </w:rPr>
        <w:t>Equiparam-se aos autores do projeto as empresas integrantes do mesmo grupo econômico;</w:t>
      </w:r>
    </w:p>
    <w:p>
      <w:pPr>
        <w:pStyle w:val="Normal"/>
        <w:numPr>
          <w:ilvl w:val="3"/>
          <w:numId w:val="1"/>
        </w:numPr>
        <w:spacing w:lineRule="auto" w:line="276" w:before="120" w:after="120"/>
        <w:jc w:val="both"/>
        <w:rPr>
          <w:rFonts w:ascii="Times New Roman" w:hAnsi="Times New Roman"/>
          <w:szCs w:val="20"/>
        </w:rPr>
      </w:pPr>
      <w:r>
        <w:rPr>
          <w:rFonts w:cs="Arial" w:ascii="Times New Roman" w:hAnsi="Times New Roman"/>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Times New Roman" w:hAnsi="Times New Roman"/>
          <w:szCs w:val="20"/>
        </w:rPr>
      </w:pPr>
      <w:bookmarkStart w:id="2" w:name="_Hlk519667815"/>
      <w:bookmarkEnd w:id="2"/>
      <w:r>
        <w:rPr>
          <w:rFonts w:cs="Arial" w:ascii="Times New Roman" w:hAnsi="Times New Roman"/>
          <w:color w:val="000000"/>
          <w:szCs w:val="20"/>
        </w:rPr>
        <w:t>sociedades cooperativas.</w:t>
      </w:r>
    </w:p>
    <w:p>
      <w:pPr>
        <w:pStyle w:val="Normal"/>
        <w:tabs>
          <w:tab w:val="left" w:pos="1440" w:leader="none"/>
        </w:tabs>
        <w:snapToGrid w:val="false"/>
        <w:spacing w:lineRule="auto" w:line="276" w:before="120" w:after="120"/>
        <w:jc w:val="center"/>
        <w:rPr>
          <w:rFonts w:ascii="Times New Roman" w:hAnsi="Times New Roman" w:eastAsia="Arial" w:cs="Arial"/>
          <w:b/>
          <w:b/>
          <w:bCs/>
          <w:color w:val="FF0000"/>
          <w:szCs w:val="20"/>
          <w:u w:val="single"/>
        </w:rPr>
      </w:pPr>
      <w:r>
        <w:rPr>
          <w:rFonts w:eastAsia="Arial" w:cs="Arial" w:ascii="Times New Roman" w:hAnsi="Times New Roman"/>
          <w:b/>
          <w:bCs/>
          <w:color w:val="FF0000"/>
          <w:szCs w:val="20"/>
          <w:u w:val="single"/>
        </w:rPr>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INGRESSO NA DISPENSA ELETRÔNICA E CADASTRAMENTO DA PROPOSTA INICIAL</w:t>
      </w:r>
    </w:p>
    <w:p>
      <w:pPr>
        <w:pStyle w:val="Normal"/>
        <w:numPr>
          <w:ilvl w:val="1"/>
          <w:numId w:val="1"/>
        </w:numPr>
        <w:snapToGrid w:val="false"/>
        <w:spacing w:lineRule="auto" w:line="276" w:before="120" w:after="120"/>
        <w:ind w:left="425" w:hanging="0"/>
        <w:jc w:val="both"/>
        <w:rPr>
          <w:rFonts w:ascii="Times New Roman" w:hAnsi="Times New Roman"/>
          <w:szCs w:val="20"/>
        </w:rPr>
      </w:pPr>
      <w:r>
        <w:rPr>
          <w:rFonts w:cs="Arial" w:ascii="Times New Roman" w:hAnsi="Times New Roman"/>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ascii="Times New Roman" w:hAnsi="Times New Roman"/>
          <w:szCs w:val="20"/>
        </w:rPr>
      </w:pPr>
      <w:r>
        <w:rPr>
          <w:rFonts w:cs="Arial" w:ascii="Times New Roman" w:hAnsi="Times New Roman"/>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Todas as especificações do </w:t>
      </w:r>
      <w:r>
        <w:rPr>
          <w:rFonts w:cs="Arial" w:ascii="Times New Roman" w:hAnsi="Times New Roman"/>
          <w:color w:val="000000" w:themeColor="text1"/>
          <w:szCs w:val="20"/>
        </w:rPr>
        <w:t>objeto</w:t>
      </w:r>
      <w:r>
        <w:rPr>
          <w:rFonts w:cs="Arial" w:ascii="Times New Roman" w:hAnsi="Times New Roman"/>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b/>
          <w:bCs/>
          <w:szCs w:val="20"/>
          <w:u w:val="single"/>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A apresentação das propostas implica obrigatoriedade do cumprimento das disposições nelas contidas, em conformidade com o que dispõe o neste </w:t>
      </w:r>
      <w:r>
        <w:rPr>
          <w:rFonts w:cs="Arial" w:ascii="Times New Roman" w:hAnsi="Times New Roman"/>
          <w:color w:val="000000"/>
          <w:szCs w:val="20"/>
        </w:rPr>
        <w:t>documento</w:t>
      </w:r>
      <w:r>
        <w:rPr>
          <w:rFonts w:cs="Arial" w:ascii="Times New Roman" w:hAnsi="Times New Roman"/>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Uma vez enviada a proposta no sistema, os fornecedores </w:t>
      </w:r>
      <w:r>
        <w:rPr>
          <w:rFonts w:cs="Arial" w:ascii="Times New Roman" w:hAnsi="Times New Roman"/>
          <w:b/>
          <w:bCs/>
          <w:szCs w:val="20"/>
        </w:rPr>
        <w:t>NÃO</w:t>
      </w:r>
      <w:r>
        <w:rPr>
          <w:rFonts w:cs="Arial" w:ascii="Times New Roman" w:hAnsi="Times New Roman"/>
          <w:szCs w:val="20"/>
        </w:rPr>
        <w:t xml:space="preserve"> poderão retirá-la, substituí-la ou modificá-la</w:t>
      </w:r>
      <w:r>
        <w:rPr>
          <w:rFonts w:cs="Arial" w:ascii="Times New Roman" w:hAnsi="Times New Roman"/>
          <w:color w:val="000000"/>
          <w:szCs w:val="20"/>
        </w:rPr>
        <w:t>;</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b/>
          <w:bCs/>
          <w:color w:val="000000"/>
          <w:szCs w:val="20"/>
        </w:rPr>
        <w:t xml:space="preserve">No cadastramento da proposta inicial, o fornecedor deverá, também, assinalar “sim” ou “não” em campo </w:t>
      </w:r>
      <w:r>
        <w:rPr>
          <w:rFonts w:cs="Arial" w:ascii="Times New Roman" w:hAnsi="Times New Roman"/>
          <w:b/>
          <w:bCs/>
          <w:szCs w:val="20"/>
        </w:rPr>
        <w:t>próprio</w:t>
      </w:r>
      <w:r>
        <w:rPr>
          <w:rFonts w:cs="Arial" w:ascii="Times New Roman" w:hAnsi="Times New Roman"/>
          <w:b/>
          <w:bCs/>
          <w:color w:val="000000"/>
          <w:szCs w:val="20"/>
        </w:rPr>
        <w:t xml:space="preserve"> do sistema eletrônico, às seguintes declarações:</w:t>
      </w:r>
      <w:r>
        <w:rPr>
          <w:rFonts w:eastAsia="Zurich BT" w:cs="Arial" w:ascii="Times New Roman" w:hAnsi="Times New Roman"/>
          <w:b/>
          <w:bCs/>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Times New Roman" w:hAnsi="Times New Roman" w:cs="Arial"/>
          <w:b/>
          <w:b/>
          <w:bCs/>
          <w:vanish/>
          <w:color w:val="000000"/>
          <w:szCs w:val="20"/>
        </w:rPr>
      </w:pPr>
      <w:r>
        <w:rPr>
          <w:rFonts w:cs="Arial" w:ascii="Times New Roman" w:hAnsi="Times New Roman"/>
          <w:b/>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ascii="Times New Roman" w:hAnsi="Times New Roman" w:cs="Arial"/>
          <w:b/>
          <w:b/>
          <w:bCs/>
          <w:vanish/>
          <w:color w:val="000000"/>
          <w:szCs w:val="20"/>
        </w:rPr>
      </w:pPr>
      <w:r>
        <w:rPr>
          <w:rFonts w:cs="Arial" w:ascii="Times New Roman" w:hAnsi="Times New Roman"/>
          <w:b/>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ascii="Times New Roman" w:hAnsi="Times New Roman" w:cs="Arial"/>
          <w:b/>
          <w:b/>
          <w:bCs/>
          <w:vanish/>
          <w:color w:val="000000"/>
          <w:szCs w:val="20"/>
        </w:rPr>
      </w:pPr>
      <w:r>
        <w:rPr>
          <w:rFonts w:cs="Arial" w:ascii="Times New Roman" w:hAnsi="Times New Roman"/>
          <w:b/>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ascii="Times New Roman" w:hAnsi="Times New Roman" w:cs="Arial"/>
          <w:b/>
          <w:b/>
          <w:bCs/>
          <w:vanish/>
          <w:color w:val="000000"/>
          <w:szCs w:val="20"/>
        </w:rPr>
      </w:pPr>
      <w:r>
        <w:rPr>
          <w:rFonts w:cs="Arial" w:ascii="Times New Roman" w:hAnsi="Times New Roman"/>
          <w:b/>
          <w:bCs/>
          <w:vanish/>
          <w:color w:val="000000"/>
          <w:szCs w:val="20"/>
        </w:rPr>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 xml:space="preserve">que </w:t>
      </w:r>
      <w:r>
        <w:rPr>
          <w:rFonts w:cs="Arial" w:ascii="Times New Roman" w:hAnsi="Times New Roman"/>
          <w:color w:val="000000"/>
          <w:szCs w:val="20"/>
        </w:rPr>
        <w:t>cumpre</w:t>
      </w:r>
      <w:r>
        <w:rPr>
          <w:rFonts w:cs="Arial" w:ascii="Times New Roman" w:hAnsi="Times New Roman"/>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Times New Roman" w:hAnsi="Times New Roman"/>
          <w:szCs w:val="20"/>
        </w:rPr>
      </w:pPr>
      <w:r>
        <w:rPr>
          <w:rFonts w:cs="Arial" w:ascii="Times New Roman" w:hAnsi="Times New Roman"/>
          <w:i/>
          <w:color w:val="000000"/>
          <w:szCs w:val="20"/>
        </w:rPr>
        <w:t>Fica facultado ao fornecedor, ao cadastrar sua proposta inicial, a parametrização de valor final mínimo, com o registro do seu lance final aceitável menor preço.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Times New Roman" w:hAnsi="Times New Roman"/>
          <w:szCs w:val="20"/>
        </w:rPr>
      </w:pPr>
      <w:r>
        <w:rPr>
          <w:rFonts w:cs="Arial" w:ascii="Times New Roman" w:hAnsi="Times New Roman"/>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FASE DE LANCES</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ascii="Times New Roman" w:hAnsi="Times New Roman"/>
          <w:bCs/>
          <w:szCs w:val="20"/>
          <w:lang w:eastAsia="en-US"/>
        </w:rPr>
        <w:t>exclusivamente por meio do sistema eletrônico</w:t>
      </w:r>
      <w:r>
        <w:rPr>
          <w:rFonts w:cs="Arial" w:ascii="Times New Roman" w:hAnsi="Times New Roman"/>
          <w:szCs w:val="20"/>
          <w:lang w:eastAsia="en-US"/>
        </w:rPr>
        <w:t xml:space="preserve">, </w:t>
      </w:r>
      <w:r>
        <w:rPr>
          <w:rFonts w:cs="Arial" w:ascii="Times New Roman" w:hAnsi="Times New Roman"/>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b/>
          <w:bCs/>
          <w:i/>
          <w:iCs/>
          <w:color w:val="00000A"/>
          <w:szCs w:val="20"/>
        </w:rPr>
        <w:t>O lance deverá ser ofertado pelo VALOR TOTAL DO ITEM, SEMPRE ATENTANDO PARA DUAS CASAS DECIMAIS.</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szCs w:val="20"/>
        </w:rPr>
        <w:t>O intervalo mínimo de diferença de valores entre os lances, que incidirá tanto em relação aos lances intermediários quanto em relação ao que cobrir a melhor oferta é de</w:t>
      </w:r>
      <w:r>
        <w:rPr>
          <w:rFonts w:cs="Arial" w:ascii="Times New Roman" w:hAnsi="Times New Roman"/>
          <w:i/>
          <w:iCs/>
          <w:szCs w:val="20"/>
        </w:rPr>
        <w:t xml:space="preserve"> R$ 0,01 (um centavo)</w:t>
      </w:r>
      <w:r>
        <w:rPr>
          <w:rFonts w:cs="Arial" w:ascii="Times New Roman" w:hAnsi="Times New Roman"/>
          <w:i/>
          <w:iCs/>
          <w:color w:val="FF0000"/>
          <w:szCs w:val="20"/>
        </w:rPr>
        <w:t>.</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JULGAMENTO DAS PROPOSTAS DE PREÇO</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szCs w:val="20"/>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szCs w:val="20"/>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szCs w:val="20"/>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Times New Roman" w:hAnsi="Times New Roman"/>
          <w:szCs w:val="20"/>
        </w:rPr>
      </w:pPr>
      <w:r>
        <w:rPr>
          <w:rFonts w:cs="Arial" w:ascii="Times New Roman" w:hAnsi="Times New Roman"/>
          <w:color w:val="000000" w:themeColor="text1"/>
          <w:szCs w:val="20"/>
        </w:rPr>
        <w:t xml:space="preserve">O prazo de validade </w:t>
      </w:r>
      <w:r>
        <w:rPr>
          <w:rFonts w:cs="Arial" w:ascii="Times New Roman" w:hAnsi="Times New Roman"/>
          <w:szCs w:val="20"/>
        </w:rPr>
        <w:t>da</w:t>
      </w:r>
      <w:r>
        <w:rPr>
          <w:rFonts w:cs="Arial" w:ascii="Times New Roman" w:hAnsi="Times New Roman"/>
          <w:color w:val="000000" w:themeColor="text1"/>
          <w:szCs w:val="20"/>
        </w:rPr>
        <w:t xml:space="preserve"> proposta não será inferior a 60 </w:t>
      </w:r>
      <w:r>
        <w:rPr>
          <w:rFonts w:cs="Arial" w:ascii="Times New Roman" w:hAnsi="Times New Roman"/>
          <w:color w:val="00000A"/>
          <w:szCs w:val="20"/>
        </w:rPr>
        <w:t xml:space="preserve">(sessenta) </w:t>
      </w:r>
      <w:r>
        <w:rPr>
          <w:rFonts w:cs="Arial" w:ascii="Times New Roman" w:hAnsi="Times New Roman"/>
          <w:color w:val="000000" w:themeColor="text1"/>
          <w:szCs w:val="20"/>
        </w:rPr>
        <w:t>dias</w:t>
      </w:r>
      <w:r>
        <w:rPr>
          <w:rFonts w:cs="Arial" w:ascii="Times New Roman" w:hAnsi="Times New Roman"/>
          <w:b/>
          <w:bCs/>
          <w:color w:val="000000" w:themeColor="text1"/>
          <w:szCs w:val="20"/>
        </w:rPr>
        <w:t>,</w:t>
      </w:r>
      <w:r>
        <w:rPr>
          <w:rFonts w:cs="Arial" w:ascii="Times New Roman" w:hAnsi="Times New Roman"/>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contiver vícios insanáveis</w:t>
      </w:r>
      <w:r>
        <w:rPr>
          <w:rFonts w:cs="Arial" w:ascii="Times New Roman" w:hAnsi="Times New Roman"/>
          <w:iCs/>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não obedecer às especificações técnicas pormenorizadas neste aviso</w:t>
      </w:r>
      <w:r>
        <w:rPr>
          <w:rFonts w:cs="Arial" w:ascii="Times New Roman" w:hAnsi="Times New Roman"/>
          <w:iCs/>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não tiverem sua exequibilidade demonstrada, quando exigido pela Administração</w:t>
      </w:r>
      <w:r>
        <w:rPr>
          <w:rFonts w:cs="Arial" w:ascii="Times New Roman" w:hAnsi="Times New Roman"/>
          <w:iCs/>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Quando</w:t>
      </w:r>
      <w:r>
        <w:rPr>
          <w:rFonts w:cs="Arial" w:ascii="Times New Roman" w:hAnsi="Times New Roman"/>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0" w:hanging="432"/>
        <w:contextualSpacing/>
        <w:jc w:val="both"/>
        <w:rPr>
          <w:rFonts w:ascii="Times New Roman" w:hAnsi="Times New Roman"/>
          <w:szCs w:val="20"/>
        </w:rPr>
      </w:pPr>
      <w:r>
        <w:rPr>
          <w:rFonts w:cs="Arial" w:ascii="Times New Roman" w:hAnsi="Times New Roman"/>
          <w:color w:val="000000" w:themeColor="text1"/>
          <w:szCs w:val="20"/>
          <w:lang w:eastAsia="en-US"/>
        </w:rPr>
        <w:t xml:space="preserve">Se houver indícios de inexequibilidade da proposta de preço, ou em caso da necessidade de esclarecimentos </w:t>
      </w:r>
      <w:r>
        <w:rPr>
          <w:rFonts w:cs="Arial" w:ascii="Times New Roman" w:hAnsi="Times New Roman"/>
          <w:szCs w:val="20"/>
        </w:rPr>
        <w:t>complementares</w:t>
      </w:r>
      <w:r>
        <w:rPr>
          <w:rFonts w:cs="Arial" w:ascii="Times New Roman" w:hAnsi="Times New Roman"/>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 xml:space="preserve">Erros no preenchimento da planilha não constituem motivo para a desclassificação da proposta. A planilha </w:t>
      </w:r>
      <w:r>
        <w:rPr>
          <w:rFonts w:cs="Arial" w:ascii="Times New Roman" w:hAnsi="Times New Roman"/>
          <w:szCs w:val="20"/>
        </w:rPr>
        <w:t>poderá</w:t>
      </w:r>
      <w:r>
        <w:rPr>
          <w:rFonts w:cs="Arial" w:ascii="Times New Roman" w:hAnsi="Times New Roman"/>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pPr>
      <w:r>
        <w:rPr>
          <w:rFonts w:cs="Arial" w:ascii="Times New Roman" w:hAnsi="Times New Roman"/>
          <w:color w:val="000000" w:themeColor="text1"/>
          <w:szCs w:val="20"/>
          <w:lang w:eastAsia="en-US"/>
        </w:rPr>
        <w:t>Encerrada a análise quanto à aceitação da proposta, se iniciará a fase de habilitação, observado o disposto neste Aviso de Contratação Direta.</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HABILITAÇÃO</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szCs w:val="20"/>
          <w:lang w:eastAsia="ar-SA"/>
        </w:rPr>
        <w:t xml:space="preserve">Como </w:t>
      </w:r>
      <w:r>
        <w:rPr>
          <w:rFonts w:cs="Arial" w:ascii="Times New Roman" w:hAnsi="Times New Roman"/>
          <w:color w:val="000000"/>
          <w:szCs w:val="20"/>
        </w:rPr>
        <w:t>condição</w:t>
      </w:r>
      <w:r>
        <w:rPr>
          <w:rFonts w:cs="Arial" w:ascii="Times New Roman" w:hAnsi="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ascii="Times New Roman" w:hAnsi="Times New Roman"/>
          <w:szCs w:val="20"/>
        </w:rPr>
      </w:pPr>
      <w:r>
        <w:rPr>
          <w:rFonts w:cs="Arial" w:ascii="Times New Roman" w:hAnsi="Times New Roman"/>
          <w:szCs w:val="20"/>
          <w:lang w:eastAsia="ar-SA"/>
        </w:rPr>
        <w:t xml:space="preserve">a) SICAF;  </w:t>
      </w:r>
    </w:p>
    <w:p>
      <w:pPr>
        <w:pStyle w:val="ListParagraph"/>
        <w:spacing w:lineRule="auto" w:line="276" w:before="120" w:after="120"/>
        <w:ind w:left="1134" w:hanging="0"/>
        <w:contextualSpacing/>
        <w:jc w:val="both"/>
        <w:rPr/>
      </w:pPr>
      <w:r>
        <w:rPr>
          <w:rFonts w:cs="Arial" w:ascii="Times New Roman" w:hAnsi="Times New Roman"/>
          <w:szCs w:val="20"/>
          <w:lang w:eastAsia="ar-SA"/>
        </w:rPr>
        <w:t>b) Cadastro Nacional de Empresas Inidôneas e Suspensas - CEIS, mantido pela Controladoria-Geral da União (</w:t>
      </w:r>
      <w:hyperlink r:id="rId4">
        <w:r>
          <w:rPr>
            <w:rStyle w:val="LinkdaInternet"/>
            <w:rFonts w:eastAsia="Calibri" w:cs="Arial" w:ascii="Times New Roman" w:hAnsi="Times New Roman"/>
            <w:szCs w:val="20"/>
            <w:lang w:eastAsia="ar-SA"/>
          </w:rPr>
          <w:t>www.portaldatransparencia.gov.br/ceis</w:t>
        </w:r>
      </w:hyperlink>
      <w:r>
        <w:rPr>
          <w:rFonts w:cs="Arial" w:ascii="Times New Roman" w:hAnsi="Times New Roman"/>
          <w:szCs w:val="20"/>
          <w:lang w:eastAsia="ar-SA"/>
        </w:rPr>
        <w:t xml:space="preserve">);  </w:t>
      </w:r>
    </w:p>
    <w:p>
      <w:pPr>
        <w:pStyle w:val="ListParagraph"/>
        <w:spacing w:lineRule="auto" w:line="276" w:before="120" w:after="120"/>
        <w:ind w:left="1134" w:hanging="0"/>
        <w:contextualSpacing/>
        <w:jc w:val="both"/>
        <w:rPr/>
      </w:pPr>
      <w:r>
        <w:rPr>
          <w:rFonts w:cs="Arial" w:ascii="Times New Roman" w:hAnsi="Times New Roman"/>
          <w:szCs w:val="20"/>
          <w:lang w:eastAsia="ar-SA"/>
        </w:rPr>
        <w:t>c) Cadastro Nacional de Condenações Cíveis por Atos de Improbidade Administrativa, mantido pelo Conselho Nacional de Justiça (</w:t>
      </w:r>
      <w:hyperlink r:id="rId5">
        <w:r>
          <w:rPr>
            <w:rStyle w:val="LinkdaInternet"/>
            <w:rFonts w:eastAsia="Calibri" w:cs="Arial" w:ascii="Times New Roman" w:hAnsi="Times New Roman"/>
            <w:szCs w:val="20"/>
            <w:lang w:eastAsia="ar-SA"/>
          </w:rPr>
          <w:t>www.cnj.jus.br/improbidade_adm/consultar_requerido.php</w:t>
        </w:r>
      </w:hyperlink>
      <w:r>
        <w:rPr>
          <w:rFonts w:cs="Arial" w:ascii="Times New Roman" w:hAnsi="Times New Roman"/>
          <w:szCs w:val="20"/>
          <w:lang w:eastAsia="ar-SA"/>
        </w:rPr>
        <w:t xml:space="preserve">).  </w:t>
      </w:r>
    </w:p>
    <w:p>
      <w:pPr>
        <w:pStyle w:val="ListParagraph"/>
        <w:spacing w:lineRule="auto" w:line="276" w:before="120" w:after="120"/>
        <w:ind w:left="1134" w:hanging="0"/>
        <w:contextualSpacing/>
        <w:jc w:val="both"/>
        <w:rPr>
          <w:rFonts w:ascii="Times New Roman" w:hAnsi="Times New Roman"/>
          <w:szCs w:val="20"/>
        </w:rPr>
      </w:pPr>
      <w:r>
        <w:rPr>
          <w:rFonts w:cs="Arial" w:ascii="Times New Roman" w:hAnsi="Times New Roman"/>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szCs w:val="20"/>
          <w:lang w:eastAsia="ar-SA"/>
        </w:rPr>
        <w:t xml:space="preserve">Para a consulta de </w:t>
      </w:r>
      <w:r>
        <w:rPr>
          <w:rFonts w:cs="Arial" w:ascii="Times New Roman" w:hAnsi="Times New Roman"/>
          <w:color w:val="000000" w:themeColor="text1"/>
          <w:szCs w:val="20"/>
        </w:rPr>
        <w:t>fornecedores</w:t>
      </w:r>
      <w:r>
        <w:rPr>
          <w:rFonts w:cs="Arial" w:ascii="Times New Roman" w:hAnsi="Times New Roman"/>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 xml:space="preserve">A consulta aos </w:t>
      </w:r>
      <w:r>
        <w:rPr>
          <w:rFonts w:cs="Arial" w:ascii="Times New Roman" w:hAnsi="Times New Roman"/>
          <w:szCs w:val="20"/>
          <w:lang w:eastAsia="ar-SA"/>
        </w:rPr>
        <w:t>cadastros</w:t>
      </w:r>
      <w:r>
        <w:rPr>
          <w:rFonts w:cs="Arial" w:ascii="Times New Roman" w:hAnsi="Times New Roman"/>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color w:val="000000" w:themeColor="text1"/>
          <w:szCs w:val="20"/>
        </w:rPr>
        <w:t xml:space="preserve">Caso atendidas as condições de participação, </w:t>
      </w:r>
      <w:r>
        <w:rPr>
          <w:rFonts w:cs="Arial" w:ascii="Times New Roman" w:hAnsi="Times New Roman"/>
          <w:szCs w:val="20"/>
        </w:rPr>
        <w:t>a habilitação dos fornecedores será verificada por meio do SICAF, nos documentos por ele abrangidos</w:t>
      </w:r>
      <w:r>
        <w:rPr>
          <w:rFonts w:cs="Arial" w:ascii="Times New Roman" w:hAnsi="Times New Roman"/>
          <w:color w:val="000000" w:themeColor="text1"/>
          <w:szCs w:val="20"/>
        </w:rPr>
        <w:t>.</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contextualSpacing/>
        <w:jc w:val="both"/>
        <w:rPr/>
      </w:pPr>
      <w:r>
        <w:rPr>
          <w:rFonts w:cs="Arial" w:ascii="Times New Roman" w:hAnsi="Times New Roman"/>
          <w:color w:val="000000" w:themeColor="text1"/>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para endereço </w:t>
      </w:r>
      <w:r>
        <w:rPr>
          <w:rStyle w:val="LinkdaInternet"/>
          <w:rFonts w:cs="Arial" w:ascii="Times New Roman" w:hAnsi="Times New Roman"/>
          <w:b/>
          <w:bCs/>
          <w:i w:val="false"/>
          <w:caps w:val="false"/>
          <w:smallCaps w:val="false"/>
          <w:color w:val="000000"/>
          <w:spacing w:val="0"/>
          <w:sz w:val="24"/>
          <w:szCs w:val="24"/>
          <w:u w:val="none"/>
        </w:rPr>
        <w:t>salc@cmcg.eb.mil.br</w:t>
      </w:r>
      <w:r>
        <w:rPr>
          <w:rFonts w:cs="Arial" w:ascii="Times New Roman" w:hAnsi="Times New Roman"/>
          <w:color w:val="000000" w:themeColor="text1"/>
          <w:szCs w:val="20"/>
        </w:rPr>
        <w:t>, sob pena de inabilitação.</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bCs/>
          <w:szCs w:val="20"/>
        </w:rPr>
        <w:t xml:space="preserve">Havendo </w:t>
      </w:r>
      <w:r>
        <w:rPr>
          <w:rFonts w:cs="Arial" w:ascii="Times New Roman" w:hAnsi="Times New Roman"/>
          <w:iCs/>
          <w:szCs w:val="20"/>
          <w:lang w:eastAsia="en-US"/>
        </w:rPr>
        <w:t>necessidade</w:t>
      </w:r>
      <w:r>
        <w:rPr>
          <w:rFonts w:cs="Arial" w:ascii="Times New Roman" w:hAnsi="Times New Roman"/>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color w:val="000000"/>
          <w:szCs w:val="20"/>
        </w:rPr>
        <w:t xml:space="preserve">Será inabilitado o fornecedor que não comprovar sua habilitação, seja por não apresentar </w:t>
      </w:r>
      <w:r>
        <w:rPr>
          <w:rFonts w:cs="Arial" w:ascii="Times New Roman" w:hAnsi="Times New Roman"/>
          <w:iCs/>
          <w:szCs w:val="20"/>
          <w:lang w:eastAsia="en-US"/>
        </w:rPr>
        <w:t>quaisquer</w:t>
      </w:r>
      <w:r>
        <w:rPr>
          <w:rFonts w:cs="Arial" w:ascii="Times New Roman" w:hAnsi="Times New Roman"/>
          <w:color w:val="000000"/>
          <w:szCs w:val="20"/>
        </w:rPr>
        <w:t xml:space="preserve"> dos </w:t>
      </w:r>
      <w:r>
        <w:rPr>
          <w:rFonts w:cs="Arial" w:ascii="Times New Roman" w:hAnsi="Times New Roman"/>
          <w:bCs/>
          <w:szCs w:val="20"/>
        </w:rPr>
        <w:t>documentos</w:t>
      </w:r>
      <w:r>
        <w:rPr>
          <w:rFonts w:cs="Arial" w:ascii="Times New Roman" w:hAnsi="Times New Roman"/>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Times New Roman" w:hAnsi="Times New Roman"/>
          <w:szCs w:val="20"/>
        </w:rPr>
      </w:pPr>
      <w:r>
        <w:rPr>
          <w:rFonts w:cs="Arial" w:ascii="Times New Roman" w:hAnsi="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ascii="Times New Roman" w:hAnsi="Times New Roman"/>
          <w:szCs w:val="20"/>
        </w:rPr>
      </w:pPr>
      <w:r>
        <w:rPr>
          <w:rFonts w:cs="Arial" w:ascii="Times New Roman" w:hAnsi="Times New Roman"/>
          <w:iCs/>
          <w:szCs w:val="20"/>
          <w:lang w:eastAsia="en-US"/>
        </w:rPr>
        <w:t>Constatado o atendimento às exigências de habilitação, o fornecedor será habilitado</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CONTRATAÇÃO</w:t>
      </w:r>
    </w:p>
    <w:p>
      <w:pPr>
        <w:pStyle w:val="Normal"/>
        <w:numPr>
          <w:ilvl w:val="1"/>
          <w:numId w:val="1"/>
        </w:numPr>
        <w:spacing w:lineRule="auto" w:line="276" w:before="120" w:after="120"/>
        <w:ind w:left="425" w:hanging="0"/>
        <w:jc w:val="both"/>
        <w:rPr>
          <w:rFonts w:ascii="Times New Roman" w:hAnsi="Times New Roman"/>
          <w:szCs w:val="20"/>
        </w:rPr>
      </w:pPr>
      <w:r>
        <w:rPr>
          <w:rFonts w:eastAsia="Arial" w:cs="Arial" w:ascii="Times New Roman" w:hAnsi="Times New Roman"/>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Times New Roman" w:hAnsi="Times New Roman"/>
          <w:szCs w:val="20"/>
        </w:rPr>
      </w:pPr>
      <w:r>
        <w:rPr>
          <w:rFonts w:eastAsia="Arial" w:cs="Arial" w:ascii="Times New Roman" w:hAnsi="Times New Roman"/>
          <w:color w:val="000000"/>
          <w:szCs w:val="20"/>
        </w:rPr>
        <w:t xml:space="preserve">O adjudicatário terá o prazo de 02 </w:t>
      </w:r>
      <w:r>
        <w:rPr>
          <w:rFonts w:eastAsia="Arial" w:cs="Arial" w:ascii="Times New Roman" w:hAnsi="Times New Roman"/>
          <w:color w:val="00000A"/>
          <w:szCs w:val="20"/>
        </w:rPr>
        <w:t>(dois) dias úteis, contados a partir da data de sua convocação, para assinar o Termo de Contrato ou aceitar instrumento equivalente, conforme o caso (Nota de Empenho/Carta Contrato/Autorização),</w:t>
      </w:r>
      <w:r>
        <w:rPr>
          <w:rFonts w:eastAsia="Arial" w:cs="Arial" w:ascii="Times New Roman" w:hAnsi="Times New Roman"/>
          <w:color w:val="FF0000"/>
          <w:szCs w:val="20"/>
        </w:rPr>
        <w:t xml:space="preserve"> </w:t>
      </w:r>
      <w:r>
        <w:rPr>
          <w:rFonts w:eastAsia="Arial" w:cs="Arial" w:ascii="Times New Roman" w:hAnsi="Times New Roman"/>
          <w:color w:val="000000"/>
          <w:szCs w:val="20"/>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rFonts w:ascii="Times New Roman" w:hAnsi="Times New Roman"/>
          <w:szCs w:val="20"/>
        </w:rPr>
      </w:pPr>
      <w:r>
        <w:rPr>
          <w:rFonts w:eastAsia="Arial" w:cs="Arial" w:ascii="Times New Roman" w:hAnsi="Times New Roman"/>
          <w:i/>
          <w:color w:val="00000A"/>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utéis, a contar da data de seu recebimento. </w:t>
      </w:r>
    </w:p>
    <w:p>
      <w:pPr>
        <w:pStyle w:val="Normal"/>
        <w:numPr>
          <w:ilvl w:val="2"/>
          <w:numId w:val="1"/>
        </w:numPr>
        <w:spacing w:lineRule="auto" w:line="276" w:before="120" w:after="120"/>
        <w:jc w:val="both"/>
        <w:rPr>
          <w:rFonts w:ascii="Times New Roman" w:hAnsi="Times New Roman"/>
          <w:szCs w:val="20"/>
        </w:rPr>
      </w:pPr>
      <w:r>
        <w:rPr>
          <w:rFonts w:eastAsia="Arial" w:cs="Arial" w:ascii="Times New Roman" w:hAnsi="Times New Roman"/>
          <w:color w:val="000000"/>
          <w:szCs w:val="20"/>
        </w:rPr>
        <w:t xml:space="preserve">O prazo previsto para assinatura do contrato ou aceitação da nota de empenho ou instrumento equivalente poderá ser prorrogado </w:t>
      </w:r>
      <w:r>
        <w:rPr>
          <w:rFonts w:cs="Times New Roman" w:ascii="Times New Roman" w:hAnsi="Times New Roman"/>
          <w:bCs/>
          <w:szCs w:val="20"/>
        </w:rPr>
        <w:t>1 (uma) vez</w:t>
      </w:r>
      <w:r>
        <w:rPr>
          <w:rFonts w:eastAsia="Arial" w:cs="Arial" w:ascii="Times New Roman" w:hAnsi="Times New Roman"/>
          <w:szCs w:val="20"/>
        </w:rPr>
        <w:t xml:space="preserve">, </w:t>
      </w:r>
      <w:r>
        <w:rPr>
          <w:rFonts w:eastAsia="Arial" w:cs="Arial" w:ascii="Times New Roman" w:hAnsi="Times New Roman"/>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ascii="Times New Roman" w:hAnsi="Times New Roman"/>
          <w:szCs w:val="20"/>
        </w:rPr>
      </w:pPr>
      <w:r>
        <w:rPr>
          <w:rFonts w:eastAsia="Arial" w:cs="Arial" w:ascii="Times New Roman" w:hAnsi="Times New Roman"/>
          <w:i/>
          <w:color w:val="00000A"/>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ascii="Times New Roman" w:hAnsi="Times New Roman"/>
          <w:szCs w:val="20"/>
        </w:rPr>
      </w:pPr>
      <w:r>
        <w:rPr>
          <w:rFonts w:eastAsia="Arial" w:cs="Arial" w:ascii="Times New Roman" w:hAnsi="Times New Roman"/>
          <w:i/>
          <w:color w:val="00000A"/>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ascii="Times New Roman" w:hAnsi="Times New Roman"/>
          <w:szCs w:val="20"/>
        </w:rPr>
      </w:pPr>
      <w:r>
        <w:rPr>
          <w:rFonts w:eastAsia="Arial" w:cs="Arial" w:ascii="Times New Roman" w:hAnsi="Times New Roman"/>
          <w:i/>
          <w:color w:val="00000A"/>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ascii="Times New Roman" w:hAnsi="Times New Roman"/>
          <w:szCs w:val="20"/>
        </w:rPr>
      </w:pPr>
      <w:r>
        <w:rPr>
          <w:rFonts w:eastAsia="Arial" w:cs="Arial" w:ascii="Times New Roman" w:hAnsi="Times New Roman"/>
          <w:i/>
          <w:color w:val="00000A"/>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ascii="Times New Roman" w:hAnsi="Times New Roman"/>
          <w:szCs w:val="20"/>
        </w:rPr>
      </w:pPr>
      <w:r>
        <w:rPr>
          <w:rFonts w:eastAsia="Arial" w:cs="Arial" w:ascii="Times New Roman" w:hAnsi="Times New Roman"/>
          <w:color w:val="000000"/>
          <w:szCs w:val="20"/>
        </w:rPr>
        <w:t>O prazo de vigência da contratação é de 90 (noventa) dias</w:t>
      </w:r>
      <w:r>
        <w:rPr>
          <w:rFonts w:eastAsia="Arial" w:cs="Arial" w:ascii="Times New Roman" w:hAnsi="Times New Roman"/>
          <w:color w:val="FF0000"/>
          <w:szCs w:val="20"/>
        </w:rPr>
        <w:t xml:space="preserve"> </w:t>
      </w:r>
      <w:r>
        <w:rPr>
          <w:rFonts w:eastAsia="Arial" w:cs="Arial" w:ascii="Times New Roman" w:hAnsi="Times New Roman"/>
          <w:color w:val="000000"/>
          <w:szCs w:val="20"/>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SANÇÕES</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dar causa à inexecução parcial do contrato</w:t>
      </w:r>
      <w:r>
        <w:rPr>
          <w:rFonts w:cs="Arial" w:ascii="Times New Roman" w:hAnsi="Times New Roman"/>
          <w:szCs w:val="20"/>
        </w:rPr>
        <w:t>;</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dar causa à inexecução total do contrato;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deixar de entregar a documentação exigida para o certame;</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pPr>
      <w:r>
        <w:rPr>
          <w:rFonts w:cs="Arial" w:ascii="Times New Roman" w:hAnsi="Times New Roman"/>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fraudar a dispensa eletrônica ou praticar ato fraudulento na execução do contrato;</w:t>
      </w:r>
    </w:p>
    <w:p>
      <w:pPr>
        <w:pStyle w:val="Normal"/>
        <w:numPr>
          <w:ilvl w:val="2"/>
          <w:numId w:val="1"/>
        </w:numPr>
        <w:spacing w:lineRule="auto" w:line="276" w:before="120" w:after="120"/>
        <w:jc w:val="both"/>
        <w:rPr/>
      </w:pPr>
      <w:r>
        <w:rPr>
          <w:rFonts w:cs="Arial" w:ascii="Times New Roman" w:hAnsi="Times New Roman"/>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ascii="Times New Roman" w:hAnsi="Times New Roman"/>
          <w:szCs w:val="20"/>
        </w:rPr>
      </w:pPr>
      <w:r>
        <w:rPr>
          <w:rFonts w:cs="Arial" w:ascii="Times New Roman" w:hAnsi="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pPr>
      <w:r>
        <w:rPr>
          <w:rFonts w:cs="Arial" w:ascii="Times New Roman" w:hAnsi="Times New Roman"/>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ascii="Times New Roman" w:hAnsi="Times New Roman"/>
          <w:color w:val="000000"/>
          <w:szCs w:val="20"/>
        </w:rPr>
        <w:t xml:space="preserve">praticar ato lesivo previsto no </w:t>
      </w:r>
      <w:r>
        <w:fldChar w:fldCharType="begin"/>
      </w:r>
      <w:r>
        <w:instrText> HYPERLINK "http://www.planalto.gov.br/ccivil_03/_Ato2011-2014/2013/Lei/L12846.htm" \l "art5"</w:instrText>
      </w:r>
      <w:r>
        <w:fldChar w:fldCharType="separate"/>
      </w:r>
      <w:r>
        <w:rPr>
          <w:rStyle w:val="LinkdaInternet"/>
          <w:rFonts w:ascii="Times New Roman" w:hAnsi="Times New Roman"/>
          <w:color w:val="000000"/>
          <w:szCs w:val="20"/>
        </w:rPr>
        <w:t>art. 5º da Lei nº 12.846, de 1º de agosto de 2013.</w:t>
      </w:r>
      <w:r>
        <w:fldChar w:fldCharType="end"/>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ascii="Times New Roman" w:hAnsi="Times New Roman"/>
          <w:szCs w:val="20"/>
        </w:rPr>
      </w:pPr>
      <w:r>
        <w:rPr>
          <w:rFonts w:cs="Arial" w:ascii="Times New Roman" w:hAnsi="Times New Roman"/>
          <w:szCs w:val="20"/>
        </w:rPr>
        <w:t>Advertência pela falta do subitem 8.1.1 deste Aviso de Contratação Direta,</w:t>
      </w:r>
      <w:r>
        <w:rPr>
          <w:rFonts w:ascii="Times New Roman" w:hAnsi="Times New Roman"/>
          <w:szCs w:val="20"/>
        </w:rPr>
        <w:t xml:space="preserve"> </w:t>
      </w:r>
      <w:r>
        <w:rPr>
          <w:rFonts w:cs="Arial" w:ascii="Times New Roman" w:hAnsi="Times New Roman"/>
          <w:szCs w:val="20"/>
        </w:rPr>
        <w:t>quando não se justificar a imposição de penalidade mais grave;</w:t>
      </w:r>
    </w:p>
    <w:p>
      <w:pPr>
        <w:pStyle w:val="Normal"/>
        <w:numPr>
          <w:ilvl w:val="2"/>
          <w:numId w:val="5"/>
        </w:numPr>
        <w:spacing w:lineRule="auto" w:line="276" w:before="120" w:after="120"/>
        <w:jc w:val="both"/>
        <w:rPr/>
      </w:pPr>
      <w:r>
        <w:rPr>
          <w:rFonts w:cs="Arial" w:ascii="Times New Roman" w:hAnsi="Times New Roman"/>
          <w:szCs w:val="20"/>
        </w:rPr>
        <w:t xml:space="preserve">Multa de </w:t>
      </w:r>
      <w:r>
        <w:rPr>
          <w:rFonts w:cs="Arial" w:ascii="Times New Roman" w:hAnsi="Times New Roman"/>
          <w:color w:val="00000A"/>
          <w:szCs w:val="20"/>
        </w:rPr>
        <w:t>10% (dez por cento)</w:t>
      </w:r>
      <w:r>
        <w:rPr>
          <w:rFonts w:cs="Arial" w:ascii="Times New Roman" w:hAnsi="Times New Roman"/>
          <w:color w:val="FF0000"/>
          <w:szCs w:val="20"/>
        </w:rPr>
        <w:t xml:space="preserve"> </w:t>
      </w:r>
      <w:r>
        <w:rPr>
          <w:rFonts w:cs="Arial" w:ascii="Times New Roman" w:hAnsi="Times New Roman"/>
          <w:szCs w:val="20"/>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ascii="Times New Roman" w:hAnsi="Times New Roman"/>
          <w:szCs w:val="20"/>
        </w:rPr>
      </w:pPr>
      <w:r>
        <w:rPr>
          <w:rFonts w:cs="Arial" w:ascii="Times New Roman" w:hAnsi="Times New Roman"/>
          <w:color w:val="000000"/>
          <w:szCs w:val="20"/>
        </w:rPr>
        <w:t>Impedimento de licitar e contratar</w:t>
      </w:r>
      <w:r>
        <w:rPr>
          <w:rFonts w:cs="Arial" w:ascii="Times New Roman" w:hAnsi="Times New Roman"/>
          <w:szCs w:val="20"/>
        </w:rPr>
        <w:t xml:space="preserve"> </w:t>
      </w:r>
      <w:r>
        <w:rPr>
          <w:rFonts w:cs="Arial" w:ascii="Times New Roman" w:hAnsi="Times New Roman"/>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Times New Roman" w:hAnsi="Times New Roman"/>
          <w:szCs w:val="20"/>
        </w:rPr>
        <w:t>;</w:t>
      </w:r>
    </w:p>
    <w:p>
      <w:pPr>
        <w:pStyle w:val="Normal"/>
        <w:numPr>
          <w:ilvl w:val="2"/>
          <w:numId w:val="5"/>
        </w:numPr>
        <w:spacing w:lineRule="auto" w:line="276" w:before="120" w:after="120"/>
        <w:jc w:val="both"/>
        <w:rPr>
          <w:rFonts w:ascii="Times New Roman" w:hAnsi="Times New Roman"/>
          <w:szCs w:val="20"/>
        </w:rPr>
      </w:pPr>
      <w:r>
        <w:rPr>
          <w:rFonts w:cs="Arial" w:ascii="Times New Roman" w:hAnsi="Times New Roman"/>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Times New Roman" w:hAnsi="Times New Roman"/>
          <w:szCs w:val="20"/>
        </w:rPr>
        <w:t>;</w:t>
      </w:r>
    </w:p>
    <w:p>
      <w:pPr>
        <w:pStyle w:val="Normal"/>
        <w:numPr>
          <w:ilvl w:val="1"/>
          <w:numId w:val="1"/>
        </w:numPr>
        <w:spacing w:lineRule="auto" w:line="276" w:before="120" w:after="120"/>
        <w:jc w:val="both"/>
        <w:rPr>
          <w:rFonts w:ascii="Times New Roman" w:hAnsi="Times New Roman"/>
          <w:szCs w:val="20"/>
        </w:rPr>
      </w:pPr>
      <w:r>
        <w:rPr>
          <w:rFonts w:cs="Arial" w:ascii="Times New Roman" w:hAnsi="Times New Roman"/>
          <w:bCs/>
          <w:szCs w:val="20"/>
        </w:rPr>
        <w:t>Na aplicação das sanções serão considerados: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bCs/>
          <w:szCs w:val="20"/>
        </w:rPr>
        <w:t>a natureza e a gravidade da infração cometida;</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bCs/>
          <w:szCs w:val="20"/>
        </w:rPr>
        <w:t>as peculiaridades do caso concreto;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bCs/>
          <w:szCs w:val="20"/>
        </w:rPr>
        <w:t>as circunstâncias agravantes ou atenuantes;</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bCs/>
          <w:szCs w:val="20"/>
        </w:rPr>
        <w:t>os danos que dela provierem para a Administração Pública;</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bCs/>
          <w:szCs w:val="20"/>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ascii="Times New Roman" w:hAnsi="Times New Roman"/>
          <w:szCs w:val="20"/>
        </w:rPr>
      </w:pPr>
      <w:bookmarkStart w:id="3" w:name="art156§8"/>
      <w:bookmarkStart w:id="4" w:name="art156§7"/>
      <w:bookmarkStart w:id="5" w:name="art156§6"/>
      <w:bookmarkEnd w:id="3"/>
      <w:bookmarkEnd w:id="4"/>
      <w:bookmarkEnd w:id="5"/>
      <w:r>
        <w:rPr>
          <w:rFonts w:cs="Arial" w:ascii="Times New Roman" w:hAnsi="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ascii="Times New Roman" w:hAnsi="Times New Roman"/>
          <w:szCs w:val="20"/>
        </w:rPr>
      </w:pPr>
      <w:bookmarkStart w:id="6" w:name="art156§9"/>
      <w:bookmarkEnd w:id="6"/>
      <w:r>
        <w:rPr>
          <w:rFonts w:cs="Arial" w:ascii="Times New Roman" w:hAnsi="Times New Roman"/>
          <w:szCs w:val="20"/>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A penalidade de multa pode ser aplicada cumulativamente com as demais sanções.</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szCs w:val="20"/>
        </w:rPr>
        <w:t>As sanções por atos praticados no decorrer da contratação estão previstas nos anexos a este Aviso.</w:t>
      </w:r>
    </w:p>
    <w:p>
      <w:pPr>
        <w:pStyle w:val="ListParagraph"/>
        <w:keepNext/>
        <w:numPr>
          <w:ilvl w:val="0"/>
          <w:numId w:val="1"/>
        </w:numPr>
        <w:tabs>
          <w:tab w:val="left" w:pos="959" w:leader="none"/>
        </w:tabs>
        <w:spacing w:before="120" w:after="120"/>
        <w:contextualSpacing/>
        <w:rPr>
          <w:rFonts w:ascii="Times New Roman" w:hAnsi="Times New Roman"/>
          <w:szCs w:val="20"/>
        </w:rPr>
      </w:pPr>
      <w:r>
        <w:rPr>
          <w:rFonts w:cs="Arial" w:ascii="Times New Roman" w:hAnsi="Times New Roman"/>
          <w:b/>
          <w:szCs w:val="20"/>
        </w:rPr>
        <w:t>DO LOCAL E PRAZO PARA ENTREGA DO OBJETO</w:t>
      </w:r>
    </w:p>
    <w:p>
      <w:pPr>
        <w:pStyle w:val="ListParagraph"/>
        <w:tabs>
          <w:tab w:val="left" w:pos="959" w:leader="none"/>
        </w:tabs>
        <w:spacing w:before="120" w:after="120"/>
        <w:ind w:left="1080" w:hanging="0"/>
        <w:contextualSpacing/>
        <w:jc w:val="both"/>
        <w:rPr/>
      </w:pPr>
      <w:r>
        <w:rPr>
          <w:rFonts w:cs="Arial" w:ascii="Times New Roman" w:hAnsi="Times New Roman"/>
          <w:b/>
          <w:bCs/>
          <w:szCs w:val="20"/>
        </w:rPr>
        <w:t>9.1</w:t>
        <w:tab/>
      </w:r>
      <w:r>
        <w:rPr>
          <w:rFonts w:cs="Arial" w:ascii="Times New Roman" w:hAnsi="Times New Roman"/>
          <w:b w:val="false"/>
          <w:bCs w:val="false"/>
          <w:szCs w:val="20"/>
        </w:rPr>
        <w:t>Av. Presidente Vargas</w:t>
      </w:r>
      <w:r>
        <w:rPr>
          <w:rFonts w:cs="Arial" w:ascii="Times New Roman" w:hAnsi="Times New Roman"/>
          <w:szCs w:val="20"/>
        </w:rPr>
        <w:t xml:space="preserve">, 2800 – Bairro Santa Carmélia –79115-810 – Campo Grande – MS Fone/Fax (67) 3368 4857 – </w:t>
      </w:r>
      <w:r>
        <w:rPr>
          <w:rStyle w:val="LinkdaInternet"/>
          <w:rFonts w:cs="Arial" w:ascii="Times New Roman" w:hAnsi="Times New Roman"/>
          <w:b w:val="false"/>
          <w:bCs w:val="false"/>
          <w:i w:val="false"/>
          <w:caps w:val="false"/>
          <w:smallCaps w:val="false"/>
          <w:color w:val="000000"/>
          <w:spacing w:val="0"/>
          <w:sz w:val="20"/>
          <w:szCs w:val="20"/>
          <w:u w:val="none"/>
        </w:rPr>
        <w:t>salc@cmcg.eb.mil.br</w:t>
      </w:r>
      <w:r>
        <w:rPr>
          <w:rStyle w:val="LinkdaInternet"/>
          <w:rFonts w:cs="Arial" w:ascii="Times New Roman" w:hAnsi="Times New Roman"/>
          <w:szCs w:val="20"/>
          <w:u w:val="none"/>
        </w:rPr>
        <w:t>.</w:t>
      </w:r>
      <w:r>
        <w:rPr>
          <w:rFonts w:cs="Arial" w:ascii="Times New Roman" w:hAnsi="Times New Roman"/>
          <w:szCs w:val="20"/>
        </w:rPr>
        <w:t xml:space="preserve"> O prazo de entrega não poderá ser superior a 10 (dez) dias úteis</w:t>
      </w:r>
      <w:bookmarkStart w:id="7" w:name="_GoBack"/>
      <w:bookmarkEnd w:id="7"/>
      <w:r>
        <w:rPr>
          <w:rFonts w:cs="Arial" w:ascii="Times New Roman" w:hAnsi="Times New Roman"/>
          <w:szCs w:val="20"/>
        </w:rPr>
        <w:t>, a partir do recebimento da NOTA DE EMPENHO pela CONTRATADA.</w:t>
      </w:r>
    </w:p>
    <w:p>
      <w:pPr>
        <w:pStyle w:val="PADRO"/>
        <w:widowControl/>
        <w:numPr>
          <w:ilvl w:val="0"/>
          <w:numId w:val="1"/>
        </w:numPr>
        <w:shd w:val="clear" w:color="auto" w:fill="auto"/>
        <w:spacing w:before="120" w:after="120"/>
        <w:rPr>
          <w:rFonts w:ascii="Times New Roman" w:hAnsi="Times New Roman"/>
          <w:szCs w:val="20"/>
        </w:rPr>
      </w:pPr>
      <w:r>
        <w:rPr>
          <w:rFonts w:cs="Arial" w:ascii="Times New Roman" w:hAnsi="Times New Roman"/>
          <w:b/>
          <w:szCs w:val="20"/>
        </w:rPr>
        <w:t>DAS DISPOSIÇÕES GERAIS</w:t>
      </w:r>
    </w:p>
    <w:p>
      <w:pPr>
        <w:pStyle w:val="Normal"/>
        <w:numPr>
          <w:ilvl w:val="1"/>
          <w:numId w:val="1"/>
        </w:numPr>
        <w:snapToGrid w:val="false"/>
        <w:spacing w:lineRule="auto" w:line="276" w:before="120" w:after="120"/>
        <w:ind w:left="425" w:hanging="0"/>
        <w:jc w:val="both"/>
        <w:rPr>
          <w:rFonts w:ascii="Times New Roman" w:hAnsi="Times New Roman"/>
          <w:szCs w:val="20"/>
        </w:rPr>
      </w:pPr>
      <w:r>
        <w:rPr>
          <w:rFonts w:ascii="Times New Roman" w:hAnsi="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republicar o presente aviso com uma nova data;</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ascii="Times New Roman" w:hAnsi="Times New Roman"/>
          <w:szCs w:val="20"/>
        </w:rPr>
      </w:pPr>
      <w:r>
        <w:rPr>
          <w:rFonts w:cs="Arial" w:ascii="Times New Roman" w:hAnsi="Times New Roman"/>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ascii="Times New Roman" w:hAnsi="Times New Roman"/>
          <w:szCs w:val="20"/>
        </w:rPr>
      </w:pPr>
      <w:r>
        <w:rPr>
          <w:rFonts w:cs="Arial" w:ascii="Times New Roman" w:hAnsi="Times New Roman"/>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pPr>
      <w:r>
        <w:rPr>
          <w:rFonts w:cs="Arial" w:ascii="Times New Roman" w:hAnsi="Times New Roman"/>
          <w:color w:val="000000"/>
          <w:szCs w:val="20"/>
        </w:rPr>
        <w:t>As providências dos subitens 10.2.1 e 10.2.2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ascii="Times New Roman" w:hAnsi="Times New Roman"/>
          <w:szCs w:val="20"/>
        </w:rPr>
      </w:pPr>
      <w:r>
        <w:rPr>
          <w:rFonts w:cs="Arial" w:ascii="Times New Roman" w:hAnsi="Times New Roman"/>
          <w:color w:val="000000"/>
          <w:szCs w:val="20"/>
        </w:rPr>
        <w:t>Da sessão pública será divulgada Ata no sistema eletrônico.</w:t>
      </w:r>
    </w:p>
    <w:p>
      <w:pPr>
        <w:pStyle w:val="ListParagraph"/>
        <w:numPr>
          <w:ilvl w:val="1"/>
          <w:numId w:val="1"/>
        </w:numPr>
        <w:tabs>
          <w:tab w:val="left" w:pos="1067" w:leader="none"/>
        </w:tabs>
        <w:spacing w:lineRule="auto" w:line="276" w:before="1" w:after="0"/>
        <w:contextualSpacing/>
        <w:jc w:val="both"/>
        <w:rPr/>
      </w:pPr>
      <w:r>
        <w:rPr>
          <w:rFonts w:cs="Arial" w:ascii="Times New Roman" w:hAnsi="Times New Roman"/>
          <w:color w:val="000000"/>
          <w:szCs w:val="20"/>
        </w:rPr>
        <w:t>Os esclarecimentos poderão ser dirigidos à SALC do COLÉGIO MILITAR DE CAMPO GRANDE, através de e-mail (</w:t>
      </w:r>
      <w:r>
        <w:rPr>
          <w:rStyle w:val="LinkdaInternet"/>
          <w:rFonts w:cs="Arial" w:ascii="Times New Roman" w:hAnsi="Times New Roman"/>
          <w:b/>
          <w:bCs/>
          <w:i w:val="false"/>
          <w:caps w:val="false"/>
          <w:smallCaps w:val="false"/>
          <w:color w:val="000000"/>
          <w:spacing w:val="0"/>
          <w:sz w:val="24"/>
          <w:szCs w:val="24"/>
          <w:u w:val="none"/>
        </w:rPr>
        <w:t>salc@cmcg.eb.mil.br</w:t>
      </w:r>
      <w:r>
        <w:rPr>
          <w:rFonts w:cs="Arial" w:ascii="Times New Roman" w:hAnsi="Times New Roman"/>
          <w:color w:val="000000"/>
          <w:szCs w:val="20"/>
        </w:rPr>
        <w:t>) ou contato telefônico(67-3368-4857).</w:t>
      </w:r>
    </w:p>
    <w:p>
      <w:pPr>
        <w:pStyle w:val="Normal"/>
        <w:spacing w:lineRule="auto" w:line="276" w:before="120" w:after="120"/>
        <w:ind w:left="1111" w:hanging="0"/>
        <w:jc w:val="both"/>
        <w:rPr>
          <w:rFonts w:ascii="Times New Roman" w:hAnsi="Times New Roman"/>
          <w:szCs w:val="20"/>
        </w:rPr>
      </w:pPr>
      <w:r>
        <w:rPr>
          <w:rFonts w:cs="Arial" w:ascii="Times New Roman" w:hAnsi="Times New Roman"/>
          <w:b/>
          <w:bCs/>
          <w:color w:val="000000"/>
          <w:szCs w:val="20"/>
        </w:rPr>
        <w:t>ANEXO I – Documentação exigida para Habilitação</w:t>
      </w:r>
    </w:p>
    <w:p>
      <w:pPr>
        <w:pStyle w:val="Normal"/>
        <w:jc w:val="center"/>
        <w:rPr>
          <w:rFonts w:ascii="Times New Roman" w:hAnsi="Times New Roman"/>
          <w:szCs w:val="20"/>
        </w:rPr>
      </w:pPr>
      <w:r>
        <w:rPr>
          <w:rFonts w:ascii="Times New Roman" w:hAnsi="Times New Roman"/>
          <w:szCs w:val="20"/>
        </w:rPr>
      </w:r>
    </w:p>
    <w:p>
      <w:pPr>
        <w:pStyle w:val="Normal"/>
        <w:jc w:val="center"/>
        <w:rPr>
          <w:rFonts w:ascii="Times New Roman" w:hAnsi="Times New Roman"/>
          <w:szCs w:val="20"/>
        </w:rPr>
      </w:pPr>
      <w:r>
        <w:rPr>
          <w:rFonts w:ascii="Times New Roman" w:hAnsi="Times New Roman"/>
          <w:szCs w:val="20"/>
        </w:rPr>
      </w:r>
    </w:p>
    <w:p>
      <w:pPr>
        <w:pStyle w:val="Normal"/>
        <w:jc w:val="center"/>
        <w:rPr>
          <w:rFonts w:ascii="Times New Roman" w:hAnsi="Times New Roman"/>
          <w:szCs w:val="20"/>
        </w:rPr>
      </w:pPr>
      <w:r>
        <w:rPr>
          <w:rFonts w:ascii="Times New Roman" w:hAnsi="Times New Roman"/>
          <w:szCs w:val="20"/>
        </w:rPr>
      </w:r>
    </w:p>
    <w:p>
      <w:pPr>
        <w:pStyle w:val="Normal"/>
        <w:jc w:val="center"/>
        <w:rPr>
          <w:rFonts w:ascii="Times New Roman" w:hAnsi="Times New Roman"/>
          <w:szCs w:val="20"/>
        </w:rPr>
      </w:pPr>
      <w:r>
        <w:rPr>
          <w:rFonts w:ascii="Times New Roman" w:hAnsi="Times New Roman"/>
          <w:szCs w:val="20"/>
        </w:rPr>
      </w:r>
    </w:p>
    <w:p>
      <w:pPr>
        <w:pStyle w:val="Normal"/>
        <w:ind w:left="360" w:hanging="0"/>
        <w:jc w:val="center"/>
        <w:rPr/>
      </w:pPr>
      <w:r>
        <w:rPr>
          <w:rFonts w:ascii="Times New Roman" w:hAnsi="Times New Roman"/>
          <w:szCs w:val="20"/>
        </w:rPr>
        <w:t xml:space="preserve">Campo Grande - MS, </w:t>
      </w:r>
      <w:r>
        <w:rPr>
          <w:rFonts w:ascii="Times New Roman" w:hAnsi="Times New Roman"/>
          <w:szCs w:val="20"/>
        </w:rPr>
        <w:t>05</w:t>
      </w:r>
      <w:r>
        <w:rPr>
          <w:rFonts w:ascii="Times New Roman" w:hAnsi="Times New Roman"/>
          <w:szCs w:val="20"/>
        </w:rPr>
        <w:t xml:space="preserve"> de </w:t>
      </w:r>
      <w:r>
        <w:rPr>
          <w:rFonts w:ascii="Times New Roman" w:hAnsi="Times New Roman"/>
          <w:szCs w:val="20"/>
        </w:rPr>
        <w:t>abril</w:t>
      </w:r>
      <w:r>
        <w:rPr>
          <w:rFonts w:ascii="Times New Roman" w:hAnsi="Times New Roman"/>
          <w:szCs w:val="20"/>
        </w:rPr>
        <w:t xml:space="preserve"> de 2022.</w:t>
      </w:r>
    </w:p>
    <w:p>
      <w:pPr>
        <w:pStyle w:val="Normal"/>
        <w:jc w:val="center"/>
        <w:rPr>
          <w:rFonts w:ascii="Times New Roman" w:hAnsi="Times New Roman"/>
          <w:b/>
          <w:b/>
          <w:bCs/>
          <w:szCs w:val="20"/>
        </w:rPr>
      </w:pPr>
      <w:r>
        <w:rPr>
          <w:rFonts w:ascii="Times New Roman" w:hAnsi="Times New Roman"/>
          <w:b/>
          <w:bCs/>
          <w:szCs w:val="20"/>
        </w:rPr>
      </w:r>
    </w:p>
    <w:p>
      <w:pPr>
        <w:pStyle w:val="Normal"/>
        <w:jc w:val="center"/>
        <w:rPr>
          <w:rFonts w:ascii="Times New Roman" w:hAnsi="Times New Roman"/>
          <w:b/>
          <w:b/>
          <w:bCs/>
          <w:szCs w:val="20"/>
        </w:rPr>
      </w:pPr>
      <w:r>
        <w:rPr>
          <w:rFonts w:ascii="Times New Roman" w:hAnsi="Times New Roman"/>
          <w:b/>
          <w:bCs/>
          <w:szCs w:val="20"/>
        </w:rPr>
      </w:r>
    </w:p>
    <w:p>
      <w:pPr>
        <w:pStyle w:val="Normal"/>
        <w:jc w:val="center"/>
        <w:rPr>
          <w:rFonts w:ascii="Times New Roman" w:hAnsi="Times New Roman"/>
          <w:color w:val="00000A"/>
          <w:szCs w:val="20"/>
          <w:highlight w:val="red"/>
        </w:rPr>
      </w:pPr>
      <w:r>
        <w:rPr>
          <w:rFonts w:ascii="Times New Roman" w:hAnsi="Times New Roman"/>
          <w:color w:val="00000A"/>
          <w:szCs w:val="20"/>
          <w:highlight w:val="red"/>
        </w:rPr>
      </w:r>
    </w:p>
    <w:p>
      <w:pPr>
        <w:pStyle w:val="Normal"/>
        <w:ind w:left="360" w:hanging="0"/>
        <w:jc w:val="center"/>
        <w:rPr>
          <w:rFonts w:ascii="Times New Roman" w:hAnsi="Times New Roman"/>
          <w:b/>
          <w:b/>
          <w:bCs/>
          <w:color w:val="00000A"/>
          <w:szCs w:val="20"/>
          <w:highlight w:val="red"/>
        </w:rPr>
      </w:pPr>
      <w:r>
        <w:rPr>
          <w:rFonts w:ascii="Times New Roman" w:hAnsi="Times New Roman"/>
          <w:b/>
          <w:bCs/>
          <w:color w:val="00000A"/>
          <w:szCs w:val="20"/>
          <w:highlight w:val="red"/>
        </w:rPr>
        <w:t>O ORIGINAL ENCONTRA-SE NA SALC DO CMCG</w:t>
      </w:r>
    </w:p>
    <w:p>
      <w:pPr>
        <w:pStyle w:val="Normal"/>
        <w:ind w:left="360" w:hanging="0"/>
        <w:jc w:val="center"/>
        <w:rPr/>
      </w:pPr>
      <w:r>
        <w:rPr>
          <w:rFonts w:ascii="Times New Roman" w:hAnsi="Times New Roman"/>
          <w:b/>
          <w:bCs/>
          <w:color w:val="000000"/>
          <w:szCs w:val="20"/>
        </w:rPr>
        <w:t>PAULO ROGÉRIO HERIODES – S Ten</w:t>
      </w:r>
    </w:p>
    <w:p>
      <w:pPr>
        <w:pStyle w:val="Normal"/>
        <w:ind w:left="360" w:hanging="0"/>
        <w:jc w:val="center"/>
        <w:rPr/>
      </w:pPr>
      <w:r>
        <w:rPr>
          <w:rFonts w:cs="Arial" w:ascii="Times New Roman" w:hAnsi="Times New Roman"/>
          <w:color w:val="000000"/>
          <w:szCs w:val="20"/>
        </w:rPr>
        <w:t>Chefe da Seção de Aquisição Licitação e Contratos do CMCG</w:t>
      </w:r>
    </w:p>
    <w:p>
      <w:pPr>
        <w:pStyle w:val="Normal"/>
        <w:spacing w:lineRule="auto" w:line="276" w:before="0" w:after="120"/>
        <w:ind w:left="360" w:right="0" w:hanging="0"/>
        <w:jc w:val="both"/>
        <w:rPr>
          <w:rFonts w:ascii="Times New Roman" w:hAnsi="Times New Roman" w:cs="Arial"/>
          <w:color w:val="000000"/>
          <w:szCs w:val="20"/>
        </w:rPr>
      </w:pPr>
      <w:r>
        <w:rPr>
          <w:rFonts w:cs="Arial" w:ascii="Times New Roman" w:hAnsi="Times New Roman"/>
          <w:color w:val="000000"/>
          <w:szCs w:val="20"/>
        </w:rPr>
      </w:r>
    </w:p>
    <w:p>
      <w:pPr>
        <w:pStyle w:val="Normal"/>
        <w:spacing w:lineRule="auto" w:line="276" w:before="0" w:after="120"/>
        <w:ind w:left="360" w:right="0" w:hanging="0"/>
        <w:jc w:val="both"/>
        <w:rPr>
          <w:rFonts w:ascii="Times New Roman" w:hAnsi="Times New Roman" w:cs="Arial"/>
          <w:color w:val="000000"/>
          <w:szCs w:val="20"/>
        </w:rPr>
      </w:pPr>
      <w:r>
        <w:rPr>
          <w:rFonts w:cs="Arial" w:ascii="Times New Roman" w:hAnsi="Times New Roman"/>
          <w:color w:val="000000"/>
          <w:szCs w:val="20"/>
        </w:rPr>
      </w:r>
    </w:p>
    <w:p>
      <w:pPr>
        <w:pStyle w:val="Normal"/>
        <w:spacing w:lineRule="auto" w:line="276" w:before="0" w:after="120"/>
        <w:ind w:left="360" w:right="0" w:hanging="0"/>
        <w:jc w:val="both"/>
        <w:rPr>
          <w:rFonts w:ascii="Times New Roman" w:hAnsi="Times New Roman" w:cs="Arial"/>
          <w:color w:val="000000"/>
          <w:szCs w:val="20"/>
        </w:rPr>
      </w:pPr>
      <w:r>
        <w:rPr>
          <w:rFonts w:cs="Arial" w:ascii="Times New Roman" w:hAnsi="Times New Roman"/>
          <w:color w:val="000000"/>
          <w:szCs w:val="20"/>
        </w:rPr>
      </w:r>
    </w:p>
    <w:p>
      <w:pPr>
        <w:pStyle w:val="Normal"/>
        <w:jc w:val="center"/>
        <w:rPr>
          <w:rFonts w:ascii="Times New Roman" w:hAnsi="Times New Roman"/>
          <w:szCs w:val="20"/>
        </w:rPr>
      </w:pPr>
      <w:r>
        <w:rPr>
          <w:rFonts w:cs="Arial" w:ascii="Times New Roman" w:hAnsi="Times New Roman"/>
          <w:b/>
          <w:bCs/>
          <w:szCs w:val="20"/>
          <w:lang w:eastAsia="en-US"/>
        </w:rPr>
        <w:t>ANEXO I – DOCUMENTAÇÃO EXIGIDA PARA HABILITAÇÃO</w:t>
      </w:r>
    </w:p>
    <w:p>
      <w:pPr>
        <w:pStyle w:val="PADRO"/>
        <w:widowControl/>
        <w:numPr>
          <w:ilvl w:val="0"/>
          <w:numId w:val="3"/>
        </w:numPr>
        <w:shd w:val="clear" w:fill="FFFFFF"/>
        <w:spacing w:before="120" w:after="120"/>
        <w:rPr>
          <w:rFonts w:ascii="Times New Roman" w:hAnsi="Times New Roman"/>
          <w:szCs w:val="20"/>
        </w:rPr>
      </w:pPr>
      <w:r>
        <w:rPr>
          <w:rFonts w:cs="Arial" w:ascii="Times New Roman" w:hAnsi="Times New Roman"/>
          <w:b/>
          <w:bCs/>
          <w:color w:val="000000"/>
          <w:szCs w:val="20"/>
        </w:rPr>
        <w:t xml:space="preserve"> </w:t>
      </w:r>
      <w:r>
        <w:rPr>
          <w:rFonts w:cs="Arial" w:ascii="Times New Roman" w:hAnsi="Times New Roman"/>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bCs/>
          <w:szCs w:val="20"/>
        </w:rPr>
        <w:t xml:space="preserve">prova de </w:t>
      </w:r>
      <w:r>
        <w:rPr>
          <w:rFonts w:cs="Arial" w:ascii="Times New Roman" w:hAnsi="Times New Roman"/>
          <w:color w:val="000000"/>
          <w:szCs w:val="20"/>
        </w:rPr>
        <w:t xml:space="preserve">inscrição no cadastro de contribuintes </w:t>
      </w:r>
      <w:r>
        <w:rPr>
          <w:rFonts w:cs="Arial" w:ascii="Times New Roman" w:hAnsi="Times New Roman"/>
          <w:i/>
          <w:iCs/>
          <w:color w:val="00000A"/>
          <w:szCs w:val="20"/>
        </w:rPr>
        <w:t>estadual e/ou municipal</w:t>
      </w:r>
      <w:r>
        <w:rPr>
          <w:rFonts w:cs="Arial" w:ascii="Times New Roman" w:hAnsi="Times New Roman"/>
          <w:color w:val="000000"/>
          <w:szCs w:val="20"/>
        </w:rPr>
        <w:t>, relativo ao domicílio ou sede do fornecedor, pertinente ao seu ramo de atividade e compatível com o objeto contratual</w:t>
      </w:r>
      <w:r>
        <w:rPr>
          <w:rFonts w:cs="Arial" w:ascii="Times New Roman" w:hAnsi="Times New Roman"/>
          <w:bCs/>
          <w:szCs w:val="20"/>
        </w:rPr>
        <w:t xml:space="preserve">; </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szCs w:val="20"/>
        </w:rPr>
        <w:t xml:space="preserve">prova de regularidade com a Fazenda </w:t>
      </w:r>
      <w:r>
        <w:rPr>
          <w:rFonts w:cs="Arial" w:ascii="Times New Roman" w:hAnsi="Times New Roman"/>
          <w:i/>
          <w:iCs/>
          <w:color w:val="00000A"/>
          <w:szCs w:val="20"/>
        </w:rPr>
        <w:t>Estadual e/ou Municipal</w:t>
      </w:r>
      <w:r>
        <w:rPr>
          <w:rFonts w:cs="Arial" w:ascii="Times New Roman" w:hAnsi="Times New Roman"/>
          <w:szCs w:val="20"/>
        </w:rPr>
        <w:t xml:space="preserve">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Times New Roman" w:hAnsi="Times New Roman"/>
          <w:szCs w:val="20"/>
        </w:rPr>
      </w:pPr>
      <w:r>
        <w:rPr>
          <w:rFonts w:cs="Arial" w:ascii="Times New Roman" w:hAnsi="Times New Roman"/>
          <w:szCs w:val="20"/>
        </w:rPr>
        <w:t xml:space="preserve">caso o fornecedor seja considerado isento dos tributos </w:t>
      </w:r>
      <w:r>
        <w:rPr>
          <w:rFonts w:cs="Arial" w:ascii="Times New Roman" w:hAnsi="Times New Roman"/>
          <w:i/>
          <w:color w:val="00000A"/>
          <w:szCs w:val="20"/>
        </w:rPr>
        <w:t xml:space="preserve">estaduais </w:t>
      </w:r>
      <w:r>
        <w:rPr>
          <w:rFonts w:cs="Arial" w:ascii="Times New Roman" w:hAnsi="Times New Roman"/>
          <w:b/>
          <w:i/>
          <w:color w:val="00000A"/>
          <w:szCs w:val="20"/>
          <w:u w:val="single"/>
        </w:rPr>
        <w:t>ou</w:t>
      </w:r>
      <w:r>
        <w:rPr>
          <w:rFonts w:cs="Arial" w:ascii="Times New Roman" w:hAnsi="Times New Roman"/>
          <w:i/>
          <w:color w:val="00000A"/>
          <w:szCs w:val="20"/>
        </w:rPr>
        <w:t xml:space="preserve"> municipais</w:t>
      </w:r>
      <w:r>
        <w:rPr>
          <w:rFonts w:cs="Arial" w:ascii="Times New Roman" w:hAnsi="Times New Roman"/>
          <w:color w:val="00000A"/>
          <w:szCs w:val="20"/>
        </w:rPr>
        <w:t xml:space="preserve"> </w:t>
      </w:r>
      <w:r>
        <w:rPr>
          <w:rFonts w:cs="Arial" w:ascii="Times New Roman" w:hAnsi="Times New Roman"/>
          <w:szCs w:val="20"/>
        </w:rPr>
        <w:t xml:space="preserve">relacionados ao objeto contratual, deverá comprovar tal condição mediante a apresentação de declaração da Fazenda respectiva do seu domicílio ou sede, ou outra equivalente, na forma da lei; </w:t>
      </w:r>
    </w:p>
    <w:p>
      <w:pPr>
        <w:pStyle w:val="PADRO"/>
        <w:widowControl/>
        <w:shd w:val="clear" w:fill="FFFFFF"/>
        <w:spacing w:before="120" w:after="120"/>
        <w:rPr>
          <w:rFonts w:ascii="Times New Roman" w:hAnsi="Times New Roman" w:cs="Arial"/>
          <w:i/>
          <w:i/>
          <w:color w:val="FF0000"/>
          <w:szCs w:val="20"/>
          <w:highlight w:val="green"/>
        </w:rPr>
      </w:pPr>
      <w:r>
        <w:rPr>
          <w:rFonts w:cs="Arial" w:ascii="Times New Roman" w:hAnsi="Times New Roman"/>
          <w:i/>
          <w:color w:val="FF0000"/>
          <w:szCs w:val="20"/>
          <w:highlight w:val="green"/>
        </w:rPr>
      </w:r>
    </w:p>
    <w:p>
      <w:pPr>
        <w:pStyle w:val="Normal"/>
        <w:jc w:val="center"/>
        <w:rPr/>
      </w:pPr>
      <w:r>
        <w:rPr>
          <w:rFonts w:ascii="Times New Roman" w:hAnsi="Times New Roman"/>
          <w:szCs w:val="20"/>
        </w:rPr>
        <w:t xml:space="preserve">Campo Grande - MS, </w:t>
      </w:r>
      <w:r>
        <w:rPr>
          <w:rFonts w:ascii="Times New Roman" w:hAnsi="Times New Roman"/>
          <w:szCs w:val="20"/>
        </w:rPr>
        <w:t>05</w:t>
      </w:r>
      <w:r>
        <w:rPr>
          <w:rFonts w:ascii="Times New Roman" w:hAnsi="Times New Roman"/>
          <w:szCs w:val="20"/>
        </w:rPr>
        <w:t xml:space="preserve"> de </w:t>
      </w:r>
      <w:r>
        <w:rPr>
          <w:rFonts w:ascii="Times New Roman" w:hAnsi="Times New Roman"/>
          <w:szCs w:val="20"/>
        </w:rPr>
        <w:t>abril</w:t>
      </w:r>
      <w:r>
        <w:rPr>
          <w:rFonts w:ascii="Times New Roman" w:hAnsi="Times New Roman"/>
          <w:szCs w:val="20"/>
        </w:rPr>
        <w:t xml:space="preserve"> de 2022.</w:t>
      </w:r>
    </w:p>
    <w:p>
      <w:pPr>
        <w:pStyle w:val="Normal"/>
        <w:jc w:val="center"/>
        <w:rPr>
          <w:rFonts w:ascii="Times New Roman" w:hAnsi="Times New Roman"/>
          <w:szCs w:val="20"/>
        </w:rPr>
      </w:pPr>
      <w:r>
        <w:rPr>
          <w:rFonts w:ascii="Times New Roman" w:hAnsi="Times New Roman"/>
          <w:szCs w:val="20"/>
        </w:rPr>
      </w:r>
    </w:p>
    <w:p>
      <w:pPr>
        <w:pStyle w:val="Normal"/>
        <w:jc w:val="center"/>
        <w:rPr>
          <w:rFonts w:ascii="Times New Roman" w:hAnsi="Times New Roman"/>
          <w:color w:val="00000A"/>
          <w:szCs w:val="20"/>
          <w:highlight w:val="red"/>
        </w:rPr>
      </w:pPr>
      <w:r>
        <w:rPr>
          <w:rFonts w:ascii="Times New Roman" w:hAnsi="Times New Roman"/>
          <w:color w:val="00000A"/>
          <w:szCs w:val="20"/>
          <w:highlight w:val="red"/>
        </w:rPr>
      </w:r>
    </w:p>
    <w:p>
      <w:pPr>
        <w:pStyle w:val="Normal"/>
        <w:jc w:val="center"/>
        <w:rPr>
          <w:rFonts w:ascii="Times New Roman" w:hAnsi="Times New Roman"/>
          <w:b/>
          <w:b/>
          <w:bCs/>
          <w:color w:val="00000A"/>
          <w:szCs w:val="20"/>
          <w:highlight w:val="red"/>
        </w:rPr>
      </w:pPr>
      <w:bookmarkStart w:id="8" w:name="__DdeLink__2968_1499175"/>
      <w:bookmarkEnd w:id="8"/>
      <w:r>
        <w:rPr>
          <w:rFonts w:ascii="Times New Roman" w:hAnsi="Times New Roman"/>
          <w:b/>
          <w:bCs/>
          <w:color w:val="00000A"/>
          <w:szCs w:val="20"/>
          <w:highlight w:val="red"/>
        </w:rPr>
        <w:t>O ORIGINAL ENCONTRA-SE NA SALC DO CMCG</w:t>
      </w:r>
    </w:p>
    <w:p>
      <w:pPr>
        <w:pStyle w:val="Normal"/>
        <w:jc w:val="center"/>
        <w:rPr/>
      </w:pPr>
      <w:r>
        <w:rPr>
          <w:rFonts w:ascii="Times New Roman" w:hAnsi="Times New Roman"/>
          <w:b/>
          <w:bCs/>
          <w:szCs w:val="20"/>
        </w:rPr>
        <w:t>PAULO EDSON SANTA BARBA – CEL</w:t>
      </w:r>
    </w:p>
    <w:p>
      <w:pPr>
        <w:pStyle w:val="Normal"/>
        <w:jc w:val="center"/>
        <w:rPr/>
      </w:pPr>
      <w:r>
        <w:rPr>
          <w:rFonts w:cs="Arial" w:ascii="Times New Roman" w:hAnsi="Times New Roman"/>
          <w:color w:val="000000"/>
          <w:szCs w:val="20"/>
        </w:rPr>
        <w:t xml:space="preserve">Ordenador de </w:t>
      </w:r>
      <w:r>
        <w:rPr>
          <w:rFonts w:cs="Arial" w:ascii="Times New Roman" w:hAnsi="Times New Roman"/>
          <w:color w:val="000000"/>
          <w:szCs w:val="20"/>
          <w:u w:val="none"/>
        </w:rPr>
        <w:t>Despesas</w:t>
      </w:r>
      <w:r>
        <w:rPr>
          <w:rFonts w:cs="Arial" w:ascii="Times New Roman" w:hAnsi="Times New Roman"/>
          <w:color w:val="000000"/>
          <w:szCs w:val="20"/>
        </w:rPr>
        <w:t xml:space="preserve"> do CMCG</w:t>
      </w:r>
    </w:p>
    <w:sectPr>
      <w:footerReference w:type="default" r:id="rId6"/>
      <w:type w:val="nextPage"/>
      <w:pgSz w:w="11906" w:h="16838"/>
      <w:pgMar w:left="1701" w:right="1701" w:header="0" w:top="1417" w:footer="708" w:bottom="141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Liberation Serif">
    <w:altName w:val="Times New Roman"/>
    <w:charset w:val="00"/>
    <w:family w:val="swiss"/>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sz w:val="12"/>
        <w:szCs w:val="12"/>
      </w:rPr>
      <w:t xml:space="preserve">COLÉGIO MILITAR DE CAMPO GRANDE  – Aviso de Dispensa Eletrônica n° </w:t>
    </w:r>
    <w:r>
      <w:rPr>
        <w:sz w:val="12"/>
        <w:szCs w:val="12"/>
      </w:rPr>
      <w:t>34</w:t>
    </w:r>
    <w:r>
      <w:rPr>
        <w:sz w:val="12"/>
        <w:szCs w:val="12"/>
      </w:rPr>
      <w:t>/2022</w:t>
    </w:r>
  </w:p>
  <w:p>
    <w:pPr>
      <w:pStyle w:val="Rodap"/>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Times New Roman" w:hAnsi="Times New Roman"/>
      </w:rPr>
    </w:lvl>
    <w:lvl w:ilvl="1">
      <w:start w:val="1"/>
      <w:numFmt w:val="decimal"/>
      <w:lvlText w:val="%1.%2."/>
      <w:lvlJc w:val="left"/>
      <w:pPr>
        <w:ind w:left="792" w:hanging="432"/>
      </w:pPr>
      <w:rPr>
        <w:i w:val="false"/>
        <w:b/>
        <w:iCs/>
        <w:rFonts w:ascii="Times New Roman" w:hAnsi="Times New Roman"/>
      </w:rPr>
    </w:lvl>
    <w:lvl w:ilvl="2">
      <w:start w:val="1"/>
      <w:numFmt w:val="decimal"/>
      <w:lvlText w:val="%1.%2.%3."/>
      <w:lvlJc w:val="left"/>
      <w:pPr>
        <w:ind w:left="1224" w:hanging="504"/>
      </w:pPr>
      <w:rPr>
        <w:i w:val="false"/>
        <w:b/>
        <w:iCs/>
        <w:rFonts w:ascii="Times New Roman" w:hAnsi="Times New Roman"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Fonts w:ascii="Times New Roman" w:hAnsi="Times New Roman"/>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rFonts w:ascii="Times New Roman" w:hAnsi="Times New Roman"/>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3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before="0" w:after="0"/>
      <w:jc w:val="left"/>
    </w:pPr>
    <w:rPr>
      <w:rFonts w:ascii="Arial" w:hAnsi="Arial" w:eastAsia="Times New Roman" w:cs="Tahoma"/>
      <w:color w:val="00000A"/>
      <w:sz w:val="20"/>
      <w:szCs w:val="24"/>
      <w:lang w:val="pt-BR" w:eastAsia="pt-BR" w:bidi="ar-SA"/>
    </w:rPr>
  </w:style>
  <w:style w:type="paragraph" w:styleId="Ttulo1">
    <w:name w:val="Título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Título 2"/>
    <w:basedOn w:val="Ttulo"/>
    <w:qFormat/>
    <w:pPr>
      <w:spacing w:before="200" w:after="120"/>
      <w:outlineLvl w:val="1"/>
    </w:pPr>
    <w:rPr>
      <w:rFonts w:ascii="Liberation Serif" w:hAnsi="Liberation Serif" w:eastAsia="NSimSun" w:cs="Lucida Sans"/>
      <w:b/>
      <w:bCs/>
      <w:sz w:val="36"/>
      <w:szCs w:val="36"/>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Times New Roman" w:hAnsi="Times New Roman"/>
      <w:b/>
    </w:rPr>
  </w:style>
  <w:style w:type="character" w:styleId="ListLabel2">
    <w:name w:val="ListLabel 2"/>
    <w:qFormat/>
    <w:rPr>
      <w:rFonts w:ascii="Times New Roman" w:hAnsi="Times New Roman"/>
      <w:b/>
      <w:i w:val="false"/>
      <w:iCs/>
    </w:rPr>
  </w:style>
  <w:style w:type="character" w:styleId="ListLabel3">
    <w:name w:val="ListLabel 3"/>
    <w:qFormat/>
    <w:rPr>
      <w:rFonts w:ascii="Times New Roman" w:hAnsi="Times New Roman" w:cs="Arial"/>
      <w:b/>
      <w:i w:val="false"/>
      <w:iCs/>
      <w:color w:val="00000A"/>
    </w:rPr>
  </w:style>
  <w:style w:type="character" w:styleId="ListLabel4">
    <w:name w:val="ListLabel 4"/>
    <w:qFormat/>
    <w:rPr>
      <w:rFonts w:ascii="Times New Roman" w:hAnsi="Times New Roman"/>
      <w:b/>
    </w:rPr>
  </w:style>
  <w:style w:type="character" w:styleId="ListLabel5">
    <w:name w:val="ListLabel 5"/>
    <w:qFormat/>
    <w:rPr>
      <w:b/>
    </w:rPr>
  </w:style>
  <w:style w:type="character" w:styleId="ListLabel6">
    <w:name w:val="ListLabel 6"/>
    <w:qFormat/>
    <w:rPr>
      <w:b/>
    </w:rPr>
  </w:style>
  <w:style w:type="character" w:styleId="ListLabel7">
    <w:name w:val="ListLabel 7"/>
    <w:qFormat/>
    <w:rPr>
      <w:b w:val="false"/>
      <w:i w:val="false"/>
      <w:iCs/>
    </w:rPr>
  </w:style>
  <w:style w:type="character" w:styleId="ListLabel8">
    <w:name w:val="ListLabel 8"/>
    <w:qFormat/>
    <w:rPr>
      <w:rFonts w:cs="Arial"/>
      <w:b w:val="false"/>
      <w:i w:val="false"/>
      <w:iCs/>
      <w:color w:val="00000A"/>
    </w:rPr>
  </w:style>
  <w:style w:type="character" w:styleId="ListLabel9">
    <w:name w:val="ListLabel 9"/>
    <w:qFormat/>
    <w:rPr>
      <w:b/>
    </w:rPr>
  </w:style>
  <w:style w:type="character" w:styleId="ListLabel10">
    <w:name w:val="ListLabel 10"/>
    <w:qFormat/>
    <w:rPr>
      <w:b w:val="false"/>
      <w:i w:val="false"/>
      <w:iCs/>
    </w:rPr>
  </w:style>
  <w:style w:type="character" w:styleId="ListLabel11">
    <w:name w:val="ListLabel 11"/>
    <w:qFormat/>
    <w:rPr>
      <w:rFonts w:ascii="Times New Roman" w:hAnsi="Times New Roman"/>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qFormat/>
    <w:pPr>
      <w:spacing w:lineRule="auto" w:line="288" w:before="0" w:after="140"/>
    </w:pPr>
    <w:rPr/>
  </w:style>
  <w:style w:type="paragraph" w:styleId="Lista">
    <w:name w:val="Lista"/>
    <w:basedOn w:val="Corpodetexto"/>
    <w:pPr/>
    <w:rPr>
      <w:rFonts w:cs="Arial"/>
    </w:rPr>
  </w:style>
  <w:style w:type="paragraph" w:styleId="Legenda">
    <w:name w:val="Legenda"/>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ítulo do documento"/>
    <w:basedOn w:val="Normal"/>
    <w:qFormat/>
    <w:pPr>
      <w:keepNext/>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0"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Cabeçalho"/>
    <w:basedOn w:val="Normal"/>
    <w:link w:val="CabealhoChar"/>
    <w:uiPriority w:val="99"/>
    <w:unhideWhenUsed/>
    <w:rsid w:val="00805244"/>
    <w:pPr>
      <w:tabs>
        <w:tab w:val="center" w:pos="4252" w:leader="none"/>
        <w:tab w:val="right" w:pos="8504" w:leader="none"/>
      </w:tabs>
    </w:pPr>
    <w:rPr/>
  </w:style>
  <w:style w:type="paragraph" w:styleId="Rodap">
    <w:name w:val="Rodapé"/>
    <w:basedOn w:val="Normal"/>
    <w:link w:val="RodapChar"/>
    <w:uiPriority w:val="99"/>
    <w:unhideWhenUsed/>
    <w:rsid w:val="00805244"/>
    <w:pPr>
      <w:tabs>
        <w:tab w:val="center" w:pos="4252" w:leader="none"/>
        <w:tab w:val="right" w:pos="8504" w:leader="none"/>
      </w:tabs>
    </w:pPr>
    <w:rPr/>
  </w:style>
  <w:style w:type="paragraph" w:styleId="Contedodatabela" w:customStyle="1">
    <w:name w:val="Conteúdo da tabela"/>
    <w:basedOn w:val="Normal"/>
    <w:qFormat/>
    <w:pPr/>
    <w:rPr/>
  </w:style>
  <w:style w:type="paragraph" w:styleId="Ttulodetabela">
    <w:name w:val="Título de tabela"/>
    <w:basedOn w:val="Contedodatabela"/>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3EE38-05A7-48FE-A7F4-B83995DDD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Application>LibreOffice/5.0.6.3$Windows_x86 LibreOffice_project/490fc03b25318460cfc54456516ea2519c11d1aa</Application>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language>pt-BR</dc:language>
  <cp:lastPrinted>2022-02-24T16:23:44Z</cp:lastPrinted>
  <dcterms:modified xsi:type="dcterms:W3CDTF">2022-04-05T18:02:49Z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