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jpeg" ContentType="image/jpeg"/>
  <Override PartName="/word/media/image8.png" ContentType="image/png"/>
  <Override PartName="/word/media/image2.jpeg" ContentType="image/jpeg"/>
  <Override PartName="/word/media/image3.emf" ContentType="image/x-emf"/>
  <Override PartName="/word/media/image5.emf" ContentType="image/x-emf"/>
  <Override PartName="/word/media/image4.png" ContentType="image/png"/>
  <Override PartName="/word/media/image6.png" ContentType="image/png"/>
  <Override PartName="/word/media/image7.png" ContentType="image/png"/>
  <Override PartName="/word/media/image9.png" ContentType="image/png"/>
  <Override PartName="/word/media/image10.png" ContentType="image/png"/>
  <Override PartName="/word/media/image11.png" ContentType="image/png"/>
  <Override PartName="/word/media/image12.png" ContentType="image/png"/>
  <Override PartName="/word/embeddings/oleObject1.bin" ContentType="application/vnd.openxmlformats-officedocument.oleObject"/>
  <Override PartName="/word/embeddings/oleObject2.bin" ContentType="application/vnd.openxmlformats-officedocument.oleObject"/>
  <Override PartName="/word/header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
        <w:keepNext/>
        <w:pageBreakBefore w:val="false"/>
        <w:widowControl w:val="false"/>
        <w:suppressAutoHyphens w:val="true"/>
        <w:spacing w:before="0" w:after="0"/>
        <w:jc w:val="center"/>
        <w:rPr/>
      </w:pPr>
      <w:r>
        <w:rPr/>
        <w:drawing>
          <wp:inline distT="0" distB="0" distL="0" distR="0">
            <wp:extent cx="628650" cy="49530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tretch>
                      <a:fillRect/>
                    </a:stretch>
                  </pic:blipFill>
                  <pic:spPr bwMode="auto">
                    <a:xfrm>
                      <a:off x="0" y="0"/>
                      <a:ext cx="628650" cy="495300"/>
                    </a:xfrm>
                    <a:prstGeom prst="rect">
                      <a:avLst/>
                    </a:prstGeom>
                  </pic:spPr>
                </pic:pic>
              </a:graphicData>
            </a:graphic>
          </wp:inline>
        </w:drawing>
      </w:r>
    </w:p>
    <w:p>
      <w:pPr>
        <w:pStyle w:val="Caption"/>
        <w:keepNext/>
        <w:pageBreakBefore w:val="false"/>
        <w:widowControl w:val="false"/>
        <w:suppressAutoHyphens w:val="true"/>
        <w:spacing w:before="0" w:after="0"/>
        <w:contextualSpacing/>
        <w:jc w:val="center"/>
        <w:rPr>
          <w:color w:val="00000A"/>
        </w:rPr>
      </w:pPr>
      <w:r>
        <w:rPr>
          <w:rFonts w:cs="Times New Roman" w:ascii="Times New Roman" w:hAnsi="Times New Roman"/>
          <w:b/>
          <w:i w:val="false"/>
          <w:color w:val="00000A"/>
          <w:szCs w:val="20"/>
        </w:rPr>
        <w:t>MINISTÉRIO DA DEFESA</w:t>
      </w:r>
    </w:p>
    <w:p>
      <w:pPr>
        <w:pStyle w:val="Normal"/>
        <w:keepNext/>
        <w:pageBreakBefore w:val="false"/>
        <w:widowControl w:val="false"/>
        <w:suppressAutoHyphens w:val="true"/>
        <w:spacing w:before="0" w:after="0"/>
        <w:contextualSpacing/>
        <w:jc w:val="center"/>
        <w:rPr>
          <w:color w:val="00000A"/>
        </w:rPr>
      </w:pPr>
      <w:r>
        <w:rPr>
          <w:rFonts w:cs="Times New Roman" w:ascii="Times New Roman" w:hAnsi="Times New Roman"/>
          <w:b/>
          <w:bCs/>
          <w:color w:val="00000A"/>
          <w:szCs w:val="20"/>
          <w:lang w:eastAsia="ar-SA"/>
        </w:rPr>
        <w:t>EXÉRCITO BRASILEIRO</w:t>
      </w:r>
    </w:p>
    <w:p>
      <w:pPr>
        <w:pStyle w:val="Normal"/>
        <w:keepNext/>
        <w:pageBreakBefore w:val="false"/>
        <w:widowControl w:val="false"/>
        <w:suppressAutoHyphens w:val="true"/>
        <w:spacing w:lineRule="auto" w:line="276" w:before="0" w:after="0"/>
        <w:contextualSpacing/>
        <w:jc w:val="center"/>
        <w:rPr>
          <w:color w:val="00000A"/>
        </w:rPr>
      </w:pPr>
      <w:r>
        <w:rPr>
          <w:rFonts w:cs="Times New Roman" w:ascii="Times New Roman" w:hAnsi="Times New Roman"/>
          <w:b/>
          <w:bCs/>
          <w:i/>
          <w:iCs/>
          <w:color w:val="00000A"/>
          <w:szCs w:val="20"/>
          <w:u w:val="single"/>
        </w:rPr>
        <w:t>HOSPITAL DE GUARNIÇÃO DE PORTO VELHO</w:t>
      </w:r>
    </w:p>
    <w:p>
      <w:pPr>
        <w:pStyle w:val="Normal"/>
        <w:keepNext/>
        <w:pageBreakBefore w:val="false"/>
        <w:widowControl w:val="false"/>
        <w:suppressAutoHyphens w:val="true"/>
        <w:spacing w:lineRule="auto" w:line="276" w:before="0" w:after="0"/>
        <w:contextualSpacing/>
        <w:jc w:val="center"/>
        <w:rPr>
          <w:rFonts w:ascii="Times New Roman" w:hAnsi="Times New Roman" w:cs="Times New Roman"/>
          <w:b/>
          <w:b/>
          <w:bCs/>
          <w:i/>
          <w:i/>
          <w:iCs/>
          <w:szCs w:val="20"/>
          <w:u w:val="single"/>
        </w:rPr>
      </w:pPr>
      <w:r>
        <w:rPr>
          <w:rFonts w:cs="Times New Roman" w:ascii="Times New Roman" w:hAnsi="Times New Roman"/>
          <w:b/>
          <w:bCs/>
          <w:i/>
          <w:iCs/>
          <w:szCs w:val="20"/>
          <w:u w:val="single"/>
        </w:rPr>
      </w:r>
    </w:p>
    <w:p>
      <w:pPr>
        <w:pStyle w:val="Normal"/>
        <w:keepNext/>
        <w:pageBreakBefore w:val="false"/>
        <w:widowControl w:val="false"/>
        <w:suppressAutoHyphens w:val="true"/>
        <w:spacing w:lineRule="auto" w:line="240"/>
        <w:jc w:val="center"/>
        <w:rPr/>
      </w:pPr>
      <w:r>
        <w:rPr>
          <w:rFonts w:cs="Arial"/>
          <w:b/>
          <w:bCs/>
          <w:color w:val="00000A"/>
          <w:szCs w:val="20"/>
        </w:rPr>
        <w:t xml:space="preserve">AVISO DE DISPENSA ELETRÔNICA Nº </w:t>
      </w:r>
      <w:r>
        <w:rPr>
          <w:rFonts w:cs="Arial"/>
          <w:b/>
          <w:bCs/>
          <w:color w:val="00000A"/>
          <w:szCs w:val="20"/>
        </w:rPr>
        <w:t>10</w:t>
      </w:r>
      <w:r>
        <w:rPr>
          <w:rFonts w:cs="Arial"/>
          <w:b/>
          <w:bCs/>
          <w:color w:val="00000A"/>
          <w:szCs w:val="20"/>
        </w:rPr>
        <w:t>/2022</w:t>
      </w:r>
    </w:p>
    <w:p>
      <w:pPr>
        <w:pStyle w:val="Normal"/>
        <w:keepNext/>
        <w:pageBreakBefore w:val="false"/>
        <w:widowControl w:val="false"/>
        <w:suppressAutoHyphens w:val="true"/>
        <w:spacing w:lineRule="auto" w:line="240" w:before="0" w:after="120"/>
        <w:ind w:right="0" w:hanging="0"/>
        <w:jc w:val="center"/>
        <w:rPr/>
      </w:pPr>
      <w:r>
        <w:rPr>
          <w:rFonts w:cs="Arial"/>
          <w:b/>
          <w:bCs/>
          <w:color w:val="00000A"/>
          <w:szCs w:val="20"/>
        </w:rPr>
        <w:t>(Processo Administrativo n.°64593.003461/2022-16)</w:t>
      </w:r>
    </w:p>
    <w:p>
      <w:pPr>
        <w:pStyle w:val="Normal"/>
        <w:keepNext/>
        <w:pageBreakBefore w:val="false"/>
        <w:widowControl w:val="false"/>
        <w:suppressAutoHyphens w:val="true"/>
        <w:spacing w:lineRule="auto" w:line="240"/>
        <w:rPr>
          <w:rFonts w:cs="Arial"/>
          <w:color w:val="00000A"/>
        </w:rPr>
      </w:pPr>
      <w:r>
        <w:rPr>
          <w:rFonts w:cs="Arial"/>
          <w:color w:val="00000A"/>
        </w:rPr>
      </w:r>
    </w:p>
    <w:p>
      <w:pPr>
        <w:pStyle w:val="Normal"/>
        <w:keepNext/>
        <w:pageBreakBefore w:val="false"/>
        <w:widowControl w:val="false"/>
        <w:suppressAutoHyphens w:val="true"/>
        <w:snapToGrid w:val="false"/>
        <w:spacing w:lineRule="auto" w:line="240" w:before="0" w:after="120"/>
        <w:ind w:right="0" w:hanging="0"/>
        <w:jc w:val="both"/>
        <w:rPr/>
      </w:pPr>
      <w:r>
        <w:rPr>
          <w:rFonts w:cs="Arial"/>
          <w:color w:val="00000A"/>
          <w:szCs w:val="20"/>
        </w:rPr>
        <w:t>Torna-se público que o</w:t>
      </w:r>
      <w:r>
        <w:rPr>
          <w:rFonts w:eastAsia="Arial" w:cs="Arial"/>
          <w:color w:val="00000A"/>
          <w:szCs w:val="20"/>
        </w:rPr>
        <w:t xml:space="preserve"> </w:t>
      </w:r>
      <w:r>
        <w:rPr>
          <w:rFonts w:eastAsia="Arial" w:cs="Arial"/>
          <w:color w:val="00000A"/>
          <w:szCs w:val="20"/>
          <w:u w:val="none"/>
        </w:rPr>
        <w:t>Hospital de Guarnição de Porto Velho</w:t>
      </w:r>
      <w:r>
        <w:rPr>
          <w:rFonts w:cs="Arial"/>
          <w:color w:val="00000A"/>
          <w:szCs w:val="20"/>
          <w:u w:val="none"/>
        </w:rPr>
        <w:t xml:space="preserve">, </w:t>
      </w:r>
      <w:r>
        <w:rPr>
          <w:rFonts w:cs="Arial"/>
          <w:color w:val="00000A"/>
          <w:szCs w:val="20"/>
        </w:rPr>
        <w:t>por meio da</w:t>
      </w:r>
      <w:r>
        <w:rPr>
          <w:rFonts w:eastAsia="Arial" w:cs="Arial"/>
          <w:color w:val="00000A"/>
          <w:szCs w:val="20"/>
        </w:rPr>
        <w:t xml:space="preserve"> Seção de Aquisição, Licitações e contratos</w:t>
      </w:r>
      <w:r>
        <w:rPr>
          <w:rFonts w:cs="Arial"/>
          <w:color w:val="00000A"/>
          <w:szCs w:val="20"/>
        </w:rPr>
        <w:t xml:space="preserve">, realizará Dispensa Eletrônica, </w:t>
      </w:r>
      <w:r>
        <w:rPr>
          <w:rFonts w:cs="Arial"/>
          <w:bCs/>
          <w:color w:val="00000A"/>
          <w:szCs w:val="20"/>
        </w:rPr>
        <w:t>com critério de julgamento</w:t>
      </w:r>
      <w:r>
        <w:rPr>
          <w:rFonts w:cs="Arial"/>
          <w:b/>
          <w:bCs/>
          <w:color w:val="00000A"/>
          <w:szCs w:val="20"/>
        </w:rPr>
        <w:t xml:space="preserve"> </w:t>
      </w:r>
      <w:r>
        <w:rPr>
          <w:rFonts w:cs="Arial"/>
          <w:i/>
          <w:color w:val="00000A"/>
          <w:szCs w:val="20"/>
        </w:rPr>
        <w:t>(menor preço)</w:t>
      </w:r>
      <w:r>
        <w:rPr>
          <w:rFonts w:cs="Arial"/>
          <w:b/>
          <w:bCs/>
          <w:i/>
          <w:color w:val="00000A"/>
          <w:szCs w:val="20"/>
        </w:rPr>
        <w:t xml:space="preserve">, </w:t>
      </w:r>
      <w:r>
        <w:rPr>
          <w:rFonts w:cs="Arial"/>
          <w:color w:val="00000A"/>
          <w:szCs w:val="20"/>
        </w:rPr>
        <w:t>na hipótese do art. 75</w:t>
      </w:r>
      <w:r>
        <w:rPr>
          <w:rFonts w:cs="Arial"/>
          <w:i/>
          <w:iCs/>
          <w:color w:val="00000A"/>
          <w:szCs w:val="20"/>
        </w:rPr>
        <w:t xml:space="preserve">, </w:t>
      </w:r>
      <w:r>
        <w:rPr>
          <w:rFonts w:cs="Arial"/>
          <w:b/>
          <w:i/>
          <w:iCs/>
          <w:color w:val="00000A"/>
          <w:szCs w:val="20"/>
        </w:rPr>
        <w:t>II</w:t>
      </w:r>
      <w:r>
        <w:rPr>
          <w:rFonts w:cs="Arial"/>
          <w:i/>
          <w:iCs/>
          <w:color w:val="00000A"/>
          <w:szCs w:val="20"/>
        </w:rPr>
        <w:t>,</w:t>
      </w:r>
      <w:r>
        <w:rPr>
          <w:rFonts w:cs="Arial"/>
          <w:color w:val="00000A"/>
          <w:szCs w:val="20"/>
        </w:rPr>
        <w:t xml:space="preserve"> </w:t>
      </w:r>
      <w:r>
        <w:rPr>
          <w:rFonts w:cs="Arial"/>
          <w:bCs/>
          <w:color w:val="00000A"/>
          <w:szCs w:val="20"/>
        </w:rPr>
        <w:t>nos termos da Lei nº 14.133, de 1º de abril de 2021, da Instrução Normativa SEGES/ME nº 67/2021 e demais legislação aplicável</w:t>
      </w:r>
      <w:r>
        <w:rPr>
          <w:rFonts w:cs="Arial"/>
          <w:color w:val="00000A"/>
          <w:szCs w:val="20"/>
        </w:rPr>
        <w:t>.</w:t>
      </w:r>
    </w:p>
    <w:p>
      <w:pPr>
        <w:pStyle w:val="Normal"/>
        <w:keepNext/>
        <w:pageBreakBefore w:val="false"/>
        <w:widowControl w:val="false"/>
        <w:suppressAutoHyphens w:val="true"/>
        <w:spacing w:lineRule="auto" w:line="240"/>
        <w:jc w:val="both"/>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jc w:val="both"/>
        <w:rPr/>
      </w:pPr>
      <w:r>
        <w:rPr>
          <w:rFonts w:cs="Arial"/>
          <w:color w:val="00000A"/>
          <w:szCs w:val="20"/>
        </w:rPr>
        <w:t xml:space="preserve">Data da sessão: </w:t>
      </w:r>
      <w:r>
        <w:rPr>
          <w:rFonts w:eastAsia="Times New Roman" w:cs="Arial"/>
          <w:color w:val="00000A"/>
          <w:sz w:val="20"/>
          <w:szCs w:val="20"/>
          <w:lang w:val="pt-BR" w:eastAsia="pt-BR" w:bidi="ar-SA"/>
        </w:rPr>
        <w:t>20</w:t>
      </w:r>
      <w:r>
        <w:rPr>
          <w:rFonts w:cs="Arial"/>
          <w:color w:val="00000A"/>
          <w:szCs w:val="20"/>
        </w:rPr>
        <w:t xml:space="preserve"> de maio de 2022.</w:t>
      </w:r>
    </w:p>
    <w:p>
      <w:pPr>
        <w:pStyle w:val="Normal"/>
        <w:keepNext/>
        <w:pageBreakBefore w:val="false"/>
        <w:widowControl w:val="false"/>
        <w:suppressAutoHyphens w:val="true"/>
        <w:spacing w:lineRule="auto" w:line="240"/>
        <w:rPr>
          <w:color w:val="00000A"/>
        </w:rPr>
      </w:pPr>
      <w:r>
        <w:rPr>
          <w:rFonts w:cs="Arial"/>
          <w:color w:val="00000A"/>
          <w:szCs w:val="20"/>
        </w:rPr>
        <w:t xml:space="preserve">Link: Portal de Compras do Governo Federal – www.comprasgovernamentais.gov.br </w:t>
      </w:r>
    </w:p>
    <w:p>
      <w:pPr>
        <w:pStyle w:val="Normal"/>
        <w:keepNext/>
        <w:pageBreakBefore w:val="false"/>
        <w:widowControl w:val="false"/>
        <w:suppressAutoHyphens w:val="true"/>
        <w:spacing w:lineRule="auto" w:line="240"/>
        <w:rPr/>
      </w:pPr>
      <w:r>
        <w:rPr>
          <w:rFonts w:cs="Arial"/>
          <w:color w:val="00000A"/>
          <w:szCs w:val="20"/>
        </w:rPr>
        <w:t xml:space="preserve">Horário da Fase de Lances: 09:00 às </w:t>
      </w:r>
      <w:r>
        <w:rPr>
          <w:rFonts w:cs="Arial"/>
          <w:i w:val="false"/>
          <w:iCs w:val="false"/>
          <w:color w:val="00000A"/>
          <w:szCs w:val="20"/>
        </w:rPr>
        <w:t>15:00 horas (horário Brasília)</w:t>
      </w:r>
    </w:p>
    <w:p>
      <w:pPr>
        <w:pStyle w:val="PADRO"/>
        <w:keepNext/>
        <w:pageBreakBefore w:val="false"/>
        <w:widowControl w:val="false"/>
        <w:shd w:val="clear" w:color="auto" w:fill="auto"/>
        <w:suppressAutoHyphens w:val="true"/>
        <w:spacing w:lineRule="auto" w:line="240" w:before="120" w:after="120"/>
        <w:ind w:left="360" w:hanging="0"/>
        <w:rPr>
          <w:rFonts w:ascii="Arial" w:hAnsi="Arial" w:cs="Arial"/>
          <w:b/>
          <w:b/>
          <w:color w:val="00000A"/>
        </w:rPr>
      </w:pPr>
      <w:r>
        <w:rPr>
          <w:rFonts w:cs="Arial" w:ascii="Arial" w:hAnsi="Arial"/>
          <w:b/>
          <w:color w:val="00000A"/>
        </w:rPr>
      </w:r>
    </w:p>
    <w:p>
      <w:pPr>
        <w:pStyle w:val="PADRO"/>
        <w:keepNext/>
        <w:pageBreakBefore w:val="false"/>
        <w:widowControl w:val="false"/>
        <w:numPr>
          <w:ilvl w:val="0"/>
          <w:numId w:val="1"/>
        </w:numPr>
        <w:shd w:val="clear" w:color="auto" w:fill="auto"/>
        <w:suppressAutoHyphens w:val="true"/>
        <w:snapToGrid w:val="false"/>
        <w:spacing w:lineRule="auto" w:line="240" w:before="120" w:after="120"/>
        <w:rPr>
          <w:rFonts w:ascii="Arial" w:hAnsi="Arial" w:cs="Arial"/>
          <w:b/>
          <w:b/>
        </w:rPr>
      </w:pPr>
      <w:bookmarkStart w:id="0" w:name="_GoBack"/>
      <w:bookmarkEnd w:id="0"/>
      <w:r>
        <w:rPr>
          <w:rFonts w:cs="Arial" w:ascii="Arial" w:hAnsi="Arial"/>
          <w:b/>
          <w:color w:val="00000A"/>
        </w:rPr>
        <w:t>OBJETO DA CONTRATAÇÃO DIRETA</w:t>
      </w:r>
    </w:p>
    <w:p>
      <w:pPr>
        <w:pStyle w:val="PADRO"/>
        <w:keepNext/>
        <w:keepLines w:val="false"/>
        <w:pageBreakBefore w:val="false"/>
        <w:widowControl w:val="false"/>
        <w:numPr>
          <w:ilvl w:val="1"/>
          <w:numId w:val="1"/>
        </w:numPr>
        <w:shd w:val="clear" w:color="auto" w:fill="auto"/>
        <w:suppressAutoHyphens w:val="true"/>
        <w:snapToGrid w:val="false"/>
        <w:spacing w:lineRule="auto" w:line="240" w:before="120" w:after="120"/>
        <w:rPr/>
      </w:pPr>
      <w:r>
        <w:rPr>
          <w:rFonts w:cs="Arial" w:ascii="Arial" w:hAnsi="Arial"/>
          <w:color w:val="00000A"/>
          <w:szCs w:val="20"/>
        </w:rPr>
        <w:t>O objeto da presente dispensa é a escolha da proposta mais vantajosa para a contratação por dispensa de licitação de Aquisição de Peças para Manutenção das Viaturas</w:t>
      </w:r>
      <w:r>
        <w:rPr>
          <w:rFonts w:cs="Arial" w:ascii="Arial" w:hAnsi="Arial"/>
          <w:b/>
          <w:bCs/>
          <w:color w:val="00000A"/>
          <w:szCs w:val="20"/>
        </w:rPr>
        <w:t>,</w:t>
      </w:r>
      <w:r>
        <w:rPr>
          <w:rFonts w:cs="Arial" w:ascii="Arial" w:hAnsi="Arial"/>
          <w:color w:val="00000A"/>
          <w:szCs w:val="20"/>
        </w:rPr>
        <w:t xml:space="preserve"> conforme condições, quantidades e exigências estabelecidas neste Aviso de Contratação Direta e seus anexos.</w:t>
      </w:r>
    </w:p>
    <w:p>
      <w:pPr>
        <w:pStyle w:val="PADRO"/>
        <w:keepNext/>
        <w:keepLines w:val="false"/>
        <w:pageBreakBefore w:val="false"/>
        <w:widowControl w:val="false"/>
        <w:numPr>
          <w:ilvl w:val="1"/>
          <w:numId w:val="1"/>
        </w:numPr>
        <w:shd w:val="clear" w:color="auto" w:fill="auto"/>
        <w:suppressAutoHyphens w:val="true"/>
        <w:snapToGrid w:val="false"/>
        <w:spacing w:lineRule="auto" w:line="240" w:before="120" w:after="120"/>
        <w:rPr/>
      </w:pPr>
      <w:r>
        <w:rPr>
          <w:rFonts w:cs="Arial" w:ascii="Arial" w:hAnsi="Arial"/>
          <w:i/>
          <w:iCs/>
          <w:color w:val="00000A"/>
          <w:szCs w:val="20"/>
        </w:rPr>
        <w:t>A contratação será ocorrerá em item único</w:t>
      </w:r>
      <w:r>
        <w:rPr>
          <w:rFonts w:cs="Arial" w:ascii="Arial" w:hAnsi="Arial"/>
          <w:b/>
          <w:bCs/>
          <w:i/>
          <w:iCs/>
          <w:color w:val="00000A"/>
          <w:szCs w:val="20"/>
        </w:rPr>
        <w:t>,</w:t>
      </w:r>
      <w:r>
        <w:rPr>
          <w:rFonts w:cs="Arial" w:ascii="Arial" w:hAnsi="Arial"/>
          <w:i/>
          <w:iCs/>
          <w:color w:val="00000A"/>
          <w:szCs w:val="20"/>
        </w:rPr>
        <w:t xml:space="preserve"> conforme tabela constante abaixo.</w:t>
      </w:r>
    </w:p>
    <w:tbl>
      <w:tblPr>
        <w:tblW w:w="9781" w:type="dxa"/>
        <w:jc w:val="left"/>
        <w:tblInd w:w="-56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48" w:type="dxa"/>
          <w:bottom w:w="0" w:type="dxa"/>
          <w:right w:w="108" w:type="dxa"/>
        </w:tblCellMar>
        <w:tblLook w:firstRow="1" w:noVBand="1" w:lastRow="0" w:firstColumn="1" w:lastColumn="0" w:noHBand="0" w:val="04a0"/>
      </w:tblPr>
      <w:tblGrid>
        <w:gridCol w:w="777"/>
        <w:gridCol w:w="3213"/>
        <w:gridCol w:w="973"/>
        <w:gridCol w:w="1065"/>
        <w:gridCol w:w="900"/>
        <w:gridCol w:w="1245"/>
        <w:gridCol w:w="1607"/>
      </w:tblGrid>
      <w:tr>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ITEM</w:t>
            </w:r>
          </w:p>
          <w:p>
            <w:pPr>
              <w:pStyle w:val="Normal"/>
              <w:keepNext/>
              <w:keepLines w:val="false"/>
              <w:pageBreakBefore w:val="false"/>
              <w:widowControl w:val="false"/>
              <w:suppressAutoHyphens w:val="true"/>
              <w:spacing w:lineRule="auto" w:line="240" w:before="0" w:after="0"/>
              <w:jc w:val="center"/>
              <w:rPr>
                <w:rFonts w:cs="Arial"/>
                <w:b/>
                <w:b/>
                <w:color w:val="00000A"/>
                <w:sz w:val="14"/>
                <w:szCs w:val="14"/>
              </w:rPr>
            </w:pPr>
            <w:r>
              <w:rPr>
                <w:rFonts w:cs="Arial"/>
                <w:b/>
                <w:color w:val="00000A"/>
                <w:sz w:val="14"/>
                <w:szCs w:val="14"/>
              </w:rPr>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DESCRIÇÃO/</w:t>
            </w:r>
          </w:p>
          <w:p>
            <w:pPr>
              <w:pStyle w:val="Normal"/>
              <w:keepNext/>
              <w:keepLines w:val="false"/>
              <w:pageBreakBefore w:val="false"/>
              <w:widowControl w:val="false"/>
              <w:suppressAutoHyphens w:val="true"/>
              <w:spacing w:lineRule="auto" w:line="240" w:before="0" w:after="0"/>
              <w:jc w:val="center"/>
              <w:rPr>
                <w:rFonts w:cs="Arial"/>
                <w:color w:val="000000"/>
                <w:sz w:val="14"/>
                <w:szCs w:val="14"/>
              </w:rPr>
            </w:pPr>
            <w:r>
              <w:rPr>
                <w:rFonts w:cs="Arial"/>
                <w:b/>
                <w:bCs/>
                <w:color w:val="00000A"/>
                <w:sz w:val="14"/>
                <w:szCs w:val="14"/>
              </w:rPr>
              <w:t>ESPECIFICAÇÃO</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CATSER/</w:t>
            </w:r>
          </w:p>
          <w:p>
            <w:pPr>
              <w:pStyle w:val="Normal"/>
              <w:keepNext/>
              <w:keepLines w:val="false"/>
              <w:pageBreakBefore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CATMAT</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cs="Arial"/>
                <w:color w:val="000000"/>
                <w:sz w:val="14"/>
                <w:szCs w:val="14"/>
              </w:rPr>
            </w:pPr>
            <w:r>
              <w:rPr>
                <w:rFonts w:cs="Arial"/>
                <w:b/>
                <w:bCs/>
                <w:color w:val="00000A"/>
                <w:sz w:val="14"/>
                <w:szCs w:val="14"/>
              </w:rPr>
              <w:t>UNIDADE DE MEDIDA</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cs="Arial"/>
                <w:color w:val="000000"/>
                <w:sz w:val="14"/>
                <w:szCs w:val="14"/>
              </w:rPr>
            </w:pPr>
            <w:r>
              <w:rPr>
                <w:rFonts w:cs="Arial"/>
                <w:b/>
                <w:bCs/>
                <w:color w:val="00000A"/>
                <w:sz w:val="14"/>
                <w:szCs w:val="14"/>
              </w:rPr>
              <w:t>QUANT.</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color w:val="00000A"/>
              </w:rPr>
            </w:pPr>
            <w:r>
              <w:rPr>
                <w:rFonts w:cs="Arial"/>
                <w:b/>
                <w:bCs/>
                <w:color w:val="00000A"/>
                <w:sz w:val="14"/>
                <w:szCs w:val="14"/>
              </w:rPr>
              <w:t>PREÇO UNITÁRIO</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color w:val="00000A"/>
              </w:rPr>
            </w:pPr>
            <w:r>
              <w:rPr>
                <w:rFonts w:cs="Arial"/>
                <w:b/>
                <w:bCs/>
                <w:color w:val="00000A"/>
                <w:sz w:val="14"/>
                <w:szCs w:val="14"/>
              </w:rPr>
              <w:t>PREÇO ESTIMADO</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rFonts w:cs="Arial"/>
                <w:b w:val="false"/>
                <w:bCs w:val="false"/>
                <w:color w:val="00000A"/>
                <w:sz w:val="16"/>
                <w:szCs w:val="16"/>
              </w:rPr>
              <w:t>1</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b w:val="false"/>
                <w:b w:val="false"/>
                <w:bCs w:val="false"/>
              </w:rPr>
            </w:pPr>
            <w:r>
              <w:rPr>
                <w:rFonts w:cs="Arial"/>
                <w:b w:val="false"/>
                <w:bCs w:val="false"/>
                <w:color w:val="00000A"/>
                <w:sz w:val="16"/>
                <w:szCs w:val="16"/>
              </w:rPr>
              <w:t>Filtro de ar condicionado, Modelo: Corsa Sedan 1.4, Ano modelo: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rFonts w:cs="Arial"/>
                <w:color w:val="00000A"/>
                <w:sz w:val="16"/>
                <w:szCs w:val="16"/>
              </w:rPr>
              <w:t>35149</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rFonts w:cs="Arial"/>
                <w:color w:val="00000A"/>
                <w:sz w:val="16"/>
                <w:szCs w:val="16"/>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R$ 17,01</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R$ 17,01</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Modelo: Corsa Sedan 1.4, Ano Fabricação: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R$ 33,04</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R$ 33,04</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3</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combustível, Modelo: Corsa Sedan 1.4, Ano Fabricação: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R$ 14,66</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R$ 14,66</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4</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refil, Modelo: Corsa Sedan 1.4, Ano fabricação: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R$ 11,68</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R$ 11,68</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5</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do ar condicionado, Modelo: Peugeot Boxer,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35149</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R$ 21,30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R$ 21,30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6</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Modelo: Peugeot Boxer,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R$ 84,26</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R$ 84,26</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7</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Combustivel - Modelo: Peugeot Boxer -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R$ 80,83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R$ 80,83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8</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Peugeot Boxer -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9</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Pastilha de freio DT - Modelo: Peugeot Boxer -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R$ 101,60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R$ 101,60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10</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Sonda Lambda Pre - Modelo: Fiesta Sedan 1.6, Ano Modelo: 2013, Ano fabricação: 2014.</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R$ 322,77</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R$ 322,77</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11</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Sonda Lambda - Modelo: Fiesta Sedan 1.6, Ano Modelo: 2013, Ano fabricação: 2014.</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R$ 299,60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R$ 299,60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12</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Combustivel Refil - Modelo: Iveco Daily Ambulância 35S14,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13</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Iveco Daily Ambulância 35S14,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14</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separador d'água - Modelo: Iveco Daily Ambulância 35S14 -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131121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15</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Iveco Daily Ambulância 35S14,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R$ 121,50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R$ 121,50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16</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Combustível - Modelo: Iveco Daily 45S17,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17</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Iveco Daily 45S17 -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18</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separador d'água - Modelo: Iveco Daily 45S17 -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131121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19</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Iveco Daily 45S17 -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R$ 126,00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R$ 126,00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20</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condicionado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35149</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R$ 15,02</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R$ 15,02</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21</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R$ 40,02</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R$ 40,02</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22</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R$ 15,58</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R$ 15,58</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23</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Combustível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R$ 19,55</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R$ 19,55</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24</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Pastilha de freio DT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R$ 107,32</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R$ 107,32</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25</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do ar condicionado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35149</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R$ 34,33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R$ 34,33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26</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R$ 123,67</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R$ 123,67</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27</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combustível -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R$ 350,00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R$ 350,00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28</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R$ 44,94</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R$ 44,94</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pPr>
            <w:r>
              <w:rPr/>
              <w:t>29</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both"/>
              <w:rPr/>
            </w:pPr>
            <w:r>
              <w:rPr>
                <w:rFonts w:eastAsia="Times New Roman" w:cs="Arial"/>
                <w:b w:val="false"/>
                <w:bCs w:val="false"/>
                <w:color w:val="00000A"/>
                <w:sz w:val="16"/>
                <w:szCs w:val="16"/>
                <w:lang w:val="pt-BR" w:eastAsia="pt-BR" w:bidi="ar-SA"/>
              </w:rPr>
              <w:t>- Óleo 75W80 Total 9 FE, 3 litros;</w:t>
            </w:r>
          </w:p>
          <w:p>
            <w:pPr>
              <w:pStyle w:val="Normal"/>
              <w:keepNext/>
              <w:keepLines w:val="false"/>
              <w:pageBreakBefore w:val="false"/>
              <w:widowControl w:val="false"/>
              <w:suppressAutoHyphens w:val="true"/>
              <w:spacing w:lineRule="auto" w:line="240" w:before="0" w:after="0"/>
              <w:jc w:val="both"/>
              <w:rPr/>
            </w:pPr>
            <w:r>
              <w:rPr>
                <w:rFonts w:eastAsia="Times New Roman" w:cs="Arial"/>
                <w:b w:val="false"/>
                <w:bCs w:val="false"/>
                <w:color w:val="00000A"/>
                <w:sz w:val="16"/>
                <w:szCs w:val="16"/>
                <w:lang w:val="pt-BR" w:eastAsia="pt-BR" w:bidi="ar-SA"/>
              </w:rPr>
              <w:t>- Silicone Cinza Alta Temp 85g;</w:t>
            </w:r>
          </w:p>
          <w:p>
            <w:pPr>
              <w:pStyle w:val="Normal"/>
              <w:keepNext/>
              <w:keepLines w:val="false"/>
              <w:pageBreakBefore w:val="false"/>
              <w:widowControl w:val="false"/>
              <w:suppressAutoHyphens w:val="true"/>
              <w:spacing w:lineRule="auto" w:line="240" w:before="0" w:after="0"/>
              <w:jc w:val="both"/>
              <w:rPr/>
            </w:pPr>
            <w:r>
              <w:rPr>
                <w:rFonts w:eastAsia="Times New Roman" w:cs="Arial"/>
                <w:b w:val="false"/>
                <w:bCs w:val="false"/>
                <w:color w:val="00000A"/>
                <w:sz w:val="16"/>
                <w:szCs w:val="16"/>
                <w:lang w:val="pt-BR" w:eastAsia="pt-BR" w:bidi="ar-SA"/>
              </w:rPr>
              <w:t>- O presente item contempla o serviço de troca de óleo e a vedação do silicone da junta.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9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R$ 372,14</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8" w:type="dxa"/>
            </w:tcMar>
            <w:vAlign w:val="center"/>
          </w:tcPr>
          <w:p>
            <w:pPr>
              <w:pStyle w:val="Normal"/>
              <w:keepNext/>
              <w:keepLines w:val="false"/>
              <w:pageBreakBefore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R$ 372,14</w:t>
            </w:r>
          </w:p>
        </w:tc>
      </w:tr>
    </w:tbl>
    <w:p>
      <w:pPr>
        <w:pStyle w:val="PADRO"/>
        <w:keepNext/>
        <w:keepLines w:val="false"/>
        <w:pageBreakBefore w:val="false"/>
        <w:widowControl w:val="false"/>
        <w:numPr>
          <w:ilvl w:val="2"/>
          <w:numId w:val="1"/>
        </w:numPr>
        <w:shd w:val="clear" w:color="auto" w:fill="auto"/>
        <w:suppressAutoHyphens w:val="true"/>
        <w:spacing w:lineRule="auto" w:line="240" w:before="120" w:after="120"/>
        <w:rPr>
          <w:color w:val="00000A"/>
        </w:rPr>
      </w:pPr>
      <w:r>
        <w:rPr>
          <w:rFonts w:cs="Arial" w:ascii="Arial" w:hAnsi="Arial"/>
          <w:color w:val="00000A"/>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pageBreakBefore w:val="false"/>
        <w:widowControl w:val="false"/>
        <w:numPr>
          <w:ilvl w:val="1"/>
          <w:numId w:val="1"/>
        </w:numPr>
        <w:shd w:val="clear" w:color="auto" w:fill="auto"/>
        <w:suppressAutoHyphens w:val="true"/>
        <w:spacing w:lineRule="auto" w:line="240" w:before="120" w:after="120"/>
        <w:rPr>
          <w:color w:val="00000A"/>
        </w:rPr>
      </w:pPr>
      <w:r>
        <w:rPr>
          <w:rFonts w:cs="Arial" w:ascii="Arial" w:hAnsi="Arial"/>
          <w:color w:val="00000A"/>
          <w:szCs w:val="20"/>
        </w:rPr>
        <w:t>O critério de julgamento adotado será o</w:t>
      </w:r>
      <w:r>
        <w:rPr>
          <w:rFonts w:cs="Arial" w:ascii="Arial" w:hAnsi="Arial"/>
          <w:i/>
          <w:iCs/>
          <w:color w:val="00000A"/>
          <w:szCs w:val="20"/>
        </w:rPr>
        <w:t xml:space="preserve"> menor preço,</w:t>
      </w:r>
      <w:r>
        <w:rPr>
          <w:rFonts w:cs="Arial" w:ascii="Arial" w:hAnsi="Arial"/>
          <w:color w:val="00000A"/>
          <w:szCs w:val="20"/>
        </w:rPr>
        <w:t xml:space="preserve"> observadas as exigências contidas neste Aviso de Contratação Direta e seus Anexos quanto às especificações do objeto.</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PARTICIPAÇÃO NA DISPENSA ELETRÔNICA.</w:t>
      </w:r>
    </w:p>
    <w:p>
      <w:pPr>
        <w:pStyle w:val="Normal"/>
        <w:keepNext/>
        <w:pageBreakBefore w:val="false"/>
        <w:widowControl w:val="false"/>
        <w:numPr>
          <w:ilvl w:val="1"/>
          <w:numId w:val="1"/>
        </w:numPr>
        <w:suppressAutoHyphens w:val="true"/>
        <w:snapToGrid w:val="false"/>
        <w:spacing w:lineRule="auto" w:line="240" w:before="120" w:after="120"/>
        <w:jc w:val="both"/>
        <w:rPr>
          <w:color w:val="00000A"/>
        </w:rPr>
      </w:pPr>
      <w:r>
        <w:rPr>
          <w:rFonts w:cs="Arial"/>
          <w:color w:val="00000A"/>
          <w:szCs w:val="20"/>
        </w:rPr>
        <w:t xml:space="preserve">A participação na presente dispensa eletrônica se dará mediante </w:t>
      </w:r>
      <w:r>
        <w:rPr>
          <w:rFonts w:cs="Arial"/>
          <w:bCs/>
          <w:color w:val="00000A"/>
          <w:szCs w:val="20"/>
        </w:rPr>
        <w:t>Sistema de Dispensa Eletrônica</w:t>
      </w:r>
      <w:r>
        <w:rPr>
          <w:rFonts w:cs="Arial"/>
          <w:color w:val="00000A"/>
          <w:szCs w:val="20"/>
        </w:rPr>
        <w:t xml:space="preserve"> integrante do Sistema de Compras do Governo Federal – Comprasnet 4.0, disponível no </w:t>
      </w:r>
      <w:r>
        <w:rPr>
          <w:rFonts w:cs="Arial"/>
          <w:bCs/>
          <w:color w:val="00000A"/>
          <w:szCs w:val="20"/>
        </w:rPr>
        <w:t>endereço eletrônico www.comprasgovernamentais.gov.br.</w:t>
      </w:r>
    </w:p>
    <w:p>
      <w:pPr>
        <w:pStyle w:val="Normal"/>
        <w:keepNext/>
        <w:pageBreakBefore w:val="false"/>
        <w:widowControl w:val="false"/>
        <w:numPr>
          <w:ilvl w:val="2"/>
          <w:numId w:val="1"/>
        </w:numPr>
        <w:suppressAutoHyphens w:val="true"/>
        <w:snapToGrid w:val="false"/>
        <w:spacing w:lineRule="auto" w:line="240" w:before="120" w:after="120"/>
        <w:jc w:val="both"/>
        <w:rPr>
          <w:rFonts w:cs="Arial"/>
          <w:szCs w:val="20"/>
        </w:rPr>
      </w:pPr>
      <w:r>
        <w:rPr>
          <w:rFonts w:cs="Arial"/>
          <w:color w:val="00000A"/>
          <w:szCs w:val="20"/>
        </w:rPr>
        <w:t>Os fornecedores deverão atender aos procedimentos previstos no Manual do Sistema de Dispensa Eletrônica, disponível no Portal de Compras do Governo Federal, para acesso ao sistema e operacionalização.</w:t>
      </w:r>
    </w:p>
    <w:p>
      <w:pPr>
        <w:pStyle w:val="Normal"/>
        <w:keepNext/>
        <w:pageBreakBefore w:val="false"/>
        <w:widowControl w:val="false"/>
        <w:numPr>
          <w:ilvl w:val="2"/>
          <w:numId w:val="1"/>
        </w:numPr>
        <w:suppressAutoHyphens w:val="true"/>
        <w:snapToGrid w:val="false"/>
        <w:spacing w:lineRule="auto" w:line="240" w:before="120" w:after="120"/>
        <w:jc w:val="both"/>
        <w:rPr>
          <w:rFonts w:cs="Arial"/>
          <w:szCs w:val="20"/>
        </w:rPr>
      </w:pPr>
      <w:r>
        <w:rPr>
          <w:rFonts w:cs="Arial"/>
          <w:color w:val="00000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themeColor="text1"/>
          <w:szCs w:val="20"/>
        </w:rPr>
      </w:pPr>
      <w:r>
        <w:rPr>
          <w:rFonts w:cs="Arial"/>
          <w:color w:val="00000A"/>
          <w:szCs w:val="20"/>
        </w:rPr>
        <w:t>Não poderão participar desta dispensa os fornecedores: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não atendam às condições deste Aviso de Contratação Direta e seu(s) anexo(s);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estrangeiros que não tenham representação legal no Brasil com poderes expressos para receber citação e responder administrativa ou judicialmente;</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se enquadrem nas seguintes vedações:</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autor do anteprojeto, do projeto básico ou do projeto executivo, pessoa física ou jurídica, quando a contratação versar sobre obra, serviços ou fornecimento de bens a ele relacionados;</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pessoa física ou jurídica que se encontre, ao tempo da contratação, impossibilitada de contratar em decorrência de sanção que lhe foi imposta;</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Next/>
        <w:pageBreakBefore w:val="false"/>
        <w:widowControl w:val="false"/>
        <w:numPr>
          <w:ilvl w:val="3"/>
          <w:numId w:val="4"/>
        </w:numPr>
        <w:suppressAutoHyphens w:val="true"/>
        <w:spacing w:lineRule="auto" w:line="240" w:before="120" w:after="120"/>
        <w:jc w:val="both"/>
        <w:rPr/>
      </w:pPr>
      <w:r>
        <w:rPr>
          <w:rFonts w:cs="Arial"/>
          <w:color w:val="00000A"/>
          <w:szCs w:val="20"/>
        </w:rPr>
        <w:t>empresas controladoras, controladas ou coligadas, nos termos da </w:t>
      </w:r>
      <w:hyperlink r:id="rId3">
        <w:r>
          <w:rPr>
            <w:rStyle w:val="LinkdaInternet"/>
            <w:rFonts w:eastAsia="Calibri" w:cs="Arial"/>
            <w:color w:val="00000A"/>
            <w:szCs w:val="20"/>
          </w:rPr>
          <w:t>Lei nº 6.404, de 15 de dezembro de 1976</w:t>
        </w:r>
      </w:hyperlink>
      <w:r>
        <w:rPr>
          <w:rFonts w:cs="Arial"/>
          <w:color w:val="00000A"/>
          <w:szCs w:val="20"/>
        </w:rPr>
        <w:t>, concorrendo entre si;</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keepNext/>
        <w:pageBreakBefore w:val="false"/>
        <w:widowControl w:val="false"/>
        <w:numPr>
          <w:ilvl w:val="3"/>
          <w:numId w:val="1"/>
        </w:numPr>
        <w:suppressAutoHyphens w:val="true"/>
        <w:spacing w:lineRule="auto" w:line="240" w:before="120" w:after="120"/>
        <w:jc w:val="both"/>
        <w:rPr>
          <w:rFonts w:cs="Arial"/>
          <w:color w:val="000000" w:themeColor="text1"/>
          <w:szCs w:val="20"/>
        </w:rPr>
      </w:pPr>
      <w:r>
        <w:rPr>
          <w:rFonts w:cs="Arial"/>
          <w:color w:val="00000A"/>
          <w:szCs w:val="20"/>
        </w:rPr>
        <w:t>Equiparam-se aos autores do projeto as empresas integrantes do mesmo grupo econômico;</w:t>
      </w:r>
    </w:p>
    <w:p>
      <w:pPr>
        <w:pStyle w:val="Normal"/>
        <w:keepNext/>
        <w:pageBreakBefore w:val="false"/>
        <w:widowControl w:val="false"/>
        <w:numPr>
          <w:ilvl w:val="3"/>
          <w:numId w:val="1"/>
        </w:numPr>
        <w:suppressAutoHyphens w:val="true"/>
        <w:spacing w:lineRule="auto" w:line="240" w:before="120" w:after="120"/>
        <w:jc w:val="both"/>
        <w:rPr>
          <w:rFonts w:cs="Arial"/>
          <w:color w:val="000000" w:themeColor="text1"/>
          <w:szCs w:val="20"/>
        </w:rPr>
      </w:pPr>
      <w:r>
        <w:rPr>
          <w:rFonts w:cs="Arial"/>
          <w:color w:val="00000A"/>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organizações da Sociedade Civil de Interesse Público - OSCIP, atuando nessa condição (Acórdão nº 746/2014-TCU-Plenário); e</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bookmarkStart w:id="1" w:name="_Hlk519667815"/>
      <w:bookmarkEnd w:id="1"/>
      <w:r>
        <w:rPr>
          <w:rFonts w:cs="Arial"/>
          <w:i/>
          <w:color w:val="00000A"/>
          <w:szCs w:val="20"/>
        </w:rPr>
        <w:t>sociedades cooperativas.</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INGRESSO NA DISPENSA ELETRÔNICA E CADASTRAMENTO DA PROPOSTA INICIAL</w:t>
      </w:r>
    </w:p>
    <w:p>
      <w:pPr>
        <w:pStyle w:val="Normal"/>
        <w:keepNext/>
        <w:pageBreakBefore w:val="false"/>
        <w:widowControl w:val="false"/>
        <w:numPr>
          <w:ilvl w:val="1"/>
          <w:numId w:val="1"/>
        </w:numPr>
        <w:suppressAutoHyphens w:val="true"/>
        <w:snapToGrid w:val="false"/>
        <w:spacing w:lineRule="auto" w:line="240" w:before="120" w:after="120"/>
        <w:ind w:left="425" w:hanging="0"/>
        <w:jc w:val="both"/>
        <w:rPr>
          <w:rFonts w:cs="Arial"/>
        </w:rPr>
      </w:pPr>
      <w:r>
        <w:rPr>
          <w:rFonts w:cs="Arial"/>
          <w:color w:val="00000A"/>
          <w:szCs w:val="20"/>
        </w:rPr>
        <w:t>O ingresso do fornecedor na disputa da dispensa eletrônica se dará com o cadastramento de sua proposta inicial, na forma deste item.</w:t>
      </w:r>
    </w:p>
    <w:p>
      <w:pPr>
        <w:pStyle w:val="Normal"/>
        <w:keepNext/>
        <w:pageBreakBefore w:val="false"/>
        <w:widowControl w:val="false"/>
        <w:numPr>
          <w:ilvl w:val="1"/>
          <w:numId w:val="1"/>
        </w:numPr>
        <w:suppressAutoHyphens w:val="true"/>
        <w:snapToGrid w:val="false"/>
        <w:spacing w:lineRule="auto" w:line="240" w:before="120" w:after="120"/>
        <w:ind w:left="425" w:hanging="0"/>
        <w:jc w:val="both"/>
        <w:rPr>
          <w:rFonts w:cs="Arial"/>
          <w:color w:val="000000" w:themeColor="text1"/>
          <w:szCs w:val="20"/>
        </w:rPr>
      </w:pPr>
      <w:r>
        <w:rPr>
          <w:rFonts w:cs="Arial"/>
          <w:color w:val="00000A"/>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keepNext/>
        <w:pageBreakBefore w:val="false"/>
        <w:widowControl w:val="false"/>
        <w:numPr>
          <w:ilvl w:val="2"/>
          <w:numId w:val="1"/>
        </w:numPr>
        <w:suppressAutoHyphens w:val="true"/>
        <w:spacing w:lineRule="auto" w:line="240" w:before="120" w:after="120"/>
        <w:jc w:val="both"/>
        <w:rPr>
          <w:rFonts w:cs="Arial"/>
          <w:szCs w:val="20"/>
        </w:rPr>
      </w:pPr>
      <w:r>
        <w:rPr>
          <w:rFonts w:cs="Arial"/>
          <w:color w:val="00000A"/>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Todas as especificações do objeto contidas na proposta, em especial o preço, vinculam a Contratada.</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Nos valores propostos estarão inclusos todos os custos operacionais, encargos previdenciários, trabalhistas, tributários, comerciais e quaisquer outros que incidam direta ou indiretamente na prestação dos serviços;</w:t>
      </w:r>
    </w:p>
    <w:p>
      <w:pPr>
        <w:pStyle w:val="Normal"/>
        <w:keepNext/>
        <w:pageBreakBefore w:val="false"/>
        <w:widowControl w:val="false"/>
        <w:numPr>
          <w:ilvl w:val="2"/>
          <w:numId w:val="1"/>
        </w:numPr>
        <w:suppressAutoHyphens w:val="true"/>
        <w:spacing w:lineRule="auto" w:line="240" w:before="120" w:after="120"/>
        <w:jc w:val="both"/>
        <w:rPr>
          <w:rFonts w:cs="Arial"/>
          <w:szCs w:val="20"/>
        </w:rPr>
      </w:pPr>
      <w:r>
        <w:rPr>
          <w:rFonts w:cs="Arial"/>
          <w:color w:val="00000A"/>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Independentemente do percentual de tributo inserido na planilha, no pagamento serão retidos na fonte os percentuais estabelecidos na legislação vigente.</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cs="Arial"/>
          <w:color w:val="00000A"/>
          <w:szCs w:val="20"/>
        </w:rPr>
        <w:t xml:space="preserve">A apresentação das propostas implica obrigatoriedade do cumprimento das disposições nelas contidas, em conformidade com o que dispõe o </w:t>
      </w:r>
      <w:r>
        <w:rPr>
          <w:rFonts w:cs="Arial"/>
          <w:i/>
          <w:color w:val="00000A"/>
          <w:szCs w:val="20"/>
        </w:rPr>
        <w:t>Termo de Referência</w:t>
      </w:r>
      <w:r>
        <w:rPr>
          <w:rFonts w:cs="Arial"/>
          <w:color w:val="00000A"/>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themeColor="text1"/>
          <w:szCs w:val="20"/>
        </w:rPr>
      </w:pPr>
      <w:r>
        <w:rPr>
          <w:rFonts w:cs="Arial"/>
          <w:color w:val="00000A"/>
          <w:szCs w:val="20"/>
        </w:rPr>
        <w:t xml:space="preserve">Uma vez enviada a proposta no sistema, os fornecedores </w:t>
      </w:r>
      <w:r>
        <w:rPr>
          <w:rFonts w:cs="Arial"/>
          <w:b/>
          <w:bCs/>
          <w:color w:val="00000A"/>
          <w:szCs w:val="20"/>
        </w:rPr>
        <w:t>NÃO</w:t>
      </w:r>
      <w:r>
        <w:rPr>
          <w:rFonts w:cs="Arial"/>
          <w:color w:val="00000A"/>
          <w:szCs w:val="20"/>
        </w:rPr>
        <w:t xml:space="preserve"> poderão retirá-la, substituí-la ou modificá-la;</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cs="Arial"/>
          <w:color w:val="00000A"/>
          <w:szCs w:val="20"/>
        </w:rPr>
        <w:t>No cadastramento da proposta inicial, o fornecedor deverá, também, assinalar “sim” ou “não” em campo próprio do sistema eletrônico, às seguintes declarações:</w:t>
      </w:r>
      <w:r>
        <w:rPr>
          <w:rFonts w:eastAsia="Zurich BT" w:cs="Arial"/>
          <w:color w:val="00000A"/>
          <w:szCs w:val="20"/>
        </w:rPr>
        <w:t xml:space="preserve"> </w:t>
      </w:r>
    </w:p>
    <w:p>
      <w:pPr>
        <w:pStyle w:val="ListParagraph"/>
        <w:keepNext/>
        <w:pageBreakBefore w:val="false"/>
        <w:widowControl w:val="false"/>
        <w:numPr>
          <w:ilvl w:val="0"/>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ListParagraph"/>
        <w:keepNext/>
        <w:pageBreakBefore w:val="false"/>
        <w:widowControl w:val="false"/>
        <w:numPr>
          <w:ilvl w:val="1"/>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ListParagraph"/>
        <w:keepNext/>
        <w:pageBreakBefore w:val="false"/>
        <w:widowControl w:val="false"/>
        <w:numPr>
          <w:ilvl w:val="1"/>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ListParagraph"/>
        <w:keepNext/>
        <w:pageBreakBefore w:val="false"/>
        <w:widowControl w:val="false"/>
        <w:numPr>
          <w:ilvl w:val="1"/>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inexistem fatos impeditivos para sua habilitação no certame, ciente da obrigatoriedade de declarar ocorrências posteriores;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cumpre os requisitos estabelecidos no artigo 3° da Lei Complementar nº 123, de 2006, estando apto a usufruir do tratamento favorecido estabelecido em seus arts. 42 a 49.</w:t>
      </w:r>
    </w:p>
    <w:p>
      <w:pPr>
        <w:pStyle w:val="Normal"/>
        <w:keepNext/>
        <w:pageBreakBefore w:val="false"/>
        <w:widowControl w:val="false"/>
        <w:numPr>
          <w:ilvl w:val="2"/>
          <w:numId w:val="1"/>
        </w:numPr>
        <w:suppressAutoHyphens w:val="true"/>
        <w:spacing w:lineRule="auto" w:line="240" w:before="120" w:after="120"/>
        <w:jc w:val="both"/>
        <w:rPr>
          <w:color w:val="00000A"/>
        </w:rPr>
      </w:pPr>
      <w:r>
        <w:rPr>
          <w:rFonts w:cs="Arial"/>
          <w:color w:val="00000A"/>
          <w:szCs w:val="20"/>
        </w:rPr>
        <w:t>que está ciente e concorda com as condições contidas no Aviso de Contratação Direta e seus anexos;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assume a responsabilidade pelas transações que forem efetuadas no sistema, assumindo como firmes e verdadeiras;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cumpre as exigências de reserva de cargos para pessoa com deficiência e para reabilitado da Previdência Social, de que trata o art. 93 da Lei nº 8.213/91.</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não emprega menor de 18 anos em trabalho noturno, perigoso ou insalubre e não emprega menor de 16 anos, salvo menor, a partir de 14 anos, na condição de aprendiz, nos termos do artigo 7°, XXXIII, da Constituição;</w:t>
      </w:r>
    </w:p>
    <w:p>
      <w:pPr>
        <w:pStyle w:val="Normal"/>
        <w:keepNext/>
        <w:pageBreakBefore w:val="false"/>
        <w:widowControl w:val="false"/>
        <w:numPr>
          <w:ilvl w:val="1"/>
          <w:numId w:val="1"/>
        </w:numPr>
        <w:suppressAutoHyphens w:val="true"/>
        <w:spacing w:lineRule="auto" w:line="240" w:before="120" w:after="120"/>
        <w:jc w:val="both"/>
        <w:rPr>
          <w:color w:val="00000A"/>
        </w:rPr>
      </w:pPr>
      <w:r>
        <w:rPr>
          <w:rFonts w:cs="Arial"/>
          <w:i/>
          <w:color w:val="00000A"/>
          <w:szCs w:val="20"/>
        </w:rPr>
        <w:t>Fica facultado ao fornecedor, ao cadastrar sua proposta inicial, a parametrização de valor final mínimo, com o registro do seu lance final aceitável (menor preço, conforme o caso).</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r>
        <w:rPr>
          <w:rFonts w:cs="Arial"/>
          <w:i/>
          <w:color w:val="00000A"/>
          <w:szCs w:val="20"/>
        </w:rPr>
        <w:t xml:space="preserve">Feita essa opção os lances serão enviados automaticamente pelo sistema, respeitados os limites cadastrados pelo fornecedor e o intervalo mínimo entre lances previsto neste aviso. </w:t>
      </w:r>
    </w:p>
    <w:p>
      <w:pPr>
        <w:pStyle w:val="Normal"/>
        <w:keepNext/>
        <w:pageBreakBefore w:val="false"/>
        <w:widowControl w:val="false"/>
        <w:numPr>
          <w:ilvl w:val="3"/>
          <w:numId w:val="1"/>
        </w:numPr>
        <w:suppressAutoHyphens w:val="true"/>
        <w:spacing w:lineRule="auto" w:line="240" w:before="120" w:after="120"/>
        <w:jc w:val="both"/>
        <w:rPr>
          <w:rFonts w:cs="Arial"/>
          <w:i/>
          <w:i/>
          <w:color w:val="FF0000"/>
          <w:szCs w:val="20"/>
        </w:rPr>
      </w:pPr>
      <w:r>
        <w:rPr>
          <w:rFonts w:cs="Arial"/>
          <w:i/>
          <w:color w:val="00000A"/>
          <w:szCs w:val="20"/>
        </w:rPr>
        <w:t>Sem prejuízo do disposto acima, os lances poderão ser enviados manualmente, na forma da seção respectiva deste Aviso de Contratação Direta;</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r>
        <w:rPr>
          <w:rFonts w:cs="Arial"/>
          <w:i/>
          <w:color w:val="00000A"/>
          <w:szCs w:val="20"/>
        </w:rPr>
        <w:t>O valor final mínimo poderá ser alterado pelo fornecedor durante a fase de disputa, desde que não assuma valor superior a lance já registrado por ele no sistema.</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r>
        <w:rPr>
          <w:rFonts w:cs="Arial"/>
          <w:i/>
          <w:color w:val="00000A"/>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FASE DE LANCES</w:t>
      </w:r>
    </w:p>
    <w:p>
      <w:pPr>
        <w:pStyle w:val="ListParagraph"/>
        <w:keepNext/>
        <w:pageBreakBefore w:val="false"/>
        <w:widowControl w:val="false"/>
        <w:numPr>
          <w:ilvl w:val="1"/>
          <w:numId w:val="1"/>
        </w:numPr>
        <w:suppressAutoHyphens w:val="true"/>
        <w:spacing w:lineRule="auto" w:line="240" w:before="120" w:after="120"/>
        <w:contextualSpacing/>
        <w:jc w:val="both"/>
        <w:rPr/>
      </w:pPr>
      <w:r>
        <w:rPr>
          <w:rFonts w:cs="Arial"/>
          <w:color w:val="00000A"/>
          <w:szCs w:val="20"/>
          <w:lang w:eastAsia="en-US"/>
        </w:rPr>
        <w:t xml:space="preserve">A partir das 09:00h da data estabelecida neste Aviso de Contratação Direta, a sessão pública será automaticamente aberta pelo sistema para o envio de lances públicos e sucessivos, </w:t>
      </w:r>
      <w:r>
        <w:rPr>
          <w:rFonts w:cs="Arial"/>
          <w:bCs/>
          <w:color w:val="00000A"/>
          <w:szCs w:val="20"/>
          <w:lang w:eastAsia="en-US"/>
        </w:rPr>
        <w:t>exclusivamente por meio do sistema eletrônico</w:t>
      </w:r>
      <w:r>
        <w:rPr>
          <w:rFonts w:cs="Arial"/>
          <w:color w:val="00000A"/>
          <w:szCs w:val="20"/>
          <w:lang w:eastAsia="en-US"/>
        </w:rPr>
        <w:t>, sendo encerrado no horário de finalização de lances também já previsto neste aviso.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keepNext/>
        <w:pageBreakBefore w:val="false"/>
        <w:widowControl w:val="false"/>
        <w:numPr>
          <w:ilvl w:val="2"/>
          <w:numId w:val="1"/>
        </w:numPr>
        <w:suppressAutoHyphens w:val="true"/>
        <w:spacing w:lineRule="auto" w:line="240" w:before="120" w:after="120"/>
        <w:contextualSpacing/>
        <w:jc w:val="both"/>
        <w:rPr>
          <w:color w:val="00000A"/>
        </w:rPr>
      </w:pPr>
      <w:r>
        <w:rPr>
          <w:rFonts w:cs="Arial"/>
          <w:i/>
          <w:iCs/>
          <w:color w:val="00000A"/>
          <w:szCs w:val="20"/>
        </w:rPr>
        <w:t>O lance deverá ser ofertado pelo valor unitário do item.</w:t>
      </w:r>
    </w:p>
    <w:p>
      <w:pPr>
        <w:pStyle w:val="ListParagraph"/>
        <w:keepNext/>
        <w:pageBreakBefore w:val="false"/>
        <w:widowControl w:val="false"/>
        <w:numPr>
          <w:ilvl w:val="1"/>
          <w:numId w:val="1"/>
        </w:numPr>
        <w:suppressAutoHyphens w:val="true"/>
        <w:spacing w:lineRule="auto" w:line="240" w:before="120" w:after="120"/>
        <w:contextualSpacing/>
        <w:jc w:val="both"/>
        <w:rPr>
          <w:color w:val="00000A"/>
        </w:rPr>
      </w:pPr>
      <w:r>
        <w:rPr>
          <w:rFonts w:cs="Arial"/>
          <w:color w:val="00000A"/>
          <w:szCs w:val="20"/>
          <w:lang w:eastAsia="en-US"/>
        </w:rPr>
        <w:t>O fornecedor somente poderá oferecer valor inferior ou maior percentual de desconto em relação ao último lance por ele ofertado e registrado pelo sistema.</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keepNext/>
        <w:pageBreakBefore w:val="false"/>
        <w:widowControl w:val="false"/>
        <w:numPr>
          <w:ilvl w:val="2"/>
          <w:numId w:val="1"/>
        </w:numPr>
        <w:suppressAutoHyphens w:val="true"/>
        <w:spacing w:lineRule="auto" w:line="240" w:before="120" w:after="120"/>
        <w:contextualSpacing/>
        <w:jc w:val="both"/>
        <w:rPr/>
      </w:pPr>
      <w:r>
        <w:rPr>
          <w:rFonts w:cs="Arial"/>
          <w:color w:val="00000A"/>
          <w:szCs w:val="20"/>
        </w:rPr>
        <w:t>O intervalo mínimo de diferença de valores ou percentuais entre os lances, que incidirá tanto em relação aos lances intermediários quanto em relação ao que cobrir a melhor oferta é de</w:t>
      </w:r>
      <w:r>
        <w:rPr>
          <w:rFonts w:cs="Arial"/>
          <w:i/>
          <w:iCs/>
          <w:color w:val="00000A"/>
          <w:szCs w:val="20"/>
        </w:rPr>
        <w:t xml:space="preserve"> R$ 0,01 (um centavo de real).</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Havendo lances iguais ao menor já ofertado, prevalecerá aquele que for recebido e registrado primeiro no sistema.</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Caso o fornecedor não apresente lances, concorrerá com o valor de sua proposta.</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Durante o procedimento, os fornecedores serão informados, em tempo real, do valor do menor lance registrado, vedada a identificação do fornecedor.</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JULGAMENTO DAS PROPOSTAS DE PREÇO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rPr>
      </w:pPr>
      <w:r>
        <w:rPr>
          <w:rFonts w:cs="Arial"/>
          <w:color w:val="00000A"/>
        </w:rPr>
        <w:t>Encerrada a fase de lances, será verificada a conformidade da proposta classificada em primeiro lugar quanto à adequação do objeto e à compatibilidade do preço em relação ao estipulado para a contratação.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rPr>
      </w:pPr>
      <w:r>
        <w:rPr>
          <w:rFonts w:cs="Arial"/>
          <w:color w:val="00000A"/>
        </w:rPr>
        <w:t>No caso de o preço da proposta vencedora estar acima do estimado pela Administração, poderá haver a negociação de condições mais vantajosas.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szCs w:val="20"/>
        </w:rPr>
        <w:t>Neste caso, será encaminhada contraproposta ao fornecedor que tenha apresentado o melhor preço, para que seja obtida melhor proposta com preço compatível ao estimado pela Administração.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rPr>
        <w:t>Em qualquer caso, concluída a negociação, o resultado será registrado na ata do procedimento da dispensa eletrônica.</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rPr>
      </w:pPr>
      <w:r>
        <w:rPr>
          <w:rFonts w:cs="Arial"/>
          <w:color w:val="00000A"/>
        </w:rPr>
        <w:t>Estando o preço compatível, será solicitado o envio da proposta e, se necessário, de documentos complementares, adequada ao último lance.</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iCs/>
          <w:color w:val="FF0000"/>
        </w:rPr>
      </w:pPr>
      <w:r>
        <w:rPr>
          <w:rFonts w:cs="Arial"/>
          <w:i/>
          <w:iCs/>
          <w:color w:val="00000A"/>
        </w:rPr>
        <w:t>Além da documentação supracitada, o fornecedor com a melhor proposta deverá encaminhar planilha com indicação de custos unitários e formação de preços, conforme modelo anexo, com os valores adequados à proposta vencedora.</w:t>
      </w:r>
    </w:p>
    <w:p>
      <w:pPr>
        <w:pStyle w:val="Normal"/>
        <w:keepNext/>
        <w:pageBreakBefore w:val="false"/>
        <w:widowControl w:val="false"/>
        <w:numPr>
          <w:ilvl w:val="1"/>
          <w:numId w:val="1"/>
        </w:numPr>
        <w:suppressAutoHyphens w:val="true"/>
        <w:spacing w:lineRule="auto" w:line="240" w:before="120" w:after="120"/>
        <w:jc w:val="both"/>
        <w:rPr>
          <w:color w:val="00000A"/>
        </w:rPr>
      </w:pPr>
      <w:r>
        <w:rPr>
          <w:rFonts w:cs="Arial"/>
          <w:color w:val="00000A"/>
          <w:szCs w:val="20"/>
        </w:rPr>
        <w:t>O prazo de validade da proposta não será inferior a 30 (trinta) dias</w:t>
      </w:r>
      <w:r>
        <w:rPr>
          <w:rFonts w:cs="Arial"/>
          <w:b/>
          <w:bCs/>
          <w:color w:val="00000A"/>
          <w:szCs w:val="20"/>
        </w:rPr>
        <w:t>,</w:t>
      </w:r>
      <w:r>
        <w:rPr>
          <w:rFonts w:cs="Arial"/>
          <w:color w:val="00000A"/>
          <w:szCs w:val="20"/>
        </w:rPr>
        <w:t xml:space="preserve"> a contar da data de sua apresentação.</w:t>
      </w:r>
    </w:p>
    <w:p>
      <w:pPr>
        <w:pStyle w:val="ListParagraph"/>
        <w:keepNext/>
        <w:pageBreakBefore w:val="false"/>
        <w:widowControl w:val="false"/>
        <w:numPr>
          <w:ilvl w:val="1"/>
          <w:numId w:val="1"/>
        </w:numPr>
        <w:suppressAutoHyphens w:val="true"/>
        <w:spacing w:lineRule="auto" w:line="240" w:before="120" w:after="120"/>
        <w:contextualSpacing/>
        <w:jc w:val="both"/>
        <w:rPr>
          <w:color w:val="00000A"/>
        </w:rPr>
      </w:pPr>
      <w:r>
        <w:rPr>
          <w:rFonts w:cs="Arial"/>
          <w:color w:val="00000A"/>
          <w:szCs w:val="20"/>
          <w:lang w:eastAsia="en-US"/>
        </w:rPr>
        <w:t xml:space="preserve">Será desclassificada a proposta vencedora que: </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contiver vícios insanáveis</w:t>
      </w:r>
      <w:r>
        <w:rPr>
          <w:rFonts w:cs="Arial"/>
          <w:iCs/>
          <w:color w:val="00000A"/>
          <w:szCs w:val="20"/>
        </w:rPr>
        <w:t>;</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não obedecer às especificações técnicas pormenorizadas neste aviso ou em seus anexos</w:t>
      </w:r>
      <w:r>
        <w:rPr>
          <w:rFonts w:cs="Arial"/>
          <w:iCs/>
          <w:color w:val="00000A"/>
          <w:szCs w:val="20"/>
        </w:rPr>
        <w:t>;</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apresentar preços inexequíveis ou permanecerem acima do preço máximo definido para a contratação;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não tiverem sua exequibilidade demonstrada, quando exigido pela Administração</w:t>
      </w:r>
      <w:r>
        <w:rPr>
          <w:rFonts w:cs="Arial"/>
          <w:iCs/>
          <w:color w:val="00000A"/>
          <w:szCs w:val="20"/>
        </w:rPr>
        <w:t>;</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apresentar desconformidade com quaisquer outras exigências deste aviso ou seus anexos, desde que insanável.</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i/>
          <w:i/>
          <w:color w:val="000000" w:themeColor="text1"/>
          <w:szCs w:val="20"/>
        </w:rPr>
      </w:pPr>
      <w:r>
        <w:rPr>
          <w:rFonts w:cs="Arial"/>
          <w:color w:val="00000A"/>
          <w:szCs w:val="20"/>
          <w:lang w:eastAsia="en-US"/>
        </w:rPr>
        <w:t>Quando</w:t>
      </w:r>
      <w:r>
        <w:rPr>
          <w:rFonts w:cs="Arial"/>
          <w:color w:val="00000A"/>
          <w:szCs w:val="20"/>
        </w:rPr>
        <w:t xml:space="preserve"> o fornecedor não conseguir comprovar que possui ou possuirá recursos suficientes para executar a contento o objeto, será considerada inexequível a proposta de preços ou menor lance que:</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rPr>
      </w:pPr>
      <w:r>
        <w:rPr>
          <w:rFonts w:cs="Arial"/>
          <w:color w:val="00000A"/>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keepNext/>
        <w:pageBreakBefore w:val="false"/>
        <w:widowControl w:val="false"/>
        <w:numPr>
          <w:ilvl w:val="1"/>
          <w:numId w:val="1"/>
        </w:numPr>
        <w:suppressAutoHyphens w:val="true"/>
        <w:spacing w:lineRule="auto" w:line="240" w:before="120" w:after="120"/>
        <w:ind w:left="792" w:right="0" w:hanging="432"/>
        <w:contextualSpacing/>
        <w:jc w:val="both"/>
        <w:rPr>
          <w:color w:val="00000A"/>
        </w:rPr>
      </w:pPr>
      <w:r>
        <w:rPr>
          <w:rFonts w:cs="Arial"/>
          <w:color w:val="00000A"/>
          <w:szCs w:val="20"/>
          <w:lang w:eastAsia="en-US"/>
        </w:rPr>
        <w:t xml:space="preserve">Se houver indícios de inexequibilidade da proposta de preço, ou em caso da necessidade de esclarecimentos </w:t>
      </w:r>
      <w:r>
        <w:rPr>
          <w:rFonts w:cs="Arial"/>
          <w:color w:val="00000A"/>
          <w:szCs w:val="20"/>
        </w:rPr>
        <w:t>complementares</w:t>
      </w:r>
      <w:r>
        <w:rPr>
          <w:rFonts w:cs="Arial"/>
          <w:color w:val="00000A"/>
          <w:szCs w:val="20"/>
          <w:lang w:eastAsia="en-US"/>
        </w:rPr>
        <w:t xml:space="preserve">, poderão ser efetuadas diligências, para que a empresa comprove a exequibilidade da proposta.  </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 xml:space="preserve">Erros no preenchimento da planilha não constituem motivo para a desclassificação da proposta. A planilha </w:t>
      </w:r>
      <w:r>
        <w:rPr>
          <w:rFonts w:cs="Arial"/>
          <w:color w:val="00000A"/>
          <w:szCs w:val="20"/>
        </w:rPr>
        <w:t>poderá</w:t>
      </w:r>
      <w:r>
        <w:rPr>
          <w:rFonts w:cs="Arial"/>
          <w:color w:val="00000A"/>
          <w:szCs w:val="20"/>
          <w:lang w:eastAsia="en-US"/>
        </w:rPr>
        <w:t xml:space="preserve"> ser ajustada pelo fornecedor, no prazo indicado pelo sistema, desde que não haja majoração do preço.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O ajuste de que trata este dispositivo se limita a sanar erros ou falhas que não alterem a substância das propostas;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Considera-se erro no preenchimento da planilha passível de correção a indicação de recolhimento de impostos e contribuições na forma do Simples Nacional, quando não cabível esse regime.</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Se a proposta ou lance vencedor for desclassificado, será examinada a proposta ou lance subsequente, e, assim sucessivamente, na ordem de classificação.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Havendo necessidade, a sessão será suspensa, informando-se no “chat” a nova data e horário para a sua continuidade.</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Encerrada a análise quanto à aceitação da proposta, se iniciará a fase de habilitação, observado o disposto neste Aviso de Contratação Direta. </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HABILITAÇÃO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b/>
          <w:b/>
          <w:szCs w:val="20"/>
          <w:lang w:eastAsia="ar-SA"/>
        </w:rPr>
      </w:pPr>
      <w:r>
        <w:rPr>
          <w:rFonts w:cs="Arial"/>
          <w:color w:val="00000A"/>
          <w:szCs w:val="20"/>
          <w:lang w:eastAsia="ar-SA"/>
        </w:rPr>
        <w:t xml:space="preserve">Os </w:t>
      </w:r>
      <w:r>
        <w:rPr>
          <w:rFonts w:cs="Arial"/>
          <w:color w:val="00000A"/>
          <w:szCs w:val="20"/>
        </w:rPr>
        <w:t>documentos</w:t>
      </w:r>
      <w:r>
        <w:rPr>
          <w:rFonts w:cs="Arial"/>
          <w:color w:val="00000A"/>
          <w:szCs w:val="20"/>
          <w:lang w:eastAsia="ar-SA"/>
        </w:rPr>
        <w:t xml:space="preserve"> a serem exigidos para fins de habilitação constam do </w:t>
      </w:r>
      <w:r>
        <w:rPr>
          <w:rFonts w:cs="Arial"/>
          <w:b/>
          <w:color w:val="00000A"/>
          <w:szCs w:val="20"/>
          <w:lang w:eastAsia="ar-SA"/>
        </w:rPr>
        <w:t xml:space="preserve">ANEXO I – DOCUMENTAÇÃO EXIGIDA PARA HABILITAÇÃO </w:t>
      </w:r>
      <w:r>
        <w:rPr>
          <w:rFonts w:cs="Arial"/>
          <w:color w:val="00000A"/>
          <w:szCs w:val="20"/>
          <w:lang w:eastAsia="ar-SA"/>
        </w:rPr>
        <w:t>deste aviso e serão solicitados do fornecedor mais bem classificado da fase de lances.</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b/>
          <w:b/>
          <w:szCs w:val="20"/>
          <w:lang w:eastAsia="ar-SA"/>
        </w:rPr>
      </w:pPr>
      <w:r>
        <w:rPr>
          <w:rFonts w:cs="Arial"/>
          <w:color w:val="00000A"/>
          <w:szCs w:val="20"/>
          <w:lang w:eastAsia="ar-SA"/>
        </w:rPr>
        <w:t xml:space="preserve">Como </w:t>
      </w:r>
      <w:r>
        <w:rPr>
          <w:rFonts w:cs="Arial"/>
          <w:color w:val="00000A"/>
          <w:szCs w:val="20"/>
        </w:rPr>
        <w:t>condição</w:t>
      </w:r>
      <w:r>
        <w:rPr>
          <w:rFonts w:cs="Arial"/>
          <w:color w:val="00000A"/>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keepNext/>
        <w:pageBreakBefore w:val="false"/>
        <w:widowControl w:val="false"/>
        <w:suppressAutoHyphens w:val="true"/>
        <w:spacing w:lineRule="auto" w:line="240" w:before="120" w:after="120"/>
        <w:ind w:left="1134" w:hanging="0"/>
        <w:contextualSpacing/>
        <w:jc w:val="both"/>
        <w:rPr>
          <w:rFonts w:cs="Arial"/>
          <w:szCs w:val="20"/>
          <w:lang w:eastAsia="ar-SA"/>
        </w:rPr>
      </w:pPr>
      <w:r>
        <w:rPr>
          <w:rFonts w:cs="Arial"/>
          <w:color w:val="00000A"/>
          <w:szCs w:val="20"/>
          <w:lang w:eastAsia="ar-SA"/>
        </w:rPr>
        <w:t xml:space="preserve">a) SICAF;  </w:t>
      </w:r>
    </w:p>
    <w:p>
      <w:pPr>
        <w:pStyle w:val="ListParagraph"/>
        <w:keepNext/>
        <w:pageBreakBefore w:val="false"/>
        <w:widowControl w:val="false"/>
        <w:suppressAutoHyphens w:val="true"/>
        <w:spacing w:lineRule="auto" w:line="240" w:before="120" w:after="120"/>
        <w:ind w:left="1134" w:hanging="0"/>
        <w:contextualSpacing/>
        <w:jc w:val="both"/>
        <w:rPr/>
      </w:pPr>
      <w:r>
        <w:rPr>
          <w:rFonts w:cs="Arial"/>
          <w:color w:val="00000A"/>
          <w:szCs w:val="20"/>
          <w:lang w:eastAsia="ar-SA"/>
        </w:rPr>
        <w:t>b) Cadastro Nacional de Empresas Inidôneas e Suspensas - CEIS, mantido pela Controladoria-Geral da União (</w:t>
      </w:r>
      <w:hyperlink r:id="rId4">
        <w:r>
          <w:rPr>
            <w:rStyle w:val="LinkdaInternet"/>
            <w:rFonts w:eastAsia="Calibri" w:cs="Arial"/>
            <w:color w:val="00000A"/>
            <w:lang w:eastAsia="ar-SA"/>
          </w:rPr>
          <w:t>www.portaldatransparencia.gov.br/ceis</w:t>
        </w:r>
      </w:hyperlink>
      <w:r>
        <w:rPr>
          <w:rFonts w:cs="Arial"/>
          <w:color w:val="00000A"/>
          <w:szCs w:val="20"/>
          <w:lang w:eastAsia="ar-SA"/>
        </w:rPr>
        <w:t xml:space="preserve">);  </w:t>
      </w:r>
    </w:p>
    <w:p>
      <w:pPr>
        <w:pStyle w:val="ListParagraph"/>
        <w:keepNext/>
        <w:pageBreakBefore w:val="false"/>
        <w:widowControl w:val="false"/>
        <w:suppressAutoHyphens w:val="true"/>
        <w:spacing w:lineRule="auto" w:line="240" w:before="120" w:after="120"/>
        <w:ind w:left="1134" w:hanging="0"/>
        <w:contextualSpacing/>
        <w:jc w:val="both"/>
        <w:rPr/>
      </w:pPr>
      <w:r>
        <w:rPr>
          <w:rFonts w:cs="Arial"/>
          <w:color w:val="00000A"/>
          <w:szCs w:val="20"/>
          <w:lang w:eastAsia="ar-SA"/>
        </w:rPr>
        <w:t>c) Cadastro Nacional de Condenações Cíveis por Atos de Improbidade Administrativa, mantido pelo Conselho Nacional de Justiça (</w:t>
      </w:r>
      <w:hyperlink r:id="rId5">
        <w:r>
          <w:rPr>
            <w:rStyle w:val="LinkdaInternet"/>
            <w:rFonts w:eastAsia="Calibri" w:cs="Arial"/>
            <w:color w:val="00000A"/>
            <w:lang w:eastAsia="ar-SA"/>
          </w:rPr>
          <w:t>www.cnj.jus.br/improbidade_adm/consultar_requerido.php</w:t>
        </w:r>
      </w:hyperlink>
      <w:r>
        <w:rPr>
          <w:rFonts w:cs="Arial"/>
          <w:color w:val="00000A"/>
          <w:szCs w:val="20"/>
          <w:lang w:eastAsia="ar-SA"/>
        </w:rPr>
        <w:t xml:space="preserve">).  </w:t>
      </w:r>
    </w:p>
    <w:p>
      <w:pPr>
        <w:pStyle w:val="ListParagraph"/>
        <w:keepNext/>
        <w:pageBreakBefore w:val="false"/>
        <w:widowControl w:val="false"/>
        <w:suppressAutoHyphens w:val="true"/>
        <w:spacing w:lineRule="auto" w:line="240" w:before="120" w:after="120"/>
        <w:ind w:left="1134" w:hanging="0"/>
        <w:contextualSpacing/>
        <w:jc w:val="both"/>
        <w:rPr>
          <w:rFonts w:cs="Arial"/>
          <w:szCs w:val="20"/>
          <w:lang w:eastAsia="ar-SA"/>
        </w:rPr>
      </w:pPr>
      <w:r>
        <w:rPr>
          <w:rFonts w:cs="Arial"/>
          <w:color w:val="00000A"/>
          <w:szCs w:val="20"/>
          <w:lang w:eastAsia="ar-SA"/>
        </w:rPr>
        <w:t xml:space="preserve">d) Lista de Inidôneos mantida pelo Tribunal de Contas da União - TCU; </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b/>
          <w:b/>
          <w:szCs w:val="20"/>
        </w:rPr>
      </w:pPr>
      <w:r>
        <w:rPr>
          <w:rFonts w:cs="Arial"/>
          <w:color w:val="00000A"/>
          <w:szCs w:val="20"/>
          <w:lang w:eastAsia="ar-SA"/>
        </w:rPr>
        <w:t xml:space="preserve">Para a consulta de </w:t>
      </w:r>
      <w:r>
        <w:rPr>
          <w:rFonts w:cs="Arial"/>
          <w:color w:val="00000A"/>
          <w:szCs w:val="20"/>
        </w:rPr>
        <w:t>fornecedores</w:t>
      </w:r>
      <w:r>
        <w:rPr>
          <w:rFonts w:cs="Arial"/>
          <w:color w:val="00000A"/>
          <w:szCs w:val="20"/>
          <w:lang w:eastAsia="ar-SA"/>
        </w:rPr>
        <w:t xml:space="preserve"> pessoa jurídica poderá haver a substituição das consultas das alíneas “b”, “c” e “d” acima pela Consulta Consolidada de Pessoa Jurídica do TCU (https://certidoesapf.apps.tcu.gov.br/)</w:t>
      </w:r>
    </w:p>
    <w:p>
      <w:pPr>
        <w:pStyle w:val="ListParagraph"/>
        <w:keepNext/>
        <w:pageBreakBefore w:val="false"/>
        <w:widowControl w:val="false"/>
        <w:numPr>
          <w:ilvl w:val="2"/>
          <w:numId w:val="1"/>
        </w:numPr>
        <w:suppressAutoHyphens w:val="true"/>
        <w:spacing w:lineRule="auto" w:line="240" w:before="120" w:after="120"/>
        <w:contextualSpacing/>
        <w:jc w:val="both"/>
        <w:rPr>
          <w:color w:val="00000A"/>
        </w:rPr>
      </w:pPr>
      <w:r>
        <w:rPr>
          <w:rFonts w:cs="Arial"/>
          <w:color w:val="00000A"/>
          <w:szCs w:val="20"/>
        </w:rPr>
        <w:t xml:space="preserve">A consulta aos </w:t>
      </w:r>
      <w:r>
        <w:rPr>
          <w:rFonts w:cs="Arial"/>
          <w:color w:val="00000A"/>
          <w:szCs w:val="20"/>
          <w:lang w:eastAsia="ar-SA"/>
        </w:rPr>
        <w:t>cadastros</w:t>
      </w:r>
      <w:r>
        <w:rPr>
          <w:rFonts w:cs="Arial"/>
          <w:color w:val="00000A"/>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keepNext/>
        <w:pageBreakBefore w:val="false"/>
        <w:widowControl w:val="false"/>
        <w:numPr>
          <w:ilvl w:val="3"/>
          <w:numId w:val="1"/>
        </w:numPr>
        <w:suppressAutoHyphens w:val="true"/>
        <w:spacing w:lineRule="auto" w:line="240" w:before="120" w:after="120"/>
        <w:contextualSpacing/>
        <w:jc w:val="both"/>
        <w:rPr>
          <w:rFonts w:cs="Arial"/>
          <w:szCs w:val="20"/>
        </w:rPr>
      </w:pPr>
      <w:r>
        <w:rPr>
          <w:rFonts w:cs="Arial"/>
          <w:color w:val="00000A"/>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keepNext/>
        <w:pageBreakBefore w:val="false"/>
        <w:widowControl w:val="false"/>
        <w:numPr>
          <w:ilvl w:val="4"/>
          <w:numId w:val="1"/>
        </w:numPr>
        <w:suppressAutoHyphens w:val="true"/>
        <w:spacing w:lineRule="auto" w:line="240" w:before="120" w:after="120"/>
        <w:contextualSpacing/>
        <w:jc w:val="both"/>
        <w:rPr>
          <w:rFonts w:cs="Arial"/>
          <w:color w:val="000000" w:themeColor="text1"/>
          <w:szCs w:val="20"/>
        </w:rPr>
      </w:pPr>
      <w:r>
        <w:rPr>
          <w:rFonts w:cs="Arial"/>
          <w:color w:val="00000A"/>
          <w:szCs w:val="20"/>
        </w:rPr>
        <w:t>A tentativa de burla será verificada por meio dos vínculos societários, linhas de fornecimento similares, dentre outros.</w:t>
      </w:r>
    </w:p>
    <w:p>
      <w:pPr>
        <w:pStyle w:val="ListParagraph"/>
        <w:keepNext/>
        <w:pageBreakBefore w:val="false"/>
        <w:widowControl w:val="false"/>
        <w:numPr>
          <w:ilvl w:val="4"/>
          <w:numId w:val="1"/>
        </w:numPr>
        <w:suppressAutoHyphens w:val="true"/>
        <w:spacing w:lineRule="auto" w:line="240" w:before="120" w:after="120"/>
        <w:contextualSpacing/>
        <w:jc w:val="both"/>
        <w:rPr>
          <w:rFonts w:cs="Arial"/>
          <w:szCs w:val="20"/>
        </w:rPr>
      </w:pPr>
      <w:r>
        <w:rPr>
          <w:rFonts w:cs="Arial"/>
          <w:color w:val="00000A"/>
          <w:szCs w:val="20"/>
        </w:rPr>
        <w:t>O fornecedor será convocado para manifestação previamente à sua desclassificação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szCs w:val="20"/>
        </w:rPr>
      </w:pPr>
      <w:r>
        <w:rPr>
          <w:rFonts w:cs="Arial"/>
          <w:color w:val="00000A"/>
          <w:szCs w:val="20"/>
        </w:rPr>
        <w:t>Constatada a existência de sanção, o fornecedor será reputado inabilitado, por falta de condição de participação.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szCs w:val="20"/>
        </w:rPr>
      </w:pPr>
      <w:r>
        <w:rPr>
          <w:rFonts w:cs="Arial"/>
          <w:color w:val="00000A"/>
          <w:szCs w:val="20"/>
        </w:rPr>
        <w:t>Caso atendidas as condições de participação, a habilitação dos fornecedores será verificada por meio do SICAF, nos documentos por ele abrangidos.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rPr>
      </w:pPr>
      <w:r>
        <w:rPr>
          <w:rFonts w:cs="Arial"/>
          <w:color w:val="00000A"/>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rPr>
      </w:pPr>
      <w:r>
        <w:rPr>
          <w:rFonts w:cs="Arial"/>
          <w:color w:val="00000A"/>
          <w:szCs w:val="20"/>
        </w:rPr>
        <w:t>O descumprimento do subitem acima implicará a inabilitação do fornecedor, exceto se a consulta aos sítios eletrônicos oficiais emissores de certidões lograr êxito em encontrar a(s) certidão(ões) válida(s).</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color w:val="000000" w:themeColor="text1"/>
          <w:szCs w:val="20"/>
        </w:rPr>
      </w:pPr>
      <w:r>
        <w:rPr>
          <w:rFonts w:cs="Arial"/>
          <w:color w:val="00000A"/>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color w:val="000000" w:themeColor="text1"/>
          <w:szCs w:val="20"/>
        </w:rPr>
      </w:pPr>
      <w:r>
        <w:rPr>
          <w:rFonts w:cs="Arial"/>
          <w:color w:val="00000A"/>
          <w:szCs w:val="20"/>
        </w:rPr>
        <w:t>Somente haverá a necessidade de comprovação do preenchimento de requisitos mediante apresentação dos documentos originais não-digitais quando houver dúvida em relação à integridade do documento digital.</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b/>
          <w:b/>
          <w:bCs/>
          <w:szCs w:val="20"/>
        </w:rPr>
      </w:pPr>
      <w:r>
        <w:rPr>
          <w:rFonts w:cs="Arial"/>
          <w:bCs/>
          <w:color w:val="00000A"/>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color w:val="00000A"/>
        </w:rPr>
      </w:pPr>
      <w:r>
        <w:rPr>
          <w:rFonts w:cs="Arial"/>
          <w:i/>
          <w:color w:val="00000A"/>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FF0000"/>
          <w:szCs w:val="20"/>
        </w:rPr>
      </w:pPr>
      <w:r>
        <w:rPr>
          <w:rFonts w:cs="Arial"/>
          <w:i/>
          <w:color w:val="00000A"/>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color w:val="00000A"/>
        </w:rPr>
      </w:pPr>
      <w:r>
        <w:rPr>
          <w:rFonts w:cs="Arial"/>
          <w:bCs/>
          <w:color w:val="00000A"/>
          <w:szCs w:val="20"/>
        </w:rPr>
        <w:t xml:space="preserve">Havendo </w:t>
      </w:r>
      <w:r>
        <w:rPr>
          <w:rFonts w:cs="Arial"/>
          <w:iCs/>
          <w:color w:val="00000A"/>
          <w:lang w:eastAsia="en-US"/>
        </w:rPr>
        <w:t>necessidade</w:t>
      </w:r>
      <w:r>
        <w:rPr>
          <w:rFonts w:cs="Arial"/>
          <w:bCs/>
          <w:color w:val="00000A"/>
          <w:szCs w:val="20"/>
        </w:rPr>
        <w:t xml:space="preserve"> de analisar minuciosamente os documentos exigidos, a sessão será suspensa, sendo informada a nova data e horário para a sua continuidade.</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color w:val="000000"/>
          <w:szCs w:val="20"/>
        </w:rPr>
      </w:pPr>
      <w:r>
        <w:rPr>
          <w:rFonts w:cs="Arial"/>
          <w:color w:val="00000A"/>
          <w:szCs w:val="20"/>
        </w:rPr>
        <w:t xml:space="preserve">Será inabilitado o fornecedor que não comprovar sua habilitação, seja por não apresentar </w:t>
      </w:r>
      <w:r>
        <w:rPr>
          <w:rFonts w:cs="Arial"/>
          <w:iCs/>
          <w:color w:val="00000A"/>
          <w:lang w:eastAsia="en-US"/>
        </w:rPr>
        <w:t>quaisquer</w:t>
      </w:r>
      <w:r>
        <w:rPr>
          <w:rFonts w:cs="Arial"/>
          <w:color w:val="00000A"/>
          <w:szCs w:val="20"/>
        </w:rPr>
        <w:t xml:space="preserve"> dos </w:t>
      </w:r>
      <w:r>
        <w:rPr>
          <w:rFonts w:cs="Arial"/>
          <w:bCs/>
          <w:color w:val="00000A"/>
          <w:szCs w:val="20"/>
        </w:rPr>
        <w:t>documentos</w:t>
      </w:r>
      <w:r>
        <w:rPr>
          <w:rFonts w:cs="Arial"/>
          <w:color w:val="00000A"/>
          <w:szCs w:val="20"/>
        </w:rPr>
        <w:t xml:space="preserve"> exigidos, ou apresentá-los em desacordo com o estabelecido neste Aviso de Contratação Direta.</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szCs w:val="20"/>
        </w:rPr>
      </w:pPr>
      <w:r>
        <w:rPr>
          <w:rFonts w:cs="Arial"/>
          <w:color w:val="00000A"/>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iCs/>
          <w:lang w:eastAsia="en-US"/>
        </w:rPr>
      </w:pPr>
      <w:r>
        <w:rPr>
          <w:rFonts w:cs="Arial"/>
          <w:iCs/>
          <w:color w:val="00000A"/>
          <w:lang w:eastAsia="en-US"/>
        </w:rPr>
        <w:t>Constatado o atendimento às exigências de habilitação, o fornecedor será habilitado</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CONTRATAÇÃO</w:t>
      </w:r>
    </w:p>
    <w:p>
      <w:pPr>
        <w:pStyle w:val="Normal"/>
        <w:keepNext/>
        <w:pageBreakBefore w:val="false"/>
        <w:widowControl w:val="false"/>
        <w:numPr>
          <w:ilvl w:val="1"/>
          <w:numId w:val="1"/>
        </w:numPr>
        <w:suppressAutoHyphens w:val="true"/>
        <w:spacing w:lineRule="auto" w:line="240" w:before="120" w:after="120"/>
        <w:ind w:left="425" w:hanging="0"/>
        <w:jc w:val="both"/>
        <w:rPr>
          <w:rFonts w:eastAsia="Arial" w:cs="Arial"/>
          <w:color w:val="000000"/>
          <w:szCs w:val="20"/>
        </w:rPr>
      </w:pPr>
      <w:r>
        <w:rPr>
          <w:rFonts w:eastAsia="Arial" w:cs="Arial"/>
          <w:color w:val="00000A"/>
          <w:szCs w:val="20"/>
        </w:rPr>
        <w:t>Após a homologação e adjudicação, caso se conclua pela contratação, será firmado Termo de Contrato ou emitido instrumento equivalente.</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eastAsia="Arial" w:cs="Arial"/>
          <w:color w:val="00000A"/>
          <w:szCs w:val="20"/>
        </w:rPr>
        <w:t xml:space="preserve">O adjudicatário terá o prazo de 05(cinco) dias úteis, contados a partir da data de sua convocação, para assinar o Termo de Contrato ou aceitar instrumento equivalente, conforme o caso (Nota de Empenho), sob pena de decair do direito à contratação, sem prejuízo das sanções previstas neste Aviso de Contratação Direta. </w:t>
      </w:r>
    </w:p>
    <w:p>
      <w:pPr>
        <w:pStyle w:val="Normal"/>
        <w:keepNext/>
        <w:pageBreakBefore w:val="false"/>
        <w:widowControl w:val="false"/>
        <w:numPr>
          <w:ilvl w:val="2"/>
          <w:numId w:val="1"/>
        </w:numPr>
        <w:suppressAutoHyphens w:val="true"/>
        <w:spacing w:lineRule="auto" w:line="240" w:before="120" w:after="120"/>
        <w:jc w:val="both"/>
        <w:rPr>
          <w:color w:val="00000A"/>
        </w:rPr>
      </w:pPr>
      <w:r>
        <w:rPr>
          <w:rFonts w:eastAsia="Arial" w:cs="Arial"/>
          <w:i/>
          <w:color w:val="00000A"/>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pPr>
        <w:pStyle w:val="Normal"/>
        <w:keepNext/>
        <w:pageBreakBefore w:val="false"/>
        <w:widowControl w:val="false"/>
        <w:numPr>
          <w:ilvl w:val="2"/>
          <w:numId w:val="1"/>
        </w:numPr>
        <w:suppressAutoHyphens w:val="true"/>
        <w:spacing w:lineRule="auto" w:line="240" w:before="120" w:after="120"/>
        <w:jc w:val="both"/>
        <w:rPr>
          <w:rFonts w:eastAsia="Arial" w:cs="Arial"/>
          <w:color w:val="000000"/>
          <w:szCs w:val="20"/>
        </w:rPr>
      </w:pPr>
      <w:r>
        <w:rPr>
          <w:rFonts w:eastAsia="Arial" w:cs="Arial"/>
          <w:color w:val="00000A"/>
          <w:szCs w:val="20"/>
        </w:rPr>
        <w:t xml:space="preserve">O prazo previsto para assinatura do contrato ou aceitação da nota de empenho ou instrumento equivalente poderá ser prorrogado </w:t>
      </w:r>
      <w:r>
        <w:rPr>
          <w:rFonts w:cs="Times New Roman"/>
          <w:bCs/>
          <w:color w:val="00000A"/>
        </w:rPr>
        <w:t>1 (uma) vez</w:t>
      </w:r>
      <w:r>
        <w:rPr>
          <w:rFonts w:eastAsia="Arial" w:cs="Arial"/>
          <w:color w:val="00000A"/>
          <w:szCs w:val="20"/>
        </w:rPr>
        <w:t>, por igual período, por solicitação justificada do adjudicatário e aceita pela Administração.</w:t>
      </w:r>
    </w:p>
    <w:p>
      <w:pPr>
        <w:pStyle w:val="Normal"/>
        <w:keepNext/>
        <w:pageBreakBefore w:val="false"/>
        <w:widowControl w:val="false"/>
        <w:numPr>
          <w:ilvl w:val="1"/>
          <w:numId w:val="1"/>
        </w:numPr>
        <w:suppressAutoHyphens w:val="true"/>
        <w:spacing w:lineRule="auto" w:line="240" w:before="120" w:after="120"/>
        <w:ind w:left="425" w:hanging="0"/>
        <w:jc w:val="both"/>
        <w:rPr>
          <w:rFonts w:eastAsia="Arial" w:cs="Arial"/>
          <w:i/>
          <w:i/>
          <w:color w:val="FF0000"/>
          <w:szCs w:val="20"/>
        </w:rPr>
      </w:pPr>
      <w:r>
        <w:rPr>
          <w:rFonts w:eastAsia="Arial" w:cs="Arial"/>
          <w:i/>
          <w:color w:val="00000A"/>
          <w:szCs w:val="20"/>
        </w:rPr>
        <w:t>O Aceite da Nota de Empenho ou do instrumento equivalente, emitida à empresa adjudicada, implica no reconhecimento de que:</w:t>
      </w:r>
    </w:p>
    <w:p>
      <w:pPr>
        <w:pStyle w:val="Normal"/>
        <w:keepNext/>
        <w:pageBreakBefore w:val="false"/>
        <w:widowControl w:val="false"/>
        <w:numPr>
          <w:ilvl w:val="2"/>
          <w:numId w:val="1"/>
        </w:numPr>
        <w:suppressAutoHyphens w:val="true"/>
        <w:spacing w:lineRule="auto" w:line="240" w:before="120" w:after="120"/>
        <w:jc w:val="both"/>
        <w:rPr>
          <w:rFonts w:eastAsia="Arial" w:cs="Arial"/>
          <w:i/>
          <w:i/>
          <w:color w:val="FF0000"/>
          <w:szCs w:val="20"/>
        </w:rPr>
      </w:pPr>
      <w:r>
        <w:rPr>
          <w:rFonts w:eastAsia="Arial" w:cs="Arial"/>
          <w:i/>
          <w:color w:val="00000A"/>
          <w:szCs w:val="20"/>
        </w:rPr>
        <w:t>referida Nota está substituindo o contrato, aplicando-se à relação de negócios ali estabelecida as disposições da Lei nº 14.133, de 2021;</w:t>
      </w:r>
    </w:p>
    <w:p>
      <w:pPr>
        <w:pStyle w:val="Normal"/>
        <w:keepNext/>
        <w:pageBreakBefore w:val="false"/>
        <w:widowControl w:val="false"/>
        <w:numPr>
          <w:ilvl w:val="2"/>
          <w:numId w:val="1"/>
        </w:numPr>
        <w:suppressAutoHyphens w:val="true"/>
        <w:spacing w:lineRule="auto" w:line="240" w:before="120" w:after="120"/>
        <w:jc w:val="both"/>
        <w:rPr>
          <w:rFonts w:eastAsia="Arial" w:cs="Arial"/>
          <w:i/>
          <w:i/>
          <w:color w:val="FF0000"/>
          <w:szCs w:val="20"/>
        </w:rPr>
      </w:pPr>
      <w:r>
        <w:rPr>
          <w:rFonts w:eastAsia="Arial" w:cs="Arial"/>
          <w:i/>
          <w:color w:val="00000A"/>
          <w:szCs w:val="20"/>
        </w:rPr>
        <w:t>a contratada se vincula à sua proposta e às previsões contidas no Aviso de Contratação Direta e seus anexos;</w:t>
      </w:r>
    </w:p>
    <w:p>
      <w:pPr>
        <w:pStyle w:val="Normal"/>
        <w:keepNext/>
        <w:pageBreakBefore w:val="false"/>
        <w:widowControl w:val="false"/>
        <w:numPr>
          <w:ilvl w:val="2"/>
          <w:numId w:val="1"/>
        </w:numPr>
        <w:suppressAutoHyphens w:val="true"/>
        <w:spacing w:lineRule="auto" w:line="240" w:before="120" w:after="120"/>
        <w:jc w:val="both"/>
        <w:rPr>
          <w:rFonts w:eastAsia="Arial" w:cs="Arial"/>
          <w:i/>
          <w:i/>
          <w:color w:val="FF0000"/>
          <w:szCs w:val="20"/>
        </w:rPr>
      </w:pPr>
      <w:r>
        <w:rPr>
          <w:rFonts w:eastAsia="Arial" w:cs="Arial"/>
          <w:i/>
          <w:color w:val="00000A"/>
          <w:szCs w:val="20"/>
        </w:rPr>
        <w:t>a contratada reconhece que as hipóteses de rescisão são aquelas previstas nos artigos 137 e 138 da Lei nº 14.133/21 e reconhece os direitos da Administração previstos nos artigos 137 a 139 da mesma Lei.</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eastAsia="Arial" w:cs="Arial"/>
          <w:color w:val="00000A"/>
          <w:szCs w:val="20"/>
        </w:rPr>
        <w:t xml:space="preserve">O prazo de vigência da contratação é de 12 meses prorrogável conforme previsão nos anexos a este Aviso de Contratação Direta. </w:t>
      </w:r>
    </w:p>
    <w:p>
      <w:pPr>
        <w:pStyle w:val="Normal"/>
        <w:keepNext/>
        <w:pageBreakBefore w:val="false"/>
        <w:widowControl w:val="false"/>
        <w:numPr>
          <w:ilvl w:val="1"/>
          <w:numId w:val="1"/>
        </w:numPr>
        <w:suppressAutoHyphens w:val="true"/>
        <w:spacing w:lineRule="auto" w:line="240" w:before="120" w:after="120"/>
        <w:ind w:left="425" w:hanging="0"/>
        <w:jc w:val="both"/>
        <w:rPr>
          <w:rFonts w:eastAsia="Arial" w:cs="Arial"/>
          <w:color w:val="000000"/>
          <w:szCs w:val="20"/>
        </w:rPr>
      </w:pPr>
      <w:r>
        <w:rPr>
          <w:rFonts w:cs="Arial"/>
          <w:color w:val="00000A"/>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SANÇÕES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b/>
          <w:b/>
        </w:rPr>
      </w:pPr>
      <w:r>
        <w:rPr>
          <w:rFonts w:cs="Arial"/>
          <w:color w:val="00000A"/>
        </w:rPr>
        <w:t xml:space="preserve">Comete infração administrativa o fornecedor que cometer quaisquer das infrações previstas no art. 155 da Lei nº 14.133, de 2021, quais sejam: </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dar causa à inexecução parcial do contrato</w:t>
      </w:r>
      <w:r>
        <w:rPr>
          <w:rFonts w:cs="Arial"/>
          <w:color w:val="00000A"/>
        </w:rPr>
        <w:t>;</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dar causa à inexecução parcial do contrato que cause grave dano à Administração, ao funcionamento dos serviços públicos ou ao interesse coletivo;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dar causa à inexecução total do contrato;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deixar de entregar a documentação exigida para o certame;</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não manter a proposta, salvo em decorrência de fato superveniente devidamente justificado;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não celebrar o contrato ou não entregar a documentação exigida para a contratação, quando convocado dentro do prazo de validade de sua proposta;</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 </w:t>
      </w:r>
      <w:r>
        <w:rPr>
          <w:rFonts w:cs="Arial"/>
          <w:color w:val="00000A"/>
          <w:szCs w:val="20"/>
        </w:rPr>
        <w:t>ensejar o retardamento da execução ou da entrega do objeto da licitação sem motivo justificado;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apresentar declaração ou documentação falsa exigida para o certame ou prestar declaração falsa durante a dispensa eletrônica ou a execução do contrato;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fraudar a dispensa eletrônica ou praticar ato fraudulento na execução do contrato;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 </w:t>
      </w:r>
      <w:r>
        <w:rPr>
          <w:rFonts w:cs="Arial"/>
          <w:color w:val="00000A"/>
          <w:szCs w:val="20"/>
        </w:rPr>
        <w:t>comportar-se de modo inidôneo ou cometer fraude de qualquer natureza;</w:t>
      </w:r>
    </w:p>
    <w:p>
      <w:pPr>
        <w:pStyle w:val="ListParagraph"/>
        <w:keepNext/>
        <w:pageBreakBefore w:val="false"/>
        <w:widowControl w:val="false"/>
        <w:numPr>
          <w:ilvl w:val="3"/>
          <w:numId w:val="1"/>
        </w:numPr>
        <w:suppressAutoHyphens w:val="true"/>
        <w:spacing w:lineRule="auto" w:line="240" w:before="120" w:after="120"/>
        <w:contextualSpacing/>
        <w:jc w:val="both"/>
        <w:rPr>
          <w:rFonts w:cs="Arial"/>
        </w:rPr>
      </w:pPr>
      <w:r>
        <w:rPr>
          <w:rFonts w:cs="Arial"/>
          <w:color w:val="00000A"/>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 </w:t>
      </w:r>
      <w:r>
        <w:rPr>
          <w:rFonts w:cs="Arial"/>
          <w:color w:val="00000A"/>
          <w:szCs w:val="20"/>
        </w:rPr>
        <w:t>praticar atos ilícitos com vistas a frustrar os objetivos deste certame.</w:t>
      </w:r>
    </w:p>
    <w:p>
      <w:pPr>
        <w:pStyle w:val="Normal"/>
        <w:keepNext/>
        <w:pageBreakBefore w:val="false"/>
        <w:widowControl w:val="false"/>
        <w:numPr>
          <w:ilvl w:val="2"/>
          <w:numId w:val="1"/>
        </w:numPr>
        <w:suppressAutoHyphens w:val="true"/>
        <w:spacing w:lineRule="auto" w:line="240" w:before="120" w:after="120"/>
        <w:jc w:val="both"/>
        <w:rPr/>
      </w:pPr>
      <w:r>
        <w:rPr>
          <w:rFonts w:cs="Arial"/>
          <w:color w:val="00000A"/>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A"/>
        </w:rPr>
        <w:t>art. 5º da Lei nº 12.846, de 1º de agosto de 2013.</w:t>
      </w:r>
      <w:r>
        <w:fldChar w:fldCharType="end"/>
      </w:r>
    </w:p>
    <w:p>
      <w:pPr>
        <w:pStyle w:val="Normal"/>
        <w:keepNext/>
        <w:pageBreakBefore w:val="false"/>
        <w:widowControl w:val="false"/>
        <w:numPr>
          <w:ilvl w:val="1"/>
          <w:numId w:val="1"/>
        </w:numPr>
        <w:suppressAutoHyphens w:val="true"/>
        <w:spacing w:lineRule="auto" w:line="240" w:before="120" w:after="120"/>
        <w:ind w:left="425" w:hanging="0"/>
        <w:jc w:val="both"/>
        <w:rPr>
          <w:rFonts w:cs="Arial"/>
          <w:b/>
          <w:b/>
        </w:rPr>
      </w:pPr>
      <w:r>
        <w:rPr>
          <w:rFonts w:cs="Arial"/>
          <w:color w:val="00000A"/>
        </w:rPr>
        <w:t>O fornecedor que cometer qualquer das infrações discriminadas nos subitens anteriores ficará sujeito, sem prejuízo da responsabilidade civil e criminal, às seguintes sanções:</w:t>
      </w:r>
    </w:p>
    <w:p>
      <w:pPr>
        <w:pStyle w:val="Normal"/>
        <w:keepNext/>
        <w:pageBreakBefore w:val="false"/>
        <w:widowControl w:val="false"/>
        <w:numPr>
          <w:ilvl w:val="2"/>
          <w:numId w:val="5"/>
        </w:numPr>
        <w:suppressAutoHyphens w:val="true"/>
        <w:spacing w:lineRule="auto" w:line="240" w:before="120" w:after="120"/>
        <w:jc w:val="both"/>
        <w:rPr>
          <w:rFonts w:cs="Arial"/>
        </w:rPr>
      </w:pPr>
      <w:r>
        <w:rPr>
          <w:rFonts w:cs="Arial"/>
          <w:color w:val="00000A"/>
        </w:rPr>
        <w:t>Advertência pela falta do subitem 8.1.1 deste Aviso de Contratação Direta,</w:t>
      </w:r>
      <w:r>
        <w:rPr>
          <w:color w:val="00000A"/>
        </w:rPr>
        <w:t xml:space="preserve"> </w:t>
      </w:r>
      <w:r>
        <w:rPr>
          <w:rFonts w:cs="Arial"/>
          <w:color w:val="00000A"/>
        </w:rPr>
        <w:t>quando não se justificar a imposição de penalidade mais grave;</w:t>
      </w:r>
    </w:p>
    <w:p>
      <w:pPr>
        <w:pStyle w:val="Normal"/>
        <w:keepNext/>
        <w:pageBreakBefore w:val="false"/>
        <w:widowControl w:val="false"/>
        <w:numPr>
          <w:ilvl w:val="2"/>
          <w:numId w:val="5"/>
        </w:numPr>
        <w:suppressAutoHyphens w:val="true"/>
        <w:spacing w:lineRule="auto" w:line="240" w:before="120" w:after="120"/>
        <w:jc w:val="both"/>
        <w:rPr>
          <w:color w:val="00000A"/>
        </w:rPr>
      </w:pPr>
      <w:r>
        <w:rPr>
          <w:rFonts w:cs="Arial"/>
          <w:color w:val="00000A"/>
        </w:rPr>
        <w:t>Multa de 01% (um por cento) sobre o valor estimado do(s) item(s) prejudicado(s) pela conduta do fornecedor, por qualquer das infrações dos subitens 8.1.1 a 8.1.12;</w:t>
      </w:r>
    </w:p>
    <w:p>
      <w:pPr>
        <w:pStyle w:val="Normal"/>
        <w:keepNext/>
        <w:pageBreakBefore w:val="false"/>
        <w:widowControl w:val="false"/>
        <w:numPr>
          <w:ilvl w:val="2"/>
          <w:numId w:val="5"/>
        </w:numPr>
        <w:suppressAutoHyphens w:val="true"/>
        <w:spacing w:lineRule="auto" w:line="240" w:before="120" w:after="120"/>
        <w:jc w:val="both"/>
        <w:rPr>
          <w:color w:val="00000A"/>
        </w:rPr>
      </w:pPr>
      <w:r>
        <w:rPr>
          <w:rFonts w:cs="Arial"/>
          <w:color w:val="00000A"/>
          <w:szCs w:val="20"/>
        </w:rPr>
        <w:t>Impedimento de licitar e contratar</w:t>
      </w:r>
      <w:r>
        <w:rPr>
          <w:rFonts w:cs="Arial"/>
          <w:color w:val="00000A"/>
        </w:rPr>
        <w:t xml:space="preserve"> </w:t>
      </w:r>
      <w:r>
        <w:rPr>
          <w:rFonts w:cs="Arial"/>
          <w:color w:val="00000A"/>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color w:val="00000A"/>
        </w:rPr>
        <w:t>;</w:t>
      </w:r>
    </w:p>
    <w:p>
      <w:pPr>
        <w:pStyle w:val="Normal"/>
        <w:keepNext/>
        <w:pageBreakBefore w:val="false"/>
        <w:widowControl w:val="false"/>
        <w:numPr>
          <w:ilvl w:val="2"/>
          <w:numId w:val="5"/>
        </w:numPr>
        <w:suppressAutoHyphens w:val="true"/>
        <w:spacing w:lineRule="auto" w:line="240" w:before="120" w:after="120"/>
        <w:jc w:val="both"/>
        <w:rPr>
          <w:rFonts w:cs="Arial"/>
        </w:rPr>
      </w:pPr>
      <w:r>
        <w:rPr>
          <w:rFonts w:cs="Arial"/>
          <w:color w:val="00000A"/>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color w:val="00000A"/>
        </w:rPr>
        <w:t>;</w:t>
      </w:r>
    </w:p>
    <w:p>
      <w:pPr>
        <w:pStyle w:val="Normal"/>
        <w:keepNext/>
        <w:pageBreakBefore w:val="false"/>
        <w:widowControl w:val="false"/>
        <w:numPr>
          <w:ilvl w:val="1"/>
          <w:numId w:val="1"/>
        </w:numPr>
        <w:suppressAutoHyphens w:val="true"/>
        <w:spacing w:lineRule="auto" w:line="240" w:before="120" w:after="120"/>
        <w:jc w:val="both"/>
        <w:rPr>
          <w:rFonts w:cs="Arial"/>
          <w:bCs/>
        </w:rPr>
      </w:pPr>
      <w:r>
        <w:rPr>
          <w:rFonts w:cs="Arial"/>
          <w:bCs/>
          <w:color w:val="00000A"/>
        </w:rPr>
        <w:t>Na aplicação das sanções serão considerados:</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 natureza e a gravidade da infração cometida;</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as peculiaridades do caso concreto;</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as circunstâncias agravantes ou atenuantes;</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os danos que dela provierem para a Administração Pública;</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 implantação ou o aperfeiçoamento de programa de integridade, conforme normas e orientações dos órgãos de controle.</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bookmarkStart w:id="2" w:name="art156§8"/>
      <w:bookmarkStart w:id="3" w:name="art156§7"/>
      <w:bookmarkStart w:id="4" w:name="art156§6"/>
      <w:bookmarkEnd w:id="2"/>
      <w:bookmarkEnd w:id="3"/>
      <w:bookmarkEnd w:id="4"/>
      <w:r>
        <w:rPr>
          <w:rFonts w:cs="Arial"/>
          <w:color w:val="00000A"/>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bookmarkStart w:id="5" w:name="art156§9"/>
      <w:bookmarkEnd w:id="5"/>
      <w:r>
        <w:rPr>
          <w:rFonts w:cs="Arial"/>
          <w:color w:val="00000A"/>
        </w:rPr>
        <w:t>A aplicação das sanções previstas neste Aviso de Contratação Direta, em hipótese alguma, a obrigação de reparação integral do dano causado à Administração Pública.</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 penalidade de multa pode ser aplicada cumulativamente com as demais sanções.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As sanções por atos praticados no decorrer da contratação estão previstas nos anexos a este Aviso.</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DAS DISPOSIÇÕES GERAIS</w:t>
      </w:r>
    </w:p>
    <w:p>
      <w:pPr>
        <w:pStyle w:val="Normal"/>
        <w:keepNext/>
        <w:pageBreakBefore w:val="false"/>
        <w:widowControl w:val="false"/>
        <w:numPr>
          <w:ilvl w:val="1"/>
          <w:numId w:val="1"/>
        </w:numPr>
        <w:suppressAutoHyphens w:val="true"/>
        <w:snapToGrid w:val="false"/>
        <w:spacing w:lineRule="auto" w:line="240" w:before="120" w:after="120"/>
        <w:ind w:left="425" w:hanging="0"/>
        <w:jc w:val="both"/>
        <w:rPr>
          <w:rFonts w:cs="Arial"/>
          <w:szCs w:val="20"/>
        </w:rPr>
      </w:pPr>
      <w:r>
        <w:rPr>
          <w:color w:val="00000A"/>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No caso de todos os fornecedores restarem desclassificados ou inabilitados (procedimento fracassado), a Administração poderá:</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republicar o presente aviso com uma nova data;</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keepNext/>
        <w:pageBreakBefore w:val="false"/>
        <w:widowControl w:val="false"/>
        <w:numPr>
          <w:ilvl w:val="3"/>
          <w:numId w:val="1"/>
        </w:numPr>
        <w:suppressAutoHyphens w:val="true"/>
        <w:spacing w:lineRule="auto" w:line="240" w:before="120" w:after="120"/>
        <w:jc w:val="both"/>
        <w:rPr>
          <w:rFonts w:cs="Arial"/>
          <w:color w:val="000000"/>
          <w:szCs w:val="20"/>
        </w:rPr>
      </w:pPr>
      <w:r>
        <w:rPr>
          <w:rFonts w:cs="Arial"/>
          <w:color w:val="00000A"/>
          <w:szCs w:val="20"/>
        </w:rPr>
        <w:t>No caso do subitem anterior, a contratação será operacionalizada fora deste procedimento.</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fixar prazo para que possa haver adequação das propostas ou da documentação de habilitação, conforme o caso.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As providências dos subitens 9.2.1 e 9.2.2 acima poderão ser utilizadas se não houver o comparecimento de quaisquer fornecedores interessados (procedimento deserto)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Caberá ao fornecedor acompanhar as operações, ficando responsável pelo ônus decorrente da perda do negócio diante da inobservância de quaisquer mensagens emitidas pela Administração ou de sua desconexão.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themeColor="text1"/>
          <w:szCs w:val="20"/>
        </w:rPr>
      </w:pPr>
      <w:r>
        <w:rPr>
          <w:rFonts w:cs="Arial"/>
          <w:color w:val="00000A"/>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Em caso de divergência entre disposições deste Aviso de Contratação Direta e de seus anexos ou demais peças que compõem o processo, prevalecerá as deste Aviso.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Da sessão pública será divulgada Ata no sistema eletrônico.</w:t>
      </w:r>
    </w:p>
    <w:p>
      <w:pPr>
        <w:pStyle w:val="Normal"/>
        <w:keepNext/>
        <w:pageBreakBefore w:val="false"/>
        <w:widowControl w:val="false"/>
        <w:numPr>
          <w:ilvl w:val="1"/>
          <w:numId w:val="1"/>
        </w:numPr>
        <w:suppressAutoHyphens w:val="true"/>
        <w:spacing w:lineRule="auto" w:line="240" w:before="120" w:after="120"/>
        <w:ind w:left="425" w:hanging="0"/>
        <w:jc w:val="both"/>
        <w:rPr/>
      </w:pPr>
      <w:r>
        <w:rPr>
          <w:rFonts w:cs="Arial"/>
          <w:color w:val="00000A"/>
          <w:szCs w:val="20"/>
        </w:rPr>
        <w:t>Integram este Aviso de Contratação Direta, para todos os fins e efeitos, os seguintes anexos:</w:t>
      </w:r>
    </w:p>
    <w:p>
      <w:pPr>
        <w:pStyle w:val="Normal"/>
        <w:keepNext/>
        <w:pageBreakBefore w:val="false"/>
        <w:widowControl w:val="false"/>
        <w:numPr>
          <w:ilvl w:val="0"/>
          <w:numId w:val="0"/>
        </w:numPr>
        <w:suppressAutoHyphens w:val="true"/>
        <w:spacing w:lineRule="auto" w:line="240" w:before="120" w:after="120"/>
        <w:ind w:left="425" w:hanging="0"/>
        <w:jc w:val="both"/>
        <w:rPr>
          <w:rFonts w:cs="Arial"/>
          <w:color w:val="000000"/>
          <w:szCs w:val="20"/>
        </w:rPr>
      </w:pPr>
      <w:r>
        <w:rPr>
          <w:rFonts w:cs="Arial"/>
          <w:color w:val="000000"/>
          <w:szCs w:val="20"/>
        </w:rPr>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ANEXO I – Documentação exigida para Habilitação</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ANEXO II - Termo de Referência;</w:t>
      </w:r>
    </w:p>
    <w:p>
      <w:pPr>
        <w:pStyle w:val="Normal"/>
        <w:keepNext/>
        <w:pageBreakBefore w:val="false"/>
        <w:widowControl w:val="false"/>
        <w:numPr>
          <w:ilvl w:val="0"/>
          <w:numId w:val="0"/>
        </w:numPr>
        <w:suppressAutoHyphens w:val="true"/>
        <w:spacing w:lineRule="auto" w:line="240" w:before="120" w:after="120"/>
        <w:ind w:left="1728" w:hanging="0"/>
        <w:jc w:val="both"/>
        <w:rPr>
          <w:rFonts w:cs="Arial"/>
          <w:i/>
          <w:i/>
          <w:iCs/>
          <w:color w:val="FF0000"/>
          <w:szCs w:val="20"/>
        </w:rPr>
      </w:pPr>
      <w:r>
        <w:rPr>
          <w:rFonts w:cs="Arial"/>
          <w:i/>
          <w:iCs/>
          <w:color w:val="FF0000"/>
          <w:szCs w:val="20"/>
        </w:rPr>
      </w:r>
    </w:p>
    <w:p>
      <w:pPr>
        <w:pStyle w:val="Normal"/>
        <w:keepNext/>
        <w:pageBreakBefore w:val="false"/>
        <w:widowControl w:val="false"/>
        <w:numPr>
          <w:ilvl w:val="0"/>
          <w:numId w:val="0"/>
        </w:numPr>
        <w:suppressAutoHyphens w:val="true"/>
        <w:spacing w:lineRule="auto" w:line="240" w:before="120" w:after="120"/>
        <w:ind w:left="0" w:hanging="0"/>
        <w:jc w:val="both"/>
        <w:rPr>
          <w:rFonts w:cs="Arial"/>
          <w:i/>
          <w:i/>
          <w:iCs/>
          <w:szCs w:val="20"/>
        </w:rPr>
      </w:pPr>
      <w:r>
        <w:rPr>
          <w:rFonts w:cs="Arial"/>
          <w:i/>
          <w:iCs/>
          <w:szCs w:val="20"/>
        </w:rPr>
      </w:r>
    </w:p>
    <w:p>
      <w:pPr>
        <w:pStyle w:val="Normal"/>
        <w:keepNext/>
        <w:pageBreakBefore w:val="false"/>
        <w:widowControl w:val="false"/>
        <w:suppressAutoHyphens w:val="true"/>
        <w:spacing w:lineRule="auto" w:line="240" w:before="0" w:after="120"/>
        <w:ind w:left="360" w:right="0" w:hanging="0"/>
        <w:jc w:val="both"/>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before="0" w:after="120"/>
        <w:ind w:left="360" w:right="0" w:hanging="0"/>
        <w:jc w:val="both"/>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before="0" w:after="120"/>
        <w:ind w:left="360" w:right="0" w:hanging="0"/>
        <w:jc w:val="center"/>
        <w:rPr/>
      </w:pPr>
      <w:r>
        <w:rPr>
          <w:rFonts w:cs="Arial"/>
          <w:color w:val="00000A"/>
          <w:szCs w:val="20"/>
        </w:rPr>
        <w:t xml:space="preserve">Porto Velho/RO, </w:t>
      </w:r>
      <w:r>
        <w:rPr>
          <w:rFonts w:eastAsia="Times New Roman" w:cs="Arial"/>
          <w:color w:val="00000A"/>
          <w:sz w:val="20"/>
          <w:szCs w:val="20"/>
          <w:lang w:val="pt-BR" w:eastAsia="pt-BR" w:bidi="ar-SA"/>
        </w:rPr>
        <w:t>10</w:t>
      </w:r>
      <w:r>
        <w:rPr>
          <w:rFonts w:cs="Arial"/>
          <w:color w:val="00000A"/>
          <w:szCs w:val="20"/>
        </w:rPr>
        <w:t xml:space="preserve"> de maio de 2022.</w:t>
      </w:r>
    </w:p>
    <w:p>
      <w:pPr>
        <w:pStyle w:val="Normal"/>
        <w:keepNext/>
        <w:pageBreakBefore w:val="false"/>
        <w:widowControl w:val="false"/>
        <w:suppressAutoHyphens w:val="true"/>
        <w:spacing w:lineRule="auto" w:line="240"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40"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40"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40"/>
        <w:jc w:val="center"/>
        <w:rPr>
          <w:color w:val="00000A"/>
        </w:rPr>
      </w:pPr>
      <w:r>
        <w:rPr>
          <w:rFonts w:cs="Arial"/>
          <w:b/>
          <w:bCs/>
          <w:iCs/>
          <w:color w:val="00000A"/>
          <w:szCs w:val="20"/>
        </w:rPr>
        <w:t>SÉRGIO RICARDO LOBO LOUREIRO – Cel</w:t>
      </w:r>
    </w:p>
    <w:p>
      <w:pPr>
        <w:pStyle w:val="Normal"/>
        <w:keepNext/>
        <w:pageBreakBefore w:val="false"/>
        <w:widowControl w:val="false"/>
        <w:suppressAutoHyphens w:val="true"/>
        <w:spacing w:lineRule="auto" w:line="240"/>
        <w:jc w:val="center"/>
        <w:rPr>
          <w:b w:val="false"/>
          <w:b w:val="false"/>
          <w:bCs w:val="false"/>
          <w:color w:val="00000A"/>
        </w:rPr>
      </w:pPr>
      <w:r>
        <w:rPr>
          <w:rFonts w:cs="Arial"/>
          <w:b w:val="false"/>
          <w:bCs w:val="false"/>
          <w:iCs/>
          <w:color w:val="00000A"/>
          <w:szCs w:val="20"/>
        </w:rPr>
        <w:t>Ordenador de Despesas do HGuPV</w:t>
      </w:r>
    </w:p>
    <w:p>
      <w:pPr>
        <w:pStyle w:val="Normal"/>
        <w:keepNext/>
        <w:pageBreakBefore w:val="false"/>
        <w:widowControl w:val="false"/>
        <w:suppressAutoHyphens w:val="true"/>
        <w:spacing w:lineRule="auto" w:line="240"/>
        <w:rPr>
          <w:rFonts w:cs="Arial"/>
          <w:color w:val="00000A"/>
          <w:lang w:eastAsia="en-US"/>
        </w:rPr>
      </w:pPr>
      <w:r>
        <w:rPr>
          <w:rFonts w:cs="Arial"/>
          <w:color w:val="00000A"/>
          <w:lang w:eastAsia="en-US"/>
        </w:rPr>
      </w:r>
    </w:p>
    <w:p>
      <w:pPr>
        <w:pStyle w:val="Normal"/>
        <w:keepNext/>
        <w:pageBreakBefore w:val="false"/>
        <w:widowControl w:val="false"/>
        <w:suppressAutoHyphens w:val="true"/>
        <w:spacing w:lineRule="auto" w:line="240"/>
        <w:jc w:val="center"/>
        <w:rPr>
          <w:rFonts w:cs="Arial"/>
          <w:b/>
          <w:b/>
          <w:bCs/>
          <w:color w:val="00000A"/>
          <w:lang w:eastAsia="en-US"/>
        </w:rPr>
      </w:pPr>
      <w:r>
        <w:rPr>
          <w:rFonts w:cs="Arial"/>
          <w:b/>
          <w:bCs/>
          <w:color w:val="00000A"/>
          <w:lang w:eastAsia="en-US"/>
        </w:rPr>
      </w:r>
    </w:p>
    <w:p>
      <w:pPr>
        <w:pStyle w:val="Normal"/>
        <w:keepNext/>
        <w:pageBreakBefore w:val="false"/>
        <w:widowControl w:val="false"/>
        <w:suppressAutoHyphens w:val="true"/>
        <w:spacing w:lineRule="auto" w:line="240"/>
        <w:jc w:val="center"/>
        <w:rPr>
          <w:rFonts w:cs="Arial"/>
          <w:b/>
          <w:b/>
          <w:bCs/>
          <w:color w:val="00000A"/>
          <w:lang w:eastAsia="en-US"/>
        </w:rPr>
      </w:pPr>
      <w:r>
        <w:rPr>
          <w:rFonts w:cs="Arial"/>
          <w:b/>
          <w:bCs/>
          <w:color w:val="00000A"/>
          <w:lang w:eastAsia="en-US"/>
        </w:rPr>
      </w:r>
    </w:p>
    <w:p>
      <w:pPr>
        <w:pStyle w:val="Normal"/>
        <w:keepNext/>
        <w:pageBreakBefore w:val="false"/>
        <w:widowControl w:val="false"/>
        <w:suppressAutoHyphens w:val="true"/>
        <w:spacing w:lineRule="auto" w:line="240"/>
        <w:jc w:val="center"/>
        <w:rPr>
          <w:rFonts w:cs="Arial"/>
          <w:b/>
          <w:b/>
          <w:bCs/>
          <w:color w:val="00000A"/>
          <w:lang w:eastAsia="en-US"/>
        </w:rPr>
      </w:pPr>
      <w:r>
        <w:rPr>
          <w:rFonts w:cs="Arial"/>
          <w:b/>
          <w:bCs/>
          <w:color w:val="00000A"/>
          <w:lang w:eastAsia="en-US"/>
        </w:rPr>
      </w:r>
    </w:p>
    <w:p>
      <w:pPr>
        <w:pStyle w:val="Normal"/>
        <w:keepNext/>
        <w:pageBreakBefore w:val="false"/>
        <w:widowControl w:val="false"/>
        <w:suppressAutoHyphens w:val="true"/>
        <w:spacing w:lineRule="auto" w:line="240"/>
        <w:jc w:val="center"/>
        <w:rPr>
          <w:rFonts w:cs="Arial"/>
          <w:b/>
          <w:b/>
          <w:bCs/>
          <w:color w:val="00000A"/>
          <w:lang w:eastAsia="en-US"/>
        </w:rPr>
      </w:pPr>
      <w:r>
        <w:rPr>
          <w:rFonts w:cs="Arial"/>
          <w:b/>
          <w:bCs/>
          <w:color w:val="00000A"/>
          <w:lang w:eastAsia="en-US"/>
        </w:rPr>
      </w:r>
    </w:p>
    <w:p>
      <w:pPr>
        <w:pStyle w:val="Normal"/>
        <w:keepNext/>
        <w:pageBreakBefore w:val="false"/>
        <w:widowControl w:val="false"/>
        <w:suppressAutoHyphens w:val="true"/>
        <w:spacing w:lineRule="auto" w:line="240"/>
        <w:jc w:val="center"/>
        <w:rPr>
          <w:rFonts w:cs="Arial"/>
          <w:b/>
          <w:b/>
          <w:bCs/>
          <w:color w:val="00000A"/>
          <w:lang w:eastAsia="en-US"/>
        </w:rPr>
      </w:pPr>
      <w:r>
        <w:rPr>
          <w:rFonts w:cs="Arial"/>
          <w:b/>
          <w:bCs/>
          <w:color w:val="00000A"/>
          <w:lang w:eastAsia="en-US"/>
        </w:rPr>
      </w:r>
    </w:p>
    <w:p>
      <w:pPr>
        <w:pStyle w:val="Normal"/>
        <w:keepNext/>
        <w:pageBreakBefore w:val="false"/>
        <w:widowControl w:val="false"/>
        <w:suppressAutoHyphens w:val="true"/>
        <w:spacing w:lineRule="auto" w:line="240"/>
        <w:jc w:val="center"/>
        <w:rPr>
          <w:rFonts w:cs="Arial"/>
          <w:b/>
          <w:b/>
          <w:bCs/>
          <w:lang w:eastAsia="en-US"/>
        </w:rPr>
      </w:pPr>
      <w:r>
        <w:rPr>
          <w:rFonts w:cs="Arial"/>
          <w:b/>
          <w:bCs/>
          <w:color w:val="00000A"/>
          <w:lang w:eastAsia="en-US"/>
        </w:rPr>
        <w:t>ANEXO I – DOCUMENTAÇÃO EXIGIDA PARA HABILITAÇÃO</w:t>
      </w:r>
    </w:p>
    <w:p>
      <w:pPr>
        <w:pStyle w:val="Normal"/>
        <w:keepNext/>
        <w:pageBreakBefore w:val="false"/>
        <w:widowControl w:val="false"/>
        <w:suppressAutoHyphens w:val="true"/>
        <w:spacing w:lineRule="auto" w:line="240"/>
        <w:rPr>
          <w:rFonts w:cs="Arial"/>
          <w:color w:val="00000A"/>
          <w:lang w:eastAsia="en-US"/>
        </w:rPr>
      </w:pPr>
      <w:r>
        <w:rPr>
          <w:rFonts w:cs="Arial"/>
          <w:color w:val="00000A"/>
          <w:lang w:eastAsia="en-US"/>
        </w:rPr>
      </w:r>
    </w:p>
    <w:p>
      <w:pPr>
        <w:pStyle w:val="PADRO"/>
        <w:keepNext/>
        <w:pageBreakBefore w:val="false"/>
        <w:widowControl w:val="false"/>
        <w:numPr>
          <w:ilvl w:val="0"/>
          <w:numId w:val="3"/>
        </w:numPr>
        <w:shd w:val="clear" w:fill="FFFFFF"/>
        <w:suppressAutoHyphens w:val="true"/>
        <w:spacing w:lineRule="auto" w:line="240" w:before="120" w:after="120"/>
        <w:rPr>
          <w:color w:val="00000A"/>
        </w:rPr>
      </w:pPr>
      <w:r>
        <w:rPr>
          <w:rFonts w:cs="Arial" w:ascii="Arial" w:hAnsi="Arial"/>
          <w:b/>
          <w:bCs/>
          <w:color w:val="00000A"/>
          <w:szCs w:val="20"/>
        </w:rPr>
        <w:t xml:space="preserve">Habilitação jurídica: </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rPr>
        <w:t>no caso de empresário individual, inscrição no Registro Público de Empresas Mercantis, a cargo da Junta Comercial da respectiva sede;</w:t>
      </w:r>
    </w:p>
    <w:p>
      <w:pPr>
        <w:pStyle w:val="ListParagraph"/>
        <w:keepNext/>
        <w:pageBreakBefore w:val="false"/>
        <w:widowControl w:val="false"/>
        <w:numPr>
          <w:ilvl w:val="1"/>
          <w:numId w:val="3"/>
        </w:numPr>
        <w:tabs>
          <w:tab w:val="left" w:pos="1440" w:leader="none"/>
        </w:tabs>
        <w:suppressAutoHyphens w:val="true"/>
        <w:snapToGrid w:val="false"/>
        <w:spacing w:lineRule="auto" w:line="240" w:before="120" w:after="120"/>
        <w:contextualSpacing/>
        <w:jc w:val="both"/>
        <w:rPr>
          <w:rFonts w:cs="Arial"/>
          <w:color w:val="000000"/>
          <w:szCs w:val="20"/>
        </w:rPr>
      </w:pPr>
      <w:r>
        <w:rPr>
          <w:rFonts w:cs="Arial"/>
          <w:color w:val="00000A"/>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color w:val="000000"/>
          <w:szCs w:val="20"/>
        </w:rPr>
      </w:pPr>
      <w:r>
        <w:rPr>
          <w:rFonts w:cs="Arial"/>
          <w:color w:val="00000A"/>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color w:val="000000"/>
          <w:szCs w:val="20"/>
        </w:rPr>
      </w:pPr>
      <w:r>
        <w:rPr>
          <w:rFonts w:cs="Arial"/>
          <w:color w:val="00000A"/>
          <w:szCs w:val="20"/>
        </w:rPr>
        <w:t>inscrição no Registro Público de Empresas Mercantis onde opera, com averbação no Registro onde tem sede a matriz, no caso de ser o participante sucursal, filial ou agência;</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rPr>
        <w:t>No caso de sociedade simples: inscrição do ato constitutivo no Registro Civil das Pessoas Jurídicas do local de sua sede, acompanhada de prova da indicação dos seus administradores;</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color w:val="000000"/>
          <w:szCs w:val="20"/>
        </w:rPr>
      </w:pPr>
      <w:r>
        <w:rPr>
          <w:rFonts w:cs="Arial"/>
          <w:color w:val="00000A"/>
          <w:szCs w:val="20"/>
        </w:rPr>
        <w:t>decreto de autorização, em se tratando de sociedade empresária estrangeira em funcionamento no País;</w:t>
      </w:r>
    </w:p>
    <w:p>
      <w:pPr>
        <w:pStyle w:val="ListParagraph"/>
        <w:keepNext/>
        <w:pageBreakBefore w:val="false"/>
        <w:widowControl w:val="false"/>
        <w:numPr>
          <w:ilvl w:val="1"/>
          <w:numId w:val="3"/>
        </w:numPr>
        <w:suppressAutoHyphens w:val="true"/>
        <w:spacing w:lineRule="auto" w:line="240" w:before="120" w:after="120"/>
        <w:contextualSpacing/>
        <w:jc w:val="both"/>
        <w:rPr>
          <w:color w:val="00000A"/>
        </w:rPr>
      </w:pPr>
      <w:r>
        <w:rPr>
          <w:rFonts w:cs="Arial"/>
          <w:bCs/>
          <w:color w:val="00000A"/>
          <w:szCs w:val="20"/>
        </w:rPr>
        <w:t>Os documentos acima deverão estar acompanhados de todas as alterações ou da consolidação respectiva.</w:t>
      </w:r>
    </w:p>
    <w:p>
      <w:pPr>
        <w:pStyle w:val="ListParagraph"/>
        <w:keepNext/>
        <w:pageBreakBefore w:val="false"/>
        <w:widowControl w:val="false"/>
        <w:suppressAutoHyphens w:val="true"/>
        <w:spacing w:lineRule="auto" w:line="240" w:before="120" w:after="120"/>
        <w:ind w:left="1134" w:hanging="0"/>
        <w:contextualSpacing/>
        <w:jc w:val="both"/>
        <w:rPr>
          <w:rFonts w:cs="Arial"/>
          <w:bCs/>
          <w:color w:val="00000A"/>
          <w:szCs w:val="20"/>
        </w:rPr>
      </w:pPr>
      <w:r>
        <w:rPr>
          <w:rFonts w:cs="Arial"/>
          <w:bCs/>
          <w:color w:val="00000A"/>
          <w:szCs w:val="20"/>
        </w:rPr>
      </w:r>
    </w:p>
    <w:p>
      <w:pPr>
        <w:pStyle w:val="PADRO"/>
        <w:keepNext/>
        <w:pageBreakBefore w:val="false"/>
        <w:widowControl w:val="false"/>
        <w:numPr>
          <w:ilvl w:val="0"/>
          <w:numId w:val="3"/>
        </w:numPr>
        <w:shd w:val="clear" w:fill="FFFFFF"/>
        <w:suppressAutoHyphens w:val="true"/>
        <w:spacing w:lineRule="auto" w:line="240" w:before="120" w:after="120"/>
        <w:rPr>
          <w:rFonts w:ascii="Arial" w:hAnsi="Arial" w:cs="Arial"/>
          <w:szCs w:val="20"/>
        </w:rPr>
      </w:pPr>
      <w:r>
        <w:rPr>
          <w:rFonts w:cs="Arial" w:ascii="Arial" w:hAnsi="Arial"/>
          <w:b/>
          <w:bCs/>
          <w:color w:val="00000A"/>
          <w:szCs w:val="20"/>
        </w:rPr>
        <w:t xml:space="preserve"> </w:t>
      </w:r>
      <w:r>
        <w:rPr>
          <w:rFonts w:cs="Arial" w:ascii="Arial" w:hAnsi="Arial"/>
          <w:b/>
          <w:bCs/>
          <w:color w:val="00000A"/>
          <w:szCs w:val="20"/>
        </w:rPr>
        <w:t>Regularidade fiscal, social e trabalhista:</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lang w:eastAsia="en-US"/>
        </w:rPr>
        <w:t>prova de inscrição no Cadastro Nacional de Pessoas Jurídicas ou no Cadastro de Pessoas Físicas, conforme o caso;</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color w:val="000000"/>
          <w:szCs w:val="20"/>
        </w:rPr>
      </w:pPr>
      <w:r>
        <w:rPr>
          <w:rFonts w:cs="Arial"/>
          <w:color w:val="00000A"/>
          <w:szCs w:val="20"/>
          <w:lang w:eastAsia="en-US"/>
        </w:rPr>
        <w:t>prova de regularidade com o Fundo de Garantia do Tempo de Serviço (FGTS);</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szCs w:val="20"/>
        </w:rPr>
      </w:pPr>
      <w:r>
        <w:rPr>
          <w:rFonts w:cs="Arial"/>
          <w:color w:val="00000A"/>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bCs/>
          <w:szCs w:val="20"/>
        </w:rPr>
      </w:pPr>
      <w:r>
        <w:rPr>
          <w:rFonts w:cs="Arial"/>
          <w:bCs/>
          <w:color w:val="00000A"/>
          <w:szCs w:val="20"/>
        </w:rPr>
        <w:t xml:space="preserve">prova de </w:t>
      </w:r>
      <w:r>
        <w:rPr>
          <w:rFonts w:cs="Arial"/>
          <w:color w:val="00000A"/>
          <w:szCs w:val="20"/>
        </w:rPr>
        <w:t xml:space="preserve">inscrição no cadastro de contribuintes </w:t>
      </w:r>
      <w:r>
        <w:rPr>
          <w:rFonts w:cs="Arial"/>
          <w:i/>
          <w:iCs/>
          <w:color w:val="00000A"/>
          <w:szCs w:val="20"/>
        </w:rPr>
        <w:t>estadual e/ou municipal</w:t>
      </w:r>
      <w:r>
        <w:rPr>
          <w:rFonts w:cs="Arial"/>
          <w:color w:val="00000A"/>
          <w:szCs w:val="20"/>
        </w:rPr>
        <w:t>, relativo ao domicílio ou sede do fornecedor, pertinente ao seu ramo de atividade e compatível com o objeto contratual</w:t>
      </w:r>
      <w:r>
        <w:rPr>
          <w:rFonts w:cs="Arial"/>
          <w:bCs/>
          <w:color w:val="00000A"/>
          <w:szCs w:val="20"/>
        </w:rPr>
        <w:t xml:space="preserve">; </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b/>
          <w:b/>
          <w:szCs w:val="20"/>
        </w:rPr>
      </w:pPr>
      <w:r>
        <w:rPr>
          <w:rFonts w:cs="Arial"/>
          <w:color w:val="00000A"/>
          <w:szCs w:val="20"/>
        </w:rPr>
        <w:t xml:space="preserve">prova de regularidade com a Fazenda </w:t>
      </w:r>
      <w:r>
        <w:rPr>
          <w:rFonts w:cs="Arial"/>
          <w:i/>
          <w:iCs/>
          <w:color w:val="00000A"/>
          <w:szCs w:val="20"/>
        </w:rPr>
        <w:t>Estadual e/ou Municipal</w:t>
      </w:r>
      <w:r>
        <w:rPr>
          <w:rFonts w:cs="Arial"/>
          <w:color w:val="00000A"/>
          <w:szCs w:val="20"/>
        </w:rPr>
        <w:t xml:space="preserve"> do domicílio ou sede do fornecedor, relativa à atividade em cujo exercício contrata ou concorre; </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color w:val="00000A"/>
        </w:rPr>
      </w:pPr>
      <w:r>
        <w:rPr>
          <w:rFonts w:cs="Arial"/>
          <w:color w:val="00000A"/>
          <w:szCs w:val="20"/>
        </w:rPr>
        <w:t xml:space="preserve">caso o fornecedor seja considerado isento dos tributos </w:t>
      </w:r>
      <w:r>
        <w:rPr>
          <w:rFonts w:cs="Arial"/>
          <w:i/>
          <w:color w:val="00000A"/>
          <w:szCs w:val="20"/>
        </w:rPr>
        <w:t xml:space="preserve">estaduais </w:t>
      </w:r>
      <w:r>
        <w:rPr>
          <w:rFonts w:cs="Arial"/>
          <w:b/>
          <w:i/>
          <w:color w:val="00000A"/>
          <w:szCs w:val="20"/>
          <w:u w:val="single"/>
        </w:rPr>
        <w:t>ou</w:t>
      </w:r>
      <w:r>
        <w:rPr>
          <w:rFonts w:cs="Arial"/>
          <w:i/>
          <w:color w:val="00000A"/>
          <w:szCs w:val="20"/>
        </w:rPr>
        <w:t xml:space="preserve"> municipais</w:t>
      </w:r>
      <w:r>
        <w:rPr>
          <w:rFonts w:cs="Arial"/>
          <w:color w:val="00000A"/>
          <w:szCs w:val="20"/>
        </w:rPr>
        <w:t xml:space="preserve"> relacionados ao objeto contratual, deverá comprovar tal condição mediante a apresentação de declaração da Fazenda respectiva do seu domicílio ou sede, ou outra equivalente, na forma da lei; </w:t>
      </w:r>
    </w:p>
    <w:p>
      <w:pPr>
        <w:pStyle w:val="PADRO"/>
        <w:keepNext/>
        <w:pageBreakBefore w:val="false"/>
        <w:widowControl w:val="false"/>
        <w:numPr>
          <w:ilvl w:val="0"/>
          <w:numId w:val="3"/>
        </w:numPr>
        <w:shd w:val="clear" w:fill="FFFFFF"/>
        <w:suppressAutoHyphens w:val="true"/>
        <w:spacing w:before="120" w:after="120"/>
        <w:rPr>
          <w:rFonts w:ascii="Arial" w:hAnsi="Arial" w:cs="Arial"/>
          <w:szCs w:val="20"/>
        </w:rPr>
      </w:pPr>
      <w:r>
        <w:rPr>
          <w:rFonts w:cs="Arial" w:ascii="Arial" w:hAnsi="Arial"/>
          <w:b/>
          <w:color w:val="00000A"/>
          <w:szCs w:val="20"/>
        </w:rPr>
        <w:t>Qualificação Econômico-Financeira:</w:t>
      </w:r>
      <w:r>
        <w:rPr>
          <w:rFonts w:cs="Arial" w:ascii="Arial" w:hAnsi="Arial"/>
          <w:b/>
          <w:bCs/>
          <w:iCs/>
          <w:color w:val="00000A"/>
          <w:szCs w:val="20"/>
        </w:rPr>
        <w:t xml:space="preserve"> </w:t>
      </w:r>
    </w:p>
    <w:p>
      <w:pPr>
        <w:pStyle w:val="ListParagraph"/>
        <w:keepNext/>
        <w:pageBreakBefore w:val="false"/>
        <w:widowControl w:val="false"/>
        <w:numPr>
          <w:ilvl w:val="1"/>
          <w:numId w:val="3"/>
        </w:numPr>
        <w:tabs>
          <w:tab w:val="left" w:pos="1440" w:leader="none"/>
        </w:tabs>
        <w:suppressAutoHyphens w:val="true"/>
        <w:snapToGrid w:val="false"/>
        <w:spacing w:lineRule="auto" w:line="276" w:before="120" w:after="120"/>
        <w:contextualSpacing/>
        <w:jc w:val="both"/>
        <w:rPr>
          <w:color w:val="00000A"/>
        </w:rPr>
      </w:pPr>
      <w:r>
        <w:rPr>
          <w:rFonts w:cs="Arial"/>
          <w:color w:val="00000A"/>
          <w:szCs w:val="20"/>
        </w:rPr>
        <w:t>certidão negativa de falência expedida pelo distribuidor da sede do fornecedor;</w:t>
      </w:r>
    </w:p>
    <w:p>
      <w:pPr>
        <w:pStyle w:val="Normal"/>
        <w:keepNext/>
        <w:pageBreakBefore w:val="false"/>
        <w:widowControl w:val="false"/>
        <w:tabs>
          <w:tab w:val="left" w:pos="1440" w:leader="none"/>
        </w:tabs>
        <w:suppressAutoHyphens w:val="true"/>
        <w:snapToGrid w:val="false"/>
        <w:spacing w:lineRule="auto" w:line="276" w:before="120" w:after="120"/>
        <w:jc w:val="both"/>
        <w:rPr>
          <w:rFonts w:cs="Arial"/>
          <w:color w:val="00000A"/>
          <w:lang w:eastAsia="en-US"/>
        </w:rPr>
      </w:pPr>
      <w:r>
        <w:rPr>
          <w:rFonts w:cs="Arial"/>
          <w:color w:val="00000A"/>
          <w:lang w:eastAsia="en-US"/>
        </w:rPr>
      </w:r>
    </w:p>
    <w:p>
      <w:pPr>
        <w:pStyle w:val="Normal"/>
        <w:keepNext/>
        <w:pageBreakBefore w:val="false"/>
        <w:widowControl w:val="false"/>
        <w:suppressAutoHyphens w:val="true"/>
        <w:spacing w:lineRule="auto" w:line="276" w:before="0" w:after="120"/>
        <w:ind w:left="360" w:right="0" w:hanging="0"/>
        <w:jc w:val="center"/>
        <w:rPr/>
      </w:pPr>
      <w:r>
        <w:rPr>
          <w:rFonts w:cs="Arial"/>
          <w:color w:val="00000A"/>
          <w:szCs w:val="20"/>
        </w:rPr>
        <w:t xml:space="preserve">Porto Velho/RO, </w:t>
      </w:r>
      <w:r>
        <w:rPr>
          <w:rFonts w:eastAsia="Times New Roman" w:cs="Arial"/>
          <w:color w:val="00000A"/>
          <w:sz w:val="20"/>
          <w:szCs w:val="20"/>
          <w:lang w:val="pt-BR" w:eastAsia="pt-BR" w:bidi="ar-SA"/>
        </w:rPr>
        <w:t>10</w:t>
      </w:r>
      <w:r>
        <w:rPr>
          <w:rFonts w:cs="Arial"/>
          <w:color w:val="00000A"/>
          <w:szCs w:val="20"/>
        </w:rPr>
        <w:t xml:space="preserve"> de maio de 2022.</w:t>
      </w:r>
    </w:p>
    <w:p>
      <w:pPr>
        <w:pStyle w:val="Normal"/>
        <w:keepNext/>
        <w:pageBreakBefore w:val="false"/>
        <w:widowControl w:val="false"/>
        <w:suppressAutoHyphens w:val="true"/>
        <w:spacing w:lineRule="auto" w:line="276"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76"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76"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76"/>
        <w:jc w:val="center"/>
        <w:rPr>
          <w:color w:val="00000A"/>
        </w:rPr>
      </w:pPr>
      <w:r>
        <w:rPr>
          <w:rFonts w:cs="Arial"/>
          <w:b/>
          <w:bCs/>
          <w:iCs/>
          <w:color w:val="00000A"/>
          <w:szCs w:val="20"/>
        </w:rPr>
        <w:t>SÉRGIO RICARDO LOBO LOUREIRO – Cel</w:t>
      </w:r>
    </w:p>
    <w:p>
      <w:pPr>
        <w:sectPr>
          <w:headerReference w:type="even" r:id="rId6"/>
          <w:headerReference w:type="default" r:id="rId7"/>
          <w:type w:val="nextPage"/>
          <w:pgSz w:w="11906" w:h="16838"/>
          <w:pgMar w:left="1701" w:right="1701" w:header="1417" w:top="1983" w:footer="0" w:bottom="708" w:gutter="0"/>
          <w:pgNumType w:fmt="decimal"/>
          <w:formProt w:val="false"/>
          <w:textDirection w:val="lrTb"/>
          <w:docGrid w:type="default" w:linePitch="360" w:charSpace="2047"/>
        </w:sectPr>
        <w:pStyle w:val="Normal"/>
        <w:keepNext/>
        <w:pageBreakBefore w:val="false"/>
        <w:widowControl w:val="false"/>
        <w:suppressAutoHyphens w:val="true"/>
        <w:spacing w:lineRule="auto" w:line="276" w:before="0" w:after="0"/>
        <w:jc w:val="center"/>
        <w:rPr/>
      </w:pPr>
      <w:r>
        <w:rPr>
          <w:rFonts w:cs="Arial"/>
          <w:b w:val="false"/>
          <w:bCs w:val="false"/>
          <w:i w:val="false"/>
          <w:iCs w:val="false"/>
          <w:color w:val="00000A"/>
          <w:szCs w:val="20"/>
        </w:rPr>
        <w:t>Ordenador de Despesas do HGuPV</w:t>
      </w:r>
    </w:p>
    <w:p>
      <w:pPr>
        <w:pStyle w:val="Caption"/>
        <w:keepNext/>
        <w:pageBreakBefore w:val="false"/>
        <w:widowControl w:val="false"/>
        <w:suppressAutoHyphens w:val="true"/>
        <w:spacing w:before="0" w:after="0"/>
        <w:jc w:val="center"/>
        <w:rPr/>
      </w:pPr>
      <w:r>
        <w:rPr/>
        <w:drawing>
          <wp:inline distT="0" distB="0" distL="0" distR="0">
            <wp:extent cx="628650" cy="49530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8"/>
                    <a:stretch>
                      <a:fillRect/>
                    </a:stretch>
                  </pic:blipFill>
                  <pic:spPr bwMode="auto">
                    <a:xfrm>
                      <a:off x="0" y="0"/>
                      <a:ext cx="628650" cy="495300"/>
                    </a:xfrm>
                    <a:prstGeom prst="rect">
                      <a:avLst/>
                    </a:prstGeom>
                  </pic:spPr>
                </pic:pic>
              </a:graphicData>
            </a:graphic>
          </wp:inline>
        </w:drawing>
      </w:r>
    </w:p>
    <w:p>
      <w:pPr>
        <w:pStyle w:val="Caption"/>
        <w:keepNext/>
        <w:pageBreakBefore w:val="false"/>
        <w:widowControl w:val="false"/>
        <w:suppressAutoHyphens w:val="true"/>
        <w:spacing w:lineRule="auto" w:line="240" w:before="0" w:after="0"/>
        <w:contextualSpacing/>
        <w:jc w:val="center"/>
        <w:rPr/>
      </w:pPr>
      <w:r>
        <w:rPr>
          <w:rFonts w:cs="Times New Roman" w:ascii="Times New Roman" w:hAnsi="Times New Roman"/>
          <w:b/>
          <w:i w:val="false"/>
          <w:color w:val="00000A"/>
          <w:sz w:val="20"/>
          <w:szCs w:val="20"/>
        </w:rPr>
        <w:t>MINISTÉRIO DA DEFESA</w:t>
      </w:r>
    </w:p>
    <w:p>
      <w:pPr>
        <w:pStyle w:val="Normal"/>
        <w:keepNext/>
        <w:pageBreakBefore w:val="false"/>
        <w:widowControl w:val="false"/>
        <w:suppressAutoHyphens w:val="true"/>
        <w:spacing w:lineRule="auto" w:line="240" w:before="0" w:after="0"/>
        <w:contextualSpacing/>
        <w:jc w:val="center"/>
        <w:rPr/>
      </w:pPr>
      <w:r>
        <w:rPr>
          <w:rFonts w:cs="Times New Roman" w:ascii="Times New Roman" w:hAnsi="Times New Roman"/>
          <w:b/>
          <w:bCs/>
          <w:color w:val="00000A"/>
          <w:sz w:val="20"/>
          <w:szCs w:val="20"/>
          <w:lang w:eastAsia="ar-SA"/>
        </w:rPr>
        <w:t>EXÉRCITO BRASILEIRO</w:t>
      </w:r>
    </w:p>
    <w:p>
      <w:pPr>
        <w:pStyle w:val="Normal"/>
        <w:keepNext/>
        <w:pageBreakBefore w:val="false"/>
        <w:widowControl w:val="false"/>
        <w:suppressAutoHyphens w:val="true"/>
        <w:spacing w:lineRule="auto" w:line="240" w:before="0" w:after="0"/>
        <w:contextualSpacing/>
        <w:jc w:val="center"/>
        <w:rPr/>
      </w:pPr>
      <w:r>
        <w:rPr>
          <w:rFonts w:cs="Times New Roman" w:ascii="Times New Roman" w:hAnsi="Times New Roman"/>
          <w:b/>
          <w:bCs/>
          <w:color w:val="00000A"/>
          <w:sz w:val="20"/>
          <w:szCs w:val="20"/>
        </w:rPr>
        <w:t>HOSPITAL DE GUARNIÇÃO DE PORTO VELHO</w:t>
      </w:r>
    </w:p>
    <w:p>
      <w:pPr>
        <w:pStyle w:val="Normal"/>
        <w:keepNext/>
        <w:pageBreakBefore w:val="false"/>
        <w:widowControl w:val="false"/>
        <w:suppressAutoHyphens w:val="true"/>
        <w:spacing w:lineRule="auto" w:line="240" w:before="0" w:after="0"/>
        <w:contextualSpacing/>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keepNext/>
        <w:pageBreakBefore w:val="false"/>
        <w:widowControl w:val="false"/>
        <w:suppressAutoHyphens w:val="true"/>
        <w:spacing w:lineRule="auto" w:line="240" w:before="0" w:after="0"/>
        <w:contextualSpacing/>
        <w:jc w:val="center"/>
        <w:rPr/>
      </w:pPr>
      <w:r>
        <w:rPr>
          <w:rFonts w:cs="Arial"/>
          <w:b/>
          <w:bCs/>
          <w:color w:val="00000A"/>
          <w:szCs w:val="20"/>
        </w:rPr>
        <w:t>TERMO DE REFERÊNCIA</w:t>
      </w:r>
    </w:p>
    <w:p>
      <w:pPr>
        <w:pStyle w:val="Normal"/>
        <w:keepNext/>
        <w:pageBreakBefore w:val="false"/>
        <w:widowControl w:val="false"/>
        <w:suppressAutoHyphens w:val="true"/>
        <w:spacing w:lineRule="auto" w:line="240" w:before="0" w:after="0"/>
        <w:contextualSpacing/>
        <w:jc w:val="center"/>
        <w:rPr>
          <w:rFonts w:cs="Arial"/>
          <w:b/>
          <w:b/>
          <w:bCs/>
          <w:iCs/>
          <w:color w:val="000000"/>
          <w:szCs w:val="20"/>
        </w:rPr>
      </w:pPr>
      <w:r>
        <w:rPr>
          <w:rFonts w:cs="Arial"/>
          <w:b/>
          <w:bCs/>
          <w:iCs/>
          <w:color w:val="000000"/>
          <w:szCs w:val="20"/>
        </w:rPr>
      </w:r>
    </w:p>
    <w:p>
      <w:pPr>
        <w:pStyle w:val="Normal"/>
        <w:keepNext/>
        <w:pageBreakBefore w:val="false"/>
        <w:widowControl w:val="false"/>
        <w:suppressAutoHyphens w:val="true"/>
        <w:spacing w:lineRule="auto" w:line="240" w:before="0" w:after="0"/>
        <w:ind w:right="0" w:hanging="0"/>
        <w:contextualSpacing/>
        <w:jc w:val="center"/>
        <w:rPr>
          <w:rFonts w:cs="Arial"/>
          <w:b/>
          <w:b/>
          <w:bCs/>
          <w:i/>
          <w:i/>
          <w:color w:val="00000A"/>
          <w:szCs w:val="20"/>
        </w:rPr>
      </w:pPr>
      <w:r>
        <w:rPr>
          <w:rFonts w:cs="Arial"/>
          <w:b/>
          <w:bCs/>
          <w:i/>
          <w:color w:val="00000A"/>
          <w:szCs w:val="20"/>
        </w:rPr>
      </w:r>
    </w:p>
    <w:p>
      <w:pPr>
        <w:pStyle w:val="Normal"/>
        <w:keepNext/>
        <w:pageBreakBefore w:val="false"/>
        <w:widowControl w:val="false"/>
        <w:suppressAutoHyphens w:val="true"/>
        <w:spacing w:lineRule="auto" w:line="240" w:before="0" w:after="0"/>
        <w:contextualSpacing/>
        <w:jc w:val="center"/>
        <w:rPr/>
      </w:pPr>
      <w:r>
        <w:rPr>
          <w:rFonts w:cs="Arial"/>
          <w:b/>
          <w:bCs/>
          <w:i/>
          <w:color w:val="00000A"/>
          <w:szCs w:val="20"/>
          <w:u w:val="none"/>
        </w:rPr>
        <w:t>HOSPITAL DE GUARNIÇÃO DE PORTO VELHO – UASG 160351</w:t>
      </w:r>
    </w:p>
    <w:p>
      <w:pPr>
        <w:pStyle w:val="Normal"/>
        <w:keepNext/>
        <w:pageBreakBefore w:val="false"/>
        <w:widowControl w:val="false"/>
        <w:suppressAutoHyphens w:val="true"/>
        <w:spacing w:lineRule="auto" w:line="240" w:before="0" w:after="0"/>
        <w:contextualSpacing/>
        <w:jc w:val="center"/>
        <w:rPr/>
      </w:pPr>
      <w:r>
        <w:rPr>
          <w:rFonts w:cs="Arial"/>
          <w:b/>
          <w:bCs/>
          <w:color w:val="00000A"/>
          <w:szCs w:val="20"/>
          <w:u w:val="none"/>
        </w:rPr>
        <w:t>DISPENSA ELETRÔNICA Nº 08/2022</w:t>
      </w:r>
    </w:p>
    <w:p>
      <w:pPr>
        <w:pStyle w:val="Normal"/>
        <w:keepNext/>
        <w:pageBreakBefore w:val="false"/>
        <w:widowControl w:val="false"/>
        <w:suppressAutoHyphens w:val="true"/>
        <w:spacing w:lineRule="auto" w:line="240" w:before="0" w:after="0"/>
        <w:contextualSpacing/>
        <w:jc w:val="center"/>
        <w:rPr/>
      </w:pPr>
      <w:r>
        <w:rPr>
          <w:rFonts w:cs="Arial"/>
          <w:b/>
          <w:bCs/>
          <w:color w:val="00000A"/>
          <w:szCs w:val="20"/>
          <w:u w:val="none"/>
        </w:rPr>
        <w:t>(Processo Administrativo n.° 64593.003461/2022-16)</w:t>
      </w:r>
    </w:p>
    <w:p>
      <w:pPr>
        <w:pStyle w:val="Normal"/>
        <w:keepNext/>
        <w:pageBreakBefore w:val="false"/>
        <w:widowControl w:val="false"/>
        <w:suppressAutoHyphens w:val="true"/>
        <w:spacing w:lineRule="auto" w:line="240" w:before="0" w:after="0"/>
        <w:ind w:right="0" w:hanging="0"/>
        <w:contextualSpacing/>
        <w:jc w:val="center"/>
        <w:rPr>
          <w:rFonts w:cs="Arial"/>
          <w:b/>
          <w:b/>
          <w:bCs/>
          <w:color w:val="00000A"/>
          <w:szCs w:val="20"/>
        </w:rPr>
      </w:pPr>
      <w:r>
        <w:rPr>
          <w:rFonts w:cs="Arial"/>
          <w:b/>
          <w:bCs/>
          <w:color w:val="00000A"/>
          <w:szCs w:val="20"/>
        </w:rPr>
      </w:r>
    </w:p>
    <w:p>
      <w:pPr>
        <w:pStyle w:val="Nivel1"/>
        <w:keepNext/>
        <w:pageBreakBefore w:val="false"/>
        <w:widowControl w:val="false"/>
        <w:numPr>
          <w:ilvl w:val="0"/>
          <w:numId w:val="1"/>
        </w:numPr>
        <w:suppressAutoHyphens w:val="true"/>
        <w:spacing w:lineRule="auto" w:line="240" w:before="0" w:after="0"/>
        <w:contextualSpacing/>
        <w:rPr/>
      </w:pPr>
      <w:r>
        <w:rPr>
          <w:color w:val="00000A"/>
        </w:rPr>
        <w:t>DO OBJETO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b w:val="false"/>
          <w:bCs w:val="false"/>
          <w:i w:val="false"/>
          <w:iCs w:val="false"/>
          <w:color w:val="00000A"/>
          <w:szCs w:val="20"/>
        </w:rPr>
        <w:t>Aquisição de Peças para Manutenção das Viaturas</w:t>
      </w:r>
      <w:r>
        <w:rPr>
          <w:rFonts w:cs="Arial"/>
          <w:b/>
          <w:i w:val="false"/>
          <w:iCs w:val="false"/>
          <w:color w:val="00000A"/>
          <w:szCs w:val="20"/>
        </w:rPr>
        <w:t>,</w:t>
      </w:r>
      <w:r>
        <w:rPr>
          <w:rFonts w:cs="Arial"/>
          <w:i w:val="false"/>
          <w:iCs w:val="false"/>
          <w:color w:val="00000A"/>
          <w:szCs w:val="20"/>
        </w:rPr>
        <w:t xml:space="preserve"> conforme condições, quantidades e exigências estabelecidas neste instrumento:</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bCs/>
          <w:iCs/>
          <w:color w:val="00000A"/>
          <w:szCs w:val="20"/>
        </w:rPr>
        <w:t xml:space="preserve">O prazo de vigência da contratação é de </w:t>
      </w:r>
      <w:r>
        <w:rPr>
          <w:rFonts w:cs="Arial"/>
          <w:bCs/>
          <w:iCs/>
          <w:color w:val="00000A"/>
          <w:szCs w:val="20"/>
          <w:u w:val="none"/>
        </w:rPr>
        <w:t xml:space="preserve">12 (doze) meses </w:t>
      </w:r>
      <w:r>
        <w:rPr>
          <w:rFonts w:cs="Arial"/>
          <w:bCs/>
          <w:iCs/>
          <w:color w:val="00000A"/>
          <w:szCs w:val="20"/>
        </w:rPr>
        <w:t>contados do(a) homologação prorrogável na forma do art. 84, parágrafo único, da Lei n° 14.133/21.</w:t>
      </w:r>
    </w:p>
    <w:p>
      <w:pPr>
        <w:pStyle w:val="Nivel1"/>
        <w:keepNext/>
        <w:pageBreakBefore w:val="false"/>
        <w:widowControl w:val="false"/>
        <w:numPr>
          <w:ilvl w:val="0"/>
          <w:numId w:val="1"/>
        </w:numPr>
        <w:suppressAutoHyphens w:val="true"/>
        <w:spacing w:lineRule="auto" w:line="240" w:before="0" w:after="0"/>
        <w:contextualSpacing/>
        <w:rPr/>
      </w:pPr>
      <w:r>
        <w:rPr>
          <w:color w:val="00000A"/>
        </w:rPr>
        <w:t>JUSTIFICATIVA E OBJETIVO DA CONTRATAÇÃO</w:t>
      </w:r>
    </w:p>
    <w:p>
      <w:pPr>
        <w:pStyle w:val="Normal"/>
        <w:keepNext/>
        <w:pageBreakBefore w:val="false"/>
        <w:widowControl w:val="false"/>
        <w:numPr>
          <w:ilvl w:val="1"/>
          <w:numId w:val="1"/>
        </w:numPr>
        <w:suppressAutoHyphens w:val="true"/>
        <w:spacing w:lineRule="auto" w:line="240" w:before="0" w:after="0"/>
        <w:contextualSpacing/>
        <w:jc w:val="both"/>
        <w:rPr/>
      </w:pPr>
      <w:r>
        <w:rPr>
          <w:color w:val="00000A"/>
        </w:rPr>
        <w:t>A Justificativa e objetivo da contratação encontra-se pormenorizada em Tópico específico dos Estudos Técnicos Preliminares, apêndice deste Termo de Referência.</w:t>
      </w:r>
    </w:p>
    <w:p>
      <w:pPr>
        <w:pStyle w:val="Nivel1"/>
        <w:keepNext/>
        <w:pageBreakBefore w:val="false"/>
        <w:widowControl w:val="false"/>
        <w:numPr>
          <w:ilvl w:val="0"/>
          <w:numId w:val="1"/>
        </w:numPr>
        <w:suppressAutoHyphens w:val="true"/>
        <w:spacing w:lineRule="auto" w:line="240" w:before="0" w:after="0"/>
        <w:contextualSpacing/>
        <w:rPr/>
      </w:pPr>
      <w:r>
        <w:rPr>
          <w:color w:val="00000A"/>
        </w:rPr>
        <w:t>DESCRIÇÃO DA SOLUÇÃO:</w:t>
      </w:r>
    </w:p>
    <w:p>
      <w:pPr>
        <w:pStyle w:val="Nivel1"/>
        <w:keepNext/>
        <w:pageBreakBefore w:val="false"/>
        <w:widowControl w:val="false"/>
        <w:numPr>
          <w:ilvl w:val="1"/>
          <w:numId w:val="1"/>
        </w:numPr>
        <w:suppressAutoHyphens w:val="true"/>
        <w:spacing w:lineRule="auto" w:line="240" w:before="0" w:after="0"/>
        <w:contextualSpacing/>
        <w:rPr/>
      </w:pPr>
      <w:r>
        <w:rPr>
          <w:b w:val="false"/>
          <w:bCs w:val="false"/>
          <w:i/>
          <w:iCs/>
          <w:color w:val="00000A"/>
        </w:rPr>
        <w:t xml:space="preserve">A descrição da solução como um todo, encontra-se pormenorizada em Tópico específico </w:t>
      </w:r>
      <w:r>
        <w:rPr>
          <w:rFonts w:cs="Arial"/>
          <w:b w:val="false"/>
          <w:bCs w:val="false"/>
          <w:i/>
          <w:iCs/>
          <w:color w:val="00000A"/>
          <w:szCs w:val="20"/>
        </w:rPr>
        <w:t>dos</w:t>
      </w:r>
      <w:r>
        <w:rPr>
          <w:b w:val="false"/>
          <w:bCs w:val="false"/>
          <w:i/>
          <w:iCs/>
          <w:color w:val="00000A"/>
        </w:rPr>
        <w:t xml:space="preserve"> Estudos Técnicos Preliminares, apêndice deste Termo de Referência.</w:t>
      </w:r>
    </w:p>
    <w:p>
      <w:pPr>
        <w:pStyle w:val="Nivel1"/>
        <w:keepNext/>
        <w:pageBreakBefore w:val="false"/>
        <w:widowControl w:val="false"/>
        <w:numPr>
          <w:ilvl w:val="0"/>
          <w:numId w:val="1"/>
        </w:numPr>
        <w:suppressAutoHyphens w:val="true"/>
        <w:spacing w:lineRule="auto" w:line="240" w:before="0" w:after="0"/>
        <w:contextualSpacing/>
        <w:rPr/>
      </w:pPr>
      <w:r>
        <w:rPr>
          <w:color w:val="00000A"/>
        </w:rPr>
        <w:t>CLASSIFICAÇÃO DOS BENS COMUNS</w:t>
      </w:r>
    </w:p>
    <w:p>
      <w:pPr>
        <w:pStyle w:val="Western"/>
        <w:keepNext/>
        <w:pageBreakBefore w:val="false"/>
        <w:widowControl w:val="false"/>
        <w:numPr>
          <w:ilvl w:val="1"/>
          <w:numId w:val="1"/>
        </w:numPr>
        <w:suppressAutoHyphens w:val="true"/>
        <w:spacing w:lineRule="auto" w:line="240" w:before="0" w:after="0"/>
        <w:jc w:val="both"/>
        <w:rPr/>
      </w:pPr>
      <w:r>
        <w:rPr>
          <w:rFonts w:cs="Arial"/>
          <w:b w:val="false"/>
          <w:bCs w:val="false"/>
          <w:color w:val="00000A"/>
          <w:sz w:val="20"/>
          <w:szCs w:val="20"/>
          <w:u w:val="none"/>
        </w:rPr>
        <w:t xml:space="preserve">A natureza do objeto a ser contratado enquadra-se na classificação </w:t>
      </w:r>
      <w:r>
        <w:rPr>
          <w:rFonts w:cs="Arial"/>
          <w:sz w:val="20"/>
          <w:szCs w:val="20"/>
          <w:u w:val="none"/>
        </w:rPr>
        <w:t>para contratação que envolva valores inferiores a R$ 54.020,41 (cinquenta e quatro mil, vinte reais e quarenta e um centavos), no caso de outros</w:t>
        <w:br/>
        <w:t>serviços e compras;</w:t>
      </w:r>
      <w:r>
        <w:rPr>
          <w:rFonts w:cs="Arial"/>
          <w:b w:val="false"/>
          <w:bCs w:val="false"/>
          <w:color w:val="00000A"/>
          <w:sz w:val="20"/>
          <w:szCs w:val="20"/>
          <w:u w:val="none"/>
        </w:rPr>
        <w:t xml:space="preserve"> </w:t>
      </w:r>
      <w:r>
        <w:rPr>
          <w:rFonts w:cs="Arial"/>
          <w:b w:val="false"/>
          <w:bCs w:val="false"/>
          <w:color w:val="00000A"/>
          <w:spacing w:val="0"/>
          <w:sz w:val="20"/>
          <w:szCs w:val="20"/>
          <w:u w:val="none"/>
        </w:rPr>
        <w:t xml:space="preserve">definidos neste Termo </w:t>
      </w:r>
      <w:r>
        <w:rPr>
          <w:rFonts w:cs="Arial"/>
          <w:b w:val="false"/>
          <w:bCs w:val="false"/>
          <w:color w:val="00000A"/>
          <w:sz w:val="20"/>
          <w:szCs w:val="20"/>
          <w:u w:val="none"/>
        </w:rPr>
        <w:t xml:space="preserve">de </w:t>
      </w:r>
      <w:r>
        <w:rPr>
          <w:rFonts w:cs="Arial"/>
          <w:b w:val="false"/>
          <w:bCs w:val="false"/>
          <w:color w:val="00000A"/>
          <w:spacing w:val="0"/>
          <w:sz w:val="20"/>
          <w:szCs w:val="20"/>
          <w:u w:val="none"/>
        </w:rPr>
        <w:t xml:space="preserve">Referência, </w:t>
      </w:r>
      <w:r>
        <w:rPr>
          <w:rFonts w:cs="Arial"/>
          <w:b w:val="false"/>
          <w:bCs w:val="false"/>
          <w:color w:val="00000A"/>
          <w:sz w:val="20"/>
          <w:szCs w:val="20"/>
          <w:u w:val="none"/>
        </w:rPr>
        <w:t xml:space="preserve">por meio de especificações usuais de mercado, </w:t>
      </w:r>
      <w:r>
        <w:rPr>
          <w:rFonts w:cs="Arial"/>
          <w:b w:val="false"/>
          <w:bCs w:val="false"/>
          <w:color w:val="00000A"/>
          <w:spacing w:val="0"/>
          <w:sz w:val="20"/>
          <w:szCs w:val="20"/>
          <w:u w:val="none"/>
        </w:rPr>
        <w:t>nos termos</w:t>
      </w:r>
      <w:r>
        <w:rPr>
          <w:rFonts w:cs="Arial"/>
          <w:b w:val="false"/>
          <w:bCs w:val="false"/>
          <w:color w:val="00000A"/>
          <w:spacing w:val="4"/>
          <w:sz w:val="20"/>
          <w:szCs w:val="20"/>
          <w:u w:val="none"/>
        </w:rPr>
        <w:t xml:space="preserve"> da letra a), do inciso II, do art. 75, da Lei n° 14.133, de 1° de abril de 2021.</w:t>
      </w:r>
    </w:p>
    <w:p>
      <w:pPr>
        <w:pStyle w:val="Nivel1"/>
        <w:keepNext/>
        <w:pageBreakBefore w:val="false"/>
        <w:widowControl w:val="false"/>
        <w:numPr>
          <w:ilvl w:val="0"/>
          <w:numId w:val="1"/>
        </w:numPr>
        <w:suppressAutoHyphens w:val="true"/>
        <w:spacing w:lineRule="auto" w:line="240" w:before="0" w:after="0"/>
        <w:contextualSpacing/>
        <w:rPr/>
      </w:pPr>
      <w:r>
        <w:rPr>
          <w:color w:val="00000A"/>
        </w:rPr>
        <w:t>ENTREGA E CRITÉRIOS DE ACEITAÇÃO DO OBJETO.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iCs/>
          <w:color w:val="00000A"/>
          <w:szCs w:val="20"/>
          <w:u w:val="none"/>
        </w:rPr>
        <w:t xml:space="preserve">O prazo de entrega dos bens é de até 30 (trinta) dias, contados do recebimento da Nota de Empenho pelo fornecedor, em remessa </w:t>
      </w:r>
      <w:r>
        <w:rPr>
          <w:rFonts w:cs="Arial"/>
          <w:i/>
          <w:iCs/>
          <w:color w:val="00000A"/>
          <w:szCs w:val="20"/>
          <w:u w:val="none"/>
        </w:rPr>
        <w:t>única/parcela</w:t>
      </w:r>
      <w:r>
        <w:rPr>
          <w:rFonts w:cs="Arial"/>
          <w:iCs/>
          <w:color w:val="00000A"/>
          <w:szCs w:val="20"/>
          <w:u w:val="none"/>
        </w:rPr>
        <w:t xml:space="preserve">, no seguinte endereço </w:t>
      </w:r>
      <w:r>
        <w:rPr>
          <w:rFonts w:cs="Arial"/>
          <w:b/>
          <w:iCs/>
          <w:color w:val="00000A"/>
          <w:szCs w:val="20"/>
          <w:u w:val="none"/>
        </w:rPr>
        <w:t>Hospital de Guarnição de Porto Velho</w:t>
      </w:r>
      <w:r>
        <w:rPr>
          <w:rFonts w:cs="Arial"/>
          <w:iCs/>
          <w:color w:val="00000A"/>
          <w:szCs w:val="20"/>
          <w:u w:val="none"/>
        </w:rPr>
        <w:t>: Rua Rui Barbosa, 409, Bairro Centro, CEP 76.801-010 – Porto Velho/RO (Almoxarifado).</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 xml:space="preserve">Os bens serão recebidos provisoriamente no prazo de </w:t>
      </w:r>
      <w:r>
        <w:rPr>
          <w:rFonts w:cs="Arial"/>
          <w:color w:val="00000A"/>
          <w:szCs w:val="20"/>
          <w:u w:val="none"/>
        </w:rPr>
        <w:t xml:space="preserve">02 (dois) dias, pelo(a) </w:t>
      </w:r>
      <w:r>
        <w:rPr>
          <w:rFonts w:cs="Arial"/>
          <w:iCs/>
          <w:color w:val="00000A"/>
          <w:szCs w:val="20"/>
          <w:u w:val="none"/>
        </w:rPr>
        <w:t>responsável</w:t>
      </w:r>
      <w:r>
        <w:rPr>
          <w:rFonts w:cs="Arial"/>
          <w:color w:val="00000A"/>
          <w:szCs w:val="20"/>
          <w:u w:val="none"/>
        </w:rPr>
        <w:t xml:space="preserve"> pelo acompanhamento e fiscalização do contrato, para efeito de posterior verificação de sua conformidade com as especificações constantes neste Termo de Referência e na proposta. </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bCs/>
          <w:color w:val="00000A"/>
          <w:szCs w:val="20"/>
          <w:u w:val="none"/>
        </w:rPr>
        <w:t>Os bens poderão ser rejeitados, no todo ou em parte, quando em desacordo com as especificações constantes neste Termo de Referência e na proposta, devendo ser substituídos no prazo de 01(um) dia, a contar da notificação da contratada, às suas custas, sem prejuízo da aplicação das penalidades.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Os bens serão recebidos definitivamente no prazo de 03 (três) dias, contados do recebimento provisório, após a verificação da qualidade e quantidade do material e consequente aceitação mediante termo circunstanciado.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lang w:eastAsia="en-US"/>
        </w:rPr>
        <w:t>Na hipótese de a verificação a que se refere o subitem anterior não ser procedida dentro do prazo fixado, reputar-se-á como realizada, consumando-se o recebimento definitivo no dia do esgotamento do prazo.</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O recebimento provisório ou definitivo do objeto não exclui a responsabilidade da contratada pelos prejuízos resultantes da incorreta execução do contrato.</w:t>
      </w:r>
    </w:p>
    <w:p>
      <w:pPr>
        <w:pStyle w:val="Nivel1"/>
        <w:keepNext/>
        <w:pageBreakBefore w:val="false"/>
        <w:widowControl w:val="false"/>
        <w:numPr>
          <w:ilvl w:val="0"/>
          <w:numId w:val="1"/>
        </w:numPr>
        <w:suppressAutoHyphens w:val="true"/>
        <w:spacing w:lineRule="auto" w:line="240" w:before="0" w:after="0"/>
        <w:contextualSpacing/>
        <w:rPr/>
      </w:pPr>
      <w:r>
        <w:rPr>
          <w:color w:val="00000A"/>
          <w:lang w:eastAsia="en-US"/>
        </w:rPr>
        <w:t>OBRIGAÇÕES DA CONTRATANTE</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São obrigações da Contratante: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rPr>
        <w:t>receber o objeto no prazo e condições estabelecidas no Edital e seus anexos;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lang w:eastAsia="en-US"/>
        </w:rPr>
        <w:t>verificar minuciosamente, no prazo fixado, a conformidade dos bens recebidos provisoriamente com as especificações constantes do Edital e da proposta, para fins de aceitação e recebimento definitivo;</w:t>
      </w:r>
    </w:p>
    <w:p>
      <w:pPr>
        <w:pStyle w:val="Normal"/>
        <w:keepNext/>
        <w:pageBreakBefore w:val="false"/>
        <w:widowControl w:val="false"/>
        <w:numPr>
          <w:ilvl w:val="0"/>
          <w:numId w:val="0"/>
        </w:numPr>
        <w:suppressAutoHyphens w:val="true"/>
        <w:spacing w:lineRule="auto" w:line="240" w:before="0" w:after="0"/>
        <w:ind w:left="1134" w:hanging="0"/>
        <w:contextualSpacing/>
        <w:jc w:val="both"/>
        <w:rPr>
          <w:rFonts w:cs="Arial"/>
          <w:color w:val="00000A"/>
          <w:szCs w:val="20"/>
          <w:lang w:eastAsia="en-US"/>
        </w:rPr>
      </w:pPr>
      <w:r>
        <w:rPr>
          <w:rFonts w:cs="Arial"/>
          <w:color w:val="00000A"/>
          <w:szCs w:val="20"/>
          <w:lang w:eastAsia="en-US"/>
        </w:rPr>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rPr>
        <w:t>comunicar à Contratada, por escrito, sobre imperfeições, falhas ou irregularidades verificadas no objeto fornecido, para que seja substituído, reparado ou corrigido;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lang w:eastAsia="en-US"/>
        </w:rPr>
        <w:t>acompanhar e fiscalizar o cumprimento das obrigações da Contratada, através de comissão/servidor especialmente designado;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rPr>
        <w:t>efetuar o pagamento à Contratada</w:t>
      </w:r>
      <w:r>
        <w:rPr>
          <w:rFonts w:cs="Arial"/>
          <w:b/>
          <w:color w:val="00000A"/>
          <w:szCs w:val="20"/>
        </w:rPr>
        <w:t xml:space="preserve"> </w:t>
      </w:r>
      <w:r>
        <w:rPr>
          <w:rFonts w:cs="Arial"/>
          <w:color w:val="00000A"/>
          <w:szCs w:val="20"/>
        </w:rPr>
        <w:t>no valor correspondente ao fornecimento do objeto, no prazo e forma estabelecidos no Edital e seus anexos;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ivel1"/>
        <w:keepNext/>
        <w:pageBreakBefore w:val="false"/>
        <w:widowControl w:val="false"/>
        <w:numPr>
          <w:ilvl w:val="0"/>
          <w:numId w:val="1"/>
        </w:numPr>
        <w:suppressAutoHyphens w:val="true"/>
        <w:spacing w:lineRule="auto" w:line="240" w:before="0" w:after="0"/>
        <w:contextualSpacing/>
        <w:rPr/>
      </w:pPr>
      <w:r>
        <w:rPr>
          <w:color w:val="00000A"/>
        </w:rPr>
        <w:t>OBRIGAÇÕES DA CONTRATADA</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A Contratada deve cumprir todas as obrigações constantes no Edital, seus anexos e sua proposta, assumindo como exclusivamente seus os riscos e as despesas decorrentes da boa e perfeita execução do objeto e, ainda: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 xml:space="preserve">efetuar a entrega do objeto em perfeitas condições, conforme especificações, prazo e local constantes no Termo de Referência e seus anexos, acompanhado da respectiva nota fiscal, na qual constarão as indicações referentes a: </w:t>
      </w:r>
      <w:r>
        <w:rPr>
          <w:rFonts w:cs="Arial"/>
          <w:i/>
          <w:color w:val="00000A"/>
          <w:szCs w:val="20"/>
          <w:u w:val="none"/>
        </w:rPr>
        <w:t>marca, fabricante, modelo, procedência e prazo de garantia ou validade;</w:t>
      </w:r>
    </w:p>
    <w:p>
      <w:pPr>
        <w:pStyle w:val="Normal"/>
        <w:keepNext/>
        <w:pageBreakBefore w:val="false"/>
        <w:widowControl w:val="false"/>
        <w:numPr>
          <w:ilvl w:val="3"/>
          <w:numId w:val="1"/>
        </w:numPr>
        <w:suppressAutoHyphens w:val="true"/>
        <w:spacing w:lineRule="auto" w:line="240" w:before="0" w:after="0"/>
        <w:ind w:left="1701" w:hanging="0"/>
        <w:contextualSpacing/>
        <w:jc w:val="both"/>
        <w:rPr/>
      </w:pPr>
      <w:r>
        <w:rPr>
          <w:rFonts w:cs="Arial"/>
          <w:color w:val="00000A"/>
          <w:szCs w:val="20"/>
          <w:u w:val="none"/>
        </w:rPr>
        <w:t>O</w:t>
      </w:r>
      <w:r>
        <w:rPr>
          <w:rFonts w:cs="Arial"/>
          <w:i/>
          <w:color w:val="00000A"/>
          <w:szCs w:val="20"/>
          <w:u w:val="none"/>
        </w:rPr>
        <w:t xml:space="preserve"> objeto deve estar acompanhado do manual do usuário, com uma </w:t>
      </w:r>
      <w:r>
        <w:rPr>
          <w:rFonts w:cs="Arial"/>
          <w:bCs/>
          <w:i/>
          <w:iCs/>
          <w:color w:val="00000A"/>
          <w:szCs w:val="20"/>
          <w:u w:val="none"/>
          <w:lang w:eastAsia="en-US"/>
        </w:rPr>
        <w:t>versão</w:t>
      </w:r>
      <w:r>
        <w:rPr>
          <w:rFonts w:cs="Arial"/>
          <w:i/>
          <w:color w:val="00000A"/>
          <w:szCs w:val="20"/>
          <w:u w:val="none"/>
        </w:rPr>
        <w:t xml:space="preserve"> em português e da relação da rede de assistência técnica autorizada;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responsabilizar-se pelos vícios e danos decorrentes do objeto, de acordo com os artigos 12, 13 e 17 a 27, do Código de Defesa do Consumidor (Lei nº 8.078, de 1990);</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substituir, reparar ou corrigir, às suas expensas, no prazo fixado neste Termo de Referência, o objeto com avarias ou defeitos;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comunicar à Contratante, no prazo máximo de 24 (vinte e quatro) horas que antecede a data da entrega, os motivos que impossibilitem o cumprimento do prazo previsto, com a devida comprovação;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manter, durante toda a execução do contrato, em compatibilidade com as obrigações assumidas, todas as condições de habilitação e qualificação exigidas na licitação;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indicar preposto para representá-la durante a execução do contrato.</w:t>
      </w:r>
    </w:p>
    <w:p>
      <w:pPr>
        <w:pStyle w:val="Normal"/>
        <w:keepNext/>
        <w:pageBreakBefore w:val="false"/>
        <w:widowControl w:val="false"/>
        <w:numPr>
          <w:ilvl w:val="2"/>
          <w:numId w:val="1"/>
        </w:numPr>
        <w:suppressAutoHyphens w:val="true"/>
        <w:spacing w:lineRule="auto" w:line="240" w:before="0" w:after="0"/>
        <w:contextualSpacing/>
        <w:jc w:val="both"/>
        <w:rPr/>
      </w:pPr>
      <w:r>
        <w:rPr>
          <w:rFonts w:cs="Arial"/>
          <w:color w:val="00000A"/>
          <w:szCs w:val="20"/>
          <w:u w:val="none"/>
        </w:rPr>
        <w:t xml:space="preserve">Emitir as Notas Fiscais conforme CNPJ indicado na Nota de Empenho e enviá-las para os e-mails: </w:t>
      </w:r>
      <w:hyperlink r:id="rId9">
        <w:r>
          <w:rPr>
            <w:rStyle w:val="LinkdaInternet"/>
            <w:rFonts w:cs="Arial"/>
            <w:color w:val="00000A"/>
            <w:szCs w:val="20"/>
            <w:u w:val="none"/>
          </w:rPr>
          <w:t>almoxarife@hgupv.eb.mil.br</w:t>
        </w:r>
      </w:hyperlink>
      <w:r>
        <w:rPr>
          <w:rStyle w:val="LinkdaInternet"/>
          <w:rFonts w:cs="Arial"/>
          <w:color w:val="00000A"/>
          <w:szCs w:val="20"/>
          <w:u w:val="none"/>
        </w:rPr>
        <w:t>.</w:t>
      </w:r>
    </w:p>
    <w:p>
      <w:pPr>
        <w:pStyle w:val="Normal"/>
        <w:keepNext/>
        <w:pageBreakBefore w:val="false"/>
        <w:widowControl w:val="false"/>
        <w:numPr>
          <w:ilvl w:val="2"/>
          <w:numId w:val="1"/>
        </w:numPr>
        <w:suppressAutoHyphens w:val="true"/>
        <w:spacing w:lineRule="auto" w:line="240" w:before="0" w:after="0"/>
        <w:contextualSpacing/>
        <w:jc w:val="both"/>
        <w:rPr/>
      </w:pPr>
      <w:r>
        <w:rPr>
          <w:rFonts w:cs="Arial"/>
          <w:color w:val="00000A"/>
          <w:szCs w:val="20"/>
          <w:u w:val="none"/>
        </w:rPr>
        <w:t>adotar práticas de sustentabilidade adequadas que o objeto contratual o exigir, devendo ser dada prioridade para produtos reciclados e recicláveis e para bens que considerem critérios compatíveis com padrões de consumo social e ambientalmente sustentáveis (artigo 7o, XI, da Lei no 12.305, de 2010 - Política Nacional de Resíduos Sólidos), devendo ser observadas, ainda, as Instruções Normativas SLTI/MPOG ns. 01/2010 e 01/2014, bem como os atos normativos editados pelos órgãos de proteção ao meio ambiente;</w:t>
      </w:r>
    </w:p>
    <w:p>
      <w:pPr>
        <w:pStyle w:val="Normal"/>
        <w:keepNext/>
        <w:pageBreakBefore w:val="false"/>
        <w:widowControl w:val="false"/>
        <w:numPr>
          <w:ilvl w:val="1"/>
          <w:numId w:val="1"/>
        </w:numPr>
        <w:suppressAutoHyphens w:val="true"/>
        <w:spacing w:lineRule="auto" w:line="240" w:before="0" w:after="0"/>
        <w:contextualSpacing/>
        <w:jc w:val="both"/>
        <w:rPr>
          <w:b/>
          <w:b/>
          <w:bCs/>
        </w:rPr>
      </w:pPr>
      <w:r>
        <w:rPr>
          <w:b/>
          <w:bCs/>
        </w:rPr>
        <w:t>A empresa ganhadora do item n° 29, deverá ser locada em Porto Velho-RO e/ou ter parceiros na localidade para fornecimento de peças já instaladas, conforme consta na descrição do item. Esta condição se justifica pela necessidade deste Hospital dispor sem solução de continuidade de suas Ambulâncias em condições de uso.</w:t>
      </w:r>
    </w:p>
    <w:p>
      <w:pPr>
        <w:pStyle w:val="Normal"/>
        <w:keepNext/>
        <w:pageBreakBefore w:val="false"/>
        <w:widowControl w:val="false"/>
        <w:numPr>
          <w:ilvl w:val="1"/>
          <w:numId w:val="1"/>
        </w:numPr>
        <w:suppressAutoHyphens w:val="true"/>
        <w:spacing w:lineRule="auto" w:line="240" w:before="0" w:after="0"/>
        <w:contextualSpacing/>
        <w:jc w:val="both"/>
        <w:rPr/>
      </w:pPr>
      <w:r>
        <w:rPr>
          <w:rStyle w:val="LinkdaInternet"/>
          <w:rFonts w:cs="Arial"/>
          <w:b/>
          <w:bCs/>
          <w:color w:val="00000A"/>
          <w:szCs w:val="20"/>
          <w:u w:val="none"/>
        </w:rPr>
        <w:t>Todos os custos para o transportes da mercadoria até o local indicado ocorrerão por conta da empresa vencedora sem custos adicionais ao HGuPV.</w:t>
      </w:r>
    </w:p>
    <w:p>
      <w:pPr>
        <w:pStyle w:val="Nivel1"/>
        <w:keepNext/>
        <w:pageBreakBefore w:val="false"/>
        <w:widowControl w:val="false"/>
        <w:numPr>
          <w:ilvl w:val="0"/>
          <w:numId w:val="1"/>
        </w:numPr>
        <w:suppressAutoHyphens w:val="true"/>
        <w:spacing w:lineRule="auto" w:line="240" w:before="113" w:after="0"/>
        <w:contextualSpacing/>
        <w:rPr/>
      </w:pPr>
      <w:r>
        <w:rPr>
          <w:color w:val="00000A"/>
        </w:rPr>
        <w:t>DA SUBCONTRATAÇÃO</w:t>
      </w:r>
    </w:p>
    <w:p>
      <w:pPr>
        <w:pStyle w:val="ListParagraph"/>
        <w:keepNext/>
        <w:pageBreakBefore w:val="false"/>
        <w:widowControl w:val="false"/>
        <w:numPr>
          <w:ilvl w:val="1"/>
          <w:numId w:val="1"/>
        </w:numPr>
        <w:suppressAutoHyphens w:val="true"/>
        <w:spacing w:lineRule="auto" w:line="276" w:before="120" w:after="120"/>
        <w:contextualSpacing/>
        <w:jc w:val="both"/>
        <w:rPr>
          <w:color w:val="00000A"/>
        </w:rPr>
      </w:pPr>
      <w:r>
        <w:rPr>
          <w:i/>
          <w:color w:val="00000A"/>
          <w:szCs w:val="20"/>
        </w:rPr>
        <w:t>É permitida a subcontratação somente ao item n° 29.</w:t>
      </w:r>
    </w:p>
    <w:p>
      <w:pPr>
        <w:pStyle w:val="Normal"/>
        <w:keepNext/>
        <w:pageBreakBefore w:val="false"/>
        <w:widowControl w:val="false"/>
        <w:numPr>
          <w:ilvl w:val="1"/>
          <w:numId w:val="1"/>
        </w:numPr>
        <w:suppressAutoHyphens w:val="true"/>
        <w:spacing w:lineRule="auto" w:line="276" w:before="120" w:after="120"/>
        <w:contextualSpacing/>
        <w:jc w:val="both"/>
        <w:rPr>
          <w:color w:val="00000A"/>
        </w:rPr>
      </w:pPr>
      <w:r>
        <w:rPr>
          <w:i/>
          <w:color w:val="00000A"/>
          <w:szCs w:val="20"/>
        </w:rPr>
        <w:t xml:space="preserve">A subcontratação depende de autorização prévia da Contratante, a quem incumbe avaliar se a subcontratada cumpre os requisitos de qualificação técnica necessários para a execução do objeto. </w:t>
      </w:r>
    </w:p>
    <w:p>
      <w:pPr>
        <w:pStyle w:val="ListParagraph"/>
        <w:keepNext/>
        <w:pageBreakBefore w:val="false"/>
        <w:widowControl w:val="false"/>
        <w:numPr>
          <w:ilvl w:val="1"/>
          <w:numId w:val="1"/>
        </w:numPr>
        <w:suppressAutoHyphens w:val="true"/>
        <w:spacing w:lineRule="auto" w:line="276" w:before="120" w:after="120"/>
        <w:contextualSpacing/>
        <w:jc w:val="both"/>
        <w:rPr>
          <w:color w:val="00000A"/>
        </w:rPr>
      </w:pPr>
      <w:r>
        <w:rPr>
          <w:i/>
          <w:color w:val="00000A"/>
          <w:szCs w:val="2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pPr>
        <w:pStyle w:val="Normal"/>
        <w:keepNext/>
        <w:pageBreakBefore w:val="false"/>
        <w:widowControl w:val="false"/>
        <w:numPr>
          <w:ilvl w:val="2"/>
          <w:numId w:val="1"/>
        </w:numPr>
        <w:suppressAutoHyphens w:val="true"/>
        <w:spacing w:lineRule="auto" w:line="276" w:before="120" w:after="120"/>
        <w:jc w:val="both"/>
        <w:rPr>
          <w:color w:val="00000A"/>
        </w:rPr>
      </w:pPr>
      <w:r>
        <w:rPr>
          <w:rFonts w:cs="Arial"/>
          <w:i/>
          <w:color w:val="00000A"/>
          <w:szCs w:val="20"/>
        </w:rPr>
        <w:t> </w:t>
      </w:r>
      <w:r>
        <w:rPr>
          <w:rFonts w:cs="Arial"/>
          <w:i/>
          <w:color w:val="00000A"/>
          <w:szCs w:val="20"/>
        </w:rPr>
        <w:t>Os empenhos e pagamentos referentes às parcelas subcontratadas serão destinados diretamente às microempresas e empresas de pequeno porte subcontratadas</w:t>
      </w:r>
    </w:p>
    <w:p>
      <w:pPr>
        <w:pStyle w:val="Nivel1"/>
        <w:keepNext/>
        <w:pageBreakBefore w:val="false"/>
        <w:widowControl w:val="false"/>
        <w:numPr>
          <w:ilvl w:val="0"/>
          <w:numId w:val="1"/>
        </w:numPr>
        <w:suppressAutoHyphens w:val="true"/>
        <w:spacing w:lineRule="auto" w:line="240" w:before="0" w:after="0"/>
        <w:contextualSpacing/>
        <w:rPr/>
      </w:pPr>
      <w:r>
        <w:rPr>
          <w:color w:val="00000A"/>
          <w:lang w:eastAsia="en-US"/>
        </w:rPr>
        <w:t>DA ALTERAÇÃO SUBJETIVA</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ivel1"/>
        <w:keepNext/>
        <w:pageBreakBefore w:val="false"/>
        <w:widowControl w:val="false"/>
        <w:numPr>
          <w:ilvl w:val="0"/>
          <w:numId w:val="1"/>
        </w:numPr>
        <w:suppressAutoHyphens w:val="true"/>
        <w:spacing w:lineRule="auto" w:line="240" w:before="0" w:after="0"/>
        <w:contextualSpacing/>
        <w:rPr/>
      </w:pPr>
      <w:r>
        <w:rPr>
          <w:color w:val="00000A"/>
          <w:lang w:eastAsia="en-US"/>
        </w:rPr>
        <w:t>DO CONTROLE E FISCALIZAÇÃO DA EXECUÇÃO</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Nos termos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lang w:eastAsia="en-US"/>
        </w:rPr>
        <w:t>O recebimento de material de valor superior a R$ 176.000,00 (cento e setenta e seis mil reais) será confiado a uma comissão de, no mínimo, 3 (três) membros, designados pela autoridade competente.</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da Lei nº 14.133, de 2021.</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ivel1"/>
        <w:keepNext/>
        <w:pageBreakBefore w:val="false"/>
        <w:widowControl w:val="false"/>
        <w:numPr>
          <w:ilvl w:val="0"/>
          <w:numId w:val="1"/>
        </w:numPr>
        <w:suppressAutoHyphens w:val="true"/>
        <w:spacing w:lineRule="auto" w:line="240" w:before="0" w:after="0"/>
        <w:contextualSpacing/>
        <w:rPr/>
      </w:pPr>
      <w:r>
        <w:rPr>
          <w:color w:val="00000A"/>
        </w:rPr>
        <w:t>DO PAGAMENTO</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O pagamento será realizado no prazo máximo de até 30 (trinta) dias, contados a partir </w:t>
      </w:r>
      <w:r>
        <w:rPr>
          <w:rFonts w:cs="Arial"/>
          <w:color w:val="00000A"/>
          <w:szCs w:val="20"/>
          <w:u w:val="none"/>
        </w:rPr>
        <w:t xml:space="preserve">do recebimento da Nota Fiscal ou Fatura, </w:t>
      </w:r>
      <w:r>
        <w:rPr>
          <w:rFonts w:cs="Arial"/>
          <w:color w:val="00000A"/>
          <w:szCs w:val="20"/>
          <w:u w:val="none"/>
          <w:lang w:eastAsia="en-US"/>
        </w:rPr>
        <w:t>através de ordem bancária, para crédito em banco, agência e conta corrente indicados pelo contratado.</w:t>
      </w:r>
    </w:p>
    <w:p>
      <w:pPr>
        <w:pStyle w:val="ListParagraph"/>
        <w:keepNext/>
        <w:pageBreakBefore w:val="false"/>
        <w:widowControl w:val="false"/>
        <w:numPr>
          <w:ilvl w:val="2"/>
          <w:numId w:val="1"/>
        </w:numPr>
        <w:suppressAutoHyphens w:val="true"/>
        <w:spacing w:lineRule="auto" w:line="240" w:before="0" w:after="0"/>
        <w:contextualSpacing/>
        <w:jc w:val="both"/>
        <w:rPr/>
      </w:pPr>
      <w:r>
        <w:rPr>
          <w:rFonts w:cs="Arial"/>
          <w:color w:val="00000A"/>
          <w:szCs w:val="20"/>
          <w:u w:val="none"/>
          <w:lang w:eastAsia="en-US"/>
        </w:rPr>
        <w:t xml:space="preserve">Os pagamentos decorrentes de despesas cujos valores não ultrapassem o limite </w:t>
      </w:r>
      <w:r>
        <w:rPr>
          <w:rFonts w:cs="Arial"/>
          <w:color w:val="00000A"/>
          <w:szCs w:val="20"/>
          <w:u w:val="none"/>
        </w:rPr>
        <w:t>de que trata o inciso II do art. 75</w:t>
      </w:r>
      <w:r>
        <w:rPr>
          <w:rFonts w:cs="Arial"/>
          <w:color w:val="00000A"/>
          <w:szCs w:val="20"/>
          <w:u w:val="none"/>
          <w:lang w:eastAsia="en-US"/>
        </w:rPr>
        <w:t xml:space="preserve"> da Lei 14.133 de 2021, deverão ser efetuados no prazo de até 5 (cinco) dias úteis, contados da data da apresentação da Nota Fiscal, nos termos da Lei nº 14.133, de 2021.</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rPr>
        <w:t>Considera-se ocorrido o recebimento da nota fiscal ou fatura no momento em que o órgão contratante atestar a execução do objeto do contrato.</w:t>
      </w:r>
    </w:p>
    <w:p>
      <w:pPr>
        <w:pStyle w:val="Normal"/>
        <w:keepNext/>
        <w:pageBreakBefore w:val="false"/>
        <w:widowControl w:val="false"/>
        <w:numPr>
          <w:ilvl w:val="1"/>
          <w:numId w:val="1"/>
        </w:numPr>
        <w:suppressAutoHyphens w:val="true"/>
        <w:spacing w:lineRule="auto" w:line="240" w:before="0" w:after="0"/>
        <w:contextualSpacing/>
        <w:jc w:val="both"/>
        <w:rPr/>
      </w:pPr>
      <w:r>
        <w:rPr>
          <w:color w:val="00000A"/>
          <w:u w:val="none"/>
        </w:rPr>
        <w:t xml:space="preserve">A Nota Fiscal ou Fatura deverá ser obrigatoriamente acompanhada da comprovação da regularidade fiscal, constatada por meio de consulta on-line ao SICAF ou, na impossibilidade de acesso </w:t>
      </w:r>
      <w:r>
        <w:rPr>
          <w:rFonts w:cs="Arial"/>
          <w:color w:val="00000A"/>
          <w:u w:val="none"/>
          <w:lang w:eastAsia="en-US"/>
        </w:rPr>
        <w:t>ao</w:t>
      </w:r>
      <w:r>
        <w:rPr>
          <w:color w:val="00000A"/>
          <w:u w:val="none"/>
        </w:rPr>
        <w:t xml:space="preserve"> referido Sistema, mediante consulta aos sítios eletrônicos oficiais ou à documentação mencionada da Lei nº 14.133, de 2021. </w:t>
      </w:r>
    </w:p>
    <w:p>
      <w:pPr>
        <w:pStyle w:val="Normal"/>
        <w:keepNext/>
        <w:pageBreakBefore w:val="false"/>
        <w:widowControl w:val="false"/>
        <w:numPr>
          <w:ilvl w:val="2"/>
          <w:numId w:val="1"/>
        </w:numPr>
        <w:suppressAutoHyphens w:val="true"/>
        <w:spacing w:lineRule="auto" w:line="240" w:before="0" w:after="0"/>
        <w:contextualSpacing/>
        <w:jc w:val="both"/>
        <w:rPr/>
      </w:pPr>
      <w:r>
        <w:rPr>
          <w:color w:val="00000A"/>
          <w:u w:val="none"/>
        </w:rPr>
        <w:t xml:space="preserve">Constatando-se, junto ao SICAF, a situação de irregularidade do fornecedor contratado, deverão ser tomadas as providências previstas no do art. 31 da Instrução </w:t>
      </w:r>
      <w:r>
        <w:rPr>
          <w:rFonts w:cs="Arial"/>
          <w:color w:val="00000A"/>
          <w:u w:val="none"/>
          <w:lang w:eastAsia="en-US"/>
        </w:rPr>
        <w:t>Normativa</w:t>
      </w:r>
      <w:r>
        <w:rPr>
          <w:color w:val="00000A"/>
          <w:u w:val="none"/>
        </w:rPr>
        <w:t xml:space="preserve"> nº 3, de 26 de abril de 2018.</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lang w:eastAsia="en-US"/>
        </w:rPr>
        <w:t xml:space="preserve">Havendo erro na apresentação da Nota Fiscal ou dos documentos pertinentes à contratação, ou, ainda, circunstância que impeça a liquidação da despesa, como, por exemplo, </w:t>
      </w:r>
      <w:r>
        <w:rPr>
          <w:rFonts w:cs="Arial"/>
          <w:color w:val="00000A"/>
          <w:szCs w:val="20"/>
          <w:u w:val="none"/>
        </w:rPr>
        <w:t>obrigação financeira pendente, decorrente de penalidade imposta ou inadimplência,</w:t>
      </w:r>
      <w:r>
        <w:rPr>
          <w:rFonts w:cs="Arial"/>
          <w:color w:val="00000A"/>
          <w:szCs w:val="20"/>
          <w:u w:val="none"/>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Será considerada data do pagamento o dia em que constar como emitida a ordem bancária para pagamento.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Antes de cada pagamento à contratada, será realizada consulta ao SICAF para verificar a manutenção das condições de habilitação exigidas no edital. </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Persistindo a irregularidade, a contratante deverá adotar as medidas necessárias à rescisão contratual nos autos do processo administrativo correspondente, assegurada à contratada a ampla defesa. </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Havendo a efetiva execução do objeto, os pagamentos serão realizados normalmente, até que se decida pela rescisão do contrato, caso a contratada não regularize sua situação junto ao SICAF.  </w:t>
      </w:r>
    </w:p>
    <w:p>
      <w:pPr>
        <w:pStyle w:val="ListParagraph"/>
        <w:keepNext/>
        <w:pageBreakBefore w:val="false"/>
        <w:widowControl w:val="false"/>
        <w:suppressAutoHyphens w:val="true"/>
        <w:spacing w:lineRule="auto" w:line="240" w:before="0" w:after="0"/>
        <w:ind w:left="716" w:hanging="0"/>
        <w:contextualSpacing/>
        <w:jc w:val="both"/>
        <w:rPr/>
      </w:pPr>
      <w:r>
        <w:rPr>
          <w:rFonts w:cs="Arial"/>
          <w:color w:val="00000A"/>
          <w:szCs w:val="20"/>
          <w:u w:val="none"/>
          <w:lang w:eastAsia="en-US"/>
        </w:rPr>
        <w:t>10.11.1.Será rescindido o contrato em execução com a contratada inadimplente no SICAF, salvo por motivo de economicidade, segurança nacion</w:t>
      </w:r>
      <w:r>
        <w:rPr>
          <w:rFonts w:cs="Arial"/>
          <w:color w:val="00000A"/>
          <w:szCs w:val="20"/>
          <w:lang w:eastAsia="en-US"/>
        </w:rPr>
        <w:t>al ou outro de interesse público de alta relevância, devidamente justificado, em qualquer caso, pela máxima autoridade da contratante.</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color w:val="00000A"/>
          <w:szCs w:val="20"/>
        </w:rPr>
        <w:t>Quando do pagamento, será efetuada a retenção tributária prevista na legislação aplicável.</w:t>
      </w:r>
    </w:p>
    <w:p>
      <w:pPr>
        <w:pStyle w:val="Normal"/>
        <w:keepNext/>
        <w:pageBreakBefore w:val="false"/>
        <w:widowControl w:val="false"/>
        <w:numPr>
          <w:ilvl w:val="2"/>
          <w:numId w:val="1"/>
        </w:numPr>
        <w:tabs>
          <w:tab w:val="left" w:pos="1440" w:leader="none"/>
        </w:tabs>
        <w:suppressAutoHyphens w:val="true"/>
        <w:snapToGrid w:val="false"/>
        <w:spacing w:lineRule="auto" w:line="240" w:before="0" w:after="0"/>
        <w:ind w:left="1134" w:hanging="0"/>
        <w:contextualSpacing/>
        <w:jc w:val="both"/>
        <w:rPr/>
      </w:pPr>
      <w:r>
        <w:rPr>
          <w:rFonts w:cs="Arial"/>
          <w:color w:val="00000A"/>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keepNext/>
        <w:pageBreakBefore w:val="false"/>
        <w:widowControl w:val="false"/>
        <w:suppressAutoHyphens w:val="true"/>
        <w:spacing w:lineRule="auto" w:line="240" w:before="0" w:after="0"/>
        <w:contextualSpacing/>
        <w:jc w:val="both"/>
        <w:rPr/>
      </w:pPr>
      <w:r>
        <w:rPr>
          <w:rFonts w:cs="Arial"/>
          <w:color w:val="00000A"/>
          <w:szCs w:val="20"/>
          <w:lang w:eastAsia="en-US"/>
        </w:rPr>
        <w:t xml:space="preserve">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EM = I x N x VP, sendo:</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EM = Encargos moratórios;</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N = Número de dias entre a data prevista para o pagamento e a do efetivo pagamento;</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VP = Valor da parcela a ser paga.</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I = Índice de compensação financeira = 0,00016438, assim apurado:</w:t>
      </w:r>
    </w:p>
    <w:tbl>
      <w:tblPr>
        <w:tblStyle w:val="Tabelacomgrade"/>
        <w:tblW w:w="8647" w:type="dxa"/>
        <w:jc w:val="left"/>
        <w:tblInd w:w="425" w:type="dxa"/>
        <w:tblCellMar>
          <w:top w:w="0" w:type="dxa"/>
          <w:left w:w="148" w:type="dxa"/>
          <w:bottom w:w="0" w:type="dxa"/>
          <w:right w:w="108" w:type="dxa"/>
        </w:tblCellMar>
        <w:tblLook w:firstRow="1" w:noVBand="1" w:lastRow="0" w:firstColumn="1" w:lastColumn="0" w:noHBand="0" w:val="04a0"/>
      </w:tblPr>
      <w:tblGrid>
        <w:gridCol w:w="2149"/>
        <w:gridCol w:w="579"/>
        <w:gridCol w:w="1247"/>
        <w:gridCol w:w="4671"/>
      </w:tblGrid>
      <w:tr>
        <w:trPr/>
        <w:tc>
          <w:tcPr>
            <w:tcW w:w="2149" w:type="dxa"/>
            <w:tcBorders>
              <w:top w:val="nil"/>
              <w:left w:val="nil"/>
              <w:bottom w:val="nil"/>
              <w:right w:val="nil"/>
              <w:insideH w:val="nil"/>
              <w:insideV w:val="nil"/>
            </w:tcBorders>
            <w:shd w:fill="auto" w:val="clear"/>
            <w:vAlign w:val="center"/>
          </w:tcPr>
          <w:p>
            <w:pPr>
              <w:pStyle w:val="Normal"/>
              <w:keepNext/>
              <w:widowControl w:val="false"/>
              <w:tabs>
                <w:tab w:val="left" w:pos="1701" w:leader="none"/>
              </w:tabs>
              <w:suppressAutoHyphens w:val="true"/>
              <w:spacing w:lineRule="auto" w:line="240" w:before="0" w:after="0"/>
              <w:contextualSpacing/>
              <w:jc w:val="center"/>
              <w:rPr/>
            </w:pPr>
            <w:r>
              <w:rPr>
                <w:rFonts w:eastAsia="ＭＳ 明朝" w:cs="Arial"/>
                <w:color w:val="00000A"/>
                <w:szCs w:val="20"/>
                <w:lang w:eastAsia="en-US"/>
              </w:rPr>
              <w:t>I = (TX)</w:t>
            </w:r>
          </w:p>
        </w:tc>
        <w:tc>
          <w:tcPr>
            <w:tcW w:w="579" w:type="dxa"/>
            <w:tcBorders>
              <w:top w:val="nil"/>
              <w:left w:val="nil"/>
              <w:bottom w:val="nil"/>
              <w:right w:val="nil"/>
              <w:insideH w:val="nil"/>
              <w:insideV w:val="nil"/>
            </w:tcBorders>
            <w:shd w:fill="auto" w:val="clear"/>
            <w:vAlign w:val="center"/>
          </w:tcPr>
          <w:p>
            <w:pPr>
              <w:pStyle w:val="Normal"/>
              <w:keepNext/>
              <w:widowControl w:val="false"/>
              <w:tabs>
                <w:tab w:val="left" w:pos="1701" w:leader="none"/>
              </w:tabs>
              <w:suppressAutoHyphens w:val="true"/>
              <w:spacing w:lineRule="auto" w:line="240" w:before="0" w:after="0"/>
              <w:contextualSpacing/>
              <w:rPr/>
            </w:pPr>
            <w:r>
              <w:rPr>
                <w:rFonts w:eastAsia="ＭＳ 明朝" w:cs="Arial"/>
                <w:color w:val="00000A"/>
                <w:szCs w:val="20"/>
                <w:lang w:eastAsia="en-US"/>
              </w:rPr>
              <w:t xml:space="preserve">I = </w:t>
            </w:r>
          </w:p>
        </w:tc>
        <w:tc>
          <w:tcPr>
            <w:tcW w:w="1247" w:type="dxa"/>
            <w:tcBorders>
              <w:top w:val="nil"/>
              <w:left w:val="nil"/>
              <w:right w:val="nil"/>
              <w:insideV w:val="nil"/>
            </w:tcBorders>
            <w:shd w:fill="auto" w:val="clear"/>
          </w:tcPr>
          <w:p>
            <w:pPr>
              <w:pStyle w:val="Normal"/>
              <w:keepNext/>
              <w:widowControl w:val="false"/>
              <w:tabs>
                <w:tab w:val="left" w:pos="1701" w:leader="none"/>
              </w:tabs>
              <w:suppressAutoHyphens w:val="true"/>
              <w:spacing w:lineRule="auto" w:line="240" w:before="0" w:after="0"/>
              <w:contextualSpacing/>
              <w:jc w:val="center"/>
              <w:rPr/>
            </w:pPr>
            <w:r>
              <w:rPr>
                <w:rFonts w:eastAsia="ＭＳ 明朝" w:cs="Arial"/>
                <w:color w:val="00000A"/>
                <w:szCs w:val="20"/>
                <w:lang w:eastAsia="en-US"/>
              </w:rPr>
              <w:t>( 6 / 100 )</w:t>
            </w:r>
          </w:p>
        </w:tc>
        <w:tc>
          <w:tcPr>
            <w:tcW w:w="4671" w:type="dxa"/>
            <w:tcBorders>
              <w:top w:val="nil"/>
              <w:left w:val="nil"/>
              <w:bottom w:val="nil"/>
              <w:right w:val="nil"/>
              <w:insideH w:val="nil"/>
              <w:insideV w:val="nil"/>
            </w:tcBorders>
            <w:shd w:fill="auto" w:val="clear"/>
            <w:vAlign w:val="center"/>
          </w:tcPr>
          <w:p>
            <w:pPr>
              <w:pStyle w:val="Normal"/>
              <w:keepNext/>
              <w:widowControl w:val="false"/>
              <w:tabs>
                <w:tab w:val="left" w:pos="1701" w:leader="none"/>
              </w:tabs>
              <w:suppressAutoHyphens w:val="true"/>
              <w:spacing w:lineRule="auto" w:line="240" w:before="0" w:after="0"/>
              <w:ind w:left="742" w:hanging="0"/>
              <w:contextualSpacing/>
              <w:rPr/>
            </w:pPr>
            <w:r>
              <w:rPr>
                <w:rFonts w:eastAsia="ＭＳ 明朝" w:cs="Arial"/>
                <w:color w:val="00000A"/>
                <w:szCs w:val="20"/>
                <w:lang w:eastAsia="en-US"/>
              </w:rPr>
              <w:t>I = 0,00016438</w:t>
            </w:r>
          </w:p>
          <w:p>
            <w:pPr>
              <w:pStyle w:val="Normal"/>
              <w:keepNext/>
              <w:widowControl w:val="false"/>
              <w:tabs>
                <w:tab w:val="left" w:pos="1701" w:leader="none"/>
              </w:tabs>
              <w:suppressAutoHyphens w:val="true"/>
              <w:spacing w:lineRule="auto" w:line="240" w:before="0" w:after="0"/>
              <w:ind w:left="742" w:hanging="0"/>
              <w:contextualSpacing/>
              <w:rPr/>
            </w:pPr>
            <w:r>
              <w:rPr>
                <w:rFonts w:eastAsia="ＭＳ 明朝" w:cs="Arial"/>
                <w:color w:val="00000A"/>
                <w:szCs w:val="20"/>
                <w:lang w:eastAsia="en-US"/>
              </w:rPr>
              <w:t>TX = Percentual da taxa anual = 6%</w:t>
            </w:r>
          </w:p>
        </w:tc>
      </w:tr>
    </w:tbl>
    <w:p>
      <w:pPr>
        <w:pStyle w:val="Normal"/>
        <w:keepNext/>
        <w:pageBreakBefore w:val="false"/>
        <w:widowControl w:val="false"/>
        <w:suppressAutoHyphens w:val="true"/>
        <w:spacing w:lineRule="auto" w:line="240" w:before="0" w:after="0"/>
        <w:contextualSpacing/>
        <w:rPr/>
      </w:pPr>
      <w:r>
        <w:rPr>
          <w:color w:val="00000A"/>
        </w:rPr>
        <w:t xml:space="preserve">                                                            </w:t>
      </w:r>
      <w:r>
        <w:rPr>
          <w:color w:val="00000A"/>
        </w:rPr>
        <w:t>365</w:t>
      </w:r>
    </w:p>
    <w:p>
      <w:pPr>
        <w:pStyle w:val="Nivel1"/>
        <w:keepNext/>
        <w:pageBreakBefore w:val="false"/>
        <w:widowControl w:val="false"/>
        <w:numPr>
          <w:ilvl w:val="0"/>
          <w:numId w:val="1"/>
        </w:numPr>
        <w:suppressAutoHyphens w:val="true"/>
        <w:spacing w:lineRule="auto" w:line="240" w:before="0" w:after="0"/>
        <w:contextualSpacing/>
        <w:rPr/>
      </w:pPr>
      <w:r>
        <w:rPr>
          <w:color w:val="00000A"/>
        </w:rPr>
        <w:t xml:space="preserve">DO REAJUSTE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Os preços são fixos e irreajustáveis no prazo de um ano contado da data limite para a apresentação das propostas.</w:t>
      </w:r>
    </w:p>
    <w:p>
      <w:pPr>
        <w:pStyle w:val="ListParagraph"/>
        <w:keepNext/>
        <w:pageBreakBefore w:val="false"/>
        <w:widowControl w:val="false"/>
        <w:numPr>
          <w:ilvl w:val="2"/>
          <w:numId w:val="1"/>
        </w:numPr>
        <w:suppressAutoHyphens w:val="true"/>
        <w:spacing w:lineRule="auto" w:line="240" w:before="0" w:after="0"/>
        <w:contextualSpacing/>
        <w:jc w:val="both"/>
        <w:rPr/>
      </w:pPr>
      <w:r>
        <w:rPr>
          <w:rFonts w:cs="Arial"/>
          <w:color w:val="00000A"/>
          <w:szCs w:val="20"/>
        </w:rPr>
        <w:t>Dentro do prazo de vigência do contrato e mediante solicitação da contratada, os preços contratados poderão sofrer reajuste após o interregno de um ano, aplicando-se o índice</w:t>
      </w:r>
      <w:r>
        <w:rPr>
          <w:rFonts w:cs="Arial"/>
          <w:b w:val="false"/>
          <w:bCs w:val="false"/>
          <w:color w:val="00000A"/>
          <w:szCs w:val="20"/>
          <w:u w:val="none"/>
        </w:rPr>
        <w:t xml:space="preserve"> IPCA/IBGE </w:t>
      </w:r>
      <w:r>
        <w:rPr>
          <w:rFonts w:cs="Arial"/>
          <w:color w:val="00000A"/>
          <w:szCs w:val="20"/>
        </w:rPr>
        <w:t>exclusivamente para as obrigações iniciadas e concluídas após a ocorrência da anualidade.</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Nos reajustes subsequentes ao primeiro, o interregno mínimo de um ano será contado a partir dos efeitos financeiros do último reajuste.</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Nas aferições finais, o índice utilizado para reajuste será, obrigatoriamente, o definitivo.</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Caso o índice estabelecido para reajustamento venha a ser extinto ou de qualquer forma não possa mais ser utilizado, será adotado, em substituição, o que vier a ser determinado pela legislação então em vigor.</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 xml:space="preserve">Na ausência de previsão legal quanto ao índice substituto, as partes elegerão novo índice oficial, para reajustamento do preço do valor remanescente, por meio de termo aditivo.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O reajuste será realizado por apostilamento.</w:t>
      </w:r>
    </w:p>
    <w:p>
      <w:pPr>
        <w:pStyle w:val="Nivel1"/>
        <w:keepNext/>
        <w:pageBreakBefore w:val="false"/>
        <w:widowControl w:val="false"/>
        <w:numPr>
          <w:ilvl w:val="0"/>
          <w:numId w:val="1"/>
        </w:numPr>
        <w:suppressAutoHyphens w:val="true"/>
        <w:spacing w:lineRule="auto" w:line="240" w:before="0" w:after="0"/>
        <w:contextualSpacing/>
        <w:rPr/>
      </w:pPr>
      <w:r>
        <w:rPr>
          <w:color w:val="00000A"/>
        </w:rPr>
        <w:t>DA GARANTIA DE EXECUÇÃO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i/>
          <w:color w:val="00000A"/>
        </w:rPr>
        <w:t>Não haverá exigência de garantia contratual da execução, pelas razões abaixo justificadas:</w:t>
      </w:r>
    </w:p>
    <w:p>
      <w:pPr>
        <w:pStyle w:val="Nivel1"/>
        <w:keepNext/>
        <w:pageBreakBefore w:val="false"/>
        <w:widowControl w:val="false"/>
        <w:numPr>
          <w:ilvl w:val="0"/>
          <w:numId w:val="1"/>
        </w:numPr>
        <w:suppressAutoHyphens w:val="true"/>
        <w:spacing w:lineRule="auto" w:line="240" w:before="0" w:after="0"/>
        <w:contextualSpacing/>
        <w:rPr/>
      </w:pPr>
      <w:r>
        <w:rPr>
          <w:color w:val="00000A"/>
        </w:rPr>
        <w:t>A GARANTIA CONTRATUAL DOS BENS.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bCs/>
          <w:i w:val="false"/>
          <w:iCs w:val="false"/>
          <w:color w:val="00000A"/>
          <w:szCs w:val="20"/>
          <w:u w:val="none"/>
        </w:rPr>
        <w:t xml:space="preserve">O prazo de garantia contratual dos bens, complementar à garantia legal, será de, no mínimo, 12 (doze) meses, contado a partir do primeiro dia útil subsequente à data do recebimento definitivo do objeto. (Justificar a exigência de garantia e o prazo estabelecido) </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bCs/>
          <w:i w:val="false"/>
          <w:iCs w:val="false"/>
          <w:color w:val="00000A"/>
          <w:szCs w:val="20"/>
          <w:u w:val="none"/>
        </w:rPr>
        <w:t xml:space="preserve">Caso o prazo da garantia oferecida pelo fabricante seja inferior ao estabelecido nesta cláusula, o licitante deverá complementar a garantia do bem ofertado pelo período restante. </w:t>
      </w:r>
    </w:p>
    <w:p>
      <w:pPr>
        <w:pStyle w:val="Nivel1"/>
        <w:keepNext/>
        <w:pageBreakBefore w:val="false"/>
        <w:widowControl w:val="false"/>
        <w:numPr>
          <w:ilvl w:val="0"/>
          <w:numId w:val="1"/>
        </w:numPr>
        <w:suppressAutoHyphens w:val="true"/>
        <w:spacing w:lineRule="auto" w:line="240" w:before="0" w:after="0"/>
        <w:ind w:left="357" w:hanging="357"/>
        <w:contextualSpacing/>
        <w:rPr/>
      </w:pPr>
      <w:r>
        <w:rPr>
          <w:color w:val="00000A"/>
        </w:rPr>
        <w:t>DAS SANÇÕES ADMINISTRATIVAS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Comete infração administrativa nos termos da Lei nº 10.520, de 2002, a Contratada que: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inexecutar total ou parcialmente qualquer das obrigações assumidas em decorrência da contratação;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ensejar o retardamento da execução do objeto;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falhar ou fraudar na execução do contrato;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comportar-se de modo inidôneo;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cometer fraude fiscal;</w:t>
      </w:r>
    </w:p>
    <w:p>
      <w:pPr>
        <w:pStyle w:val="ListParagraph"/>
        <w:keepNext/>
        <w:pageBreakBefore w:val="false"/>
        <w:widowControl w:val="false"/>
        <w:numPr>
          <w:ilvl w:val="1"/>
          <w:numId w:val="1"/>
        </w:numPr>
        <w:suppressAutoHyphens w:val="true"/>
        <w:spacing w:lineRule="auto" w:line="240" w:before="0" w:after="0"/>
        <w:ind w:left="716" w:right="0" w:hanging="432"/>
        <w:contextualSpacing/>
        <w:jc w:val="both"/>
        <w:rPr/>
      </w:pPr>
      <w:r>
        <w:rPr>
          <w:rFonts w:cs="Arial"/>
          <w:color w:val="00000A"/>
          <w:szCs w:val="20"/>
          <w:u w:val="none"/>
        </w:rPr>
        <w:t>Pela inexecução total ou parcial do objeto deste contrato, a Administração pode aplicar à CONTRATADA as seguintes sanções: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Advertência,  por faltas leves, assim entendidas aquelas que não acarretem prejuízos significativos para a Contratante;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multa moratória de 1% (um por cento) por dia de atraso injustificado sobre o valor da parcela inadimplida, até o limite de 30(trinta) dias;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multa compensatória de 10% (dez por cento) sobre o valor total do contrato, no caso de inexecução total do objeto;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em caso de 'inexecução parcial, a multa compensatória, no mesmo percentual do subitem acima, será aplicada de forma proporcional à obrigação inadimplida;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 xml:space="preserve">suspensão de licitar e impedimento de contratar com o órgão, entidade ou unidade administrativa pela qual a Administração Pública opera e atua concretamente, pelo prazo de até dois anos; </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impedimento de licitar e contratar com órgãos e entidades da União com o consequente descredenciamento no SICAF pelo prazo de até cinco anos;</w:t>
      </w:r>
    </w:p>
    <w:p>
      <w:pPr>
        <w:pStyle w:val="PargrafodaLista1"/>
        <w:keepNext/>
        <w:pageBreakBefore w:val="false"/>
        <w:widowControl w:val="false"/>
        <w:numPr>
          <w:ilvl w:val="3"/>
          <w:numId w:val="1"/>
        </w:numPr>
        <w:suppressAutoHyphens w:val="true"/>
        <w:spacing w:lineRule="auto" w:line="240" w:before="0" w:after="0"/>
        <w:ind w:left="2491" w:right="0" w:hanging="648"/>
        <w:contextualSpacing/>
        <w:jc w:val="both"/>
        <w:rPr/>
      </w:pPr>
      <w:r>
        <w:rPr>
          <w:rFonts w:cs="Arial" w:ascii="Arial" w:hAnsi="Arial"/>
          <w:color w:val="00000A"/>
          <w:sz w:val="20"/>
          <w:szCs w:val="20"/>
          <w:u w:val="none"/>
        </w:rPr>
        <w:t>A Sanção de impedimento de licitar e contratar prevista neste subitem também é aplicável em quaisquer das hipóteses previstas como infração administrativa no subitem 16.1 deste Termo de Referência.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rFonts w:cs="Arial"/>
          <w:color w:val="00000A"/>
          <w:szCs w:val="20"/>
          <w:u w:val="none"/>
        </w:rPr>
        <w:t>As sanções previstas nos subitens 16.2.1, 16.2.5, 16.2.6 e 16.2.7 poderão ser aplicadas à CONTRATADA juntamente com as de multa, descontando-a dos pagamentos a serem efetuados.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Também ficam sujeitas às penalidades do art. 156, III e IV da Lei nº 14.133, de 2021, as empresas ou profissionais que: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tenham sofrido condenação definitiva por praticar, por meio dolosos, fraude fiscal no recolhimento de quaisquer tributos;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tenham praticado atos ilícitos visando a frustrar os objetivos da licitação;</w:t>
      </w:r>
    </w:p>
    <w:p>
      <w:pPr>
        <w:pStyle w:val="Normal"/>
        <w:keepNext/>
        <w:pageBreakBefore w:val="false"/>
        <w:widowControl w:val="false"/>
        <w:numPr>
          <w:ilvl w:val="2"/>
          <w:numId w:val="1"/>
        </w:numPr>
        <w:suppressAutoHyphens w:val="true"/>
        <w:spacing w:lineRule="auto" w:line="240" w:before="0" w:after="0"/>
        <w:ind w:left="1134" w:right="0" w:hanging="283"/>
        <w:contextualSpacing/>
        <w:jc w:val="both"/>
        <w:rPr/>
      </w:pPr>
      <w:r>
        <w:rPr>
          <w:rFonts w:cs="Arial"/>
          <w:color w:val="00000A"/>
          <w:szCs w:val="20"/>
          <w:u w:val="none"/>
        </w:rPr>
        <w:t>demonstrem não possuir idoneidade para contratar com a Administração em virtude de atos ilícitos praticados.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color w:val="00000A"/>
          <w:szCs w:val="20"/>
          <w:u w:val="none"/>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keepNext/>
        <w:pageBreakBefore w:val="false"/>
        <w:widowControl w:val="false"/>
        <w:numPr>
          <w:ilvl w:val="2"/>
          <w:numId w:val="1"/>
        </w:numPr>
        <w:suppressAutoHyphens w:val="true"/>
        <w:spacing w:lineRule="auto" w:line="240" w:before="0" w:after="0"/>
        <w:ind w:left="930" w:right="0" w:hanging="504"/>
        <w:contextualSpacing/>
        <w:jc w:val="both"/>
        <w:rPr/>
      </w:pPr>
      <w:r>
        <w:rPr>
          <w:color w:val="00000A"/>
          <w:szCs w:val="20"/>
          <w:u w:val="none"/>
        </w:rPr>
        <w:t>Caso a Contratante determine, a multa deverá ser recolhida no prazo máximo de 30 (trinta) dias, a contar da data do recebimento da comunicação enviada pela autoridade competente.</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rFonts w:cs="Arial"/>
          <w:color w:val="00000A"/>
          <w:szCs w:val="20"/>
          <w:u w:val="none"/>
        </w:rPr>
        <w:t>Caso o valor da multa não seja suficiente para cobrir os prejuízos causados pela conduta do licitante, a União ou Entidade poderá cobrar o valor remanescente judicialmente, conforme artigo 419 do Código Civil.</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color w:val="00000A"/>
          <w:u w:val="none"/>
        </w:rPr>
        <w:t>A autoridade competente, na aplicação das sanções, levará em consideração a gravidade da conduta do infrator, o caráter educativo da pena, bem como o dano causado à Administração, observado o princípio da proporcionalidade.</w:t>
      </w:r>
    </w:p>
    <w:p>
      <w:pPr>
        <w:pStyle w:val="Nivel2"/>
        <w:keepNext/>
        <w:pageBreakBefore w:val="false"/>
        <w:widowControl w:val="false"/>
        <w:numPr>
          <w:ilvl w:val="1"/>
          <w:numId w:val="1"/>
        </w:numPr>
        <w:suppressAutoHyphens w:val="true"/>
        <w:spacing w:lineRule="auto" w:line="240" w:before="0" w:after="0"/>
        <w:contextualSpacing/>
        <w:rPr/>
      </w:pPr>
      <w:r>
        <w:rPr>
          <w:rFonts w:cs="Arial" w:ascii="Arial" w:hAnsi="Arial"/>
          <w:color w:val="00000A"/>
          <w:u w:val="none"/>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keepNext/>
        <w:pageBreakBefore w:val="false"/>
        <w:widowControl w:val="false"/>
        <w:numPr>
          <w:ilvl w:val="1"/>
          <w:numId w:val="1"/>
        </w:numPr>
        <w:suppressAutoHyphens w:val="true"/>
        <w:spacing w:lineRule="auto" w:line="240" w:before="0" w:after="0"/>
        <w:contextualSpacing/>
        <w:rPr/>
      </w:pPr>
      <w:r>
        <w:rPr>
          <w:rFonts w:cs="Arial" w:ascii="Arial" w:hAnsi="Arial"/>
          <w:color w:val="00000A"/>
          <w:u w: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keepNext/>
        <w:pageBreakBefore w:val="false"/>
        <w:widowControl w:val="false"/>
        <w:numPr>
          <w:ilvl w:val="1"/>
          <w:numId w:val="1"/>
        </w:numPr>
        <w:suppressAutoHyphens w:val="true"/>
        <w:spacing w:lineRule="auto" w:line="240" w:before="0" w:after="0"/>
        <w:contextualSpacing/>
        <w:rPr/>
      </w:pPr>
      <w:r>
        <w:rPr>
          <w:rFonts w:cs="Arial" w:ascii="Arial" w:hAnsi="Arial"/>
          <w:color w:val="00000A"/>
          <w:u w:val="none"/>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As penalidades serão obrigatoriamente registradas no SICAF.</w:t>
      </w:r>
    </w:p>
    <w:p>
      <w:pPr>
        <w:pStyle w:val="Nivel1"/>
        <w:keepNext/>
        <w:pageBreakBefore w:val="false"/>
        <w:widowControl w:val="false"/>
        <w:numPr>
          <w:ilvl w:val="0"/>
          <w:numId w:val="0"/>
        </w:numPr>
        <w:suppressAutoHyphens w:val="true"/>
        <w:spacing w:lineRule="auto" w:line="240" w:before="0" w:after="0"/>
        <w:ind w:left="357" w:right="0" w:hanging="0"/>
        <w:contextualSpacing/>
        <w:rPr>
          <w:bCs/>
          <w:color w:val="00000A"/>
        </w:rPr>
      </w:pPr>
      <w:r>
        <w:rPr>
          <w:bCs/>
          <w:color w:val="00000A"/>
        </w:rPr>
      </w:r>
    </w:p>
    <w:p>
      <w:pPr>
        <w:pStyle w:val="Nivel1"/>
        <w:keepNext/>
        <w:pageBreakBefore w:val="false"/>
        <w:widowControl w:val="false"/>
        <w:numPr>
          <w:ilvl w:val="0"/>
          <w:numId w:val="1"/>
        </w:numPr>
        <w:suppressAutoHyphens w:val="true"/>
        <w:spacing w:lineRule="auto" w:line="240" w:before="0" w:after="0"/>
        <w:ind w:left="360" w:right="0" w:hanging="0"/>
        <w:contextualSpacing/>
        <w:rPr/>
      </w:pPr>
      <w:r>
        <w:rPr>
          <w:bCs/>
          <w:color w:val="00000A"/>
        </w:rPr>
        <w:t xml:space="preserve">ESTIMATIVA DE </w:t>
      </w:r>
      <w:r>
        <w:rPr>
          <w:color w:val="00000A"/>
        </w:rPr>
        <w:t>PREÇOS</w:t>
      </w:r>
      <w:r>
        <w:rPr>
          <w:bCs/>
          <w:color w:val="00000A"/>
        </w:rPr>
        <w:t xml:space="preserve"> E PREÇOS REFERENCIAIS.</w:t>
      </w:r>
    </w:p>
    <w:p>
      <w:pPr>
        <w:pStyle w:val="Nivel1"/>
        <w:keepNext/>
        <w:pageBreakBefore w:val="false"/>
        <w:widowControl w:val="false"/>
        <w:numPr>
          <w:ilvl w:val="1"/>
          <w:numId w:val="1"/>
        </w:numPr>
        <w:suppressAutoHyphens w:val="true"/>
        <w:spacing w:lineRule="auto" w:line="240" w:before="0" w:after="0"/>
        <w:ind w:left="716" w:right="0" w:hanging="0"/>
        <w:contextualSpacing/>
        <w:rPr/>
      </w:pPr>
      <w:r>
        <w:rPr>
          <w:b w:val="false"/>
          <w:i/>
          <w:color w:val="00000A"/>
        </w:rPr>
        <w:t xml:space="preserve">O custo estimado da contratação é de R$ </w:t>
      </w:r>
      <w:r>
        <w:rPr>
          <w:rFonts w:eastAsia="ＭＳ ゴシック" w:cs="Arial"/>
          <w:b w:val="false"/>
          <w:i/>
          <w:color w:val="00000A"/>
          <w:sz w:val="20"/>
          <w:szCs w:val="20"/>
          <w:lang w:val="pt-BR" w:eastAsia="pt-BR" w:bidi="ar-SA"/>
        </w:rPr>
        <w:t>3</w:t>
      </w:r>
      <w:r>
        <w:rPr>
          <w:b w:val="false"/>
          <w:i/>
          <w:color w:val="00000A"/>
        </w:rPr>
        <w:t>.132,24 (</w:t>
      </w:r>
      <w:r>
        <w:rPr>
          <w:rFonts w:eastAsia="ＭＳ ゴシック" w:cs="Arial"/>
          <w:b w:val="false"/>
          <w:i/>
          <w:color w:val="00000A"/>
          <w:sz w:val="20"/>
          <w:szCs w:val="20"/>
          <w:lang w:val="pt-BR" w:eastAsia="pt-BR" w:bidi="ar-SA"/>
        </w:rPr>
        <w:t>três</w:t>
      </w:r>
      <w:r>
        <w:rPr>
          <w:b w:val="false"/>
          <w:i/>
          <w:color w:val="00000A"/>
        </w:rPr>
        <w:t xml:space="preserve"> mil, cento e trinta e dois reais e vinte e quatro centavos).</w:t>
      </w:r>
    </w:p>
    <w:p>
      <w:pPr>
        <w:pStyle w:val="Normal"/>
        <w:keepNext/>
        <w:pageBreakBefore w:val="false"/>
        <w:widowControl w:val="false"/>
        <w:suppressAutoHyphens w:val="true"/>
        <w:spacing w:lineRule="auto" w:line="240" w:before="0" w:after="0"/>
        <w:ind w:right="0" w:hanging="0"/>
        <w:contextualSpacing/>
        <w:jc w:val="both"/>
        <w:rPr>
          <w:b/>
          <w:b/>
          <w:bCs/>
          <w:szCs w:val="20"/>
        </w:rPr>
      </w:pPr>
      <w:r>
        <w:rPr>
          <w:b/>
          <w:bCs/>
          <w:szCs w:val="20"/>
        </w:rPr>
      </w:r>
    </w:p>
    <w:p>
      <w:pPr>
        <w:pStyle w:val="ListParagraph"/>
        <w:keepNext/>
        <w:pageBreakBefore w:val="false"/>
        <w:widowControl w:val="false"/>
        <w:suppressAutoHyphens w:val="true"/>
        <w:spacing w:lineRule="auto" w:line="240" w:before="0" w:after="0"/>
        <w:ind w:left="716" w:right="0" w:hanging="432"/>
        <w:contextualSpacing/>
        <w:jc w:val="both"/>
        <w:rPr>
          <w:b/>
          <w:b/>
          <w:bCs/>
          <w:szCs w:val="20"/>
        </w:rPr>
      </w:pPr>
      <w:r>
        <w:rPr>
          <w:b/>
          <w:bCs/>
          <w:szCs w:val="20"/>
        </w:rPr>
      </w:r>
    </w:p>
    <w:p>
      <w:pPr>
        <w:pStyle w:val="ListParagraph"/>
        <w:keepNext/>
        <w:pageBreakBefore w:val="false"/>
        <w:widowControl w:val="false"/>
        <w:suppressAutoHyphens w:val="true"/>
        <w:spacing w:lineRule="auto" w:line="240" w:before="0" w:after="0"/>
        <w:ind w:left="716" w:right="0" w:hanging="432"/>
        <w:contextualSpacing/>
        <w:jc w:val="both"/>
        <w:rPr>
          <w:b/>
          <w:b/>
          <w:bCs/>
          <w:szCs w:val="20"/>
        </w:rPr>
      </w:pPr>
      <w:r>
        <w:rPr>
          <w:b/>
          <w:bCs/>
          <w:szCs w:val="20"/>
        </w:rPr>
      </w:r>
    </w:p>
    <w:p>
      <w:pPr>
        <w:pStyle w:val="Normal"/>
        <w:keepNext/>
        <w:pageBreakBefore w:val="false"/>
        <w:widowControl w:val="false"/>
        <w:suppressAutoHyphens w:val="true"/>
        <w:spacing w:lineRule="auto" w:line="240" w:before="0" w:after="0"/>
        <w:ind w:left="425" w:hanging="0"/>
        <w:contextualSpacing/>
        <w:jc w:val="both"/>
        <w:rPr>
          <w:rFonts w:cs="Arial"/>
          <w:i/>
          <w:i/>
          <w:color w:val="00000A"/>
          <w:szCs w:val="20"/>
        </w:rPr>
      </w:pPr>
      <w:r>
        <w:rPr>
          <w:rFonts w:cs="Arial"/>
          <w:i/>
          <w:color w:val="00000A"/>
          <w:szCs w:val="20"/>
        </w:rPr>
      </w:r>
    </w:p>
    <w:p>
      <w:pPr>
        <w:pStyle w:val="Normal"/>
        <w:keepNext/>
        <w:pageBreakBefore w:val="false"/>
        <w:widowControl w:val="false"/>
        <w:suppressAutoHyphens w:val="true"/>
        <w:spacing w:lineRule="auto" w:line="240" w:before="0" w:after="0"/>
        <w:ind w:left="360" w:hanging="0"/>
        <w:contextualSpacing/>
        <w:jc w:val="center"/>
        <w:rPr/>
      </w:pPr>
      <w:r>
        <w:rPr>
          <w:rFonts w:cs="Arial"/>
          <w:i w:val="false"/>
          <w:iCs w:val="false"/>
          <w:color w:val="00000A"/>
          <w:szCs w:val="20"/>
          <w:u w:val="none"/>
        </w:rPr>
        <w:t>Município de Porto Velho-RO,</w:t>
      </w:r>
      <w:r>
        <w:rPr>
          <w:rFonts w:cs="Arial"/>
          <w:b/>
          <w:bCs/>
          <w:i w:val="false"/>
          <w:iCs w:val="false"/>
          <w:color w:val="00000A"/>
          <w:szCs w:val="20"/>
          <w:u w:val="none"/>
        </w:rPr>
        <w:t xml:space="preserve"> </w:t>
      </w:r>
      <w:r>
        <w:rPr>
          <w:rFonts w:eastAsia="Times New Roman" w:cs="Arial"/>
          <w:b w:val="false"/>
          <w:bCs w:val="false"/>
          <w:i w:val="false"/>
          <w:iCs w:val="false"/>
          <w:color w:val="00000A"/>
          <w:sz w:val="20"/>
          <w:szCs w:val="20"/>
          <w:u w:val="none"/>
          <w:lang w:val="pt-BR" w:eastAsia="pt-BR" w:bidi="ar-SA"/>
        </w:rPr>
        <w:t>10</w:t>
      </w:r>
      <w:r>
        <w:rPr>
          <w:rFonts w:cs="Arial"/>
          <w:b w:val="false"/>
          <w:bCs w:val="false"/>
          <w:i w:val="false"/>
          <w:iCs w:val="false"/>
          <w:color w:val="00000A"/>
          <w:szCs w:val="20"/>
          <w:u w:val="none"/>
        </w:rPr>
        <w:t xml:space="preserve"> de maio</w:t>
      </w:r>
      <w:r>
        <w:rPr>
          <w:rFonts w:cs="Arial"/>
          <w:b w:val="false"/>
          <w:bCs w:val="false"/>
          <w:color w:val="00000A"/>
          <w:szCs w:val="20"/>
          <w:u w:val="none"/>
        </w:rPr>
        <w:t xml:space="preserve"> de 2022. </w:t>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before="0" w:after="0"/>
        <w:ind w:left="360" w:hanging="0"/>
        <w:contextualSpacing/>
        <w:jc w:val="center"/>
        <w:rPr/>
      </w:pPr>
      <w:r>
        <w:rPr>
          <w:rFonts w:cs="Arial"/>
          <w:b/>
          <w:bCs/>
          <w:color w:val="00000A"/>
          <w:szCs w:val="20"/>
        </w:rPr>
        <w:t>SAMUEL ZARDO – 3° Sgt</w:t>
      </w:r>
    </w:p>
    <w:p>
      <w:pPr>
        <w:pStyle w:val="Normal"/>
        <w:keepNext/>
        <w:pageBreakBefore w:val="false"/>
        <w:widowControl w:val="false"/>
        <w:suppressAutoHyphens w:val="true"/>
        <w:spacing w:lineRule="auto" w:line="240" w:before="0" w:after="0"/>
        <w:ind w:left="360" w:hanging="0"/>
        <w:contextualSpacing/>
        <w:jc w:val="center"/>
        <w:rPr/>
      </w:pPr>
      <w:r>
        <w:rPr>
          <w:rFonts w:cs="Arial"/>
          <w:color w:val="00000A"/>
          <w:szCs w:val="20"/>
        </w:rPr>
        <w:t>Chefe do Setor de Transportes do HGuPV</w:t>
      </w:r>
      <w:r>
        <w:br w:type="page"/>
      </w:r>
    </w:p>
    <w:p>
      <w:pPr>
        <w:pStyle w:val="Normal"/>
        <w:widowControl w:val="false"/>
        <w:suppressAutoHyphens w:val="true"/>
        <w:spacing w:lineRule="auto" w:line="240" w:before="0" w:after="0"/>
        <w:ind w:left="360" w:hanging="0"/>
        <w:contextualSpacing/>
        <w:jc w:val="center"/>
        <w:rPr>
          <w:rFonts w:cs="Arial"/>
          <w:color w:val="00000A"/>
          <w:szCs w:val="20"/>
        </w:rPr>
      </w:pPr>
      <w:r>
        <w:rPr>
          <w:rFonts w:cs="Arial"/>
          <w:color w:val="00000A"/>
          <w:szCs w:val="20"/>
        </w:rPr>
      </w:r>
    </w:p>
    <w:p>
      <w:pPr>
        <w:pStyle w:val="Normal"/>
        <w:keepNext/>
        <w:pageBreakBefore w:val="false"/>
        <w:widowControl w:val="false"/>
        <w:suppressAutoHyphens w:val="true"/>
        <w:spacing w:lineRule="auto" w:line="288"/>
        <w:jc w:val="center"/>
        <w:rPr/>
      </w:pPr>
      <w:r>
        <w:rPr/>
        <w:object>
          <v:shape id="ole_rId10" style="width:55.6pt;height:55.6pt" o:ole="">
            <v:imagedata r:id="rId11" o:title=""/>
          </v:shape>
          <o:OLEObject Type="Embed" ProgID="" ShapeID="ole_rId10" DrawAspect="Content" ObjectID="_1074305241" r:id="rId10"/>
        </w:object>
      </w:r>
    </w:p>
    <w:p>
      <w:pPr>
        <w:pStyle w:val="Normal"/>
        <w:keepNext/>
        <w:pageBreakBefore w:val="false"/>
        <w:widowControl w:val="false"/>
        <w:suppressAutoHyphens w:val="true"/>
        <w:jc w:val="center"/>
        <w:rPr>
          <w:b/>
          <w:b/>
          <w:bCs/>
          <w:iCs/>
          <w:sz w:val="20"/>
          <w:szCs w:val="20"/>
        </w:rPr>
      </w:pPr>
      <w:r>
        <w:rPr>
          <w:b/>
          <w:bCs/>
          <w:iCs/>
          <w:sz w:val="20"/>
          <w:szCs w:val="20"/>
        </w:rPr>
        <w:t>MINISTÉRIO DA DEFESA</w:t>
      </w:r>
    </w:p>
    <w:p>
      <w:pPr>
        <w:pStyle w:val="Normal"/>
        <w:keepNext/>
        <w:pageBreakBefore w:val="false"/>
        <w:widowControl w:val="false"/>
        <w:tabs>
          <w:tab w:val="left" w:pos="7371" w:leader="none"/>
        </w:tabs>
        <w:suppressAutoHyphens w:val="true"/>
        <w:jc w:val="center"/>
        <w:rPr>
          <w:b/>
          <w:b/>
          <w:sz w:val="20"/>
          <w:szCs w:val="20"/>
        </w:rPr>
      </w:pPr>
      <w:r>
        <w:rPr>
          <w:b/>
          <w:sz w:val="20"/>
          <w:szCs w:val="20"/>
        </w:rPr>
        <w:t>EXÉRCITO BRASILEIRO</w:t>
      </w:r>
    </w:p>
    <w:p>
      <w:pPr>
        <w:pStyle w:val="Normal"/>
        <w:keepNext/>
        <w:pageBreakBefore w:val="false"/>
        <w:widowControl w:val="false"/>
        <w:tabs>
          <w:tab w:val="left" w:pos="7371" w:leader="none"/>
        </w:tabs>
        <w:suppressAutoHyphens w:val="true"/>
        <w:jc w:val="center"/>
        <w:rPr>
          <w:b/>
          <w:b/>
          <w:sz w:val="20"/>
          <w:szCs w:val="20"/>
        </w:rPr>
      </w:pPr>
      <w:r>
        <w:rPr>
          <w:b/>
          <w:sz w:val="20"/>
          <w:szCs w:val="20"/>
        </w:rPr>
        <w:t>HOSPITAL DE GUARNIÇÃO DE PORTO VELHO</w:t>
      </w:r>
    </w:p>
    <w:p>
      <w:pPr>
        <w:pStyle w:val="Normal"/>
        <w:keepNext/>
        <w:pageBreakBefore w:val="false"/>
        <w:widowControl w:val="false"/>
        <w:tabs>
          <w:tab w:val="left" w:pos="7371" w:leader="none"/>
        </w:tabs>
        <w:suppressAutoHyphens w:val="true"/>
        <w:spacing w:lineRule="auto" w:line="360"/>
        <w:jc w:val="center"/>
        <w:rPr>
          <w:b/>
          <w:b/>
          <w:sz w:val="20"/>
          <w:szCs w:val="20"/>
        </w:rPr>
      </w:pPr>
      <w:r>
        <w:rPr>
          <w:b/>
          <w:sz w:val="20"/>
          <w:szCs w:val="20"/>
        </w:rPr>
      </w:r>
    </w:p>
    <w:p>
      <w:pPr>
        <w:pStyle w:val="Normal"/>
        <w:keepNext/>
        <w:pageBreakBefore w:val="false"/>
        <w:widowControl w:val="false"/>
        <w:tabs>
          <w:tab w:val="left" w:pos="7371" w:leader="none"/>
        </w:tabs>
        <w:suppressAutoHyphens w:val="true"/>
        <w:spacing w:lineRule="auto" w:line="360"/>
        <w:jc w:val="center"/>
        <w:rPr>
          <w:b/>
          <w:b/>
          <w:sz w:val="20"/>
          <w:szCs w:val="20"/>
        </w:rPr>
      </w:pPr>
      <w:r>
        <w:rPr>
          <w:b/>
          <w:sz w:val="20"/>
          <w:szCs w:val="20"/>
        </w:rPr>
      </w:r>
    </w:p>
    <w:p>
      <w:pPr>
        <w:pStyle w:val="Normal"/>
        <w:keepNext/>
        <w:pageBreakBefore w:val="false"/>
        <w:widowControl w:val="false"/>
        <w:suppressAutoHyphens w:val="true"/>
        <w:jc w:val="center"/>
        <w:rPr>
          <w:b/>
          <w:b/>
          <w:bCs/>
          <w:color w:val="000000"/>
        </w:rPr>
      </w:pPr>
      <w:r>
        <w:rPr>
          <w:b/>
          <w:bCs/>
          <w:color w:val="000000"/>
        </w:rPr>
        <w:t>DISPENSA DE LICITAÇÃO Nº 08/2022</w:t>
      </w:r>
    </w:p>
    <w:p>
      <w:pPr>
        <w:pStyle w:val="Normal"/>
        <w:keepNext/>
        <w:pageBreakBefore w:val="false"/>
        <w:widowControl w:val="false"/>
        <w:suppressAutoHyphens w:val="true"/>
        <w:jc w:val="center"/>
        <w:rPr/>
      </w:pPr>
      <w:r>
        <w:rPr>
          <w:bCs/>
          <w:color w:val="000000"/>
        </w:rPr>
        <w:t xml:space="preserve">(Processo Administrativo n.° </w:t>
      </w:r>
      <w:r>
        <w:rPr>
          <w:rFonts w:cs="Arial"/>
          <w:b/>
          <w:bCs/>
          <w:color w:val="000000"/>
        </w:rPr>
        <w:t>64593.003461/2022-16</w:t>
      </w:r>
      <w:r>
        <w:rPr>
          <w:bCs/>
          <w:color w:val="000000"/>
        </w:rPr>
        <w:t>)</w:t>
      </w:r>
    </w:p>
    <w:p>
      <w:pPr>
        <w:pStyle w:val="Normal"/>
        <w:keepNext/>
        <w:pageBreakBefore w:val="false"/>
        <w:widowControl w:val="false"/>
        <w:tabs>
          <w:tab w:val="left" w:pos="7371" w:leader="none"/>
        </w:tabs>
        <w:suppressAutoHyphens w:val="true"/>
        <w:spacing w:lineRule="auto" w:line="360"/>
        <w:jc w:val="center"/>
        <w:rPr>
          <w:b/>
          <w:b/>
          <w:bCs/>
          <w:color w:val="000000"/>
        </w:rPr>
      </w:pPr>
      <w:r>
        <w:rPr>
          <w:b/>
          <w:bCs/>
          <w:color w:val="000000"/>
        </w:rPr>
      </w:r>
    </w:p>
    <w:p>
      <w:pPr>
        <w:pStyle w:val="Normal"/>
        <w:keepNext/>
        <w:pageBreakBefore w:val="false"/>
        <w:widowControl w:val="false"/>
        <w:tabs>
          <w:tab w:val="left" w:pos="7371" w:leader="none"/>
        </w:tabs>
        <w:suppressAutoHyphens w:val="true"/>
        <w:spacing w:lineRule="auto" w:line="360"/>
        <w:jc w:val="center"/>
        <w:rPr>
          <w:b/>
          <w:b/>
          <w:bCs/>
          <w:color w:val="000000"/>
        </w:rPr>
      </w:pPr>
      <w:r>
        <w:rPr>
          <w:b/>
          <w:bCs/>
          <w:color w:val="000000"/>
        </w:rPr>
      </w:r>
    </w:p>
    <w:p>
      <w:pPr>
        <w:pStyle w:val="Normal"/>
        <w:keepNext/>
        <w:pageBreakBefore w:val="false"/>
        <w:widowControl w:val="false"/>
        <w:tabs>
          <w:tab w:val="left" w:pos="7371" w:leader="none"/>
        </w:tabs>
        <w:suppressAutoHyphens w:val="true"/>
        <w:spacing w:lineRule="auto" w:line="360"/>
        <w:jc w:val="center"/>
        <w:rPr>
          <w:b/>
          <w:b/>
          <w:u w:val="single"/>
        </w:rPr>
      </w:pPr>
      <w:r>
        <w:rPr>
          <w:b/>
          <w:u w:val="single"/>
        </w:rPr>
        <w:t>DESPACHO</w:t>
      </w:r>
    </w:p>
    <w:p>
      <w:pPr>
        <w:pStyle w:val="Normal"/>
        <w:keepNext/>
        <w:pageBreakBefore w:val="false"/>
        <w:widowControl w:val="false"/>
        <w:suppressAutoHyphens w:val="true"/>
        <w:rPr>
          <w:b/>
          <w:b/>
          <w:u w:val="single"/>
        </w:rPr>
      </w:pPr>
      <w:r>
        <w:rPr>
          <w:b/>
          <w:u w:val="single"/>
        </w:rPr>
      </w:r>
    </w:p>
    <w:p>
      <w:pPr>
        <w:pStyle w:val="Normal"/>
        <w:keepNext/>
        <w:pageBreakBefore w:val="false"/>
        <w:widowControl w:val="false"/>
        <w:suppressAutoHyphens w:val="true"/>
        <w:spacing w:lineRule="auto" w:line="360"/>
        <w:ind w:firstLine="851"/>
        <w:jc w:val="both"/>
        <w:rPr/>
      </w:pPr>
      <w:r>
        <w:rPr/>
        <w:t>Com o objetivo de solucionar o vazamento do diferencial da Viatura Ambulância de Modelo: Mercedes Bens Sprinter, Ano: 2013, será procedida a unificação dos itens n° 29, 30 e 31 do presente processo de modo que o vencedor seja o responsável pelo fornecimento das peças necessárias conforme descritivo do item já com o serviço de substituição necessário.</w:t>
      </w:r>
    </w:p>
    <w:p>
      <w:pPr>
        <w:pStyle w:val="Normal"/>
        <w:keepNext/>
        <w:pageBreakBefore w:val="false"/>
        <w:widowControl w:val="false"/>
        <w:suppressAutoHyphens w:val="true"/>
        <w:spacing w:lineRule="auto" w:line="360"/>
        <w:ind w:firstLine="851"/>
        <w:jc w:val="both"/>
        <w:rPr/>
      </w:pPr>
      <w:r>
        <w:rPr/>
        <w:t>Assim, os concorrentes que sentirem a necessidade de realizar uma vistoria na viatura indicada poderão comparecer a este Hospital até a abertura da disputa no horário de 08h00 as 12h00 e de 13h30 às 15h00 para a verificação.</w:t>
      </w:r>
    </w:p>
    <w:p>
      <w:pPr>
        <w:pStyle w:val="Normal"/>
        <w:keepNext/>
        <w:pageBreakBefore w:val="false"/>
        <w:widowControl w:val="false"/>
        <w:suppressAutoHyphens w:val="true"/>
        <w:spacing w:lineRule="auto" w:line="360"/>
        <w:ind w:firstLine="851"/>
        <w:jc w:val="both"/>
        <w:rPr/>
      </w:pPr>
      <w:r>
        <w:rPr/>
        <w:t>Para conhecimento de todos, segue, em anexo, registro fotográfico do vazamento.</w:t>
      </w:r>
    </w:p>
    <w:p>
      <w:pPr>
        <w:pStyle w:val="Normal"/>
        <w:keepNext/>
        <w:pageBreakBefore w:val="false"/>
        <w:widowControl w:val="false"/>
        <w:suppressAutoHyphens w:val="true"/>
        <w:spacing w:lineRule="auto" w:line="360"/>
        <w:ind w:firstLine="851"/>
        <w:jc w:val="both"/>
        <w:rPr/>
      </w:pPr>
      <w:r>
        <w:rPr/>
      </w:r>
    </w:p>
    <w:p>
      <w:pPr>
        <w:pStyle w:val="Normal"/>
        <w:keepNext/>
        <w:pageBreakBefore w:val="false"/>
        <w:widowControl w:val="false"/>
        <w:suppressAutoHyphens w:val="true"/>
        <w:spacing w:lineRule="auto" w:line="360"/>
        <w:jc w:val="center"/>
        <w:rPr/>
      </w:pPr>
      <w:r>
        <w:rPr/>
        <w:t>Porto Velho, ___ de maio de 2022.</w:t>
      </w:r>
    </w:p>
    <w:p>
      <w:pPr>
        <w:pStyle w:val="Normal"/>
        <w:keepNext/>
        <w:pageBreakBefore w:val="false"/>
        <w:widowControl w:val="false"/>
        <w:suppressAutoHyphens w:val="true"/>
        <w:spacing w:lineRule="auto" w:line="360"/>
        <w:jc w:val="center"/>
        <w:rPr/>
      </w:pPr>
      <w:r>
        <w:rPr/>
      </w:r>
    </w:p>
    <w:p>
      <w:pPr>
        <w:pStyle w:val="Normal"/>
        <w:keepNext/>
        <w:pageBreakBefore w:val="false"/>
        <w:widowControl w:val="false"/>
        <w:suppressAutoHyphens w:val="true"/>
        <w:spacing w:lineRule="auto" w:line="360"/>
        <w:jc w:val="center"/>
        <w:rPr/>
      </w:pPr>
      <w:r>
        <w:rPr/>
      </w:r>
    </w:p>
    <w:p>
      <w:pPr>
        <w:pStyle w:val="Normal"/>
        <w:keepNext/>
        <w:pageBreakBefore w:val="false"/>
        <w:widowControl w:val="false"/>
        <w:suppressAutoHyphens w:val="true"/>
        <w:spacing w:lineRule="auto" w:line="360"/>
        <w:jc w:val="center"/>
        <w:rPr/>
      </w:pPr>
      <w:r>
        <w:rPr/>
      </w:r>
    </w:p>
    <w:p>
      <w:pPr>
        <w:pStyle w:val="Normal"/>
        <w:keepNext/>
        <w:pageBreakBefore w:val="false"/>
        <w:widowControl w:val="false"/>
        <w:suppressAutoHyphens w:val="true"/>
        <w:spacing w:lineRule="auto" w:line="360"/>
        <w:jc w:val="right"/>
        <w:rPr/>
      </w:pPr>
      <w:r>
        <w:rPr/>
      </w:r>
    </w:p>
    <w:p>
      <w:pPr>
        <w:pStyle w:val="WWPadro"/>
        <w:keepNext/>
        <w:pageBreakBefore w:val="false"/>
        <w:widowControl w:val="false"/>
        <w:suppressAutoHyphens w:val="true"/>
        <w:jc w:val="center"/>
        <w:rPr>
          <w:b/>
          <w:b/>
          <w:sz w:val="24"/>
          <w:szCs w:val="24"/>
        </w:rPr>
      </w:pPr>
      <w:r>
        <w:rPr>
          <w:b/>
          <w:sz w:val="24"/>
          <w:szCs w:val="24"/>
        </w:rPr>
        <w:t>ERNANI MARQUES DE ALMEIDA – Cap</w:t>
      </w:r>
    </w:p>
    <w:p>
      <w:pPr>
        <w:pStyle w:val="WWPadro"/>
        <w:keepNext/>
        <w:pageBreakBefore w:val="false"/>
        <w:widowControl w:val="false"/>
        <w:suppressAutoHyphens w:val="true"/>
        <w:spacing w:lineRule="auto" w:line="240" w:before="0" w:after="0"/>
        <w:ind w:hanging="0"/>
        <w:contextualSpacing/>
        <w:jc w:val="center"/>
        <w:rPr/>
      </w:pPr>
      <w:r>
        <w:rPr>
          <w:rFonts w:cs="Arial"/>
          <w:color w:val="00000A"/>
          <w:sz w:val="24"/>
          <w:szCs w:val="20"/>
        </w:rPr>
        <w:t>Chefe da SALC do HGuPV</w:t>
      </w:r>
      <w:r>
        <w:br w:type="page"/>
      </w:r>
    </w:p>
    <w:p>
      <w:pPr>
        <w:pStyle w:val="WWPadro"/>
        <w:widowControl w:val="false"/>
        <w:suppressAutoHyphens w:val="true"/>
        <w:spacing w:lineRule="auto" w:line="240" w:before="0" w:after="0"/>
        <w:ind w:hanging="0"/>
        <w:contextualSpacing/>
        <w:jc w:val="center"/>
        <w:rPr>
          <w:rFonts w:cs="Arial"/>
          <w:color w:val="00000A"/>
          <w:sz w:val="24"/>
          <w:szCs w:val="24"/>
        </w:rPr>
      </w:pPr>
      <w:r>
        <w:rPr>
          <w:rFonts w:cs="Arial"/>
          <w:color w:val="00000A"/>
          <w:sz w:val="24"/>
          <w:szCs w:val="24"/>
        </w:rPr>
      </w:r>
    </w:p>
    <w:p>
      <w:pPr>
        <w:pStyle w:val="Normal"/>
        <w:keepNext/>
        <w:pageBreakBefore w:val="false"/>
        <w:widowControl w:val="false"/>
        <w:suppressAutoHyphens w:val="true"/>
        <w:spacing w:lineRule="auto" w:line="240" w:before="0" w:after="0"/>
        <w:ind w:hanging="0"/>
        <w:contextualSpacing/>
        <w:jc w:val="center"/>
        <w:rPr>
          <w:rFonts w:cs="Arial"/>
          <w:color w:val="00000A"/>
          <w:szCs w:val="20"/>
        </w:rPr>
      </w:pPr>
      <w:r>
        <w:rPr>
          <w:rFonts w:cs="Arial"/>
          <w:color w:val="00000A"/>
          <w:szCs w:val="20"/>
        </w:rPr>
      </w:r>
    </w:p>
    <w:p>
      <w:pPr>
        <w:sectPr>
          <w:headerReference w:type="even" r:id="rId13"/>
          <w:headerReference w:type="default" r:id="rId14"/>
          <w:headerReference w:type="first" r:id="rId15"/>
          <w:type w:val="nextPage"/>
          <w:pgSz w:w="11906" w:h="16838"/>
          <w:pgMar w:left="1701" w:right="1701" w:header="1417" w:top="1983" w:footer="0" w:bottom="708" w:gutter="0"/>
          <w:pgNumType w:fmt="decimal"/>
          <w:formProt w:val="false"/>
          <w:titlePg/>
          <w:textDirection w:val="lrTb"/>
          <w:docGrid w:type="default" w:linePitch="360" w:charSpace="2047"/>
        </w:sectPr>
        <w:pStyle w:val="Normal"/>
        <w:spacing w:lineRule="auto" w:line="240" w:before="0" w:after="0"/>
        <w:ind w:left="360" w:hanging="0"/>
        <w:contextualSpacing/>
        <w:jc w:val="center"/>
        <w:rPr>
          <w:rFonts w:cs="Arial"/>
          <w:color w:val="00000A"/>
          <w:szCs w:val="20"/>
        </w:rPr>
      </w:pPr>
      <w:r>
        <w:rPr>
          <w:rFonts w:cs="Arial"/>
          <w:color w:val="00000A"/>
          <w:szCs w:val="20"/>
        </w:rPr>
        <w:drawing>
          <wp:anchor behindDoc="0" distT="0" distB="0" distL="0" distR="0" simplePos="0" locked="0" layoutInCell="1" allowOverlap="1" relativeHeight="9">
            <wp:simplePos x="0" y="0"/>
            <wp:positionH relativeFrom="column">
              <wp:align>center</wp:align>
            </wp:positionH>
            <wp:positionV relativeFrom="paragraph">
              <wp:align>top</wp:align>
            </wp:positionV>
            <wp:extent cx="4942840" cy="6504940"/>
            <wp:effectExtent l="0" t="0" r="0" b="0"/>
            <wp:wrapSquare wrapText="larges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2"/>
                    <a:stretch>
                      <a:fillRect/>
                    </a:stretch>
                  </pic:blipFill>
                  <pic:spPr bwMode="auto">
                    <a:xfrm>
                      <a:off x="0" y="0"/>
                      <a:ext cx="4942840" cy="6504940"/>
                    </a:xfrm>
                    <a:prstGeom prst="rect">
                      <a:avLst/>
                    </a:prstGeom>
                  </pic:spPr>
                </pic:pic>
              </a:graphicData>
            </a:graphic>
          </wp:anchor>
        </w:drawing>
      </w:r>
    </w:p>
    <w:p>
      <w:pPr>
        <w:pStyle w:val="Normal"/>
        <w:jc w:val="center"/>
        <w:rPr/>
      </w:pPr>
      <w:r>
        <w:rPr/>
        <w:object>
          <v:shape id="ole_rId16" style="width:56pt;height:56pt" o:ole="">
            <v:imagedata r:id="rId17" o:title=""/>
          </v:shape>
          <o:OLEObject Type="Embed" ProgID="" ShapeID="ole_rId16" DrawAspect="Content" ObjectID="_704632503" r:id="rId16"/>
        </w:object>
      </w:r>
    </w:p>
    <w:p>
      <w:pPr>
        <w:pStyle w:val="Normal"/>
        <w:jc w:val="center"/>
        <w:rPr>
          <w:rFonts w:ascii="Arial" w:hAnsi="Arial" w:eastAsia="Times New Roman" w:cs="Tahoma"/>
          <w:b/>
          <w:b/>
          <w:color w:val="00000A"/>
          <w:sz w:val="20"/>
          <w:szCs w:val="20"/>
          <w:lang w:val="pt-BR" w:eastAsia="pt-BR" w:bidi="ar-SA"/>
        </w:rPr>
      </w:pPr>
      <w:r>
        <w:rPr>
          <w:rFonts w:eastAsia="Times New Roman" w:cs="Tahoma"/>
          <w:b/>
          <w:color w:val="00000A"/>
          <w:sz w:val="20"/>
          <w:szCs w:val="20"/>
          <w:lang w:val="pt-BR" w:eastAsia="pt-BR" w:bidi="ar-SA"/>
        </w:rPr>
        <w:t>MINISTÉRIO DA DEFESA</w:t>
      </w:r>
    </w:p>
    <w:p>
      <w:pPr>
        <w:pStyle w:val="Normal"/>
        <w:jc w:val="center"/>
        <w:rPr>
          <w:rFonts w:ascii="Arial" w:hAnsi="Arial" w:eastAsia="Times New Roman" w:cs="Tahoma"/>
          <w:b/>
          <w:b/>
          <w:color w:val="00000A"/>
          <w:sz w:val="20"/>
          <w:szCs w:val="20"/>
          <w:lang w:val="pt-BR" w:eastAsia="pt-BR" w:bidi="ar-SA"/>
        </w:rPr>
      </w:pPr>
      <w:r>
        <w:rPr>
          <w:rFonts w:eastAsia="Times New Roman" w:cs="Tahoma"/>
          <w:b/>
          <w:color w:val="00000A"/>
          <w:sz w:val="20"/>
          <w:szCs w:val="20"/>
          <w:lang w:val="pt-BR" w:eastAsia="pt-BR" w:bidi="ar-SA"/>
        </w:rPr>
        <w:t>EXÉRCITO BRASILEIRO</w:t>
      </w:r>
    </w:p>
    <w:p>
      <w:pPr>
        <w:pStyle w:val="Normal"/>
        <w:jc w:val="center"/>
        <w:rPr>
          <w:rFonts w:ascii="Arial" w:hAnsi="Arial" w:eastAsia="Times New Roman" w:cs="Tahoma"/>
          <w:b/>
          <w:b/>
          <w:color w:val="00000A"/>
          <w:sz w:val="20"/>
          <w:szCs w:val="20"/>
          <w:lang w:val="pt-BR" w:eastAsia="pt-BR" w:bidi="ar-SA"/>
        </w:rPr>
      </w:pPr>
      <w:r>
        <w:rPr>
          <w:rFonts w:eastAsia="Times New Roman" w:cs="Tahoma"/>
          <w:b/>
          <w:color w:val="00000A"/>
          <w:sz w:val="20"/>
          <w:szCs w:val="20"/>
          <w:lang w:val="pt-BR" w:eastAsia="pt-BR" w:bidi="ar-SA"/>
        </w:rPr>
        <w:t>HOSPITAL DE GUARNIÇÃO DE PORTO VELHO</w:t>
      </w:r>
    </w:p>
    <w:p>
      <w:pPr>
        <w:pStyle w:val="Normal"/>
        <w:jc w:val="center"/>
        <w:rPr>
          <w:rFonts w:ascii="Arial" w:hAnsi="Arial" w:eastAsia="Times New Roman" w:cs="Tahoma"/>
          <w:b/>
          <w:b/>
          <w:color w:val="00000A"/>
          <w:sz w:val="20"/>
          <w:szCs w:val="20"/>
          <w:lang w:val="pt-BR" w:eastAsia="pt-BR" w:bidi="ar-SA"/>
        </w:rPr>
      </w:pPr>
      <w:r>
        <w:rPr>
          <w:rFonts w:eastAsia="Times New Roman" w:cs="Tahoma"/>
          <w:b/>
          <w:color w:val="00000A"/>
          <w:sz w:val="20"/>
          <w:szCs w:val="20"/>
          <w:lang w:val="pt-BR" w:eastAsia="pt-BR" w:bidi="ar-SA"/>
        </w:rPr>
      </w:r>
    </w:p>
    <w:p>
      <w:pPr>
        <w:pStyle w:val="Normal"/>
        <w:jc w:val="center"/>
        <w:rPr>
          <w:rFonts w:ascii="Arial" w:hAnsi="Arial" w:eastAsia="Times New Roman" w:cs="Tahoma"/>
          <w:b/>
          <w:b/>
          <w:color w:val="00000A"/>
          <w:sz w:val="20"/>
          <w:szCs w:val="20"/>
          <w:lang w:val="pt-BR" w:eastAsia="pt-BR" w:bidi="ar-SA"/>
        </w:rPr>
      </w:pPr>
      <w:r>
        <w:rPr>
          <w:rFonts w:eastAsia="Times New Roman" w:cs="Tahoma"/>
          <w:b/>
          <w:color w:val="00000A"/>
          <w:sz w:val="20"/>
          <w:szCs w:val="20"/>
          <w:lang w:val="pt-BR" w:eastAsia="pt-BR" w:bidi="ar-SA"/>
        </w:rPr>
      </w:r>
    </w:p>
    <w:p>
      <w:pPr>
        <w:pStyle w:val="Normal"/>
        <w:jc w:val="center"/>
        <w:rPr>
          <w:rFonts w:ascii="Arial" w:hAnsi="Arial" w:eastAsia="Times New Roman" w:cs="Tahoma"/>
          <w:b/>
          <w:b/>
          <w:bCs/>
          <w:color w:val="00000A"/>
          <w:sz w:val="20"/>
          <w:szCs w:val="20"/>
          <w:lang w:val="pt-BR" w:eastAsia="pt-BR" w:bidi="ar-SA"/>
        </w:rPr>
      </w:pPr>
      <w:r>
        <w:rPr>
          <w:rFonts w:eastAsia="Times New Roman" w:cs="Tahoma"/>
          <w:b/>
          <w:bCs/>
          <w:color w:val="00000A"/>
          <w:sz w:val="20"/>
          <w:szCs w:val="20"/>
          <w:lang w:val="pt-BR" w:eastAsia="pt-BR" w:bidi="ar-SA"/>
        </w:rPr>
        <w:t>DISPENSA ELETRÔNICO SRP Nº 08/2022</w:t>
      </w:r>
    </w:p>
    <w:p>
      <w:pPr>
        <w:pStyle w:val="Normal"/>
        <w:jc w:val="center"/>
        <w:rPr>
          <w:rFonts w:ascii="Arial" w:hAnsi="Arial" w:eastAsia="Times New Roman" w:cs="Tahoma"/>
          <w:b w:val="false"/>
          <w:b w:val="false"/>
          <w:bCs w:val="false"/>
          <w:color w:val="00000A"/>
          <w:sz w:val="20"/>
          <w:szCs w:val="20"/>
          <w:lang w:val="pt-BR" w:eastAsia="pt-BR" w:bidi="ar-SA"/>
        </w:rPr>
      </w:pPr>
      <w:r>
        <w:rPr>
          <w:rFonts w:eastAsia="Times New Roman" w:cs="Tahoma"/>
          <w:b w:val="false"/>
          <w:bCs w:val="false"/>
          <w:color w:val="00000A"/>
          <w:sz w:val="20"/>
          <w:szCs w:val="20"/>
          <w:lang w:val="pt-BR" w:eastAsia="pt-BR" w:bidi="ar-SA"/>
        </w:rPr>
        <w:t>(Processo Administrativo n.° 64593.003461/2022-16)</w:t>
      </w:r>
    </w:p>
    <w:p>
      <w:pPr>
        <w:pStyle w:val="Normal"/>
        <w:jc w:val="center"/>
        <w:rPr>
          <w:bCs/>
          <w:color w:val="000000"/>
          <w:sz w:val="24"/>
          <w:szCs w:val="24"/>
        </w:rPr>
      </w:pPr>
      <w:r>
        <w:rPr>
          <w:bCs/>
          <w:color w:val="000000"/>
          <w:sz w:val="24"/>
          <w:szCs w:val="24"/>
        </w:rPr>
      </w:r>
    </w:p>
    <w:p>
      <w:pPr>
        <w:pStyle w:val="Normal"/>
        <w:jc w:val="center"/>
        <w:rPr>
          <w:bCs/>
          <w:color w:val="000000"/>
          <w:sz w:val="24"/>
          <w:szCs w:val="24"/>
        </w:rPr>
      </w:pPr>
      <w:r>
        <w:rPr>
          <w:bCs/>
          <w:color w:val="000000"/>
          <w:sz w:val="24"/>
          <w:szCs w:val="24"/>
        </w:rPr>
      </w:r>
    </w:p>
    <w:p>
      <w:pPr>
        <w:pStyle w:val="Corpodetexto"/>
        <w:spacing w:lineRule="auto" w:line="276" w:before="120" w:after="120"/>
        <w:jc w:val="center"/>
        <w:rPr>
          <w:rFonts w:ascii="Arial" w:hAnsi="Arial" w:eastAsia="Times New Roman" w:cs="Tahoma"/>
          <w:b/>
          <w:b/>
          <w:bCs/>
          <w:color w:val="00000A"/>
          <w:sz w:val="24"/>
          <w:szCs w:val="24"/>
          <w:u w:val="single"/>
          <w:lang w:val="pt-BR" w:eastAsia="pt-BR" w:bidi="ar-SA"/>
        </w:rPr>
      </w:pPr>
      <w:r>
        <w:rPr>
          <w:rFonts w:eastAsia="Times New Roman" w:cs="Tahoma"/>
          <w:b/>
          <w:bCs/>
          <w:color w:val="00000A"/>
          <w:sz w:val="24"/>
          <w:szCs w:val="24"/>
          <w:u w:val="single"/>
          <w:lang w:val="pt-BR" w:eastAsia="pt-BR" w:bidi="ar-SA"/>
        </w:rPr>
        <w:t>JUNTADA DE DOCUMENTOS</w:t>
      </w:r>
    </w:p>
    <w:p>
      <w:pPr>
        <w:pStyle w:val="Corpodetexto"/>
        <w:spacing w:lineRule="auto" w:line="276" w:before="120" w:after="120"/>
        <w:ind w:left="0" w:right="0" w:firstLine="851"/>
        <w:rPr>
          <w:b/>
          <w:b/>
          <w:sz w:val="24"/>
          <w:szCs w:val="24"/>
          <w:u w:val="single"/>
        </w:rPr>
      </w:pPr>
      <w:r>
        <w:rPr>
          <w:b/>
          <w:sz w:val="24"/>
          <w:szCs w:val="24"/>
          <w:u w:val="single"/>
        </w:rPr>
      </w:r>
    </w:p>
    <w:p>
      <w:pPr>
        <w:pStyle w:val="Corpodetexto"/>
        <w:spacing w:lineRule="auto" w:line="276" w:before="120" w:after="120"/>
        <w:ind w:left="0" w:right="0" w:firstLine="851"/>
        <w:rPr>
          <w:b/>
          <w:b/>
          <w:sz w:val="24"/>
          <w:szCs w:val="24"/>
          <w:u w:val="single"/>
        </w:rPr>
      </w:pPr>
      <w:r>
        <w:rPr>
          <w:b/>
          <w:sz w:val="24"/>
          <w:szCs w:val="24"/>
          <w:u w:val="single"/>
        </w:rPr>
      </w:r>
    </w:p>
    <w:p>
      <w:pPr>
        <w:pStyle w:val="Corpodetexto"/>
        <w:spacing w:lineRule="auto" w:line="276" w:before="120" w:after="120"/>
        <w:ind w:left="0" w:right="0" w:firstLine="851"/>
        <w:rPr>
          <w:sz w:val="24"/>
          <w:szCs w:val="24"/>
        </w:rPr>
      </w:pPr>
      <w:r>
        <w:rPr>
          <w:rFonts w:eastAsia="Times New Roman" w:cs="Tahoma"/>
          <w:color w:val="00000A"/>
          <w:sz w:val="20"/>
          <w:szCs w:val="24"/>
          <w:lang w:val="pt-BR" w:eastAsia="pt-BR" w:bidi="ar-SA"/>
        </w:rPr>
        <w:t>Aos dez dias do mês de maio do ano de dois mil e vinte e dois, nesta cidade de Porto Velho-RO, no quartel do Hospital de Guarnição de Porto Velho, faço a juntada aos autos do presente Processo Administrativo da imagem a seguir, do que, para constar, lavrei o presente Termo.</w:t>
      </w:r>
    </w:p>
    <w:p>
      <w:pPr>
        <w:pStyle w:val="Corpodetexto"/>
        <w:spacing w:lineRule="auto" w:line="276" w:before="120" w:after="120"/>
        <w:ind w:left="0" w:right="0" w:firstLine="851"/>
        <w:rPr>
          <w:rFonts w:ascii="Arial" w:hAnsi="Arial" w:eastAsia="Times New Roman" w:cs="Tahoma"/>
          <w:color w:val="00000A"/>
          <w:sz w:val="20"/>
          <w:szCs w:val="24"/>
          <w:lang w:val="pt-BR" w:eastAsia="pt-BR" w:bidi="ar-SA"/>
        </w:rPr>
      </w:pPr>
      <w:r>
        <w:rPr>
          <w:rFonts w:eastAsia="Times New Roman" w:cs="Tahoma"/>
          <w:color w:val="00000A"/>
          <w:sz w:val="20"/>
          <w:szCs w:val="24"/>
          <w:lang w:val="pt-BR" w:eastAsia="pt-BR" w:bidi="ar-SA"/>
        </w:rPr>
        <w:t>- Foto das viaturas como referência para a troca das peças.</w:t>
      </w:r>
    </w:p>
    <w:p>
      <w:pPr>
        <w:pStyle w:val="Corpodetexto"/>
        <w:spacing w:lineRule="auto" w:line="276" w:before="120" w:after="120"/>
        <w:ind w:left="0" w:right="0" w:firstLine="851"/>
        <w:rPr>
          <w:sz w:val="24"/>
          <w:szCs w:val="24"/>
        </w:rPr>
      </w:pPr>
      <w:r>
        <w:rPr>
          <w:sz w:val="24"/>
          <w:szCs w:val="24"/>
        </w:rPr>
      </w:r>
    </w:p>
    <w:p>
      <w:pPr>
        <w:pStyle w:val="Normal"/>
        <w:spacing w:lineRule="auto" w:line="276" w:before="120" w:after="120"/>
        <w:jc w:val="center"/>
        <w:rPr>
          <w:sz w:val="24"/>
          <w:szCs w:val="24"/>
          <w:lang w:eastAsia="zxx" w:bidi="zxx"/>
        </w:rPr>
      </w:pPr>
      <w:r>
        <w:rPr>
          <w:sz w:val="24"/>
          <w:szCs w:val="24"/>
          <w:lang w:eastAsia="zxx" w:bidi="zxx"/>
        </w:rPr>
      </w:r>
    </w:p>
    <w:p>
      <w:pPr>
        <w:pStyle w:val="Normal"/>
        <w:spacing w:lineRule="auto" w:line="276" w:before="120" w:after="120"/>
        <w:jc w:val="center"/>
        <w:rPr>
          <w:rFonts w:ascii="Arial" w:hAnsi="Arial" w:eastAsia="Times New Roman" w:cs="Tahoma"/>
          <w:color w:val="00000A"/>
          <w:sz w:val="20"/>
          <w:szCs w:val="24"/>
          <w:lang w:val="pt-BR" w:eastAsia="pt-BR" w:bidi="ar-SA"/>
        </w:rPr>
      </w:pPr>
      <w:r>
        <w:rPr>
          <w:rFonts w:eastAsia="Times New Roman" w:cs="Tahoma"/>
          <w:color w:val="00000A"/>
          <w:sz w:val="20"/>
          <w:szCs w:val="24"/>
          <w:lang w:val="pt-BR" w:eastAsia="pt-BR" w:bidi="ar-SA"/>
        </w:rPr>
        <w:t>Porto Velho, RO, 10 de maio de 2022.</w:t>
      </w:r>
    </w:p>
    <w:p>
      <w:pPr>
        <w:pStyle w:val="Normal"/>
        <w:rPr>
          <w:rFonts w:ascii="Arial" w:hAnsi="Arial" w:eastAsia="Times New Roman" w:cs="Tahoma"/>
          <w:color w:val="00000A"/>
          <w:sz w:val="20"/>
          <w:szCs w:val="24"/>
          <w:lang w:val="pt-BR" w:eastAsia="pt-BR" w:bidi="ar-SA"/>
        </w:rPr>
      </w:pPr>
      <w:r>
        <w:rPr>
          <w:rFonts w:eastAsia="Times New Roman" w:cs="Tahoma"/>
          <w:color w:val="00000A"/>
          <w:sz w:val="20"/>
          <w:szCs w:val="24"/>
          <w:lang w:val="pt-BR" w:eastAsia="pt-BR" w:bidi="ar-SA"/>
        </w:rPr>
      </w:r>
    </w:p>
    <w:p>
      <w:pPr>
        <w:pStyle w:val="Normal"/>
        <w:rPr>
          <w:sz w:val="24"/>
          <w:szCs w:val="24"/>
          <w:lang w:eastAsia="zxx" w:bidi="zxx"/>
        </w:rPr>
      </w:pPr>
      <w:r>
        <w:rPr>
          <w:sz w:val="24"/>
          <w:szCs w:val="24"/>
          <w:lang w:eastAsia="zxx" w:bidi="zxx"/>
        </w:rPr>
      </w:r>
    </w:p>
    <w:p>
      <w:pPr>
        <w:pStyle w:val="Normal"/>
        <w:rPr>
          <w:sz w:val="24"/>
          <w:szCs w:val="24"/>
          <w:lang w:eastAsia="zxx" w:bidi="zxx"/>
        </w:rPr>
      </w:pPr>
      <w:r>
        <w:rPr>
          <w:sz w:val="24"/>
          <w:szCs w:val="24"/>
          <w:lang w:eastAsia="zxx" w:bidi="zxx"/>
        </w:rPr>
      </w:r>
    </w:p>
    <w:p>
      <w:pPr>
        <w:pStyle w:val="Normal"/>
        <w:rPr>
          <w:sz w:val="24"/>
          <w:szCs w:val="24"/>
          <w:lang w:eastAsia="zxx" w:bidi="zxx"/>
        </w:rPr>
      </w:pPr>
      <w:r>
        <w:rPr>
          <w:sz w:val="24"/>
          <w:szCs w:val="24"/>
          <w:lang w:eastAsia="zxx" w:bidi="zxx"/>
        </w:rPr>
      </w:r>
    </w:p>
    <w:p>
      <w:pPr>
        <w:pStyle w:val="Normal"/>
        <w:rPr>
          <w:sz w:val="24"/>
          <w:szCs w:val="24"/>
        </w:rPr>
      </w:pPr>
      <w:r>
        <w:rPr>
          <w:sz w:val="24"/>
          <w:szCs w:val="24"/>
        </w:rPr>
      </w:r>
    </w:p>
    <w:p>
      <w:pPr>
        <w:pStyle w:val="Normal"/>
        <w:suppressAutoHyphens w:val="false"/>
        <w:jc w:val="center"/>
        <w:rPr>
          <w:rFonts w:ascii="Times New Roman" w:hAnsi="Times New Roman" w:eastAsia="Times New Roman" w:cs="Times New Roman"/>
          <w:b/>
          <w:b/>
          <w:color w:val="00000A"/>
          <w:sz w:val="24"/>
          <w:szCs w:val="24"/>
          <w:lang w:val="pt-BR" w:eastAsia="zh-CN" w:bidi="hi-IN"/>
        </w:rPr>
      </w:pPr>
      <w:r>
        <w:rPr>
          <w:rFonts w:eastAsia="Times New Roman" w:cs="Times New Roman" w:ascii="Times New Roman" w:hAnsi="Times New Roman"/>
          <w:b/>
          <w:color w:val="00000A"/>
          <w:sz w:val="24"/>
          <w:szCs w:val="24"/>
          <w:lang w:val="pt-BR" w:eastAsia="zh-CN" w:bidi="hi-IN"/>
        </w:rPr>
        <w:t xml:space="preserve">ERNANI MARQUES DE ALMEIDA – Cap </w:t>
      </w:r>
    </w:p>
    <w:p>
      <w:pPr>
        <w:pStyle w:val="Normal"/>
        <w:suppressAutoHyphens w:val="false"/>
        <w:spacing w:lineRule="auto" w:line="240" w:before="0" w:after="0"/>
        <w:ind w:left="360" w:hanging="0"/>
        <w:contextualSpacing/>
        <w:jc w:val="center"/>
        <w:rPr>
          <w:rFonts w:ascii="Times New Roman" w:hAnsi="Times New Roman" w:eastAsia="Times New Roman" w:cs="Times New Roman"/>
          <w:b w:val="false"/>
          <w:b w:val="false"/>
          <w:bCs w:val="false"/>
          <w:color w:val="00000A"/>
          <w:sz w:val="24"/>
          <w:szCs w:val="24"/>
          <w:lang w:val="pt-BR" w:eastAsia="zh-CN" w:bidi="hi-IN"/>
        </w:rPr>
      </w:pPr>
      <w:r>
        <w:rPr>
          <w:rFonts w:eastAsia="Times New Roman" w:cs="Times New Roman" w:ascii="Times New Roman" w:hAnsi="Times New Roman"/>
          <w:b w:val="false"/>
          <w:bCs w:val="false"/>
          <w:color w:val="00000A"/>
          <w:sz w:val="24"/>
          <w:szCs w:val="24"/>
          <w:lang w:val="pt-BR" w:eastAsia="zh-CN" w:bidi="hi-IN"/>
        </w:rPr>
        <w:t>Chefe da SALC do HGUPV</w:t>
      </w:r>
      <w:r>
        <w:br w:type="page"/>
      </w:r>
    </w:p>
    <w:p>
      <w:pPr>
        <w:pStyle w:val="Normal"/>
        <w:spacing w:lineRule="auto" w:line="240" w:before="0" w:after="0"/>
        <w:ind w:left="360" w:hanging="0"/>
        <w:contextualSpacing/>
        <w:jc w:val="center"/>
        <w:rPr/>
      </w:pPr>
      <w:r>
        <w:rPr/>
        <w:drawing>
          <wp:anchor behindDoc="0" distT="0" distB="0" distL="0" distR="0" simplePos="0" locked="0" layoutInCell="1" allowOverlap="1" relativeHeight="2">
            <wp:simplePos x="0" y="0"/>
            <wp:positionH relativeFrom="column">
              <wp:posOffset>-613410</wp:posOffset>
            </wp:positionH>
            <wp:positionV relativeFrom="paragraph">
              <wp:posOffset>334645</wp:posOffset>
            </wp:positionV>
            <wp:extent cx="6442075" cy="2909570"/>
            <wp:effectExtent l="0" t="0" r="0" b="0"/>
            <wp:wrapSquare wrapText="largest"/>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18"/>
                    <a:stretch>
                      <a:fillRect/>
                    </a:stretch>
                  </pic:blipFill>
                  <pic:spPr bwMode="auto">
                    <a:xfrm>
                      <a:off x="0" y="0"/>
                      <a:ext cx="6442075" cy="2909570"/>
                    </a:xfrm>
                    <a:prstGeom prst="rect">
                      <a:avLst/>
                    </a:prstGeom>
                  </pic:spPr>
                </pic:pic>
              </a:graphicData>
            </a:graphic>
          </wp:anchor>
        </w:drawing>
        <w:drawing>
          <wp:anchor behindDoc="0" distT="0" distB="0" distL="0" distR="0" simplePos="0" locked="0" layoutInCell="1" allowOverlap="1" relativeHeight="3">
            <wp:simplePos x="0" y="0"/>
            <wp:positionH relativeFrom="column">
              <wp:posOffset>-629285</wp:posOffset>
            </wp:positionH>
            <wp:positionV relativeFrom="paragraph">
              <wp:posOffset>3363595</wp:posOffset>
            </wp:positionV>
            <wp:extent cx="6449060" cy="2884170"/>
            <wp:effectExtent l="0" t="0" r="0" b="0"/>
            <wp:wrapSquare wrapText="largest"/>
            <wp:docPr id="5"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descr=""/>
                    <pic:cNvPicPr>
                      <a:picLocks noChangeAspect="1" noChangeArrowheads="1"/>
                    </pic:cNvPicPr>
                  </pic:nvPicPr>
                  <pic:blipFill>
                    <a:blip r:embed="rId19"/>
                    <a:stretch>
                      <a:fillRect/>
                    </a:stretch>
                  </pic:blipFill>
                  <pic:spPr bwMode="auto">
                    <a:xfrm>
                      <a:off x="0" y="0"/>
                      <a:ext cx="6449060" cy="2884170"/>
                    </a:xfrm>
                    <a:prstGeom prst="rect">
                      <a:avLst/>
                    </a:prstGeom>
                  </pic:spPr>
                </pic:pic>
              </a:graphicData>
            </a:graphic>
          </wp:anchor>
        </w:drawing>
        <w:drawing>
          <wp:anchor behindDoc="0" distT="0" distB="0" distL="0" distR="0" simplePos="0" locked="0" layoutInCell="1" allowOverlap="1" relativeHeight="4">
            <wp:simplePos x="0" y="0"/>
            <wp:positionH relativeFrom="column">
              <wp:posOffset>-628015</wp:posOffset>
            </wp:positionH>
            <wp:positionV relativeFrom="paragraph">
              <wp:posOffset>6316980</wp:posOffset>
            </wp:positionV>
            <wp:extent cx="6447790" cy="3058795"/>
            <wp:effectExtent l="0" t="0" r="0" b="0"/>
            <wp:wrapSquare wrapText="largest"/>
            <wp:docPr id="6"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5" descr=""/>
                    <pic:cNvPicPr>
                      <a:picLocks noChangeAspect="1" noChangeArrowheads="1"/>
                    </pic:cNvPicPr>
                  </pic:nvPicPr>
                  <pic:blipFill>
                    <a:blip r:embed="rId20"/>
                    <a:stretch>
                      <a:fillRect/>
                    </a:stretch>
                  </pic:blipFill>
                  <pic:spPr bwMode="auto">
                    <a:xfrm>
                      <a:off x="0" y="0"/>
                      <a:ext cx="6447790" cy="3058795"/>
                    </a:xfrm>
                    <a:prstGeom prst="rect">
                      <a:avLst/>
                    </a:prstGeom>
                  </pic:spPr>
                </pic:pic>
              </a:graphicData>
            </a:graphic>
          </wp:anchor>
        </w:drawing>
      </w:r>
      <w:r>
        <w:br w:type="page"/>
      </w:r>
    </w:p>
    <w:p>
      <w:pPr>
        <w:pStyle w:val="Normal"/>
        <w:spacing w:lineRule="auto" w:line="240" w:before="0" w:after="0"/>
        <w:ind w:left="360" w:hanging="0"/>
        <w:contextualSpacing/>
        <w:jc w:val="center"/>
        <w:rPr/>
      </w:pPr>
      <w:r>
        <w:rPr/>
        <w:drawing>
          <wp:anchor behindDoc="0" distT="0" distB="0" distL="0" distR="0" simplePos="0" locked="0" layoutInCell="1" allowOverlap="1" relativeHeight="5">
            <wp:simplePos x="0" y="0"/>
            <wp:positionH relativeFrom="column">
              <wp:posOffset>-715010</wp:posOffset>
            </wp:positionH>
            <wp:positionV relativeFrom="paragraph">
              <wp:posOffset>192405</wp:posOffset>
            </wp:positionV>
            <wp:extent cx="6515735" cy="3129915"/>
            <wp:effectExtent l="0" t="0" r="0" b="0"/>
            <wp:wrapSquare wrapText="largest"/>
            <wp:docPr id="7"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6" descr=""/>
                    <pic:cNvPicPr>
                      <a:picLocks noChangeAspect="1" noChangeArrowheads="1"/>
                    </pic:cNvPicPr>
                  </pic:nvPicPr>
                  <pic:blipFill>
                    <a:blip r:embed="rId21"/>
                    <a:stretch>
                      <a:fillRect/>
                    </a:stretch>
                  </pic:blipFill>
                  <pic:spPr bwMode="auto">
                    <a:xfrm>
                      <a:off x="0" y="0"/>
                      <a:ext cx="6515735" cy="3129915"/>
                    </a:xfrm>
                    <a:prstGeom prst="rect">
                      <a:avLst/>
                    </a:prstGeom>
                  </pic:spPr>
                </pic:pic>
              </a:graphicData>
            </a:graphic>
          </wp:anchor>
        </w:drawing>
        <w:drawing>
          <wp:anchor behindDoc="0" distT="0" distB="0" distL="0" distR="0" simplePos="0" locked="0" layoutInCell="1" allowOverlap="1" relativeHeight="6">
            <wp:simplePos x="0" y="0"/>
            <wp:positionH relativeFrom="column">
              <wp:posOffset>-715010</wp:posOffset>
            </wp:positionH>
            <wp:positionV relativeFrom="paragraph">
              <wp:posOffset>3440430</wp:posOffset>
            </wp:positionV>
            <wp:extent cx="6525260" cy="3376295"/>
            <wp:effectExtent l="0" t="0" r="0" b="0"/>
            <wp:wrapSquare wrapText="largest"/>
            <wp:docPr id="8"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7" descr=""/>
                    <pic:cNvPicPr>
                      <a:picLocks noChangeAspect="1" noChangeArrowheads="1"/>
                    </pic:cNvPicPr>
                  </pic:nvPicPr>
                  <pic:blipFill>
                    <a:blip r:embed="rId22"/>
                    <a:stretch>
                      <a:fillRect/>
                    </a:stretch>
                  </pic:blipFill>
                  <pic:spPr bwMode="auto">
                    <a:xfrm>
                      <a:off x="0" y="0"/>
                      <a:ext cx="6525260" cy="3376295"/>
                    </a:xfrm>
                    <a:prstGeom prst="rect">
                      <a:avLst/>
                    </a:prstGeom>
                  </pic:spPr>
                </pic:pic>
              </a:graphicData>
            </a:graphic>
          </wp:anchor>
        </w:drawing>
      </w:r>
      <w:r>
        <w:br w:type="page"/>
      </w:r>
    </w:p>
    <w:p>
      <w:pPr>
        <w:pStyle w:val="Normal"/>
        <w:spacing w:lineRule="auto" w:line="240" w:before="0" w:after="0"/>
        <w:ind w:left="360" w:hanging="0"/>
        <w:contextualSpacing/>
        <w:jc w:val="center"/>
        <w:rPr/>
      </w:pPr>
      <w:r>
        <w:rPr/>
        <w:drawing>
          <wp:anchor behindDoc="0" distT="0" distB="0" distL="0" distR="0" simplePos="0" locked="0" layoutInCell="1" allowOverlap="1" relativeHeight="7">
            <wp:simplePos x="0" y="0"/>
            <wp:positionH relativeFrom="column">
              <wp:align>center</wp:align>
            </wp:positionH>
            <wp:positionV relativeFrom="paragraph">
              <wp:align>top</wp:align>
            </wp:positionV>
            <wp:extent cx="6186805" cy="3602355"/>
            <wp:effectExtent l="0" t="0" r="0" b="0"/>
            <wp:wrapSquare wrapText="largest"/>
            <wp:docPr id="9"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8" descr=""/>
                    <pic:cNvPicPr>
                      <a:picLocks noChangeAspect="1" noChangeArrowheads="1"/>
                    </pic:cNvPicPr>
                  </pic:nvPicPr>
                  <pic:blipFill>
                    <a:blip r:embed="rId23"/>
                    <a:stretch>
                      <a:fillRect/>
                    </a:stretch>
                  </pic:blipFill>
                  <pic:spPr bwMode="auto">
                    <a:xfrm>
                      <a:off x="0" y="0"/>
                      <a:ext cx="6186805" cy="3602355"/>
                    </a:xfrm>
                    <a:prstGeom prst="rect">
                      <a:avLst/>
                    </a:prstGeom>
                  </pic:spPr>
                </pic:pic>
              </a:graphicData>
            </a:graphic>
          </wp:anchor>
        </w:drawing>
        <w:drawing>
          <wp:anchor behindDoc="0" distT="0" distB="0" distL="0" distR="0" simplePos="0" locked="0" layoutInCell="1" allowOverlap="1" relativeHeight="8">
            <wp:simplePos x="0" y="0"/>
            <wp:positionH relativeFrom="column">
              <wp:posOffset>-400685</wp:posOffset>
            </wp:positionH>
            <wp:positionV relativeFrom="paragraph">
              <wp:posOffset>3798570</wp:posOffset>
            </wp:positionV>
            <wp:extent cx="6201410" cy="3928745"/>
            <wp:effectExtent l="0" t="0" r="0" b="0"/>
            <wp:wrapSquare wrapText="largest"/>
            <wp:docPr id="10"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9" descr=""/>
                    <pic:cNvPicPr>
                      <a:picLocks noChangeAspect="1" noChangeArrowheads="1"/>
                    </pic:cNvPicPr>
                  </pic:nvPicPr>
                  <pic:blipFill>
                    <a:blip r:embed="rId24"/>
                    <a:stretch>
                      <a:fillRect/>
                    </a:stretch>
                  </pic:blipFill>
                  <pic:spPr bwMode="auto">
                    <a:xfrm>
                      <a:off x="0" y="0"/>
                      <a:ext cx="6201410" cy="3928745"/>
                    </a:xfrm>
                    <a:prstGeom prst="rect">
                      <a:avLst/>
                    </a:prstGeom>
                  </pic:spPr>
                </pic:pic>
              </a:graphicData>
            </a:graphic>
          </wp:anchor>
        </w:drawing>
      </w:r>
    </w:p>
    <w:sectPr>
      <w:headerReference w:type="even" r:id="rId25"/>
      <w:headerReference w:type="default" r:id="rId26"/>
      <w:type w:val="nextPage"/>
      <w:pgSz w:w="11906" w:h="16838"/>
      <w:pgMar w:left="1701" w:right="1701" w:header="1417" w:top="1983" w:footer="0" w:bottom="708"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Fonts w:ascii="Arial" w:hAnsi="Arial"/>
      </w:rPr>
    </w:lvl>
    <w:lvl w:ilvl="2">
      <w:start w:val="1"/>
      <w:numFmt w:val="decimal"/>
      <w:lvlText w:val="%1.%2.%3"/>
      <w:lvlJc w:val="left"/>
      <w:pPr>
        <w:ind w:left="1854" w:hanging="720"/>
      </w:pPr>
      <w:rPr>
        <w:b/>
        <w:rFonts w:ascii="Arial" w:hAnsi="Arial"/>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false"/>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00000A"/>
      <w:sz w:val="20"/>
      <w:szCs w:val="24"/>
      <w:lang w:val="pt-BR" w:eastAsia="pt-BR" w:bidi="ar-SA"/>
    </w:rPr>
  </w:style>
  <w:style w:type="paragraph" w:styleId="Ttulo1">
    <w:name w:val="Título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b/>
      <w:i w:val="false"/>
      <w:iCs/>
    </w:rPr>
  </w:style>
  <w:style w:type="character" w:styleId="ListLabel3">
    <w:name w:val="ListLabel 3"/>
    <w:qFormat/>
    <w:rPr>
      <w:rFonts w:cs="Arial"/>
      <w:b/>
      <w:i w:val="false"/>
      <w:iCs/>
      <w:color w:val="00000A"/>
    </w:rPr>
  </w:style>
  <w:style w:type="character" w:styleId="ListLabel4">
    <w:name w:val="ListLabel 4"/>
    <w:qFormat/>
    <w:rPr>
      <w:b w:val="false"/>
      <w:i w:val="false"/>
      <w:iCs/>
      <w:color w:val="00000A"/>
    </w:rPr>
  </w:style>
  <w:style w:type="character" w:styleId="ListLabel5">
    <w:name w:val="ListLabel 5"/>
    <w:qFormat/>
    <w:rPr>
      <w:rFonts w:ascii="Arial" w:hAnsi="Arial"/>
      <w:b/>
    </w:rPr>
  </w:style>
  <w:style w:type="character" w:styleId="ListLabel6">
    <w:name w:val="ListLabel 6"/>
    <w:qFormat/>
    <w:rPr>
      <w:b/>
      <w:i w:val="false"/>
      <w:iCs/>
    </w:rPr>
  </w:style>
  <w:style w:type="character" w:styleId="ListLabel7">
    <w:name w:val="ListLabel 7"/>
    <w:qFormat/>
    <w:rPr>
      <w:rFonts w:cs="Arial"/>
      <w:b/>
      <w:i w:val="false"/>
      <w:iCs/>
      <w:color w:val="00000A"/>
    </w:rPr>
  </w:style>
  <w:style w:type="character" w:styleId="ListLabel8">
    <w:name w:val="ListLabel 8"/>
    <w:qFormat/>
    <w:rPr>
      <w:b w:val="false"/>
      <w:i w:val="false"/>
      <w:iCs/>
      <w:color w:val="00000A"/>
    </w:rPr>
  </w:style>
  <w:style w:type="character" w:styleId="ListLabel9">
    <w:name w:val="ListLabel 9"/>
    <w:qFormat/>
    <w:rPr>
      <w:rFonts w:ascii="Arial" w:hAnsi="Arial"/>
      <w:b/>
    </w:rPr>
  </w:style>
  <w:style w:type="character" w:styleId="ListLabel10">
    <w:name w:val="ListLabel 10"/>
    <w:qFormat/>
    <w:rPr>
      <w:b/>
      <w:i w:val="false"/>
      <w:iCs/>
    </w:rPr>
  </w:style>
  <w:style w:type="character" w:styleId="ListLabel11">
    <w:name w:val="ListLabel 11"/>
    <w:qFormat/>
    <w:rPr>
      <w:rFonts w:cs="Arial"/>
      <w:b/>
      <w:i w:val="false"/>
      <w:iCs/>
      <w:color w:val="00000A"/>
    </w:rPr>
  </w:style>
  <w:style w:type="character" w:styleId="ListLabel12">
    <w:name w:val="ListLabel 12"/>
    <w:qFormat/>
    <w:rPr>
      <w:b w:val="false"/>
      <w:i w:val="false"/>
      <w:iCs/>
      <w:color w:val="00000A"/>
    </w:rPr>
  </w:style>
  <w:style w:type="character" w:styleId="ListLabel13">
    <w:name w:val="ListLabel 13"/>
    <w:qFormat/>
    <w:rPr>
      <w:rFonts w:ascii="Arial" w:hAnsi="Arial"/>
      <w:b/>
    </w:rPr>
  </w:style>
  <w:style w:type="character" w:styleId="ListLabel14">
    <w:name w:val="ListLabel 14"/>
    <w:qFormat/>
    <w:rPr>
      <w:b/>
      <w:i w:val="false"/>
      <w:iCs/>
    </w:rPr>
  </w:style>
  <w:style w:type="character" w:styleId="ListLabel15">
    <w:name w:val="ListLabel 15"/>
    <w:qFormat/>
    <w:rPr>
      <w:rFonts w:cs="Arial"/>
      <w:b/>
      <w:i w:val="false"/>
      <w:iCs/>
      <w:color w:val="00000A"/>
    </w:rPr>
  </w:style>
  <w:style w:type="character" w:styleId="ListLabel16">
    <w:name w:val="ListLabel 16"/>
    <w:qFormat/>
    <w:rPr>
      <w:b w:val="false"/>
      <w:i w:val="false"/>
      <w:iCs/>
      <w:color w:val="00000A"/>
    </w:rPr>
  </w:style>
  <w:style w:type="character" w:styleId="ListLabel17">
    <w:name w:val="ListLabel 17"/>
    <w:qFormat/>
    <w:rPr>
      <w:rFonts w:ascii="Arial" w:hAnsi="Arial"/>
      <w:b/>
    </w:rPr>
  </w:style>
  <w:style w:type="character" w:styleId="ListLabel18">
    <w:name w:val="ListLabel 18"/>
    <w:qFormat/>
    <w:rPr>
      <w:b/>
      <w:i w:val="false"/>
      <w:iCs/>
    </w:rPr>
  </w:style>
  <w:style w:type="character" w:styleId="ListLabel19">
    <w:name w:val="ListLabel 19"/>
    <w:qFormat/>
    <w:rPr>
      <w:rFonts w:cs="Arial"/>
      <w:b/>
      <w:i w:val="false"/>
      <w:iCs/>
      <w:color w:val="00000A"/>
    </w:rPr>
  </w:style>
  <w:style w:type="character" w:styleId="ListLabel20">
    <w:name w:val="ListLabel 20"/>
    <w:qFormat/>
    <w:rPr>
      <w:b w:val="false"/>
      <w:i w:val="false"/>
      <w:iCs/>
      <w:color w:val="00000A"/>
    </w:rPr>
  </w:style>
  <w:style w:type="character" w:styleId="ListLabel21">
    <w:name w:val="ListLabel 21"/>
    <w:qFormat/>
    <w:rPr>
      <w:rFonts w:ascii="Arial" w:hAnsi="Arial"/>
      <w:b/>
    </w:rPr>
  </w:style>
  <w:style w:type="character" w:styleId="ListLabel22">
    <w:name w:val="ListLabel 22"/>
    <w:qFormat/>
    <w:rPr>
      <w:b/>
      <w:i w:val="false"/>
      <w:iCs/>
    </w:rPr>
  </w:style>
  <w:style w:type="character" w:styleId="ListLabel23">
    <w:name w:val="ListLabel 23"/>
    <w:qFormat/>
    <w:rPr>
      <w:rFonts w:cs="Arial"/>
      <w:b/>
      <w:i w:val="false"/>
      <w:iCs/>
      <w:color w:val="00000A"/>
    </w:rPr>
  </w:style>
  <w:style w:type="character" w:styleId="ListLabel24">
    <w:name w:val="ListLabel 24"/>
    <w:qFormat/>
    <w:rPr>
      <w:b w:val="false"/>
      <w:i w:val="false"/>
      <w:iCs/>
      <w:color w:val="00000A"/>
    </w:rPr>
  </w:style>
  <w:style w:type="character" w:styleId="Linkdainternetvisitado">
    <w:name w:val="Link da internet visitado"/>
    <w:rPr>
      <w:color w:val="800000"/>
      <w:u w:val="single"/>
      <w:lang w:val="zxx" w:eastAsia="zxx" w:bidi="zxx"/>
    </w:rPr>
  </w:style>
  <w:style w:type="character" w:styleId="ListLabel25">
    <w:name w:val="ListLabel 25"/>
    <w:qFormat/>
    <w:rPr>
      <w:rFonts w:ascii="Arial" w:hAnsi="Arial"/>
      <w:b/>
    </w:rPr>
  </w:style>
  <w:style w:type="character" w:styleId="ListLabel26">
    <w:name w:val="ListLabel 26"/>
    <w:qFormat/>
    <w:rPr>
      <w:b/>
      <w:i w:val="false"/>
      <w:iCs/>
    </w:rPr>
  </w:style>
  <w:style w:type="character" w:styleId="ListLabel27">
    <w:name w:val="ListLabel 27"/>
    <w:qFormat/>
    <w:rPr>
      <w:rFonts w:cs="Arial"/>
      <w:b/>
      <w:i w:val="false"/>
      <w:iCs/>
      <w:color w:val="00000A"/>
    </w:rPr>
  </w:style>
  <w:style w:type="character" w:styleId="ListLabel28">
    <w:name w:val="ListLabel 28"/>
    <w:qFormat/>
    <w:rPr>
      <w:b w:val="false"/>
      <w:i w:val="false"/>
      <w:iCs/>
      <w:color w:val="00000A"/>
    </w:rPr>
  </w:style>
  <w:style w:type="character" w:styleId="ListLabel29">
    <w:name w:val="ListLabel 29"/>
    <w:qFormat/>
    <w:rPr>
      <w:rFonts w:ascii="Arial" w:hAnsi="Arial"/>
      <w:b/>
    </w:rPr>
  </w:style>
  <w:style w:type="character" w:styleId="ListLabel30">
    <w:name w:val="ListLabel 30"/>
    <w:qFormat/>
    <w:rPr>
      <w:b/>
      <w:i w:val="false"/>
      <w:iCs/>
    </w:rPr>
  </w:style>
  <w:style w:type="character" w:styleId="ListLabel31">
    <w:name w:val="ListLabel 31"/>
    <w:qFormat/>
    <w:rPr>
      <w:rFonts w:cs="Arial"/>
      <w:b/>
      <w:i w:val="false"/>
      <w:iCs/>
      <w:color w:val="00000A"/>
    </w:rPr>
  </w:style>
  <w:style w:type="character" w:styleId="ListLabel32">
    <w:name w:val="ListLabel 32"/>
    <w:qFormat/>
    <w:rPr>
      <w:b w:val="false"/>
      <w:i w:val="false"/>
      <w:iCs/>
      <w:color w:val="00000A"/>
    </w:rPr>
  </w:style>
  <w:style w:type="character" w:styleId="ListLabel33">
    <w:name w:val="ListLabel 33"/>
    <w:qFormat/>
    <w:rPr>
      <w:rFonts w:ascii="Arial" w:hAnsi="Arial"/>
      <w:b/>
    </w:rPr>
  </w:style>
  <w:style w:type="character" w:styleId="ListLabel34">
    <w:name w:val="ListLabel 34"/>
    <w:qFormat/>
    <w:rPr>
      <w:b/>
      <w:i w:val="false"/>
      <w:iCs/>
    </w:rPr>
  </w:style>
  <w:style w:type="character" w:styleId="ListLabel35">
    <w:name w:val="ListLabel 35"/>
    <w:qFormat/>
    <w:rPr>
      <w:rFonts w:cs="Arial"/>
      <w:b/>
      <w:i w:val="false"/>
      <w:iCs/>
      <w:color w:val="00000A"/>
    </w:rPr>
  </w:style>
  <w:style w:type="character" w:styleId="ListLabel36">
    <w:name w:val="ListLabel 36"/>
    <w:qFormat/>
    <w:rPr>
      <w:b w:val="false"/>
      <w:i w:val="false"/>
      <w:iCs/>
      <w:color w:val="00000A"/>
    </w:rPr>
  </w:style>
  <w:style w:type="character" w:styleId="ListLabel37">
    <w:name w:val="ListLabel 37"/>
    <w:qFormat/>
    <w:rPr>
      <w:rFonts w:ascii="Arial" w:hAnsi="Arial"/>
      <w:b/>
    </w:rPr>
  </w:style>
  <w:style w:type="character" w:styleId="ListLabel38">
    <w:name w:val="ListLabel 38"/>
    <w:qFormat/>
    <w:rPr>
      <w:b/>
      <w:i w:val="false"/>
      <w:iCs/>
    </w:rPr>
  </w:style>
  <w:style w:type="character" w:styleId="ListLabel39">
    <w:name w:val="ListLabel 39"/>
    <w:qFormat/>
    <w:rPr>
      <w:rFonts w:cs="Arial"/>
      <w:b/>
      <w:i w:val="false"/>
      <w:iCs/>
      <w:color w:val="00000A"/>
    </w:rPr>
  </w:style>
  <w:style w:type="character" w:styleId="ListLabel40">
    <w:name w:val="ListLabel 40"/>
    <w:qFormat/>
    <w:rPr>
      <w:b w:val="false"/>
      <w:i w:val="false"/>
      <w:iCs/>
      <w:color w:val="00000A"/>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qFormat/>
    <w:pPr>
      <w:spacing w:lineRule="auto" w:line="288" w:before="0" w:after="140"/>
    </w:pPr>
    <w:rPr/>
  </w:style>
  <w:style w:type="paragraph" w:styleId="Lista">
    <w:name w:val="Lista"/>
    <w:basedOn w:val="Corpodetexto"/>
    <w:pPr/>
    <w:rPr>
      <w:rFonts w:cs="Arial"/>
    </w:rPr>
  </w:style>
  <w:style w:type="paragraph" w:styleId="Legenda">
    <w:name w:val="Legenda"/>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0"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Cabeçalho"/>
    <w:basedOn w:val="Normal"/>
    <w:link w:val="CabealhoChar"/>
    <w:uiPriority w:val="99"/>
    <w:unhideWhenUsed/>
    <w:rsid w:val="00805244"/>
    <w:pPr>
      <w:tabs>
        <w:tab w:val="center" w:pos="4252" w:leader="none"/>
        <w:tab w:val="right" w:pos="8504" w:leader="none"/>
      </w:tabs>
    </w:pPr>
    <w:rPr/>
  </w:style>
  <w:style w:type="paragraph" w:styleId="Rodap">
    <w:name w:val="Rodapé"/>
    <w:basedOn w:val="Normal"/>
    <w:link w:val="RodapChar"/>
    <w:uiPriority w:val="99"/>
    <w:unhideWhenUsed/>
    <w:rsid w:val="00805244"/>
    <w:pPr>
      <w:tabs>
        <w:tab w:val="center" w:pos="4252" w:leader="none"/>
        <w:tab w:val="right" w:pos="8504" w:leader="none"/>
      </w:tabs>
    </w:pPr>
    <w:rPr/>
  </w:style>
  <w:style w:type="paragraph" w:styleId="Caption">
    <w:name w:val="caption"/>
    <w:basedOn w:val="Normal"/>
    <w:qFormat/>
    <w:pPr>
      <w:suppressLineNumbers/>
      <w:suppressAutoHyphens w:val="true"/>
      <w:spacing w:before="120" w:after="120"/>
    </w:pPr>
    <w:rPr>
      <w:rFonts w:cs="Arial"/>
      <w:i/>
      <w:iCs/>
      <w:lang w:eastAsia="zh-CN"/>
    </w:rPr>
  </w:style>
  <w:style w:type="paragraph" w:styleId="Cabealhoesquerda">
    <w:name w:val="Cabeçalho à esquerda"/>
    <w:basedOn w:val="Normal"/>
    <w:qFormat/>
    <w:pPr/>
    <w:rPr/>
  </w:style>
  <w:style w:type="paragraph" w:styleId="Western">
    <w:name w:val="western"/>
    <w:basedOn w:val="Normal"/>
    <w:qFormat/>
    <w:pPr>
      <w:spacing w:lineRule="auto" w:line="288" w:before="113" w:after="0"/>
      <w:ind w:left="799" w:hanging="0"/>
    </w:pPr>
    <w:rPr>
      <w:rFonts w:cs="Arial"/>
      <w:sz w:val="18"/>
      <w:szCs w:val="18"/>
    </w:rPr>
  </w:style>
  <w:style w:type="paragraph" w:styleId="PargrafodaLista1">
    <w:name w:val="Parágrafo da Lista1"/>
    <w:basedOn w:val="Normal"/>
    <w:qFormat/>
    <w:pPr>
      <w:ind w:left="720" w:hanging="0"/>
    </w:pPr>
    <w:rPr>
      <w:rFonts w:ascii="Ecofont_Spranq_eco_Sans" w:hAnsi="Ecofont_Spranq_eco_Sans" w:cs="Ecofont_Spranq_eco_Sans"/>
      <w:sz w:val="24"/>
    </w:rPr>
  </w:style>
  <w:style w:type="paragraph" w:styleId="WWPadro">
    <w:name w:val="WW-Padrão"/>
    <w:qFormat/>
    <w:pPr>
      <w:widowControl w:val="false"/>
      <w:tabs>
        <w:tab w:val="left" w:pos="708" w:leader="none"/>
      </w:tabs>
      <w:suppressAutoHyphens w:val="true"/>
      <w:bidi w:val="0"/>
      <w:jc w:val="left"/>
      <w:textAlignment w:val="baseline"/>
    </w:pPr>
    <w:rPr>
      <w:rFonts w:ascii="Times New Roman" w:hAnsi="Times New Roman" w:eastAsia="Times New Roman" w:cs="Times New Roman"/>
      <w:color w:val="00000A"/>
      <w:sz w:val="20"/>
      <w:szCs w:val="20"/>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image" Target="media/image2.jpeg"/><Relationship Id="rId9" Type="http://schemas.openxmlformats.org/officeDocument/2006/relationships/hyperlink" Target="mailto:almoxarife@hgupv.eb.mil.br" TargetMode="External"/><Relationship Id="rId10" Type="http://schemas.openxmlformats.org/officeDocument/2006/relationships/oleObject" Target="embeddings/oleObject1.bin"/><Relationship Id="rId11" Type="http://schemas.openxmlformats.org/officeDocument/2006/relationships/image" Target="media/image3.emf"/><Relationship Id="rId12" Type="http://schemas.openxmlformats.org/officeDocument/2006/relationships/image" Target="media/image4.png"/><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oleObject" Target="embeddings/oleObject2.bin"/><Relationship Id="rId17" Type="http://schemas.openxmlformats.org/officeDocument/2006/relationships/image" Target="media/image5.emf"/><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header" Target="header6.xml"/><Relationship Id="rId26" Type="http://schemas.openxmlformats.org/officeDocument/2006/relationships/header" Target="header7.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Application>LibreOffice/5.0.5.2$Windows_X86_64 LibreOffice_project/55b006a02d247b5f7215fc6ea0fde844b30035b3</Application>
  <Paragraphs>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language>pt-BR</dc:language>
  <cp:lastPrinted>2022-05-11T11:08:22Z</cp:lastPrinted>
  <dcterms:modified xsi:type="dcterms:W3CDTF">2022-05-20T10:03:39Z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