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272D" w:rsidRDefault="001E5B61">
      <w:pPr>
        <w:spacing w:line="276" w:lineRule="auto"/>
        <w:jc w:val="center"/>
        <w:rPr>
          <w:b/>
          <w:i/>
          <w:color w:val="00000A"/>
        </w:rPr>
      </w:pPr>
      <w:r>
        <w:rPr>
          <w:b/>
          <w:i/>
          <w:color w:val="FF0000"/>
        </w:rPr>
        <w:t xml:space="preserve">   </w:t>
      </w:r>
    </w:p>
    <w:p w:rsidR="008D272D" w:rsidRDefault="001E5B61">
      <w:pPr>
        <w:jc w:val="center"/>
        <w:rPr>
          <w:rFonts w:ascii="Times New Roman" w:hAnsi="Times New Roman" w:cs="Times New Roman"/>
          <w:sz w:val="22"/>
          <w:szCs w:val="22"/>
        </w:rPr>
      </w:pPr>
      <w:r>
        <w:rPr>
          <w:noProof/>
        </w:rPr>
        <w:drawing>
          <wp:inline distT="0" distB="0" distL="0" distR="0">
            <wp:extent cx="504825" cy="5143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04825" cy="514350"/>
                    </a:xfrm>
                    <a:prstGeom prst="rect">
                      <a:avLst/>
                    </a:prstGeom>
                    <a:ln/>
                  </pic:spPr>
                </pic:pic>
              </a:graphicData>
            </a:graphic>
          </wp:inline>
        </w:drawing>
      </w:r>
    </w:p>
    <w:p w:rsidR="008D272D" w:rsidRDefault="001E5B61">
      <w:pPr>
        <w:jc w:val="center"/>
        <w:rPr>
          <w:rFonts w:ascii="Times New Roman" w:hAnsi="Times New Roman" w:cs="Times New Roman"/>
          <w:b/>
          <w:sz w:val="22"/>
          <w:szCs w:val="22"/>
        </w:rPr>
      </w:pPr>
      <w:r>
        <w:rPr>
          <w:rFonts w:ascii="Times New Roman" w:hAnsi="Times New Roman" w:cs="Times New Roman"/>
          <w:b/>
          <w:sz w:val="22"/>
          <w:szCs w:val="22"/>
        </w:rPr>
        <w:t>MINISTÉRIO DA DEFESA</w:t>
      </w:r>
    </w:p>
    <w:p w:rsidR="008D272D" w:rsidRDefault="001E5B61">
      <w:pPr>
        <w:jc w:val="center"/>
        <w:rPr>
          <w:rFonts w:ascii="Times New Roman" w:hAnsi="Times New Roman" w:cs="Times New Roman"/>
          <w:b/>
          <w:sz w:val="22"/>
          <w:szCs w:val="22"/>
        </w:rPr>
      </w:pPr>
      <w:r>
        <w:rPr>
          <w:rFonts w:ascii="Times New Roman" w:hAnsi="Times New Roman" w:cs="Times New Roman"/>
          <w:b/>
          <w:sz w:val="22"/>
          <w:szCs w:val="22"/>
        </w:rPr>
        <w:t>EXÉRCITO BRASILEIRO</w:t>
      </w:r>
    </w:p>
    <w:p w:rsidR="008D272D" w:rsidRDefault="008D272D">
      <w:pPr>
        <w:jc w:val="center"/>
        <w:rPr>
          <w:rFonts w:ascii="Times New Roman" w:hAnsi="Times New Roman" w:cs="Times New Roman"/>
          <w:b/>
          <w:sz w:val="22"/>
          <w:szCs w:val="22"/>
          <w:highlight w:val="yellow"/>
        </w:rPr>
      </w:pPr>
    </w:p>
    <w:p w:rsidR="008D272D" w:rsidRDefault="008D272D">
      <w:pPr>
        <w:jc w:val="center"/>
        <w:rPr>
          <w:rFonts w:ascii="Times New Roman" w:hAnsi="Times New Roman" w:cs="Times New Roman"/>
          <w:b/>
          <w:sz w:val="22"/>
          <w:szCs w:val="22"/>
          <w:highlight w:val="yellow"/>
        </w:rPr>
      </w:pPr>
    </w:p>
    <w:p w:rsidR="008D272D" w:rsidRDefault="008D272D">
      <w:pPr>
        <w:rPr>
          <w:rFonts w:ascii="Times New Roman" w:hAnsi="Times New Roman" w:cs="Times New Roman"/>
          <w:color w:val="000000"/>
          <w:sz w:val="22"/>
          <w:szCs w:val="22"/>
        </w:rPr>
      </w:pPr>
    </w:p>
    <w:p w:rsidR="008D272D" w:rsidRDefault="001E5B61">
      <w:pPr>
        <w:spacing w:line="276" w:lineRule="auto"/>
        <w:jc w:val="center"/>
        <w:rPr>
          <w:color w:val="00000A"/>
          <w:highlight w:val="white"/>
        </w:rPr>
      </w:pPr>
      <w:r>
        <w:rPr>
          <w:b/>
          <w:color w:val="000000"/>
        </w:rPr>
        <w:t xml:space="preserve">AVISO DE DISPENSA </w:t>
      </w:r>
      <w:r>
        <w:rPr>
          <w:color w:val="000000"/>
        </w:rPr>
        <w:t>ELETRÔNICA</w:t>
      </w:r>
      <w:r>
        <w:rPr>
          <w:color w:val="00000A"/>
        </w:rPr>
        <w:t xml:space="preserve"> </w:t>
      </w:r>
      <w:r w:rsidR="00851F6C">
        <w:rPr>
          <w:color w:val="00000A"/>
          <w:highlight w:val="white"/>
        </w:rPr>
        <w:t xml:space="preserve">Nº </w:t>
      </w:r>
      <w:r w:rsidR="00760C51">
        <w:rPr>
          <w:color w:val="00000A"/>
          <w:highlight w:val="yellow"/>
        </w:rPr>
        <w:t>12</w:t>
      </w:r>
      <w:r w:rsidRPr="00851F6C">
        <w:rPr>
          <w:color w:val="00000A"/>
          <w:highlight w:val="yellow"/>
        </w:rPr>
        <w:t>/2022.</w:t>
      </w:r>
    </w:p>
    <w:p w:rsidR="008D272D" w:rsidRDefault="001E5B61">
      <w:pPr>
        <w:spacing w:after="120" w:line="276" w:lineRule="auto"/>
        <w:ind w:right="-15"/>
        <w:jc w:val="center"/>
        <w:rPr>
          <w:color w:val="FF0000"/>
        </w:rPr>
      </w:pPr>
      <w:r>
        <w:rPr>
          <w:color w:val="000000"/>
        </w:rPr>
        <w:t>Processo Administrativo n°</w:t>
      </w:r>
      <w:r>
        <w:t xml:space="preserve"> </w:t>
      </w:r>
      <w:r w:rsidR="00760C51">
        <w:rPr>
          <w:highlight w:val="yellow"/>
        </w:rPr>
        <w:t>64158.015426</w:t>
      </w:r>
      <w:r w:rsidR="00760C51" w:rsidRPr="00851F6C">
        <w:rPr>
          <w:highlight w:val="yellow"/>
        </w:rPr>
        <w:t xml:space="preserve"> </w:t>
      </w:r>
      <w:r w:rsidR="00760C51">
        <w:rPr>
          <w:highlight w:val="yellow"/>
        </w:rPr>
        <w:t>/2022-</w:t>
      </w:r>
      <w:r w:rsidR="00760C51">
        <w:t>71</w:t>
      </w:r>
    </w:p>
    <w:p w:rsidR="008D272D" w:rsidRDefault="008D272D"/>
    <w:p w:rsidR="008D272D" w:rsidRDefault="001E5B61">
      <w:pPr>
        <w:spacing w:after="120" w:line="276" w:lineRule="auto"/>
        <w:ind w:right="-30" w:firstLine="540"/>
        <w:jc w:val="both"/>
        <w:rPr>
          <w:color w:val="000000"/>
        </w:rPr>
      </w:pPr>
      <w:bookmarkStart w:id="0" w:name="_heading=h.gjdgxs" w:colFirst="0" w:colLast="0"/>
      <w:bookmarkEnd w:id="0"/>
      <w:r>
        <w:rPr>
          <w:color w:val="000000"/>
        </w:rPr>
        <w:t xml:space="preserve">Torna-se público que </w:t>
      </w:r>
      <w:r>
        <w:t>a 2ª Bateria de Artilharia Antiaérea</w:t>
      </w:r>
      <w:r>
        <w:rPr>
          <w:color w:val="000000"/>
        </w:rPr>
        <w:t>, por meio da Seção de Aquisições, Licitações e Contratos, realizará Dispensa Eletrônica, com critério de julgamento</w:t>
      </w:r>
      <w:r>
        <w:rPr>
          <w:b/>
          <w:color w:val="000000"/>
        </w:rPr>
        <w:t xml:space="preserve"> </w:t>
      </w:r>
      <w:r>
        <w:t>menor preço</w:t>
      </w:r>
      <w:r>
        <w:rPr>
          <w:b/>
        </w:rPr>
        <w:t>,</w:t>
      </w:r>
      <w:r>
        <w:rPr>
          <w:b/>
          <w:i/>
        </w:rPr>
        <w:t xml:space="preserve"> </w:t>
      </w:r>
      <w:r>
        <w:rPr>
          <w:color w:val="000000"/>
        </w:rPr>
        <w:t>na hipótese do art. 75</w:t>
      </w:r>
      <w:r>
        <w:rPr>
          <w:i/>
          <w:color w:val="000000"/>
        </w:rPr>
        <w:t xml:space="preserve">, </w:t>
      </w:r>
      <w:r>
        <w:t>inciso II, nos termos da Lei nº 14.133, de 1º de abril de 2021, da Instrução Normativa SEGES/ME nº 67/2021 e demais legislação aplicável</w:t>
      </w:r>
      <w:r>
        <w:rPr>
          <w:color w:val="000000"/>
        </w:rPr>
        <w:t>.</w:t>
      </w:r>
    </w:p>
    <w:p w:rsidR="008D272D" w:rsidRDefault="008D272D">
      <w:pPr>
        <w:spacing w:line="276" w:lineRule="auto"/>
        <w:jc w:val="both"/>
        <w:rPr>
          <w:color w:val="000000"/>
        </w:rPr>
      </w:pPr>
    </w:p>
    <w:p w:rsidR="008D272D" w:rsidRDefault="001E5B61">
      <w:pPr>
        <w:spacing w:line="276" w:lineRule="auto"/>
        <w:jc w:val="both"/>
      </w:pPr>
      <w:r>
        <w:rPr>
          <w:color w:val="000000"/>
        </w:rPr>
        <w:t>Data da sessão:</w:t>
      </w:r>
    </w:p>
    <w:p w:rsidR="008D272D" w:rsidRDefault="001E5B61">
      <w:pPr>
        <w:spacing w:before="1"/>
        <w:ind w:right="-7" w:hanging="357"/>
      </w:pPr>
      <w:r>
        <w:rPr>
          <w:color w:val="000000"/>
        </w:rPr>
        <w:tab/>
        <w:t xml:space="preserve">Link: </w:t>
      </w:r>
      <w:r>
        <w:rPr>
          <w:b/>
        </w:rPr>
        <w:t xml:space="preserve">Portal de Compras do Governo Federal – </w:t>
      </w:r>
      <w:r>
        <w:rPr>
          <w:i/>
        </w:rPr>
        <w:t>www.comprasgovernamentais.gov.br</w:t>
      </w:r>
    </w:p>
    <w:p w:rsidR="008D272D" w:rsidRDefault="001E5B61">
      <w:pPr>
        <w:rPr>
          <w:color w:val="000000"/>
        </w:rPr>
      </w:pPr>
      <w:r>
        <w:rPr>
          <w:color w:val="000000"/>
        </w:rPr>
        <w:t xml:space="preserve">Horário da Fase de Lances: </w:t>
      </w:r>
      <w:r>
        <w:rPr>
          <w:b/>
          <w:color w:val="FF0000"/>
        </w:rPr>
        <w:t>(horário de Brasília)</w:t>
      </w:r>
      <w:r>
        <w:rPr>
          <w:i/>
        </w:rPr>
        <w:t>.</w:t>
      </w:r>
    </w:p>
    <w:p w:rsidR="008D272D" w:rsidRDefault="008D272D">
      <w:pPr>
        <w:pBdr>
          <w:top w:val="nil"/>
          <w:left w:val="nil"/>
          <w:bottom w:val="nil"/>
          <w:right w:val="nil"/>
          <w:between w:val="nil"/>
        </w:pBdr>
        <w:spacing w:before="120" w:after="120" w:line="276" w:lineRule="auto"/>
        <w:ind w:left="360"/>
        <w:jc w:val="both"/>
        <w:rPr>
          <w:rFonts w:eastAsia="Arial" w:cs="Arial"/>
          <w:b/>
          <w:color w:val="000000"/>
          <w:szCs w:val="20"/>
        </w:rPr>
      </w:pPr>
    </w:p>
    <w:p w:rsidR="008D272D" w:rsidRDefault="001E5B61">
      <w:pPr>
        <w:numPr>
          <w:ilvl w:val="0"/>
          <w:numId w:val="2"/>
        </w:numPr>
        <w:pBdr>
          <w:top w:val="nil"/>
          <w:left w:val="nil"/>
          <w:bottom w:val="nil"/>
          <w:right w:val="nil"/>
          <w:between w:val="nil"/>
        </w:pBdr>
        <w:spacing w:before="120" w:after="120" w:line="276" w:lineRule="auto"/>
        <w:jc w:val="both"/>
        <w:rPr>
          <w:rFonts w:eastAsia="Arial" w:cs="Arial"/>
          <w:b/>
          <w:color w:val="000000"/>
          <w:szCs w:val="20"/>
        </w:rPr>
      </w:pPr>
      <w:r>
        <w:rPr>
          <w:rFonts w:eastAsia="Arial" w:cs="Arial"/>
          <w:b/>
          <w:color w:val="000000"/>
          <w:szCs w:val="20"/>
        </w:rPr>
        <w:t>OBJETO DA CONTRATAÇÃO DIRETA</w:t>
      </w:r>
    </w:p>
    <w:p w:rsidR="008D272D" w:rsidRDefault="001E5B61">
      <w:pPr>
        <w:numPr>
          <w:ilvl w:val="1"/>
          <w:numId w:val="2"/>
        </w:numPr>
        <w:pBdr>
          <w:top w:val="nil"/>
          <w:left w:val="nil"/>
          <w:bottom w:val="nil"/>
          <w:right w:val="nil"/>
          <w:between w:val="nil"/>
        </w:pBdr>
        <w:spacing w:before="120" w:after="120" w:line="276" w:lineRule="auto"/>
        <w:jc w:val="both"/>
        <w:rPr>
          <w:rFonts w:eastAsia="Arial" w:cs="Arial"/>
          <w:color w:val="000000"/>
          <w:szCs w:val="20"/>
        </w:rPr>
      </w:pPr>
      <w:r>
        <w:rPr>
          <w:rFonts w:eastAsia="Arial" w:cs="Arial"/>
          <w:color w:val="000000"/>
          <w:szCs w:val="20"/>
        </w:rPr>
        <w:t xml:space="preserve">O objeto da presente dispensa é a escolha da proposta mais vantajosa para a </w:t>
      </w:r>
      <w:r>
        <w:t xml:space="preserve">contratação </w:t>
      </w:r>
      <w:r>
        <w:rPr>
          <w:rFonts w:eastAsia="Arial" w:cs="Arial"/>
          <w:color w:val="000000"/>
          <w:szCs w:val="20"/>
        </w:rPr>
        <w:t xml:space="preserve">por dispensa de licitação </w:t>
      </w:r>
      <w:r>
        <w:t>de serviço de internet banda larga</w:t>
      </w:r>
      <w:r>
        <w:rPr>
          <w:rFonts w:eastAsia="Arial" w:cs="Arial"/>
          <w:b/>
          <w:color w:val="000000"/>
          <w:szCs w:val="20"/>
        </w:rPr>
        <w:t>,</w:t>
      </w:r>
      <w:r>
        <w:rPr>
          <w:rFonts w:eastAsia="Arial" w:cs="Arial"/>
          <w:color w:val="000000"/>
          <w:szCs w:val="20"/>
        </w:rPr>
        <w:t xml:space="preserve"> conforme condições, quantidades e exigências estabelecidas neste Aviso de Contratação Direta e seus anexos.</w:t>
      </w:r>
    </w:p>
    <w:p w:rsidR="008D272D" w:rsidRDefault="001E5B61">
      <w:pPr>
        <w:numPr>
          <w:ilvl w:val="1"/>
          <w:numId w:val="2"/>
        </w:numPr>
        <w:pBdr>
          <w:top w:val="nil"/>
          <w:left w:val="nil"/>
          <w:bottom w:val="nil"/>
          <w:right w:val="nil"/>
          <w:between w:val="nil"/>
        </w:pBdr>
        <w:spacing w:before="120" w:after="120" w:line="276" w:lineRule="auto"/>
        <w:jc w:val="both"/>
        <w:rPr>
          <w:rFonts w:eastAsia="Arial" w:cs="Arial"/>
          <w:color w:val="000000"/>
          <w:szCs w:val="20"/>
        </w:rPr>
      </w:pPr>
      <w:r>
        <w:rPr>
          <w:rFonts w:eastAsia="Arial" w:cs="Arial"/>
          <w:color w:val="000000"/>
          <w:szCs w:val="20"/>
        </w:rPr>
        <w:t>A aquisição ocorrerá em itens relacionados conforme tabela constante abaixo</w:t>
      </w:r>
      <w:r>
        <w:t>:</w:t>
      </w:r>
    </w:p>
    <w:tbl>
      <w:tblPr>
        <w:tblStyle w:val="a"/>
        <w:tblW w:w="10003" w:type="dxa"/>
        <w:tblInd w:w="-313" w:type="dxa"/>
        <w:tblLayout w:type="fixed"/>
        <w:tblLook w:val="0400"/>
      </w:tblPr>
      <w:tblGrid>
        <w:gridCol w:w="2978"/>
        <w:gridCol w:w="1276"/>
        <w:gridCol w:w="650"/>
        <w:gridCol w:w="2535"/>
        <w:gridCol w:w="1282"/>
        <w:gridCol w:w="1282"/>
      </w:tblGrid>
      <w:tr w:rsidR="008D272D">
        <w:trPr>
          <w:cantSplit/>
          <w:trHeight w:val="299"/>
          <w:tblHeader/>
        </w:trPr>
        <w:tc>
          <w:tcPr>
            <w:tcW w:w="2978" w:type="dxa"/>
            <w:tcBorders>
              <w:top w:val="single" w:sz="4" w:space="0" w:color="00000A"/>
              <w:left w:val="single" w:sz="4" w:space="0" w:color="00000A"/>
              <w:bottom w:val="single" w:sz="4" w:space="0" w:color="000000"/>
              <w:right w:val="nil"/>
            </w:tcBorders>
            <w:tcMar>
              <w:top w:w="0" w:type="dxa"/>
              <w:left w:w="113" w:type="dxa"/>
              <w:bottom w:w="0" w:type="dxa"/>
              <w:right w:w="108" w:type="dxa"/>
            </w:tcMar>
            <w:vAlign w:val="center"/>
          </w:tcPr>
          <w:p w:rsidR="008D272D" w:rsidRDefault="001E5B61">
            <w:pPr>
              <w:jc w:val="center"/>
              <w:rPr>
                <w:rFonts w:ascii="Times New Roman" w:hAnsi="Times New Roman" w:cs="Times New Roman"/>
                <w:sz w:val="22"/>
                <w:szCs w:val="22"/>
              </w:rPr>
            </w:pPr>
            <w:r>
              <w:rPr>
                <w:rFonts w:ascii="Times New Roman" w:hAnsi="Times New Roman" w:cs="Times New Roman"/>
                <w:sz w:val="22"/>
                <w:szCs w:val="22"/>
              </w:rPr>
              <w:t>Objeto</w:t>
            </w:r>
          </w:p>
        </w:tc>
        <w:tc>
          <w:tcPr>
            <w:tcW w:w="1276" w:type="dxa"/>
            <w:tcBorders>
              <w:top w:val="single" w:sz="4" w:space="0" w:color="00000A"/>
              <w:left w:val="single" w:sz="4" w:space="0" w:color="00000A"/>
              <w:bottom w:val="single" w:sz="4" w:space="0" w:color="000000"/>
              <w:right w:val="nil"/>
            </w:tcBorders>
            <w:tcMar>
              <w:top w:w="0" w:type="dxa"/>
              <w:left w:w="113" w:type="dxa"/>
              <w:bottom w:w="0" w:type="dxa"/>
              <w:right w:w="108" w:type="dxa"/>
            </w:tcMar>
            <w:vAlign w:val="center"/>
          </w:tcPr>
          <w:p w:rsidR="008D272D" w:rsidRDefault="001E5B61">
            <w:pPr>
              <w:jc w:val="center"/>
              <w:rPr>
                <w:rFonts w:ascii="Times New Roman" w:hAnsi="Times New Roman" w:cs="Times New Roman"/>
                <w:sz w:val="22"/>
                <w:szCs w:val="22"/>
              </w:rPr>
            </w:pPr>
            <w:r>
              <w:rPr>
                <w:rFonts w:ascii="Times New Roman" w:hAnsi="Times New Roman" w:cs="Times New Roman"/>
                <w:sz w:val="22"/>
                <w:szCs w:val="22"/>
              </w:rPr>
              <w:t>Und</w:t>
            </w:r>
          </w:p>
        </w:tc>
        <w:tc>
          <w:tcPr>
            <w:tcW w:w="650" w:type="dxa"/>
            <w:tcBorders>
              <w:top w:val="single" w:sz="4" w:space="0" w:color="00000A"/>
              <w:left w:val="single" w:sz="4" w:space="0" w:color="00000A"/>
              <w:bottom w:val="single" w:sz="4" w:space="0" w:color="000000"/>
              <w:right w:val="nil"/>
            </w:tcBorders>
            <w:tcMar>
              <w:top w:w="0" w:type="dxa"/>
              <w:left w:w="113" w:type="dxa"/>
              <w:bottom w:w="0" w:type="dxa"/>
              <w:right w:w="108" w:type="dxa"/>
            </w:tcMar>
            <w:vAlign w:val="center"/>
          </w:tcPr>
          <w:p w:rsidR="008D272D" w:rsidRDefault="001E5B61">
            <w:pPr>
              <w:jc w:val="center"/>
              <w:rPr>
                <w:rFonts w:ascii="Times New Roman" w:hAnsi="Times New Roman" w:cs="Times New Roman"/>
                <w:sz w:val="22"/>
                <w:szCs w:val="22"/>
              </w:rPr>
            </w:pPr>
            <w:r>
              <w:rPr>
                <w:rFonts w:ascii="Times New Roman" w:hAnsi="Times New Roman" w:cs="Times New Roman"/>
                <w:sz w:val="22"/>
                <w:szCs w:val="22"/>
              </w:rPr>
              <w:t>Qtde</w:t>
            </w:r>
          </w:p>
        </w:tc>
        <w:tc>
          <w:tcPr>
            <w:tcW w:w="2535" w:type="dxa"/>
            <w:tcBorders>
              <w:top w:val="single" w:sz="4" w:space="0" w:color="00000A"/>
              <w:left w:val="single" w:sz="4" w:space="0" w:color="00000A"/>
              <w:bottom w:val="single" w:sz="4" w:space="0" w:color="000000"/>
              <w:right w:val="single" w:sz="4" w:space="0" w:color="00000A"/>
            </w:tcBorders>
            <w:tcMar>
              <w:top w:w="0" w:type="dxa"/>
              <w:left w:w="113" w:type="dxa"/>
              <w:bottom w:w="0" w:type="dxa"/>
              <w:right w:w="108" w:type="dxa"/>
            </w:tcMar>
            <w:vAlign w:val="center"/>
          </w:tcPr>
          <w:p w:rsidR="008D272D" w:rsidRDefault="001E5B61">
            <w:pPr>
              <w:jc w:val="center"/>
              <w:rPr>
                <w:rFonts w:ascii="Times New Roman" w:hAnsi="Times New Roman" w:cs="Times New Roman"/>
                <w:sz w:val="22"/>
                <w:szCs w:val="22"/>
              </w:rPr>
            </w:pPr>
            <w:r>
              <w:rPr>
                <w:rFonts w:ascii="Times New Roman" w:hAnsi="Times New Roman" w:cs="Times New Roman"/>
                <w:sz w:val="22"/>
                <w:szCs w:val="22"/>
              </w:rPr>
              <w:t>Provedora de Serviço</w:t>
            </w:r>
          </w:p>
        </w:tc>
        <w:tc>
          <w:tcPr>
            <w:tcW w:w="1282" w:type="dxa"/>
            <w:tcBorders>
              <w:top w:val="single" w:sz="4" w:space="0" w:color="00000A"/>
              <w:left w:val="single" w:sz="4" w:space="0" w:color="00000A"/>
              <w:bottom w:val="single" w:sz="4" w:space="0" w:color="000000"/>
              <w:right w:val="single" w:sz="4" w:space="0" w:color="00000A"/>
            </w:tcBorders>
            <w:tcMar>
              <w:top w:w="0" w:type="dxa"/>
              <w:left w:w="113" w:type="dxa"/>
              <w:bottom w:w="0" w:type="dxa"/>
              <w:right w:w="108" w:type="dxa"/>
            </w:tcMar>
            <w:vAlign w:val="center"/>
          </w:tcPr>
          <w:p w:rsidR="008D272D" w:rsidRDefault="001E5B61">
            <w:pPr>
              <w:jc w:val="center"/>
              <w:rPr>
                <w:rFonts w:ascii="Times New Roman" w:hAnsi="Times New Roman" w:cs="Times New Roman"/>
                <w:sz w:val="22"/>
                <w:szCs w:val="22"/>
              </w:rPr>
            </w:pPr>
            <w:r>
              <w:rPr>
                <w:rFonts w:ascii="Times New Roman" w:hAnsi="Times New Roman" w:cs="Times New Roman"/>
                <w:sz w:val="22"/>
                <w:szCs w:val="22"/>
              </w:rPr>
              <w:t>Preço Unit.  (Em R$)</w:t>
            </w:r>
          </w:p>
        </w:tc>
        <w:tc>
          <w:tcPr>
            <w:tcW w:w="1282" w:type="dxa"/>
            <w:tcBorders>
              <w:top w:val="single" w:sz="4" w:space="0" w:color="00000A"/>
              <w:left w:val="single" w:sz="4" w:space="0" w:color="00000A"/>
              <w:bottom w:val="single" w:sz="4" w:space="0" w:color="000000"/>
              <w:right w:val="single" w:sz="4" w:space="0" w:color="00000A"/>
            </w:tcBorders>
          </w:tcPr>
          <w:p w:rsidR="008D272D" w:rsidRDefault="001E5B61">
            <w:pPr>
              <w:jc w:val="center"/>
              <w:rPr>
                <w:rFonts w:ascii="Times New Roman" w:hAnsi="Times New Roman" w:cs="Times New Roman"/>
                <w:sz w:val="22"/>
                <w:szCs w:val="22"/>
              </w:rPr>
            </w:pPr>
            <w:r>
              <w:rPr>
                <w:rFonts w:ascii="Times New Roman" w:hAnsi="Times New Roman" w:cs="Times New Roman"/>
                <w:sz w:val="22"/>
                <w:szCs w:val="22"/>
              </w:rPr>
              <w:t>Preço Médio</w:t>
            </w:r>
          </w:p>
          <w:p w:rsidR="008D272D" w:rsidRDefault="001E5B61">
            <w:pPr>
              <w:jc w:val="center"/>
              <w:rPr>
                <w:rFonts w:ascii="Times New Roman" w:hAnsi="Times New Roman" w:cs="Times New Roman"/>
                <w:sz w:val="22"/>
                <w:szCs w:val="22"/>
              </w:rPr>
            </w:pPr>
            <w:r>
              <w:rPr>
                <w:rFonts w:ascii="Times New Roman" w:hAnsi="Times New Roman" w:cs="Times New Roman"/>
                <w:sz w:val="22"/>
                <w:szCs w:val="22"/>
              </w:rPr>
              <w:t>(Em R$)</w:t>
            </w:r>
          </w:p>
        </w:tc>
      </w:tr>
      <w:tr w:rsidR="008D272D">
        <w:trPr>
          <w:cantSplit/>
          <w:trHeight w:val="564"/>
          <w:tblHeader/>
        </w:trPr>
        <w:tc>
          <w:tcPr>
            <w:tcW w:w="2978" w:type="dxa"/>
            <w:vMerge w:val="restart"/>
            <w:tcBorders>
              <w:top w:val="single" w:sz="4" w:space="0" w:color="000000"/>
              <w:left w:val="single" w:sz="4" w:space="0" w:color="000000"/>
              <w:right w:val="single" w:sz="4" w:space="0" w:color="000000"/>
            </w:tcBorders>
            <w:tcMar>
              <w:top w:w="0" w:type="dxa"/>
              <w:left w:w="113" w:type="dxa"/>
              <w:bottom w:w="0" w:type="dxa"/>
              <w:right w:w="108" w:type="dxa"/>
            </w:tcMar>
            <w:vAlign w:val="center"/>
          </w:tcPr>
          <w:p w:rsidR="008D272D" w:rsidRDefault="001E5B61">
            <w:pPr>
              <w:jc w:val="center"/>
              <w:rPr>
                <w:rFonts w:ascii="Times New Roman" w:hAnsi="Times New Roman" w:cs="Times New Roman"/>
                <w:sz w:val="22"/>
                <w:szCs w:val="22"/>
              </w:rPr>
            </w:pPr>
            <w:r>
              <w:rPr>
                <w:rFonts w:ascii="Times New Roman" w:hAnsi="Times New Roman" w:cs="Times New Roman"/>
                <w:sz w:val="22"/>
                <w:szCs w:val="22"/>
              </w:rPr>
              <w:t>Contratação de Serviço de Banda Larga Fixa, 400MBs</w:t>
            </w:r>
          </w:p>
        </w:tc>
        <w:tc>
          <w:tcPr>
            <w:tcW w:w="1276" w:type="dxa"/>
            <w:vMerge w:val="restart"/>
            <w:tcBorders>
              <w:top w:val="single" w:sz="4" w:space="0" w:color="000000"/>
              <w:left w:val="single" w:sz="4" w:space="0" w:color="000000"/>
              <w:right w:val="single" w:sz="4" w:space="0" w:color="000000"/>
            </w:tcBorders>
            <w:tcMar>
              <w:top w:w="0" w:type="dxa"/>
              <w:left w:w="113" w:type="dxa"/>
              <w:bottom w:w="0" w:type="dxa"/>
              <w:right w:w="108" w:type="dxa"/>
            </w:tcMar>
            <w:vAlign w:val="center"/>
          </w:tcPr>
          <w:p w:rsidR="008D272D" w:rsidRDefault="001E5B61">
            <w:pPr>
              <w:spacing w:after="200" w:line="276" w:lineRule="auto"/>
              <w:jc w:val="center"/>
              <w:rPr>
                <w:rFonts w:ascii="Times New Roman" w:hAnsi="Times New Roman" w:cs="Times New Roman"/>
                <w:sz w:val="22"/>
                <w:szCs w:val="22"/>
              </w:rPr>
            </w:pPr>
            <w:r>
              <w:rPr>
                <w:rFonts w:ascii="Times New Roman" w:hAnsi="Times New Roman" w:cs="Times New Roman"/>
                <w:sz w:val="22"/>
                <w:szCs w:val="22"/>
              </w:rPr>
              <w:t>SV</w:t>
            </w:r>
          </w:p>
        </w:tc>
        <w:tc>
          <w:tcPr>
            <w:tcW w:w="650" w:type="dxa"/>
            <w:vMerge w:val="restart"/>
            <w:tcBorders>
              <w:top w:val="single" w:sz="4" w:space="0" w:color="000000"/>
              <w:left w:val="single" w:sz="4" w:space="0" w:color="000000"/>
              <w:right w:val="single" w:sz="4" w:space="0" w:color="000000"/>
            </w:tcBorders>
            <w:tcMar>
              <w:top w:w="0" w:type="dxa"/>
              <w:left w:w="113" w:type="dxa"/>
              <w:bottom w:w="0" w:type="dxa"/>
              <w:right w:w="108" w:type="dxa"/>
            </w:tcMar>
            <w:vAlign w:val="center"/>
          </w:tcPr>
          <w:p w:rsidR="008D272D" w:rsidRDefault="001E5B61">
            <w:pPr>
              <w:jc w:val="center"/>
              <w:rPr>
                <w:rFonts w:ascii="Times New Roman" w:hAnsi="Times New Roman" w:cs="Times New Roman"/>
                <w:sz w:val="22"/>
                <w:szCs w:val="22"/>
              </w:rPr>
            </w:pPr>
            <w:r>
              <w:rPr>
                <w:rFonts w:ascii="Times New Roman" w:hAnsi="Times New Roman" w:cs="Times New Roman"/>
                <w:sz w:val="22"/>
                <w:szCs w:val="22"/>
              </w:rPr>
              <w:t>1</w:t>
            </w:r>
          </w:p>
        </w:tc>
        <w:tc>
          <w:tcPr>
            <w:tcW w:w="2535"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tcPr>
          <w:p w:rsidR="008D272D" w:rsidRDefault="001E5B61">
            <w:pPr>
              <w:jc w:val="center"/>
              <w:rPr>
                <w:rFonts w:ascii="Times New Roman" w:hAnsi="Times New Roman" w:cs="Times New Roman"/>
                <w:sz w:val="22"/>
                <w:szCs w:val="22"/>
              </w:rPr>
            </w:pPr>
            <w:r>
              <w:rPr>
                <w:rFonts w:ascii="Times New Roman" w:hAnsi="Times New Roman" w:cs="Times New Roman"/>
                <w:sz w:val="22"/>
                <w:szCs w:val="22"/>
              </w:rPr>
              <w:t>Provedora de Serviços  OI Internet</w:t>
            </w:r>
          </w:p>
        </w:tc>
        <w:tc>
          <w:tcPr>
            <w:tcW w:w="1282"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bottom"/>
          </w:tcPr>
          <w:p w:rsidR="008D272D" w:rsidRDefault="001E5B61">
            <w:pPr>
              <w:spacing w:after="200" w:line="276" w:lineRule="auto"/>
              <w:jc w:val="center"/>
              <w:rPr>
                <w:rFonts w:ascii="Times New Roman" w:hAnsi="Times New Roman" w:cs="Times New Roman"/>
                <w:sz w:val="22"/>
                <w:szCs w:val="22"/>
              </w:rPr>
            </w:pPr>
            <w:r>
              <w:rPr>
                <w:rFonts w:ascii="Times New Roman" w:hAnsi="Times New Roman" w:cs="Times New Roman"/>
                <w:sz w:val="22"/>
                <w:szCs w:val="22"/>
              </w:rPr>
              <w:t>119,90</w:t>
            </w:r>
          </w:p>
        </w:tc>
        <w:tc>
          <w:tcPr>
            <w:tcW w:w="1282" w:type="dxa"/>
            <w:vMerge w:val="restart"/>
            <w:tcBorders>
              <w:top w:val="single" w:sz="4" w:space="0" w:color="000000"/>
              <w:left w:val="single" w:sz="4" w:space="0" w:color="000000"/>
              <w:right w:val="single" w:sz="4" w:space="0" w:color="000000"/>
            </w:tcBorders>
            <w:vAlign w:val="center"/>
          </w:tcPr>
          <w:p w:rsidR="008D272D" w:rsidRDefault="001E5B61">
            <w:pPr>
              <w:spacing w:after="200" w:line="276" w:lineRule="auto"/>
              <w:jc w:val="center"/>
              <w:rPr>
                <w:rFonts w:ascii="Times New Roman" w:hAnsi="Times New Roman" w:cs="Times New Roman"/>
                <w:sz w:val="22"/>
                <w:szCs w:val="22"/>
              </w:rPr>
            </w:pPr>
            <w:r>
              <w:rPr>
                <w:rFonts w:ascii="Times New Roman" w:hAnsi="Times New Roman" w:cs="Times New Roman"/>
                <w:sz w:val="22"/>
                <w:szCs w:val="22"/>
              </w:rPr>
              <w:t>133,23</w:t>
            </w:r>
          </w:p>
        </w:tc>
      </w:tr>
      <w:tr w:rsidR="008D272D">
        <w:trPr>
          <w:cantSplit/>
          <w:trHeight w:val="564"/>
          <w:tblHeader/>
        </w:trPr>
        <w:tc>
          <w:tcPr>
            <w:tcW w:w="2978" w:type="dxa"/>
            <w:vMerge/>
            <w:tcBorders>
              <w:top w:val="single" w:sz="4" w:space="0" w:color="000000"/>
              <w:left w:val="single" w:sz="4" w:space="0" w:color="000000"/>
              <w:right w:val="single" w:sz="4" w:space="0" w:color="000000"/>
            </w:tcBorders>
            <w:tcMar>
              <w:top w:w="0" w:type="dxa"/>
              <w:left w:w="113" w:type="dxa"/>
              <w:bottom w:w="0" w:type="dxa"/>
              <w:right w:w="108" w:type="dxa"/>
            </w:tcMar>
            <w:vAlign w:val="center"/>
          </w:tcPr>
          <w:p w:rsidR="008D272D" w:rsidRDefault="008D272D">
            <w:pPr>
              <w:widowControl w:val="0"/>
              <w:spacing w:line="276" w:lineRule="auto"/>
              <w:rPr>
                <w:rFonts w:ascii="Times New Roman" w:hAnsi="Times New Roman" w:cs="Times New Roman"/>
                <w:sz w:val="22"/>
                <w:szCs w:val="22"/>
              </w:rPr>
            </w:pPr>
          </w:p>
        </w:tc>
        <w:tc>
          <w:tcPr>
            <w:tcW w:w="1276" w:type="dxa"/>
            <w:vMerge/>
            <w:tcBorders>
              <w:top w:val="single" w:sz="4" w:space="0" w:color="000000"/>
              <w:left w:val="single" w:sz="4" w:space="0" w:color="000000"/>
              <w:right w:val="single" w:sz="4" w:space="0" w:color="000000"/>
            </w:tcBorders>
            <w:tcMar>
              <w:top w:w="0" w:type="dxa"/>
              <w:left w:w="113" w:type="dxa"/>
              <w:bottom w:w="0" w:type="dxa"/>
              <w:right w:w="108" w:type="dxa"/>
            </w:tcMar>
            <w:vAlign w:val="center"/>
          </w:tcPr>
          <w:p w:rsidR="008D272D" w:rsidRDefault="008D272D">
            <w:pPr>
              <w:widowControl w:val="0"/>
              <w:spacing w:line="276" w:lineRule="auto"/>
              <w:rPr>
                <w:rFonts w:ascii="Times New Roman" w:hAnsi="Times New Roman" w:cs="Times New Roman"/>
                <w:sz w:val="22"/>
                <w:szCs w:val="22"/>
              </w:rPr>
            </w:pPr>
          </w:p>
        </w:tc>
        <w:tc>
          <w:tcPr>
            <w:tcW w:w="650" w:type="dxa"/>
            <w:vMerge/>
            <w:tcBorders>
              <w:top w:val="single" w:sz="4" w:space="0" w:color="000000"/>
              <w:left w:val="single" w:sz="4" w:space="0" w:color="000000"/>
              <w:right w:val="single" w:sz="4" w:space="0" w:color="000000"/>
            </w:tcBorders>
            <w:tcMar>
              <w:top w:w="0" w:type="dxa"/>
              <w:left w:w="113" w:type="dxa"/>
              <w:bottom w:w="0" w:type="dxa"/>
              <w:right w:w="108" w:type="dxa"/>
            </w:tcMar>
            <w:vAlign w:val="center"/>
          </w:tcPr>
          <w:p w:rsidR="008D272D" w:rsidRDefault="008D272D">
            <w:pPr>
              <w:widowControl w:val="0"/>
              <w:spacing w:line="276" w:lineRule="auto"/>
              <w:rPr>
                <w:rFonts w:ascii="Times New Roman" w:hAnsi="Times New Roman" w:cs="Times New Roman"/>
                <w:sz w:val="22"/>
                <w:szCs w:val="22"/>
              </w:rPr>
            </w:pPr>
          </w:p>
        </w:tc>
        <w:tc>
          <w:tcPr>
            <w:tcW w:w="2535"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tcPr>
          <w:p w:rsidR="008D272D" w:rsidRDefault="001E5B61">
            <w:pPr>
              <w:jc w:val="center"/>
              <w:rPr>
                <w:rFonts w:ascii="Times New Roman" w:hAnsi="Times New Roman" w:cs="Times New Roman"/>
                <w:sz w:val="22"/>
                <w:szCs w:val="22"/>
              </w:rPr>
            </w:pPr>
            <w:r>
              <w:rPr>
                <w:rFonts w:ascii="Times New Roman" w:hAnsi="Times New Roman" w:cs="Times New Roman"/>
                <w:sz w:val="22"/>
                <w:szCs w:val="22"/>
              </w:rPr>
              <w:t>Provedora de Serviços Fronteira Internet</w:t>
            </w:r>
          </w:p>
        </w:tc>
        <w:tc>
          <w:tcPr>
            <w:tcW w:w="1282"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bottom"/>
          </w:tcPr>
          <w:p w:rsidR="008D272D" w:rsidRDefault="001E5B61">
            <w:pPr>
              <w:spacing w:after="200" w:line="276" w:lineRule="auto"/>
              <w:jc w:val="center"/>
              <w:rPr>
                <w:rFonts w:ascii="Times New Roman" w:hAnsi="Times New Roman" w:cs="Times New Roman"/>
                <w:sz w:val="22"/>
                <w:szCs w:val="22"/>
              </w:rPr>
            </w:pPr>
            <w:r>
              <w:rPr>
                <w:rFonts w:ascii="Times New Roman" w:hAnsi="Times New Roman" w:cs="Times New Roman"/>
                <w:sz w:val="22"/>
                <w:szCs w:val="22"/>
              </w:rPr>
              <w:t>129,90</w:t>
            </w:r>
          </w:p>
        </w:tc>
        <w:tc>
          <w:tcPr>
            <w:tcW w:w="1282" w:type="dxa"/>
            <w:vMerge/>
            <w:tcBorders>
              <w:top w:val="single" w:sz="4" w:space="0" w:color="000000"/>
              <w:left w:val="single" w:sz="4" w:space="0" w:color="000000"/>
              <w:right w:val="single" w:sz="4" w:space="0" w:color="000000"/>
            </w:tcBorders>
            <w:vAlign w:val="center"/>
          </w:tcPr>
          <w:p w:rsidR="008D272D" w:rsidRDefault="008D272D">
            <w:pPr>
              <w:widowControl w:val="0"/>
              <w:spacing w:line="276" w:lineRule="auto"/>
              <w:rPr>
                <w:rFonts w:ascii="Times New Roman" w:hAnsi="Times New Roman" w:cs="Times New Roman"/>
                <w:sz w:val="22"/>
                <w:szCs w:val="22"/>
              </w:rPr>
            </w:pPr>
          </w:p>
        </w:tc>
      </w:tr>
      <w:tr w:rsidR="008D272D">
        <w:trPr>
          <w:cantSplit/>
          <w:trHeight w:val="564"/>
          <w:tblHeader/>
        </w:trPr>
        <w:tc>
          <w:tcPr>
            <w:tcW w:w="2978" w:type="dxa"/>
            <w:vMerge/>
            <w:tcBorders>
              <w:top w:val="single" w:sz="4" w:space="0" w:color="000000"/>
              <w:left w:val="single" w:sz="4" w:space="0" w:color="000000"/>
              <w:right w:val="single" w:sz="4" w:space="0" w:color="000000"/>
            </w:tcBorders>
            <w:tcMar>
              <w:top w:w="0" w:type="dxa"/>
              <w:left w:w="113" w:type="dxa"/>
              <w:bottom w:w="0" w:type="dxa"/>
              <w:right w:w="108" w:type="dxa"/>
            </w:tcMar>
            <w:vAlign w:val="center"/>
          </w:tcPr>
          <w:p w:rsidR="008D272D" w:rsidRDefault="008D272D">
            <w:pPr>
              <w:widowControl w:val="0"/>
              <w:spacing w:line="276" w:lineRule="auto"/>
              <w:rPr>
                <w:rFonts w:ascii="Times New Roman" w:hAnsi="Times New Roman" w:cs="Times New Roman"/>
                <w:sz w:val="22"/>
                <w:szCs w:val="22"/>
              </w:rPr>
            </w:pPr>
          </w:p>
        </w:tc>
        <w:tc>
          <w:tcPr>
            <w:tcW w:w="1276" w:type="dxa"/>
            <w:vMerge/>
            <w:tcBorders>
              <w:top w:val="single" w:sz="4" w:space="0" w:color="000000"/>
              <w:left w:val="single" w:sz="4" w:space="0" w:color="000000"/>
              <w:right w:val="single" w:sz="4" w:space="0" w:color="000000"/>
            </w:tcBorders>
            <w:tcMar>
              <w:top w:w="0" w:type="dxa"/>
              <w:left w:w="113" w:type="dxa"/>
              <w:bottom w:w="0" w:type="dxa"/>
              <w:right w:w="108" w:type="dxa"/>
            </w:tcMar>
            <w:vAlign w:val="center"/>
          </w:tcPr>
          <w:p w:rsidR="008D272D" w:rsidRDefault="008D272D">
            <w:pPr>
              <w:widowControl w:val="0"/>
              <w:spacing w:line="276" w:lineRule="auto"/>
              <w:rPr>
                <w:rFonts w:ascii="Times New Roman" w:hAnsi="Times New Roman" w:cs="Times New Roman"/>
                <w:sz w:val="22"/>
                <w:szCs w:val="22"/>
              </w:rPr>
            </w:pPr>
          </w:p>
        </w:tc>
        <w:tc>
          <w:tcPr>
            <w:tcW w:w="650" w:type="dxa"/>
            <w:vMerge/>
            <w:tcBorders>
              <w:top w:val="single" w:sz="4" w:space="0" w:color="000000"/>
              <w:left w:val="single" w:sz="4" w:space="0" w:color="000000"/>
              <w:right w:val="single" w:sz="4" w:space="0" w:color="000000"/>
            </w:tcBorders>
            <w:tcMar>
              <w:top w:w="0" w:type="dxa"/>
              <w:left w:w="113" w:type="dxa"/>
              <w:bottom w:w="0" w:type="dxa"/>
              <w:right w:w="108" w:type="dxa"/>
            </w:tcMar>
            <w:vAlign w:val="center"/>
          </w:tcPr>
          <w:p w:rsidR="008D272D" w:rsidRDefault="008D272D">
            <w:pPr>
              <w:widowControl w:val="0"/>
              <w:spacing w:line="276" w:lineRule="auto"/>
              <w:rPr>
                <w:rFonts w:ascii="Times New Roman" w:hAnsi="Times New Roman" w:cs="Times New Roman"/>
                <w:sz w:val="22"/>
                <w:szCs w:val="22"/>
              </w:rPr>
            </w:pPr>
          </w:p>
        </w:tc>
        <w:tc>
          <w:tcPr>
            <w:tcW w:w="2535"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tcPr>
          <w:p w:rsidR="008D272D" w:rsidRDefault="001E5B61">
            <w:pPr>
              <w:jc w:val="center"/>
              <w:rPr>
                <w:rFonts w:ascii="Times New Roman" w:hAnsi="Times New Roman" w:cs="Times New Roman"/>
                <w:sz w:val="22"/>
                <w:szCs w:val="22"/>
              </w:rPr>
            </w:pPr>
            <w:r>
              <w:rPr>
                <w:rFonts w:ascii="Times New Roman" w:hAnsi="Times New Roman" w:cs="Times New Roman"/>
                <w:sz w:val="22"/>
                <w:szCs w:val="22"/>
              </w:rPr>
              <w:t>Provedora de Serviços Tchê Net</w:t>
            </w:r>
          </w:p>
        </w:tc>
        <w:tc>
          <w:tcPr>
            <w:tcW w:w="1282"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bottom"/>
          </w:tcPr>
          <w:p w:rsidR="008D272D" w:rsidRDefault="001E5B61">
            <w:pPr>
              <w:spacing w:after="200" w:line="276" w:lineRule="auto"/>
              <w:jc w:val="center"/>
              <w:rPr>
                <w:rFonts w:ascii="Times New Roman" w:hAnsi="Times New Roman" w:cs="Times New Roman"/>
                <w:sz w:val="22"/>
                <w:szCs w:val="22"/>
              </w:rPr>
            </w:pPr>
            <w:r>
              <w:rPr>
                <w:rFonts w:ascii="Times New Roman" w:hAnsi="Times New Roman" w:cs="Times New Roman"/>
                <w:sz w:val="22"/>
                <w:szCs w:val="22"/>
              </w:rPr>
              <w:t>149,90</w:t>
            </w:r>
          </w:p>
        </w:tc>
        <w:tc>
          <w:tcPr>
            <w:tcW w:w="1282" w:type="dxa"/>
            <w:vMerge/>
            <w:tcBorders>
              <w:top w:val="single" w:sz="4" w:space="0" w:color="000000"/>
              <w:left w:val="single" w:sz="4" w:space="0" w:color="000000"/>
              <w:right w:val="single" w:sz="4" w:space="0" w:color="000000"/>
            </w:tcBorders>
            <w:vAlign w:val="center"/>
          </w:tcPr>
          <w:p w:rsidR="008D272D" w:rsidRDefault="008D272D">
            <w:pPr>
              <w:widowControl w:val="0"/>
              <w:spacing w:line="276" w:lineRule="auto"/>
              <w:rPr>
                <w:rFonts w:ascii="Times New Roman" w:hAnsi="Times New Roman" w:cs="Times New Roman"/>
                <w:sz w:val="22"/>
                <w:szCs w:val="22"/>
              </w:rPr>
            </w:pPr>
          </w:p>
        </w:tc>
      </w:tr>
    </w:tbl>
    <w:p w:rsidR="008D272D" w:rsidRDefault="008D272D">
      <w:pPr>
        <w:pBdr>
          <w:top w:val="nil"/>
          <w:left w:val="nil"/>
          <w:bottom w:val="nil"/>
          <w:right w:val="nil"/>
          <w:between w:val="nil"/>
        </w:pBdr>
        <w:spacing w:before="120" w:after="120" w:line="276" w:lineRule="auto"/>
        <w:jc w:val="both"/>
        <w:rPr>
          <w:rFonts w:eastAsia="Arial" w:cs="Arial"/>
          <w:color w:val="000000"/>
          <w:szCs w:val="20"/>
          <w:highlight w:val="yellow"/>
        </w:rPr>
      </w:pPr>
    </w:p>
    <w:p w:rsidR="008D272D" w:rsidRDefault="001E5B61">
      <w:pPr>
        <w:numPr>
          <w:ilvl w:val="1"/>
          <w:numId w:val="2"/>
        </w:numPr>
        <w:pBdr>
          <w:top w:val="nil"/>
          <w:left w:val="nil"/>
          <w:bottom w:val="nil"/>
          <w:right w:val="nil"/>
          <w:between w:val="nil"/>
        </w:pBdr>
        <w:spacing w:before="120" w:after="120" w:line="276" w:lineRule="auto"/>
        <w:jc w:val="both"/>
        <w:rPr>
          <w:rFonts w:eastAsia="Arial" w:cs="Arial"/>
          <w:color w:val="000000"/>
          <w:szCs w:val="20"/>
        </w:rPr>
      </w:pPr>
      <w:r>
        <w:rPr>
          <w:rFonts w:eastAsia="Arial" w:cs="Arial"/>
          <w:color w:val="000000"/>
          <w:szCs w:val="20"/>
        </w:rPr>
        <w:t>O critério de julgamento adotado será o menor preço, observadas as exigências contidas neste Aviso de Contratação Direta e seus Anexos quanto às especificações do objeto.</w:t>
      </w:r>
    </w:p>
    <w:p w:rsidR="008D272D" w:rsidRDefault="001E5B61">
      <w:pPr>
        <w:numPr>
          <w:ilvl w:val="0"/>
          <w:numId w:val="2"/>
        </w:numPr>
        <w:pBdr>
          <w:top w:val="nil"/>
          <w:left w:val="nil"/>
          <w:bottom w:val="nil"/>
          <w:right w:val="nil"/>
          <w:between w:val="nil"/>
        </w:pBdr>
        <w:spacing w:before="120" w:after="120" w:line="276" w:lineRule="auto"/>
        <w:jc w:val="both"/>
        <w:rPr>
          <w:rFonts w:eastAsia="Arial" w:cs="Arial"/>
          <w:b/>
          <w:color w:val="000000"/>
          <w:szCs w:val="20"/>
        </w:rPr>
      </w:pPr>
      <w:r>
        <w:rPr>
          <w:rFonts w:eastAsia="Arial" w:cs="Arial"/>
          <w:b/>
          <w:color w:val="000000"/>
          <w:szCs w:val="20"/>
        </w:rPr>
        <w:t>PARTICIPAÇÃO NA DISPENSA ELETRÔNICA.</w:t>
      </w:r>
    </w:p>
    <w:p w:rsidR="008D272D" w:rsidRDefault="001E5B61">
      <w:pPr>
        <w:numPr>
          <w:ilvl w:val="1"/>
          <w:numId w:val="2"/>
        </w:numPr>
        <w:spacing w:before="120" w:after="120" w:line="276" w:lineRule="auto"/>
        <w:ind w:left="425" w:firstLine="0"/>
        <w:jc w:val="both"/>
      </w:pPr>
      <w:r>
        <w:t>A participação na presente dispensa eletrônica se dará mediante Sistema de Dispensa Eletrônica integrante do Sistema de Compras do Governo Federal – Comprasnet 4.0, disponível no endereço eletrônico.</w:t>
      </w:r>
    </w:p>
    <w:p w:rsidR="008D272D" w:rsidRDefault="001E5B61">
      <w:pPr>
        <w:numPr>
          <w:ilvl w:val="2"/>
          <w:numId w:val="2"/>
        </w:numPr>
        <w:spacing w:before="120" w:after="120" w:line="276" w:lineRule="auto"/>
        <w:jc w:val="both"/>
      </w:pPr>
      <w:r>
        <w:t>Os fornecedores deverão atender aos procedimentos previstos no Manual do Sistema de Dispensa Eletrônica, disponível no Portal de Compras do Governo Federal, para acesso ao sistema e operacionalização.</w:t>
      </w:r>
    </w:p>
    <w:p w:rsidR="008D272D" w:rsidRDefault="001E5B61">
      <w:pPr>
        <w:numPr>
          <w:ilvl w:val="2"/>
          <w:numId w:val="2"/>
        </w:numPr>
        <w:spacing w:before="120" w:after="120" w:line="276" w:lineRule="auto"/>
        <w:jc w:val="both"/>
      </w:pPr>
      <w:r>
        <w:lastRenderedPageBreak/>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8D272D" w:rsidRDefault="001E5B61">
      <w:pPr>
        <w:numPr>
          <w:ilvl w:val="1"/>
          <w:numId w:val="2"/>
        </w:numPr>
        <w:spacing w:before="120" w:after="120" w:line="276" w:lineRule="auto"/>
        <w:ind w:left="425" w:firstLine="0"/>
        <w:jc w:val="both"/>
        <w:rPr>
          <w:color w:val="000000"/>
        </w:rPr>
      </w:pPr>
      <w:r>
        <w:rPr>
          <w:color w:val="000000"/>
        </w:rPr>
        <w:t>Não poderão participar desta dispensa os fornecedores:</w:t>
      </w:r>
    </w:p>
    <w:p w:rsidR="008D272D" w:rsidRDefault="001E5B61">
      <w:pPr>
        <w:numPr>
          <w:ilvl w:val="2"/>
          <w:numId w:val="2"/>
        </w:numPr>
        <w:spacing w:before="120" w:after="120" w:line="276" w:lineRule="auto"/>
        <w:jc w:val="both"/>
        <w:rPr>
          <w:color w:val="000000"/>
        </w:rPr>
      </w:pPr>
      <w:r>
        <w:rPr>
          <w:color w:val="000000"/>
        </w:rPr>
        <w:t>que não atendam às condições deste Aviso de Contratação Direta e seu(s) anexo(s);</w:t>
      </w:r>
    </w:p>
    <w:p w:rsidR="008D272D" w:rsidRDefault="001E5B61">
      <w:pPr>
        <w:numPr>
          <w:ilvl w:val="2"/>
          <w:numId w:val="2"/>
        </w:numPr>
        <w:spacing w:before="120" w:after="120" w:line="276" w:lineRule="auto"/>
        <w:jc w:val="both"/>
        <w:rPr>
          <w:color w:val="000000"/>
        </w:rPr>
      </w:pPr>
      <w:r>
        <w:rPr>
          <w:color w:val="000000"/>
        </w:rPr>
        <w:t>estrangeiros que não tenham representação legal no Brasil com poderes expressos para receber citação e responder administrativa ou judicialmente;</w:t>
      </w:r>
    </w:p>
    <w:p w:rsidR="008D272D" w:rsidRDefault="001E5B61">
      <w:pPr>
        <w:numPr>
          <w:ilvl w:val="2"/>
          <w:numId w:val="2"/>
        </w:numPr>
        <w:spacing w:before="120" w:after="120" w:line="276" w:lineRule="auto"/>
        <w:jc w:val="both"/>
        <w:rPr>
          <w:color w:val="000000"/>
        </w:rPr>
      </w:pPr>
      <w:r>
        <w:rPr>
          <w:color w:val="000000"/>
        </w:rPr>
        <w:t>que se enquadrem nas seguintes vedações:</w:t>
      </w:r>
    </w:p>
    <w:p w:rsidR="008D272D" w:rsidRDefault="001E5B61">
      <w:pPr>
        <w:numPr>
          <w:ilvl w:val="3"/>
          <w:numId w:val="4"/>
        </w:numPr>
        <w:spacing w:before="120" w:after="120" w:line="276" w:lineRule="auto"/>
        <w:ind w:hanging="648"/>
        <w:jc w:val="both"/>
        <w:rPr>
          <w:color w:val="000000"/>
        </w:rPr>
      </w:pPr>
      <w:r>
        <w:rPr>
          <w:color w:val="000000"/>
        </w:rPr>
        <w:t>autor do anteprojeto, do projeto básico ou do projeto executivo, pessoa física ou jurídica, quando a contratação versar sobre obra, serviços ou fornecimento de bens a ele relacionados;</w:t>
      </w:r>
    </w:p>
    <w:p w:rsidR="008D272D" w:rsidRDefault="001E5B61">
      <w:pPr>
        <w:numPr>
          <w:ilvl w:val="3"/>
          <w:numId w:val="4"/>
        </w:numPr>
        <w:spacing w:before="120" w:after="120" w:line="276" w:lineRule="auto"/>
        <w:ind w:hanging="648"/>
        <w:jc w:val="both"/>
        <w:rPr>
          <w:color w:val="000000"/>
        </w:rPr>
      </w:pPr>
      <w:r>
        <w:rPr>
          <w:color w:val="00000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8D272D" w:rsidRDefault="001E5B61">
      <w:pPr>
        <w:numPr>
          <w:ilvl w:val="3"/>
          <w:numId w:val="4"/>
        </w:numPr>
        <w:spacing w:before="120" w:after="120" w:line="276" w:lineRule="auto"/>
        <w:ind w:hanging="648"/>
        <w:jc w:val="both"/>
        <w:rPr>
          <w:color w:val="000000"/>
        </w:rPr>
      </w:pPr>
      <w:r>
        <w:rPr>
          <w:color w:val="000000"/>
        </w:rPr>
        <w:t>pessoa física ou jurídica que se encontre, ao tempo da contratação, impossibilitada de contratar em decorrência de sanção que lhe foi imposta;</w:t>
      </w:r>
    </w:p>
    <w:p w:rsidR="008D272D" w:rsidRDefault="001E5B61">
      <w:pPr>
        <w:numPr>
          <w:ilvl w:val="3"/>
          <w:numId w:val="4"/>
        </w:numPr>
        <w:spacing w:before="120" w:after="120" w:line="276" w:lineRule="auto"/>
        <w:ind w:hanging="648"/>
        <w:jc w:val="both"/>
        <w:rPr>
          <w:color w:val="000000"/>
        </w:rPr>
      </w:pPr>
      <w:r>
        <w:rPr>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8D272D" w:rsidRDefault="001E5B61">
      <w:pPr>
        <w:numPr>
          <w:ilvl w:val="3"/>
          <w:numId w:val="4"/>
        </w:numPr>
        <w:spacing w:before="120" w:after="120" w:line="276" w:lineRule="auto"/>
        <w:ind w:hanging="648"/>
        <w:jc w:val="both"/>
        <w:rPr>
          <w:color w:val="000000"/>
        </w:rPr>
      </w:pPr>
      <w:r>
        <w:rPr>
          <w:color w:val="000000"/>
        </w:rPr>
        <w:t>empresas controladoras, controladas ou coligadas, nos termos da </w:t>
      </w:r>
      <w:hyperlink r:id="rId9">
        <w:r>
          <w:rPr>
            <w:color w:val="000080"/>
            <w:u w:val="single"/>
          </w:rPr>
          <w:t>Lei nº 6.404, de 15 de dezembro de 1976</w:t>
        </w:r>
      </w:hyperlink>
      <w:r>
        <w:rPr>
          <w:color w:val="000000"/>
        </w:rPr>
        <w:t>, concorrendo entre si;</w:t>
      </w:r>
    </w:p>
    <w:p w:rsidR="008D272D" w:rsidRDefault="001E5B61">
      <w:pPr>
        <w:numPr>
          <w:ilvl w:val="3"/>
          <w:numId w:val="4"/>
        </w:numPr>
        <w:spacing w:before="120" w:after="120" w:line="276" w:lineRule="auto"/>
        <w:ind w:hanging="648"/>
        <w:jc w:val="both"/>
        <w:rPr>
          <w:color w:val="000000"/>
        </w:rPr>
      </w:pPr>
      <w:r>
        <w:rPr>
          <w:color w:val="00000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8D272D" w:rsidRDefault="001E5B61">
      <w:pPr>
        <w:numPr>
          <w:ilvl w:val="3"/>
          <w:numId w:val="2"/>
        </w:numPr>
        <w:spacing w:before="120" w:after="120" w:line="276" w:lineRule="auto"/>
        <w:ind w:hanging="648"/>
        <w:jc w:val="both"/>
        <w:rPr>
          <w:color w:val="000000"/>
        </w:rPr>
      </w:pPr>
      <w:r>
        <w:rPr>
          <w:color w:val="000000"/>
        </w:rPr>
        <w:t>Equiparam-se aos autores do projeto as empresas integrantes do mesmo grupo econômico;</w:t>
      </w:r>
    </w:p>
    <w:p w:rsidR="008D272D" w:rsidRDefault="001E5B61">
      <w:pPr>
        <w:numPr>
          <w:ilvl w:val="3"/>
          <w:numId w:val="2"/>
        </w:numPr>
        <w:spacing w:before="120" w:after="120" w:line="276" w:lineRule="auto"/>
        <w:ind w:hanging="648"/>
        <w:jc w:val="both"/>
        <w:rPr>
          <w:color w:val="000000"/>
        </w:rPr>
      </w:pPr>
      <w:r>
        <w:rPr>
          <w:color w:val="00000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8D272D" w:rsidRDefault="001E5B61">
      <w:pPr>
        <w:numPr>
          <w:ilvl w:val="2"/>
          <w:numId w:val="2"/>
        </w:numPr>
        <w:spacing w:before="120" w:after="120" w:line="276" w:lineRule="auto"/>
        <w:jc w:val="both"/>
        <w:rPr>
          <w:color w:val="000000"/>
        </w:rPr>
      </w:pPr>
      <w:r>
        <w:rPr>
          <w:color w:val="000000"/>
        </w:rPr>
        <w:t>organizações da Sociedade Civil de Interesse Público - OSCIP, atuando nessa condição (Acórdão nº 746/2014-TCU-Plenário); e</w:t>
      </w:r>
    </w:p>
    <w:p w:rsidR="008D272D" w:rsidRDefault="001E5B61">
      <w:pPr>
        <w:numPr>
          <w:ilvl w:val="1"/>
          <w:numId w:val="2"/>
        </w:numPr>
        <w:spacing w:before="120" w:after="120" w:line="276" w:lineRule="auto"/>
        <w:jc w:val="both"/>
      </w:pPr>
      <w:r>
        <w:lastRenderedPageBreak/>
        <w:t>Será permitida a participação de cooperativas, desde que apresentem demonstrativo de atuação em regime cooperado, com repartição de receitas e despesas entre os cooperados e atendam ao art. 16 da Lei nº 14.133/21.</w:t>
      </w:r>
    </w:p>
    <w:p w:rsidR="008D272D" w:rsidRDefault="001E5B61">
      <w:pPr>
        <w:numPr>
          <w:ilvl w:val="2"/>
          <w:numId w:val="2"/>
        </w:numPr>
        <w:spacing w:before="120" w:after="120" w:line="276" w:lineRule="auto"/>
        <w:jc w:val="both"/>
      </w:pPr>
      <w:r>
        <w:t>Em sendo permitida a participação de cooperativas, serão estendidas a elas os benefícios previstos para as microempresas e empresas de pequeno porte quando elas atenderem ao disposto no art. 34 da Lei nº 11.488, de 15 de junho de 2007.</w:t>
      </w:r>
    </w:p>
    <w:p w:rsidR="008D272D" w:rsidRDefault="001E5B61">
      <w:pPr>
        <w:numPr>
          <w:ilvl w:val="0"/>
          <w:numId w:val="2"/>
        </w:numPr>
        <w:pBdr>
          <w:top w:val="nil"/>
          <w:left w:val="nil"/>
          <w:bottom w:val="nil"/>
          <w:right w:val="nil"/>
          <w:between w:val="nil"/>
        </w:pBdr>
        <w:spacing w:before="120" w:after="120" w:line="276" w:lineRule="auto"/>
        <w:jc w:val="both"/>
        <w:rPr>
          <w:rFonts w:eastAsia="Arial" w:cs="Arial"/>
          <w:b/>
          <w:color w:val="000000"/>
          <w:szCs w:val="20"/>
        </w:rPr>
      </w:pPr>
      <w:r>
        <w:rPr>
          <w:rFonts w:eastAsia="Arial" w:cs="Arial"/>
          <w:b/>
          <w:color w:val="000000"/>
          <w:szCs w:val="20"/>
        </w:rPr>
        <w:t>INGRESSO NA DISPENSA ELETRÔNICA E CADASTRAMENTO DA PROPOSTA INICIAL</w:t>
      </w:r>
    </w:p>
    <w:p w:rsidR="008D272D" w:rsidRDefault="001E5B61">
      <w:pPr>
        <w:numPr>
          <w:ilvl w:val="1"/>
          <w:numId w:val="2"/>
        </w:numPr>
        <w:spacing w:before="120" w:after="120" w:line="276" w:lineRule="auto"/>
        <w:ind w:left="425" w:firstLine="0"/>
        <w:jc w:val="both"/>
      </w:pPr>
      <w:r>
        <w:rPr>
          <w:color w:val="000000"/>
        </w:rPr>
        <w:t>O ingresso do fornecedor na disputa da dispensa eletrônica se dará com o cadastramento de sua proposta inicial, na forma deste item.</w:t>
      </w:r>
    </w:p>
    <w:p w:rsidR="008D272D" w:rsidRDefault="001E5B61">
      <w:pPr>
        <w:numPr>
          <w:ilvl w:val="1"/>
          <w:numId w:val="2"/>
        </w:numPr>
        <w:spacing w:before="120" w:after="120" w:line="276" w:lineRule="auto"/>
        <w:ind w:left="425" w:firstLine="0"/>
        <w:jc w:val="both"/>
        <w:rPr>
          <w:color w:val="000000"/>
        </w:rPr>
      </w:pPr>
      <w:r>
        <w:rPr>
          <w:color w:val="00000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8D272D" w:rsidRDefault="001E5B61">
      <w:pPr>
        <w:numPr>
          <w:ilvl w:val="2"/>
          <w:numId w:val="2"/>
        </w:numPr>
        <w:spacing w:before="120" w:after="120" w:line="276" w:lineRule="auto"/>
        <w:jc w:val="both"/>
      </w:pPr>
      <w: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8D272D" w:rsidRDefault="001E5B61">
      <w:pPr>
        <w:numPr>
          <w:ilvl w:val="1"/>
          <w:numId w:val="2"/>
        </w:numPr>
        <w:spacing w:before="120" w:after="120" w:line="276" w:lineRule="auto"/>
        <w:ind w:left="425" w:firstLine="0"/>
        <w:jc w:val="both"/>
      </w:pPr>
      <w:r>
        <w:t xml:space="preserve">Todas as especificações do </w:t>
      </w:r>
      <w:r>
        <w:rPr>
          <w:color w:val="000000"/>
        </w:rPr>
        <w:t>objeto</w:t>
      </w:r>
      <w:r>
        <w:t xml:space="preserve"> contidas na proposta, em especial o preço, vinculam a Contratada.</w:t>
      </w:r>
    </w:p>
    <w:p w:rsidR="008D272D" w:rsidRDefault="001E5B61">
      <w:pPr>
        <w:numPr>
          <w:ilvl w:val="1"/>
          <w:numId w:val="2"/>
        </w:numPr>
        <w:spacing w:before="120" w:after="120" w:line="276" w:lineRule="auto"/>
        <w:ind w:left="425" w:firstLine="0"/>
        <w:jc w:val="both"/>
      </w:pPr>
      <w:r>
        <w:t>Nos valores propostos estarão inclusos todos os custos operacionais, encargos previdenciários, trabalhistas, tributários, comerciais e quaisquer outros que incidam direta ou indiretamente na prestação dos serviços;</w:t>
      </w:r>
    </w:p>
    <w:p w:rsidR="008D272D" w:rsidRDefault="001E5B61">
      <w:pPr>
        <w:numPr>
          <w:ilvl w:val="2"/>
          <w:numId w:val="2"/>
        </w:numPr>
        <w:spacing w:before="120" w:after="120" w:line="276" w:lineRule="auto"/>
        <w:jc w:val="both"/>
      </w:pPr>
      <w:r>
        <w:t>Os preços ofertados, tanto na proposta inicial, quanto na etapa de lances, serão de exclusiva responsabilidade do fornecedor, não lhe assistindo o direito de pleitear qualquer alteração, sob alegação de erro, omissão ou qualquer outro pretexto.</w:t>
      </w:r>
    </w:p>
    <w:p w:rsidR="008D272D" w:rsidRDefault="001E5B61">
      <w:pPr>
        <w:numPr>
          <w:ilvl w:val="1"/>
          <w:numId w:val="2"/>
        </w:numPr>
        <w:spacing w:before="120" w:after="120" w:line="276" w:lineRule="auto"/>
        <w:ind w:left="425" w:firstLine="0"/>
        <w:jc w:val="both"/>
      </w:pPr>
      <w:r>
        <w:t xml:space="preserve">Se o regime tributário da empresa implicar o recolhimento de tributos em percentuais variáveis, a cotação adequada será a que corresponde à média dos efetivos recolhimentos da empresa nos últimos doze meses. </w:t>
      </w:r>
    </w:p>
    <w:p w:rsidR="008D272D" w:rsidRDefault="001E5B61">
      <w:pPr>
        <w:numPr>
          <w:ilvl w:val="1"/>
          <w:numId w:val="2"/>
        </w:numPr>
        <w:spacing w:before="120" w:after="120" w:line="276" w:lineRule="auto"/>
        <w:ind w:left="425" w:firstLine="0"/>
        <w:jc w:val="both"/>
      </w:pPr>
      <w:r>
        <w:t>Independentemente do percentual de tributo inserido na planilha, no pagamento serão retidos na fonte os percentuais estabelecidos na legislação vigente.</w:t>
      </w:r>
    </w:p>
    <w:p w:rsidR="008D272D" w:rsidRDefault="001E5B61">
      <w:pPr>
        <w:numPr>
          <w:ilvl w:val="1"/>
          <w:numId w:val="2"/>
        </w:numPr>
        <w:spacing w:before="120" w:after="120" w:line="276" w:lineRule="auto"/>
        <w:ind w:left="425" w:firstLine="0"/>
        <w:jc w:val="both"/>
      </w:pPr>
      <w: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8D272D" w:rsidRDefault="001E5B61">
      <w:pPr>
        <w:numPr>
          <w:ilvl w:val="1"/>
          <w:numId w:val="2"/>
        </w:numPr>
        <w:spacing w:before="120" w:after="120" w:line="276" w:lineRule="auto"/>
        <w:ind w:left="425" w:firstLine="0"/>
        <w:jc w:val="both"/>
        <w:rPr>
          <w:color w:val="000000"/>
        </w:rPr>
      </w:pPr>
      <w:r>
        <w:t xml:space="preserve">Uma vez enviada a proposta no sistema, os fornecedores </w:t>
      </w:r>
      <w:r>
        <w:rPr>
          <w:b/>
        </w:rPr>
        <w:t>NÃO</w:t>
      </w:r>
      <w:r>
        <w:t xml:space="preserve"> poderão retirá-la, substituí-la ou modificá-la</w:t>
      </w:r>
      <w:r>
        <w:rPr>
          <w:color w:val="000000"/>
        </w:rPr>
        <w:t>;</w:t>
      </w:r>
    </w:p>
    <w:p w:rsidR="008D272D" w:rsidRDefault="001E5B61">
      <w:pPr>
        <w:numPr>
          <w:ilvl w:val="1"/>
          <w:numId w:val="2"/>
        </w:numPr>
        <w:spacing w:before="120" w:after="120" w:line="276" w:lineRule="auto"/>
        <w:ind w:left="425" w:firstLine="0"/>
        <w:jc w:val="both"/>
        <w:rPr>
          <w:color w:val="000000"/>
        </w:rPr>
      </w:pPr>
      <w:r>
        <w:rPr>
          <w:color w:val="000000"/>
        </w:rPr>
        <w:t xml:space="preserve">No cadastramento da proposta inicial, o fornecedor deverá, também, assinalar “sim” ou “não” em campo </w:t>
      </w:r>
      <w:r>
        <w:t>próprio</w:t>
      </w:r>
      <w:r>
        <w:rPr>
          <w:color w:val="000000"/>
        </w:rPr>
        <w:t xml:space="preserve"> do sistema eletrônico, às seguintes declarações: </w:t>
      </w:r>
    </w:p>
    <w:p w:rsidR="008D272D" w:rsidRDefault="001E5B61">
      <w:pPr>
        <w:numPr>
          <w:ilvl w:val="2"/>
          <w:numId w:val="2"/>
        </w:numPr>
        <w:spacing w:before="120" w:after="120" w:line="276" w:lineRule="auto"/>
        <w:jc w:val="both"/>
        <w:rPr>
          <w:color w:val="000000"/>
        </w:rPr>
      </w:pPr>
      <w:r>
        <w:rPr>
          <w:color w:val="000000"/>
        </w:rPr>
        <w:t>que inexistem fatos impeditivos para sua habilitação no certame, ciente da obrigatoriedade de declarar ocorrências posteriores;</w:t>
      </w:r>
    </w:p>
    <w:p w:rsidR="008D272D" w:rsidRDefault="001E5B61">
      <w:pPr>
        <w:numPr>
          <w:ilvl w:val="2"/>
          <w:numId w:val="2"/>
        </w:numPr>
        <w:spacing w:before="120" w:after="120" w:line="276" w:lineRule="auto"/>
        <w:jc w:val="both"/>
        <w:rPr>
          <w:color w:val="000000"/>
        </w:rPr>
      </w:pPr>
      <w:r>
        <w:rPr>
          <w:color w:val="000000"/>
        </w:rPr>
        <w:lastRenderedPageBreak/>
        <w:t>que cumpre os requisitos estabelecidos no artigo 3° da Lei Complementar nº 123, de 2006, estando apto a usufruir do tratamento favorecido estabelecido em seus arts. 42 a 49.</w:t>
      </w:r>
    </w:p>
    <w:p w:rsidR="008D272D" w:rsidRDefault="001E5B61">
      <w:pPr>
        <w:numPr>
          <w:ilvl w:val="2"/>
          <w:numId w:val="2"/>
        </w:numPr>
        <w:spacing w:before="120" w:after="120" w:line="276" w:lineRule="auto"/>
        <w:jc w:val="both"/>
        <w:rPr>
          <w:color w:val="000000"/>
        </w:rPr>
      </w:pPr>
      <w:r>
        <w:rPr>
          <w:color w:val="000000"/>
        </w:rPr>
        <w:t>que está ciente e concorda com as condições contidas no Aviso de Contratação Direta e seus anexos;</w:t>
      </w:r>
    </w:p>
    <w:p w:rsidR="008D272D" w:rsidRDefault="001E5B61">
      <w:pPr>
        <w:numPr>
          <w:ilvl w:val="2"/>
          <w:numId w:val="2"/>
        </w:numPr>
        <w:spacing w:before="120" w:after="120" w:line="276" w:lineRule="auto"/>
        <w:jc w:val="both"/>
        <w:rPr>
          <w:color w:val="000000"/>
        </w:rPr>
      </w:pPr>
      <w:r>
        <w:rPr>
          <w:color w:val="000000"/>
        </w:rPr>
        <w:t>que assume a responsabilidade pelas transações que forem efetuadas no sistema, assumindo como firmes e verdadeiras;</w:t>
      </w:r>
    </w:p>
    <w:p w:rsidR="008D272D" w:rsidRDefault="001E5B61">
      <w:pPr>
        <w:numPr>
          <w:ilvl w:val="2"/>
          <w:numId w:val="2"/>
        </w:numPr>
        <w:spacing w:before="120" w:after="120" w:line="276" w:lineRule="auto"/>
        <w:jc w:val="both"/>
        <w:rPr>
          <w:color w:val="000000"/>
        </w:rPr>
      </w:pPr>
      <w:r>
        <w:rPr>
          <w:color w:val="000000"/>
        </w:rPr>
        <w:t>que cumpre as exigências de reserva de cargos para pessoa com deficiência e para reabilitado da Previdência Social, de que trata o art. 93 da Lei nº 8.213/91.</w:t>
      </w:r>
    </w:p>
    <w:p w:rsidR="008D272D" w:rsidRDefault="001E5B61">
      <w:pPr>
        <w:numPr>
          <w:ilvl w:val="2"/>
          <w:numId w:val="2"/>
        </w:numPr>
        <w:spacing w:before="120" w:after="120" w:line="276" w:lineRule="auto"/>
        <w:jc w:val="both"/>
        <w:rPr>
          <w:color w:val="000000"/>
        </w:rPr>
      </w:pPr>
      <w:r>
        <w:rPr>
          <w:color w:val="000000"/>
        </w:rPr>
        <w:t>que não emprega menor de 18 anos em trabalho noturno, perigoso ou insalubre e não emprega menor de 16 anos, salvo menor, a partir de 14 anos, na condição de aprendiz, nos termos do artigo 7°, XXXIII, da Constituição;</w:t>
      </w:r>
    </w:p>
    <w:p w:rsidR="008D272D" w:rsidRDefault="001E5B61">
      <w:pPr>
        <w:numPr>
          <w:ilvl w:val="1"/>
          <w:numId w:val="2"/>
        </w:numPr>
        <w:spacing w:before="120" w:after="120" w:line="276" w:lineRule="auto"/>
        <w:jc w:val="both"/>
      </w:pPr>
      <w:r>
        <w:t>Fica facultado ao fornecedor, ao cadastrar sua proposta inicial, a parametrização de valor final mínimo, com o registro do seu lance final aceitável menor preço.</w:t>
      </w:r>
    </w:p>
    <w:p w:rsidR="008D272D" w:rsidRDefault="001E5B61">
      <w:pPr>
        <w:numPr>
          <w:ilvl w:val="2"/>
          <w:numId w:val="2"/>
        </w:numPr>
        <w:spacing w:before="120" w:after="120" w:line="276" w:lineRule="auto"/>
        <w:jc w:val="both"/>
      </w:pPr>
      <w:r>
        <w:t xml:space="preserve">Feita essa opção os lances serão enviados automaticamente pelo sistema, respeitados os limites cadastrados pelo fornecedor e o intervalo mínimo entre lances previsto neste aviso. </w:t>
      </w:r>
    </w:p>
    <w:p w:rsidR="008D272D" w:rsidRDefault="001E5B61">
      <w:pPr>
        <w:numPr>
          <w:ilvl w:val="3"/>
          <w:numId w:val="2"/>
        </w:numPr>
        <w:spacing w:before="120" w:after="120" w:line="276" w:lineRule="auto"/>
        <w:ind w:hanging="648"/>
        <w:jc w:val="both"/>
      </w:pPr>
      <w:r>
        <w:t>Sem prejuízo do disposto acima, os lances poderão ser enviados manualmente, na forma da seção respectiva deste Aviso de Contratação Direta;</w:t>
      </w:r>
    </w:p>
    <w:p w:rsidR="008D272D" w:rsidRDefault="001E5B61">
      <w:pPr>
        <w:numPr>
          <w:ilvl w:val="2"/>
          <w:numId w:val="2"/>
        </w:numPr>
        <w:spacing w:before="120" w:after="120" w:line="276" w:lineRule="auto"/>
        <w:jc w:val="both"/>
      </w:pPr>
      <w:r>
        <w:t>O valor final mínimo poderá ser alterado pelo fornecedor durante a fase de disputa, desde que não assuma valor superior a lance já registrado por ele no sistema.</w:t>
      </w:r>
    </w:p>
    <w:p w:rsidR="008D272D" w:rsidRDefault="001E5B61">
      <w:pPr>
        <w:numPr>
          <w:ilvl w:val="2"/>
          <w:numId w:val="2"/>
        </w:numPr>
        <w:spacing w:before="120" w:after="120" w:line="276" w:lineRule="auto"/>
        <w:jc w:val="both"/>
      </w:pPr>
      <w:r>
        <w:t>O valor mínimo parametrizado possui caráter sigiloso aos demais participantes do certame e para o órgão ou entidade contratante. Apenas os lances efetivamente enviados poderão ser conhecidos dos fornecedores na forma da seção seguinte deste Aviso.</w:t>
      </w:r>
    </w:p>
    <w:p w:rsidR="008D272D" w:rsidRDefault="001E5B61">
      <w:pPr>
        <w:numPr>
          <w:ilvl w:val="0"/>
          <w:numId w:val="2"/>
        </w:numPr>
        <w:pBdr>
          <w:top w:val="nil"/>
          <w:left w:val="nil"/>
          <w:bottom w:val="nil"/>
          <w:right w:val="nil"/>
          <w:between w:val="nil"/>
        </w:pBdr>
        <w:spacing w:before="120" w:after="120" w:line="276" w:lineRule="auto"/>
        <w:jc w:val="both"/>
        <w:rPr>
          <w:rFonts w:eastAsia="Arial" w:cs="Arial"/>
          <w:b/>
          <w:color w:val="000000"/>
          <w:szCs w:val="20"/>
        </w:rPr>
      </w:pPr>
      <w:r>
        <w:rPr>
          <w:rFonts w:eastAsia="Arial" w:cs="Arial"/>
          <w:b/>
          <w:color w:val="000000"/>
          <w:szCs w:val="20"/>
        </w:rPr>
        <w:t>FASE DE LANCES</w:t>
      </w:r>
    </w:p>
    <w:p w:rsidR="008D272D" w:rsidRDefault="001E5B61">
      <w:pPr>
        <w:numPr>
          <w:ilvl w:val="1"/>
          <w:numId w:val="2"/>
        </w:numPr>
        <w:pBdr>
          <w:top w:val="nil"/>
          <w:left w:val="nil"/>
          <w:bottom w:val="nil"/>
          <w:right w:val="nil"/>
          <w:between w:val="nil"/>
        </w:pBdr>
        <w:spacing w:before="120" w:line="276" w:lineRule="auto"/>
        <w:jc w:val="both"/>
        <w:rPr>
          <w:rFonts w:eastAsia="Arial" w:cs="Arial"/>
          <w:color w:val="000000"/>
          <w:szCs w:val="20"/>
        </w:rPr>
      </w:pPr>
      <w:r>
        <w:rPr>
          <w:rFonts w:eastAsia="Arial" w:cs="Arial"/>
          <w:color w:val="000000"/>
          <w:szCs w:val="20"/>
        </w:rPr>
        <w:t>A partir das 8h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rsidR="008D272D" w:rsidRDefault="001E5B61">
      <w:pPr>
        <w:numPr>
          <w:ilvl w:val="1"/>
          <w:numId w:val="2"/>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 xml:space="preserve">Iniciada a etapa competitiva, os fornecedores deverão encaminhar lances exclusivamente por meio de sistema eletrônico, sendo imediatamente informados do seu recebimento e do valor consignado no registro. </w:t>
      </w:r>
    </w:p>
    <w:p w:rsidR="008D272D" w:rsidRDefault="001E5B61">
      <w:pPr>
        <w:numPr>
          <w:ilvl w:val="2"/>
          <w:numId w:val="2"/>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O lance deverá ser ofertado pelo valor unitário do item.</w:t>
      </w:r>
    </w:p>
    <w:p w:rsidR="008D272D" w:rsidRDefault="001E5B61">
      <w:pPr>
        <w:numPr>
          <w:ilvl w:val="1"/>
          <w:numId w:val="2"/>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O fornecedor somente poderá oferecer valor inferior ou maior percentual de desconto em relação ao último lance por ele ofertado e registrado pelo sistema.</w:t>
      </w:r>
    </w:p>
    <w:p w:rsidR="008D272D" w:rsidRDefault="001E5B61">
      <w:pPr>
        <w:numPr>
          <w:ilvl w:val="2"/>
          <w:numId w:val="2"/>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8D272D" w:rsidRDefault="001E5B61">
      <w:pPr>
        <w:numPr>
          <w:ilvl w:val="2"/>
          <w:numId w:val="2"/>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O intervalo mínimo de diferença de valores ou percentuais entre os lances, que incidirá tanto em relação aos lances intermediários quanto em relação ao que cobrir a melhor oferta é de R$ 0,01 (um centavo).</w:t>
      </w:r>
    </w:p>
    <w:p w:rsidR="008D272D" w:rsidRDefault="001E5B61">
      <w:pPr>
        <w:numPr>
          <w:ilvl w:val="1"/>
          <w:numId w:val="2"/>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Havendo lances iguais ao menor já ofertado, prevalecerá aquele que for recebido e registrado primeiro no sistema.</w:t>
      </w:r>
    </w:p>
    <w:p w:rsidR="008D272D" w:rsidRDefault="001E5B61">
      <w:pPr>
        <w:numPr>
          <w:ilvl w:val="1"/>
          <w:numId w:val="2"/>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lastRenderedPageBreak/>
        <w:t>Caso o fornecedor não apresente lances, concorrerá com o valor de sua proposta.</w:t>
      </w:r>
    </w:p>
    <w:p w:rsidR="008D272D" w:rsidRDefault="001E5B61">
      <w:pPr>
        <w:numPr>
          <w:ilvl w:val="1"/>
          <w:numId w:val="2"/>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Durante o procedimento, os fornecedores serão informados, em tempo real, do valor do menor lance registrado, vedada a identificação do fornecedor.</w:t>
      </w:r>
    </w:p>
    <w:p w:rsidR="008D272D" w:rsidRDefault="001E5B61">
      <w:pPr>
        <w:numPr>
          <w:ilvl w:val="1"/>
          <w:numId w:val="2"/>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Imediatamente após o término do prazo estabelecido para a fase de lances, haverá o seu encerramento, com o ordenamento e divulgação dos lances, pelo sistema, em ordem crescente de classificação.</w:t>
      </w:r>
    </w:p>
    <w:p w:rsidR="008D272D" w:rsidRDefault="001E5B61">
      <w:pPr>
        <w:numPr>
          <w:ilvl w:val="2"/>
          <w:numId w:val="2"/>
        </w:numPr>
        <w:pBdr>
          <w:top w:val="nil"/>
          <w:left w:val="nil"/>
          <w:bottom w:val="nil"/>
          <w:right w:val="nil"/>
          <w:between w:val="nil"/>
        </w:pBdr>
        <w:spacing w:after="120" w:line="276" w:lineRule="auto"/>
        <w:jc w:val="both"/>
        <w:rPr>
          <w:rFonts w:eastAsia="Arial" w:cs="Arial"/>
          <w:color w:val="000000"/>
          <w:szCs w:val="20"/>
        </w:rPr>
      </w:pPr>
      <w:r>
        <w:rPr>
          <w:rFonts w:eastAsia="Arial" w:cs="Arial"/>
          <w:color w:val="000000"/>
          <w:szCs w:val="20"/>
        </w:rPr>
        <w:t>O encerramento da fase de lances ocorrerá de forma automática pontualmente no horário indicado, sem qualquer possibilidade de prorrogação e não havendo tempo aleatório ou mecanismo similar.</w:t>
      </w:r>
    </w:p>
    <w:p w:rsidR="008D272D" w:rsidRDefault="001E5B61">
      <w:pPr>
        <w:numPr>
          <w:ilvl w:val="0"/>
          <w:numId w:val="2"/>
        </w:numPr>
        <w:pBdr>
          <w:top w:val="nil"/>
          <w:left w:val="nil"/>
          <w:bottom w:val="nil"/>
          <w:right w:val="nil"/>
          <w:between w:val="nil"/>
        </w:pBdr>
        <w:spacing w:before="120" w:after="120" w:line="276" w:lineRule="auto"/>
        <w:jc w:val="both"/>
        <w:rPr>
          <w:rFonts w:eastAsia="Arial" w:cs="Arial"/>
          <w:b/>
          <w:color w:val="000000"/>
          <w:szCs w:val="20"/>
        </w:rPr>
      </w:pPr>
      <w:r>
        <w:rPr>
          <w:rFonts w:eastAsia="Arial" w:cs="Arial"/>
          <w:b/>
          <w:color w:val="000000"/>
          <w:szCs w:val="20"/>
        </w:rPr>
        <w:t>JULGAMENTO DAS PROPOSTAS DE PREÇO</w:t>
      </w:r>
    </w:p>
    <w:p w:rsidR="008D272D" w:rsidRDefault="001E5B61">
      <w:pPr>
        <w:numPr>
          <w:ilvl w:val="1"/>
          <w:numId w:val="2"/>
        </w:numPr>
        <w:pBdr>
          <w:top w:val="nil"/>
          <w:left w:val="nil"/>
          <w:bottom w:val="nil"/>
          <w:right w:val="nil"/>
          <w:between w:val="nil"/>
        </w:pBdr>
        <w:spacing w:before="120" w:line="276" w:lineRule="auto"/>
        <w:jc w:val="both"/>
        <w:rPr>
          <w:rFonts w:eastAsia="Arial" w:cs="Arial"/>
          <w:color w:val="000000"/>
          <w:szCs w:val="20"/>
        </w:rPr>
      </w:pPr>
      <w:r>
        <w:rPr>
          <w:rFonts w:eastAsia="Arial" w:cs="Arial"/>
          <w:color w:val="000000"/>
          <w:szCs w:val="20"/>
        </w:rPr>
        <w:t>Encerrada a fase de lances, será verificada a conformidade da proposta classificada em primeiro lugar quanto à adequação do objeto e à compatibilidade do preço em relação ao estipulado para a contratação.</w:t>
      </w:r>
    </w:p>
    <w:p w:rsidR="008D272D" w:rsidRDefault="001E5B61">
      <w:pPr>
        <w:numPr>
          <w:ilvl w:val="1"/>
          <w:numId w:val="2"/>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No caso de o preço da proposta vencedora estar acima do estimado pela Administração, poderá haver a negociação de condições mais vantajosas.</w:t>
      </w:r>
    </w:p>
    <w:p w:rsidR="008D272D" w:rsidRDefault="001E5B61">
      <w:pPr>
        <w:numPr>
          <w:ilvl w:val="2"/>
          <w:numId w:val="2"/>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Neste caso, será encaminhada contraproposta ao fornecedor que tenha apresentado o melhor preço, para que seja obtida melhor proposta com preço compatível ao estimado pela Administração.</w:t>
      </w:r>
    </w:p>
    <w:p w:rsidR="008D272D" w:rsidRDefault="001E5B61">
      <w:pPr>
        <w:numPr>
          <w:ilvl w:val="2"/>
          <w:numId w:val="2"/>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8D272D" w:rsidRDefault="001E5B61">
      <w:pPr>
        <w:numPr>
          <w:ilvl w:val="2"/>
          <w:numId w:val="2"/>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Em qualquer caso, concluída a negociação, o resultado será registrado na ata do procedimento da dispensa eletrônica.</w:t>
      </w:r>
    </w:p>
    <w:p w:rsidR="008D272D" w:rsidRDefault="001E5B61">
      <w:pPr>
        <w:numPr>
          <w:ilvl w:val="1"/>
          <w:numId w:val="2"/>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Estando o preço compatível, será solicitado o envio da proposta e, se necessário, de documentos complementares, adequada ao último lance.</w:t>
      </w:r>
    </w:p>
    <w:p w:rsidR="008D272D" w:rsidRDefault="001E5B61">
      <w:pPr>
        <w:numPr>
          <w:ilvl w:val="1"/>
          <w:numId w:val="2"/>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O prazo de validade da proposta não será inferior a 60 (sessenta) dias</w:t>
      </w:r>
      <w:r>
        <w:rPr>
          <w:rFonts w:eastAsia="Arial" w:cs="Arial"/>
          <w:b/>
          <w:color w:val="000000"/>
          <w:szCs w:val="20"/>
        </w:rPr>
        <w:t>,</w:t>
      </w:r>
      <w:r>
        <w:rPr>
          <w:rFonts w:eastAsia="Arial" w:cs="Arial"/>
          <w:color w:val="000000"/>
          <w:szCs w:val="20"/>
        </w:rPr>
        <w:t xml:space="preserve"> a contar da data de sua apresentação.</w:t>
      </w:r>
    </w:p>
    <w:p w:rsidR="008D272D" w:rsidRDefault="001E5B61">
      <w:pPr>
        <w:numPr>
          <w:ilvl w:val="1"/>
          <w:numId w:val="2"/>
        </w:numPr>
        <w:pBdr>
          <w:top w:val="nil"/>
          <w:left w:val="nil"/>
          <w:bottom w:val="nil"/>
          <w:right w:val="nil"/>
          <w:between w:val="nil"/>
        </w:pBdr>
        <w:spacing w:line="276" w:lineRule="auto"/>
        <w:jc w:val="both"/>
        <w:rPr>
          <w:rFonts w:eastAsia="Arial" w:cs="Arial"/>
          <w:i/>
          <w:color w:val="000000"/>
          <w:szCs w:val="20"/>
        </w:rPr>
      </w:pPr>
      <w:r>
        <w:rPr>
          <w:rFonts w:eastAsia="Arial" w:cs="Arial"/>
          <w:color w:val="000000"/>
          <w:szCs w:val="20"/>
        </w:rPr>
        <w:t xml:space="preserve">Será desclassificada a proposta vencedora que: </w:t>
      </w:r>
    </w:p>
    <w:p w:rsidR="008D272D" w:rsidRDefault="001E5B61">
      <w:pPr>
        <w:numPr>
          <w:ilvl w:val="2"/>
          <w:numId w:val="2"/>
        </w:numPr>
        <w:pBdr>
          <w:top w:val="nil"/>
          <w:left w:val="nil"/>
          <w:bottom w:val="nil"/>
          <w:right w:val="nil"/>
          <w:between w:val="nil"/>
        </w:pBdr>
        <w:spacing w:line="276" w:lineRule="auto"/>
        <w:jc w:val="both"/>
        <w:rPr>
          <w:rFonts w:eastAsia="Arial" w:cs="Arial"/>
          <w:i/>
          <w:color w:val="000000"/>
          <w:szCs w:val="20"/>
        </w:rPr>
      </w:pPr>
      <w:r>
        <w:rPr>
          <w:rFonts w:eastAsia="Arial" w:cs="Arial"/>
          <w:color w:val="000000"/>
          <w:szCs w:val="20"/>
        </w:rPr>
        <w:t>contiver vícios insanáveis;</w:t>
      </w:r>
    </w:p>
    <w:p w:rsidR="008D272D" w:rsidRDefault="001E5B61">
      <w:pPr>
        <w:numPr>
          <w:ilvl w:val="2"/>
          <w:numId w:val="2"/>
        </w:numPr>
        <w:pBdr>
          <w:top w:val="nil"/>
          <w:left w:val="nil"/>
          <w:bottom w:val="nil"/>
          <w:right w:val="nil"/>
          <w:between w:val="nil"/>
        </w:pBdr>
        <w:spacing w:line="276" w:lineRule="auto"/>
        <w:jc w:val="both"/>
        <w:rPr>
          <w:rFonts w:eastAsia="Arial" w:cs="Arial"/>
          <w:i/>
          <w:color w:val="000000"/>
          <w:szCs w:val="20"/>
        </w:rPr>
      </w:pPr>
      <w:r>
        <w:rPr>
          <w:rFonts w:eastAsia="Arial" w:cs="Arial"/>
          <w:color w:val="000000"/>
          <w:szCs w:val="20"/>
        </w:rPr>
        <w:t>não obedecer às especificações técnicas pormenorizadas neste aviso ou em seus anexos;</w:t>
      </w:r>
    </w:p>
    <w:p w:rsidR="008D272D" w:rsidRDefault="001E5B61">
      <w:pPr>
        <w:numPr>
          <w:ilvl w:val="2"/>
          <w:numId w:val="2"/>
        </w:numPr>
        <w:pBdr>
          <w:top w:val="nil"/>
          <w:left w:val="nil"/>
          <w:bottom w:val="nil"/>
          <w:right w:val="nil"/>
          <w:between w:val="nil"/>
        </w:pBdr>
        <w:spacing w:line="276" w:lineRule="auto"/>
        <w:jc w:val="both"/>
        <w:rPr>
          <w:rFonts w:eastAsia="Arial" w:cs="Arial"/>
          <w:i/>
          <w:color w:val="000000"/>
          <w:szCs w:val="20"/>
        </w:rPr>
      </w:pPr>
      <w:r>
        <w:rPr>
          <w:rFonts w:eastAsia="Arial" w:cs="Arial"/>
          <w:color w:val="000000"/>
          <w:szCs w:val="20"/>
        </w:rPr>
        <w:t>apresentar preços inexequíveis ou permanecerem acima do preço máximo definido para a contratação;</w:t>
      </w:r>
    </w:p>
    <w:p w:rsidR="008D272D" w:rsidRDefault="001E5B61">
      <w:pPr>
        <w:numPr>
          <w:ilvl w:val="2"/>
          <w:numId w:val="2"/>
        </w:numPr>
        <w:pBdr>
          <w:top w:val="nil"/>
          <w:left w:val="nil"/>
          <w:bottom w:val="nil"/>
          <w:right w:val="nil"/>
          <w:between w:val="nil"/>
        </w:pBdr>
        <w:spacing w:line="276" w:lineRule="auto"/>
        <w:jc w:val="both"/>
        <w:rPr>
          <w:rFonts w:eastAsia="Arial" w:cs="Arial"/>
          <w:i/>
          <w:color w:val="000000"/>
          <w:szCs w:val="20"/>
        </w:rPr>
      </w:pPr>
      <w:r>
        <w:rPr>
          <w:rFonts w:eastAsia="Arial" w:cs="Arial"/>
          <w:color w:val="000000"/>
          <w:szCs w:val="20"/>
        </w:rPr>
        <w:t>não tiverem sua exequibilidade demonstrada, quando exigido pela Administração;</w:t>
      </w:r>
    </w:p>
    <w:p w:rsidR="008D272D" w:rsidRDefault="001E5B61">
      <w:pPr>
        <w:numPr>
          <w:ilvl w:val="2"/>
          <w:numId w:val="2"/>
        </w:numPr>
        <w:pBdr>
          <w:top w:val="nil"/>
          <w:left w:val="nil"/>
          <w:bottom w:val="nil"/>
          <w:right w:val="nil"/>
          <w:between w:val="nil"/>
        </w:pBdr>
        <w:spacing w:line="276" w:lineRule="auto"/>
        <w:jc w:val="both"/>
        <w:rPr>
          <w:rFonts w:eastAsia="Arial" w:cs="Arial"/>
          <w:i/>
          <w:color w:val="000000"/>
          <w:szCs w:val="20"/>
        </w:rPr>
      </w:pPr>
      <w:r>
        <w:rPr>
          <w:rFonts w:eastAsia="Arial" w:cs="Arial"/>
          <w:color w:val="000000"/>
          <w:szCs w:val="20"/>
        </w:rPr>
        <w:t>apresentar desconformidade com quaisquer outras exigências deste aviso ou seus anexos, desde que insanável.</w:t>
      </w:r>
    </w:p>
    <w:p w:rsidR="008D272D" w:rsidRDefault="001E5B61">
      <w:pPr>
        <w:numPr>
          <w:ilvl w:val="1"/>
          <w:numId w:val="2"/>
        </w:numPr>
        <w:pBdr>
          <w:top w:val="nil"/>
          <w:left w:val="nil"/>
          <w:bottom w:val="nil"/>
          <w:right w:val="nil"/>
          <w:between w:val="nil"/>
        </w:pBdr>
        <w:spacing w:line="276" w:lineRule="auto"/>
        <w:jc w:val="both"/>
        <w:rPr>
          <w:rFonts w:eastAsia="Arial" w:cs="Arial"/>
          <w:i/>
          <w:color w:val="000000"/>
          <w:szCs w:val="20"/>
        </w:rPr>
      </w:pPr>
      <w:r>
        <w:rPr>
          <w:rFonts w:eastAsia="Arial" w:cs="Arial"/>
          <w:color w:val="000000"/>
          <w:szCs w:val="20"/>
        </w:rPr>
        <w:t>Quando o fornecedor não conseguir comprovar que possui ou possuirá recursos suficientes para executar a contento o objeto, será considerada inexequível a proposta de preços ou menor lance que:</w:t>
      </w:r>
    </w:p>
    <w:p w:rsidR="008D272D" w:rsidRDefault="001E5B61">
      <w:pPr>
        <w:numPr>
          <w:ilvl w:val="2"/>
          <w:numId w:val="2"/>
        </w:numPr>
        <w:pBdr>
          <w:top w:val="nil"/>
          <w:left w:val="nil"/>
          <w:bottom w:val="nil"/>
          <w:right w:val="nil"/>
          <w:between w:val="nil"/>
        </w:pBdr>
        <w:spacing w:line="276" w:lineRule="auto"/>
        <w:jc w:val="both"/>
        <w:rPr>
          <w:rFonts w:eastAsia="Arial" w:cs="Arial"/>
          <w:i/>
          <w:color w:val="000000"/>
          <w:szCs w:val="20"/>
        </w:rPr>
      </w:pPr>
      <w:r>
        <w:rPr>
          <w:rFonts w:eastAsia="Arial" w:cs="Arial"/>
          <w:color w:val="000000"/>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8D272D" w:rsidRDefault="001E5B61">
      <w:pPr>
        <w:numPr>
          <w:ilvl w:val="2"/>
          <w:numId w:val="2"/>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apresentar um ou mais valores da planilha de custo que sejam inferiores àqueles fixados em instrumentos de caráter normativo obrigatório, tais como leis, medidas provisórias e convenções coletivas de trabalho vigentes.</w:t>
      </w:r>
    </w:p>
    <w:p w:rsidR="008D272D" w:rsidRDefault="001E5B61">
      <w:pPr>
        <w:numPr>
          <w:ilvl w:val="1"/>
          <w:numId w:val="2"/>
        </w:numPr>
        <w:pBdr>
          <w:top w:val="nil"/>
          <w:left w:val="nil"/>
          <w:bottom w:val="nil"/>
          <w:right w:val="nil"/>
          <w:between w:val="nil"/>
        </w:pBdr>
        <w:spacing w:line="276" w:lineRule="auto"/>
        <w:ind w:right="-15"/>
        <w:jc w:val="both"/>
        <w:rPr>
          <w:rFonts w:eastAsia="Arial" w:cs="Arial"/>
          <w:color w:val="000000"/>
          <w:szCs w:val="20"/>
        </w:rPr>
      </w:pPr>
      <w:r>
        <w:rPr>
          <w:rFonts w:eastAsia="Arial" w:cs="Arial"/>
          <w:color w:val="000000"/>
          <w:szCs w:val="20"/>
        </w:rPr>
        <w:lastRenderedPageBreak/>
        <w:t xml:space="preserve">Se houver indícios de inexequibilidade da proposta de preço, ou em caso da necessidade de esclarecimentos complementares, poderão ser efetuadas diligências, para que a empresa comprove a exequibilidade da proposta.  </w:t>
      </w:r>
    </w:p>
    <w:p w:rsidR="008D272D" w:rsidRDefault="001E5B61">
      <w:pPr>
        <w:numPr>
          <w:ilvl w:val="1"/>
          <w:numId w:val="2"/>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Erros no preenchimento da planilha não constituem motivo para a desclassificação da proposta. A planilha poderá ser ajustada pelo fornecedor, no prazo indicado pelo sistema, desde que não haja majoração do preço.</w:t>
      </w:r>
    </w:p>
    <w:p w:rsidR="008D272D" w:rsidRDefault="001E5B61">
      <w:pPr>
        <w:numPr>
          <w:ilvl w:val="2"/>
          <w:numId w:val="2"/>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O ajuste de que trata este dispositivo se limita a sanar erros ou falhas que não alterem a substância das propostas;</w:t>
      </w:r>
    </w:p>
    <w:p w:rsidR="008D272D" w:rsidRDefault="001E5B61">
      <w:pPr>
        <w:numPr>
          <w:ilvl w:val="2"/>
          <w:numId w:val="2"/>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Considera-se erro no preenchimento da planilha passível de correção a indicação de recolhimento de impostos e contribuições na forma do Simples Nacional, quando não cabível esse regime.</w:t>
      </w:r>
    </w:p>
    <w:p w:rsidR="008D272D" w:rsidRDefault="001E5B61">
      <w:pPr>
        <w:numPr>
          <w:ilvl w:val="1"/>
          <w:numId w:val="2"/>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Para fins de análise da proposta quanto ao cumprimento das especificações do objeto, poderá ser colhida a manifestação escrita do setor requisitante do serviço ou da área especializada no objeto.</w:t>
      </w:r>
    </w:p>
    <w:p w:rsidR="008D272D" w:rsidRDefault="001E5B61">
      <w:pPr>
        <w:numPr>
          <w:ilvl w:val="1"/>
          <w:numId w:val="2"/>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Se a proposta ou lance vencedor for desclassificado, será examinada a proposta ou lance subsequente, e, assim sucessivamente, na ordem de classificação.</w:t>
      </w:r>
    </w:p>
    <w:p w:rsidR="008D272D" w:rsidRDefault="001E5B61">
      <w:pPr>
        <w:numPr>
          <w:ilvl w:val="1"/>
          <w:numId w:val="2"/>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Havendo necessidade, a sessão será suspensa, informando-se no “chat” a nova data e horário para a sua continuidade.</w:t>
      </w:r>
    </w:p>
    <w:p w:rsidR="008D272D" w:rsidRDefault="001E5B61">
      <w:pPr>
        <w:numPr>
          <w:ilvl w:val="1"/>
          <w:numId w:val="2"/>
        </w:numPr>
        <w:pBdr>
          <w:top w:val="nil"/>
          <w:left w:val="nil"/>
          <w:bottom w:val="nil"/>
          <w:right w:val="nil"/>
          <w:between w:val="nil"/>
        </w:pBdr>
        <w:spacing w:after="120" w:line="276" w:lineRule="auto"/>
        <w:jc w:val="both"/>
        <w:rPr>
          <w:rFonts w:eastAsia="Arial" w:cs="Arial"/>
          <w:color w:val="000000"/>
          <w:szCs w:val="20"/>
        </w:rPr>
      </w:pPr>
      <w:r>
        <w:rPr>
          <w:rFonts w:eastAsia="Arial" w:cs="Arial"/>
          <w:color w:val="000000"/>
          <w:szCs w:val="20"/>
        </w:rPr>
        <w:t>Encerrada a análise quanto à aceitação da proposta, se iniciará a fase de habilitação, observado o disposto neste Aviso de Contratação Direta. </w:t>
      </w:r>
    </w:p>
    <w:p w:rsidR="008D272D" w:rsidRDefault="001E5B61">
      <w:pPr>
        <w:numPr>
          <w:ilvl w:val="0"/>
          <w:numId w:val="2"/>
        </w:numPr>
        <w:pBdr>
          <w:top w:val="nil"/>
          <w:left w:val="nil"/>
          <w:bottom w:val="nil"/>
          <w:right w:val="nil"/>
          <w:between w:val="nil"/>
        </w:pBdr>
        <w:spacing w:before="120" w:after="120" w:line="276" w:lineRule="auto"/>
        <w:jc w:val="both"/>
        <w:rPr>
          <w:rFonts w:eastAsia="Arial" w:cs="Arial"/>
          <w:b/>
          <w:color w:val="000000"/>
          <w:szCs w:val="20"/>
        </w:rPr>
      </w:pPr>
      <w:r>
        <w:rPr>
          <w:rFonts w:eastAsia="Arial" w:cs="Arial"/>
          <w:b/>
          <w:color w:val="000000"/>
          <w:szCs w:val="20"/>
        </w:rPr>
        <w:t>HABILITAÇÃO</w:t>
      </w:r>
    </w:p>
    <w:p w:rsidR="008D272D" w:rsidRDefault="001E5B61">
      <w:pPr>
        <w:numPr>
          <w:ilvl w:val="1"/>
          <w:numId w:val="2"/>
        </w:numPr>
        <w:pBdr>
          <w:top w:val="nil"/>
          <w:left w:val="nil"/>
          <w:bottom w:val="nil"/>
          <w:right w:val="nil"/>
          <w:between w:val="nil"/>
        </w:pBdr>
        <w:spacing w:before="120" w:line="276" w:lineRule="auto"/>
        <w:ind w:hanging="574"/>
        <w:jc w:val="both"/>
        <w:rPr>
          <w:rFonts w:eastAsia="Arial" w:cs="Arial"/>
          <w:b/>
          <w:color w:val="000000"/>
          <w:szCs w:val="20"/>
        </w:rPr>
      </w:pPr>
      <w:r>
        <w:rPr>
          <w:rFonts w:eastAsia="Arial" w:cs="Arial"/>
          <w:color w:val="000000"/>
          <w:szCs w:val="20"/>
        </w:rPr>
        <w:t xml:space="preserve">Os documentos a serem exigidos para fins de habilitação constam do </w:t>
      </w:r>
      <w:r>
        <w:rPr>
          <w:rFonts w:eastAsia="Arial" w:cs="Arial"/>
          <w:b/>
          <w:color w:val="000000"/>
          <w:szCs w:val="20"/>
        </w:rPr>
        <w:t xml:space="preserve">ANEXO I – DOCUMENTAÇÃO EXIGIDA PARA HABILITAÇÃO </w:t>
      </w:r>
      <w:r>
        <w:rPr>
          <w:rFonts w:eastAsia="Arial" w:cs="Arial"/>
          <w:color w:val="000000"/>
          <w:szCs w:val="20"/>
        </w:rPr>
        <w:t>deste aviso e serão solicitados do fornecedor mais bem classificado da fase de lances.</w:t>
      </w:r>
    </w:p>
    <w:p w:rsidR="008D272D" w:rsidRDefault="001E5B61">
      <w:pPr>
        <w:numPr>
          <w:ilvl w:val="1"/>
          <w:numId w:val="2"/>
        </w:numPr>
        <w:pBdr>
          <w:top w:val="nil"/>
          <w:left w:val="nil"/>
          <w:bottom w:val="nil"/>
          <w:right w:val="nil"/>
          <w:between w:val="nil"/>
        </w:pBdr>
        <w:spacing w:line="276" w:lineRule="auto"/>
        <w:ind w:hanging="574"/>
        <w:jc w:val="both"/>
        <w:rPr>
          <w:rFonts w:eastAsia="Arial" w:cs="Arial"/>
          <w:b/>
          <w:color w:val="000000"/>
          <w:szCs w:val="20"/>
        </w:rPr>
      </w:pPr>
      <w:r>
        <w:rPr>
          <w:rFonts w:eastAsia="Arial" w:cs="Arial"/>
          <w:color w:val="000000"/>
          <w:szCs w:val="20"/>
        </w:rPr>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rsidR="008D272D" w:rsidRDefault="001E5B61">
      <w:pPr>
        <w:pBdr>
          <w:top w:val="nil"/>
          <w:left w:val="nil"/>
          <w:bottom w:val="nil"/>
          <w:right w:val="nil"/>
          <w:between w:val="nil"/>
        </w:pBdr>
        <w:spacing w:line="276" w:lineRule="auto"/>
        <w:ind w:left="1134"/>
        <w:jc w:val="both"/>
        <w:rPr>
          <w:rFonts w:eastAsia="Arial" w:cs="Arial"/>
          <w:color w:val="000000"/>
          <w:szCs w:val="20"/>
        </w:rPr>
      </w:pPr>
      <w:r>
        <w:rPr>
          <w:rFonts w:eastAsia="Arial" w:cs="Arial"/>
          <w:color w:val="000000"/>
          <w:szCs w:val="20"/>
        </w:rPr>
        <w:t xml:space="preserve">a) SICAF;  </w:t>
      </w:r>
    </w:p>
    <w:p w:rsidR="008D272D" w:rsidRDefault="001E5B61">
      <w:pPr>
        <w:pBdr>
          <w:top w:val="nil"/>
          <w:left w:val="nil"/>
          <w:bottom w:val="nil"/>
          <w:right w:val="nil"/>
          <w:between w:val="nil"/>
        </w:pBdr>
        <w:spacing w:line="276" w:lineRule="auto"/>
        <w:ind w:left="1134"/>
        <w:jc w:val="both"/>
        <w:rPr>
          <w:rFonts w:eastAsia="Arial" w:cs="Arial"/>
          <w:color w:val="000000"/>
          <w:szCs w:val="20"/>
        </w:rPr>
      </w:pPr>
      <w:r>
        <w:rPr>
          <w:rFonts w:eastAsia="Arial" w:cs="Arial"/>
          <w:color w:val="000000"/>
          <w:szCs w:val="20"/>
        </w:rPr>
        <w:t>b) Cadastro Nacional de Empresas Inidôneas e Suspensas - CEIS, mantido pela Controladoria-Geral da União (</w:t>
      </w:r>
      <w:hyperlink r:id="rId10">
        <w:r>
          <w:rPr>
            <w:rFonts w:eastAsia="Arial" w:cs="Arial"/>
            <w:color w:val="000080"/>
            <w:szCs w:val="20"/>
            <w:u w:val="single"/>
          </w:rPr>
          <w:t>www.portaldatransparencia.gov.br/ceis</w:t>
        </w:r>
      </w:hyperlink>
      <w:r>
        <w:rPr>
          <w:rFonts w:eastAsia="Arial" w:cs="Arial"/>
          <w:color w:val="000000"/>
          <w:szCs w:val="20"/>
        </w:rPr>
        <w:t xml:space="preserve">);  </w:t>
      </w:r>
    </w:p>
    <w:p w:rsidR="008D272D" w:rsidRDefault="001E5B61">
      <w:pPr>
        <w:pBdr>
          <w:top w:val="nil"/>
          <w:left w:val="nil"/>
          <w:bottom w:val="nil"/>
          <w:right w:val="nil"/>
          <w:between w:val="nil"/>
        </w:pBdr>
        <w:spacing w:line="276" w:lineRule="auto"/>
        <w:ind w:left="1134"/>
        <w:jc w:val="both"/>
        <w:rPr>
          <w:rFonts w:eastAsia="Arial" w:cs="Arial"/>
          <w:color w:val="000000"/>
          <w:szCs w:val="20"/>
        </w:rPr>
      </w:pPr>
      <w:r>
        <w:rPr>
          <w:rFonts w:eastAsia="Arial" w:cs="Arial"/>
          <w:color w:val="000000"/>
          <w:szCs w:val="20"/>
        </w:rPr>
        <w:t>c) Cadastro Nacional de Condenações Cíveis por Atos de Improbidade Administrativa, mantido pelo Conselho Nacional de Justiça (</w:t>
      </w:r>
      <w:hyperlink r:id="rId11">
        <w:r>
          <w:rPr>
            <w:rFonts w:eastAsia="Arial" w:cs="Arial"/>
            <w:color w:val="000080"/>
            <w:szCs w:val="20"/>
            <w:u w:val="single"/>
          </w:rPr>
          <w:t>www.cnj.jus.br/improbidade_adm/consultar_requerido.php</w:t>
        </w:r>
      </w:hyperlink>
      <w:r>
        <w:rPr>
          <w:rFonts w:eastAsia="Arial" w:cs="Arial"/>
          <w:color w:val="000000"/>
          <w:szCs w:val="20"/>
        </w:rPr>
        <w:t xml:space="preserve">).  </w:t>
      </w:r>
    </w:p>
    <w:p w:rsidR="008D272D" w:rsidRDefault="001E5B61">
      <w:pPr>
        <w:pBdr>
          <w:top w:val="nil"/>
          <w:left w:val="nil"/>
          <w:bottom w:val="nil"/>
          <w:right w:val="nil"/>
          <w:between w:val="nil"/>
        </w:pBdr>
        <w:spacing w:line="276" w:lineRule="auto"/>
        <w:ind w:left="1134"/>
        <w:jc w:val="both"/>
        <w:rPr>
          <w:rFonts w:eastAsia="Arial" w:cs="Arial"/>
          <w:color w:val="000000"/>
          <w:szCs w:val="20"/>
        </w:rPr>
      </w:pPr>
      <w:r>
        <w:rPr>
          <w:rFonts w:eastAsia="Arial" w:cs="Arial"/>
          <w:color w:val="000000"/>
          <w:szCs w:val="20"/>
        </w:rPr>
        <w:t xml:space="preserve">d) Lista de Inidôneos mantida pelo Tribunal de Contas da União - TCU; </w:t>
      </w:r>
    </w:p>
    <w:p w:rsidR="008D272D" w:rsidRDefault="001E5B61">
      <w:pPr>
        <w:numPr>
          <w:ilvl w:val="2"/>
          <w:numId w:val="2"/>
        </w:numPr>
        <w:pBdr>
          <w:top w:val="nil"/>
          <w:left w:val="nil"/>
          <w:bottom w:val="nil"/>
          <w:right w:val="nil"/>
          <w:between w:val="nil"/>
        </w:pBdr>
        <w:spacing w:line="276" w:lineRule="auto"/>
        <w:jc w:val="both"/>
        <w:rPr>
          <w:rFonts w:eastAsia="Arial" w:cs="Arial"/>
          <w:b/>
          <w:color w:val="000000"/>
          <w:szCs w:val="20"/>
        </w:rPr>
      </w:pPr>
      <w:r>
        <w:rPr>
          <w:rFonts w:eastAsia="Arial" w:cs="Arial"/>
          <w:color w:val="000000"/>
          <w:szCs w:val="20"/>
        </w:rPr>
        <w:t>Para a consulta de fornecedores pessoa jurídica poderá haver a substituição das consultas das alíneas “b”, “c” e “d” acima pela Consulta Consolidada de Pessoa Jurídica do TCU (https://certidoesapf.apps.tcu.gov.br/)</w:t>
      </w:r>
    </w:p>
    <w:p w:rsidR="008D272D" w:rsidRDefault="001E5B61">
      <w:pPr>
        <w:numPr>
          <w:ilvl w:val="2"/>
          <w:numId w:val="2"/>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8D272D" w:rsidRDefault="001E5B61">
      <w:pPr>
        <w:numPr>
          <w:ilvl w:val="3"/>
          <w:numId w:val="2"/>
        </w:numPr>
        <w:pBdr>
          <w:top w:val="nil"/>
          <w:left w:val="nil"/>
          <w:bottom w:val="nil"/>
          <w:right w:val="nil"/>
          <w:between w:val="nil"/>
        </w:pBdr>
        <w:spacing w:line="276" w:lineRule="auto"/>
        <w:ind w:hanging="648"/>
        <w:jc w:val="both"/>
        <w:rPr>
          <w:rFonts w:eastAsia="Arial" w:cs="Arial"/>
          <w:color w:val="000000"/>
          <w:szCs w:val="20"/>
        </w:rPr>
      </w:pPr>
      <w:r>
        <w:rPr>
          <w:rFonts w:eastAsia="Arial" w:cs="Arial"/>
          <w:color w:val="000000"/>
          <w:szCs w:val="20"/>
        </w:rPr>
        <w:t>Caso conste na Consulta de Situação do Fornecedor a existência de Ocorrências Impeditivas Indiretas, o gestor diligenciará para verificar se houve fraude por parte das empresas apontadas no Relatório de Ocorrências Impeditivas Indiretas.</w:t>
      </w:r>
    </w:p>
    <w:p w:rsidR="008D272D" w:rsidRDefault="001E5B61">
      <w:pPr>
        <w:numPr>
          <w:ilvl w:val="4"/>
          <w:numId w:val="2"/>
        </w:numPr>
        <w:pBdr>
          <w:top w:val="nil"/>
          <w:left w:val="nil"/>
          <w:bottom w:val="nil"/>
          <w:right w:val="nil"/>
          <w:between w:val="nil"/>
        </w:pBdr>
        <w:spacing w:line="276" w:lineRule="auto"/>
        <w:ind w:hanging="791"/>
        <w:jc w:val="both"/>
        <w:rPr>
          <w:rFonts w:eastAsia="Arial" w:cs="Arial"/>
          <w:color w:val="000000"/>
          <w:szCs w:val="20"/>
        </w:rPr>
      </w:pPr>
      <w:r>
        <w:rPr>
          <w:rFonts w:eastAsia="Arial" w:cs="Arial"/>
          <w:color w:val="000000"/>
          <w:szCs w:val="20"/>
        </w:rPr>
        <w:t>A tentativa de burla será verificada por meio dos vínculos societários, linhas de fornecimento similares, dentre outros.</w:t>
      </w:r>
    </w:p>
    <w:p w:rsidR="008D272D" w:rsidRDefault="001E5B61">
      <w:pPr>
        <w:numPr>
          <w:ilvl w:val="4"/>
          <w:numId w:val="2"/>
        </w:numPr>
        <w:pBdr>
          <w:top w:val="nil"/>
          <w:left w:val="nil"/>
          <w:bottom w:val="nil"/>
          <w:right w:val="nil"/>
          <w:between w:val="nil"/>
        </w:pBdr>
        <w:spacing w:line="276" w:lineRule="auto"/>
        <w:ind w:hanging="791"/>
        <w:jc w:val="both"/>
        <w:rPr>
          <w:rFonts w:eastAsia="Arial" w:cs="Arial"/>
          <w:color w:val="000000"/>
          <w:szCs w:val="20"/>
        </w:rPr>
      </w:pPr>
      <w:r>
        <w:rPr>
          <w:rFonts w:eastAsia="Arial" w:cs="Arial"/>
          <w:color w:val="000000"/>
          <w:szCs w:val="20"/>
        </w:rPr>
        <w:t>O fornecedor será convocado para manifestação previamente à sua desclassificação</w:t>
      </w:r>
    </w:p>
    <w:p w:rsidR="008D272D" w:rsidRDefault="001E5B61">
      <w:pPr>
        <w:numPr>
          <w:ilvl w:val="2"/>
          <w:numId w:val="2"/>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lastRenderedPageBreak/>
        <w:t>Constatada a existência de sanção, o fornecedor será reputado inabilitado, por falta de condição de participação.</w:t>
      </w:r>
    </w:p>
    <w:p w:rsidR="008D272D" w:rsidRDefault="001E5B61">
      <w:pPr>
        <w:numPr>
          <w:ilvl w:val="1"/>
          <w:numId w:val="2"/>
        </w:numPr>
        <w:pBdr>
          <w:top w:val="nil"/>
          <w:left w:val="nil"/>
          <w:bottom w:val="nil"/>
          <w:right w:val="nil"/>
          <w:between w:val="nil"/>
        </w:pBdr>
        <w:spacing w:line="276" w:lineRule="auto"/>
        <w:ind w:hanging="574"/>
        <w:jc w:val="both"/>
        <w:rPr>
          <w:rFonts w:eastAsia="Arial" w:cs="Arial"/>
          <w:color w:val="000000"/>
          <w:szCs w:val="20"/>
        </w:rPr>
      </w:pPr>
      <w:r>
        <w:rPr>
          <w:rFonts w:eastAsia="Arial" w:cs="Arial"/>
          <w:color w:val="000000"/>
          <w:szCs w:val="20"/>
        </w:rPr>
        <w:t>Caso atendidas as condições de participação, a habilitação dos fornecedores será verificada por meio do SICAF, nos documentos por ele abrangidos.</w:t>
      </w:r>
    </w:p>
    <w:p w:rsidR="008D272D" w:rsidRDefault="001E5B61">
      <w:pPr>
        <w:numPr>
          <w:ilvl w:val="2"/>
          <w:numId w:val="2"/>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É dever do fornecedor atualizar previamente as comprovações constantes do SICAF para que estejam vigentes na data da abertura da sessão pública, ou encaminhar, quando solicitado, a respectiva documentação atualizada.</w:t>
      </w:r>
    </w:p>
    <w:p w:rsidR="008D272D" w:rsidRDefault="001E5B61">
      <w:pPr>
        <w:numPr>
          <w:ilvl w:val="2"/>
          <w:numId w:val="2"/>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O descumprimento do subitem acima implicará a inabilitação do fornecedor, exceto se a consulta aos sítios eletrônicos oficiais emissores de certidões lograr êxito em encontrar a(s) certidão(ões) válida(s).</w:t>
      </w:r>
    </w:p>
    <w:p w:rsidR="008D272D" w:rsidRDefault="001E5B61">
      <w:pPr>
        <w:numPr>
          <w:ilvl w:val="1"/>
          <w:numId w:val="2"/>
        </w:numPr>
        <w:pBdr>
          <w:top w:val="nil"/>
          <w:left w:val="nil"/>
          <w:bottom w:val="nil"/>
          <w:right w:val="nil"/>
          <w:between w:val="nil"/>
        </w:pBdr>
        <w:spacing w:line="276" w:lineRule="auto"/>
        <w:ind w:hanging="574"/>
        <w:jc w:val="both"/>
        <w:rPr>
          <w:rFonts w:eastAsia="Arial" w:cs="Arial"/>
          <w:color w:val="000000"/>
          <w:szCs w:val="20"/>
        </w:rPr>
      </w:pPr>
      <w:r>
        <w:rPr>
          <w:rFonts w:eastAsia="Arial" w:cs="Arial"/>
          <w:color w:val="000000"/>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rsidR="008D272D" w:rsidRDefault="001E5B61">
      <w:pPr>
        <w:numPr>
          <w:ilvl w:val="1"/>
          <w:numId w:val="2"/>
        </w:numPr>
        <w:pBdr>
          <w:top w:val="nil"/>
          <w:left w:val="nil"/>
          <w:bottom w:val="nil"/>
          <w:right w:val="nil"/>
          <w:between w:val="nil"/>
        </w:pBdr>
        <w:spacing w:line="276" w:lineRule="auto"/>
        <w:ind w:hanging="574"/>
        <w:jc w:val="both"/>
        <w:rPr>
          <w:rFonts w:eastAsia="Arial" w:cs="Arial"/>
          <w:color w:val="000000"/>
          <w:szCs w:val="20"/>
        </w:rPr>
      </w:pPr>
      <w:r>
        <w:rPr>
          <w:rFonts w:eastAsia="Arial" w:cs="Arial"/>
          <w:color w:val="000000"/>
          <w:szCs w:val="20"/>
        </w:rPr>
        <w:t>Somente haverá a necessidade de comprovação do preenchimento de requisitos mediante apresentação dos documentos originais não-digitais quando houver dúvida em relação à integridade do documento digital.</w:t>
      </w:r>
    </w:p>
    <w:p w:rsidR="008D272D" w:rsidRDefault="001E5B61">
      <w:pPr>
        <w:numPr>
          <w:ilvl w:val="1"/>
          <w:numId w:val="2"/>
        </w:numPr>
        <w:pBdr>
          <w:top w:val="nil"/>
          <w:left w:val="nil"/>
          <w:bottom w:val="nil"/>
          <w:right w:val="nil"/>
          <w:between w:val="nil"/>
        </w:pBdr>
        <w:spacing w:line="276" w:lineRule="auto"/>
        <w:ind w:hanging="574"/>
        <w:jc w:val="both"/>
        <w:rPr>
          <w:rFonts w:eastAsia="Arial" w:cs="Arial"/>
          <w:b/>
          <w:color w:val="000000"/>
          <w:szCs w:val="20"/>
        </w:rPr>
      </w:pPr>
      <w:r>
        <w:rPr>
          <w:rFonts w:eastAsia="Arial" w:cs="Arial"/>
          <w:color w:val="000000"/>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8D272D" w:rsidRDefault="001E5B61">
      <w:pPr>
        <w:numPr>
          <w:ilvl w:val="1"/>
          <w:numId w:val="2"/>
        </w:numPr>
        <w:pBdr>
          <w:top w:val="nil"/>
          <w:left w:val="nil"/>
          <w:bottom w:val="nil"/>
          <w:right w:val="nil"/>
          <w:between w:val="nil"/>
        </w:pBdr>
        <w:spacing w:line="276" w:lineRule="auto"/>
        <w:ind w:hanging="574"/>
        <w:jc w:val="both"/>
        <w:rPr>
          <w:rFonts w:eastAsia="Arial" w:cs="Arial"/>
          <w:color w:val="000000"/>
          <w:szCs w:val="20"/>
        </w:rPr>
      </w:pPr>
      <w:r>
        <w:rPr>
          <w:rFonts w:eastAsia="Arial" w:cs="Arial"/>
          <w:color w:val="000000"/>
          <w:szCs w:val="2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8D272D" w:rsidRDefault="001E5B61">
      <w:pPr>
        <w:numPr>
          <w:ilvl w:val="2"/>
          <w:numId w:val="2"/>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Não havendo a comprovação cumulativa dos requisitos de habilitação, a inabilitação recairá sobre o(s) item(ns) de menor(es) valor(es) cuja retirada(s) seja(m) suficiente(s) para a habilitação do fornecedor nos remanescentes.</w:t>
      </w:r>
    </w:p>
    <w:p w:rsidR="008D272D" w:rsidRDefault="001E5B61">
      <w:pPr>
        <w:numPr>
          <w:ilvl w:val="1"/>
          <w:numId w:val="2"/>
        </w:numPr>
        <w:pBdr>
          <w:top w:val="nil"/>
          <w:left w:val="nil"/>
          <w:bottom w:val="nil"/>
          <w:right w:val="nil"/>
          <w:between w:val="nil"/>
        </w:pBdr>
        <w:spacing w:line="276" w:lineRule="auto"/>
        <w:ind w:hanging="574"/>
        <w:jc w:val="both"/>
        <w:rPr>
          <w:rFonts w:eastAsia="Arial" w:cs="Arial"/>
          <w:color w:val="000000"/>
          <w:szCs w:val="20"/>
        </w:rPr>
      </w:pPr>
      <w:r>
        <w:rPr>
          <w:rFonts w:eastAsia="Arial" w:cs="Arial"/>
          <w:color w:val="000000"/>
          <w:szCs w:val="20"/>
        </w:rPr>
        <w:t>Havendo necessidade de analisar minuciosamente os documentos exigidos, a sessão será suspensa, sendo informada a nova data e horário para a sua continuidade.</w:t>
      </w:r>
    </w:p>
    <w:p w:rsidR="008D272D" w:rsidRDefault="001E5B61">
      <w:pPr>
        <w:numPr>
          <w:ilvl w:val="1"/>
          <w:numId w:val="2"/>
        </w:numPr>
        <w:pBdr>
          <w:top w:val="nil"/>
          <w:left w:val="nil"/>
          <w:bottom w:val="nil"/>
          <w:right w:val="nil"/>
          <w:between w:val="nil"/>
        </w:pBdr>
        <w:spacing w:line="276" w:lineRule="auto"/>
        <w:ind w:hanging="574"/>
        <w:jc w:val="both"/>
        <w:rPr>
          <w:rFonts w:eastAsia="Arial" w:cs="Arial"/>
          <w:color w:val="000000"/>
          <w:szCs w:val="20"/>
        </w:rPr>
      </w:pPr>
      <w:r>
        <w:rPr>
          <w:rFonts w:eastAsia="Arial" w:cs="Arial"/>
          <w:color w:val="000000"/>
          <w:szCs w:val="20"/>
        </w:rPr>
        <w:t>Será inabilitado o fornecedor que não comprovar sua habilitação, seja por não apresentar quaisquer dos documentos exigidos, ou apresentá-los em desacordo com o estabelecido neste Aviso de Contratação Direta.</w:t>
      </w:r>
    </w:p>
    <w:p w:rsidR="008D272D" w:rsidRDefault="001E5B61">
      <w:pPr>
        <w:numPr>
          <w:ilvl w:val="2"/>
          <w:numId w:val="2"/>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8D272D" w:rsidRDefault="001E5B61">
      <w:pPr>
        <w:numPr>
          <w:ilvl w:val="1"/>
          <w:numId w:val="2"/>
        </w:numPr>
        <w:pBdr>
          <w:top w:val="nil"/>
          <w:left w:val="nil"/>
          <w:bottom w:val="nil"/>
          <w:right w:val="nil"/>
          <w:between w:val="nil"/>
        </w:pBdr>
        <w:spacing w:after="120" w:line="276" w:lineRule="auto"/>
        <w:ind w:hanging="574"/>
        <w:jc w:val="both"/>
        <w:rPr>
          <w:rFonts w:eastAsia="Arial" w:cs="Arial"/>
          <w:color w:val="000000"/>
          <w:szCs w:val="20"/>
        </w:rPr>
      </w:pPr>
      <w:r>
        <w:rPr>
          <w:rFonts w:eastAsia="Arial" w:cs="Arial"/>
          <w:color w:val="000000"/>
          <w:szCs w:val="20"/>
        </w:rPr>
        <w:t>Constatado o atendimento às exigências de habilitação, o fornecedor será habilitado</w:t>
      </w:r>
    </w:p>
    <w:p w:rsidR="008D272D" w:rsidRDefault="001E5B61">
      <w:pPr>
        <w:numPr>
          <w:ilvl w:val="0"/>
          <w:numId w:val="2"/>
        </w:numPr>
        <w:pBdr>
          <w:top w:val="nil"/>
          <w:left w:val="nil"/>
          <w:bottom w:val="nil"/>
          <w:right w:val="nil"/>
          <w:between w:val="nil"/>
        </w:pBdr>
        <w:spacing w:before="120" w:after="120" w:line="276" w:lineRule="auto"/>
        <w:jc w:val="both"/>
        <w:rPr>
          <w:rFonts w:eastAsia="Arial" w:cs="Arial"/>
          <w:b/>
          <w:color w:val="000000"/>
          <w:szCs w:val="20"/>
        </w:rPr>
      </w:pPr>
      <w:r>
        <w:rPr>
          <w:rFonts w:eastAsia="Arial" w:cs="Arial"/>
          <w:b/>
          <w:color w:val="000000"/>
          <w:szCs w:val="20"/>
        </w:rPr>
        <w:t>CONTRATAÇÃO</w:t>
      </w:r>
    </w:p>
    <w:p w:rsidR="008D272D" w:rsidRDefault="001E5B61">
      <w:pPr>
        <w:numPr>
          <w:ilvl w:val="1"/>
          <w:numId w:val="2"/>
        </w:numPr>
        <w:spacing w:before="120" w:after="120" w:line="276" w:lineRule="auto"/>
        <w:ind w:left="425" w:firstLine="0"/>
        <w:jc w:val="both"/>
        <w:rPr>
          <w:color w:val="000000"/>
        </w:rPr>
      </w:pPr>
      <w:r>
        <w:rPr>
          <w:color w:val="000000"/>
        </w:rPr>
        <w:t>Após a homologação e adjudicação, caso se conclua pela contratação, será firmado Termo de Contrato ou emitido instrumento equivalente.</w:t>
      </w:r>
    </w:p>
    <w:p w:rsidR="008D272D" w:rsidRDefault="001E5B61">
      <w:pPr>
        <w:numPr>
          <w:ilvl w:val="1"/>
          <w:numId w:val="2"/>
        </w:numPr>
        <w:spacing w:before="120" w:after="120" w:line="276" w:lineRule="auto"/>
        <w:ind w:left="425" w:firstLine="0"/>
        <w:jc w:val="both"/>
      </w:pPr>
      <w:r>
        <w:t xml:space="preserve">O adjudicatário terá o prazo de 5 (cinco) dias úteis, contados a partir da data de sua convocação, para aceitar instrumento equivalente, conforme o caso (Nota de Empenho/Carta Contrato/Autorização), sob pena de decair do direito à contratação, sem prejuízo das sanções previstas neste Aviso de Contratação Direta. </w:t>
      </w:r>
    </w:p>
    <w:p w:rsidR="008D272D" w:rsidRDefault="001E5B61">
      <w:pPr>
        <w:numPr>
          <w:ilvl w:val="2"/>
          <w:numId w:val="2"/>
        </w:numPr>
        <w:spacing w:before="120" w:after="120" w:line="276" w:lineRule="auto"/>
        <w:jc w:val="both"/>
      </w:pPr>
      <w:r>
        <w:t xml:space="preserve">Alternativamente à convocação para comparecer perante o órgão ou entidade para a assinatura do Termo de Contrato, a Administração poderá encaminhá-lo para assinatura, mediante correspondência postal com aviso de recebimento </w:t>
      </w:r>
      <w:r>
        <w:lastRenderedPageBreak/>
        <w:t xml:space="preserve">(AR) ou meio eletrônico, para que seja assinado e devolvido no prazo de 5 (cinco) dias, a contar da data de seu recebimento. </w:t>
      </w:r>
    </w:p>
    <w:p w:rsidR="008D272D" w:rsidRDefault="001E5B61">
      <w:pPr>
        <w:numPr>
          <w:ilvl w:val="2"/>
          <w:numId w:val="2"/>
        </w:numPr>
        <w:spacing w:before="120" w:after="120" w:line="276" w:lineRule="auto"/>
        <w:jc w:val="both"/>
        <w:rPr>
          <w:color w:val="000000"/>
        </w:rPr>
      </w:pPr>
      <w:r>
        <w:rPr>
          <w:color w:val="000000"/>
        </w:rPr>
        <w:t xml:space="preserve">O prazo previsto para assinatura do contrato ou aceitação da nota de empenho ou instrumento equivalente poderá ser prorrogado </w:t>
      </w:r>
      <w:r>
        <w:t xml:space="preserve">1 (uma) vez, </w:t>
      </w:r>
      <w:r>
        <w:rPr>
          <w:color w:val="000000"/>
        </w:rPr>
        <w:t>por igual período, por solicitação justificada do adjudicatário e aceita pela Administração.</w:t>
      </w:r>
    </w:p>
    <w:p w:rsidR="008D272D" w:rsidRDefault="001E5B61">
      <w:pPr>
        <w:numPr>
          <w:ilvl w:val="1"/>
          <w:numId w:val="2"/>
        </w:numPr>
        <w:spacing w:before="120" w:after="120" w:line="276" w:lineRule="auto"/>
        <w:ind w:left="425" w:firstLine="0"/>
        <w:jc w:val="both"/>
      </w:pPr>
      <w:r>
        <w:t>O Aceite da Nota de Empenho ou do instrumento equivalente, emitida à empresa adjudicada, implica no reconhecimento de que:</w:t>
      </w:r>
    </w:p>
    <w:p w:rsidR="008D272D" w:rsidRDefault="001E5B61">
      <w:pPr>
        <w:numPr>
          <w:ilvl w:val="2"/>
          <w:numId w:val="2"/>
        </w:numPr>
        <w:spacing w:before="120" w:after="120" w:line="276" w:lineRule="auto"/>
        <w:jc w:val="both"/>
      </w:pPr>
      <w:r>
        <w:t>referida Nota está substituindo o contrato, aplicando-se à relação de negócios ali estabelecida as disposições da Lei nº 14.133, de 2021;</w:t>
      </w:r>
    </w:p>
    <w:p w:rsidR="008D272D" w:rsidRDefault="001E5B61">
      <w:pPr>
        <w:numPr>
          <w:ilvl w:val="2"/>
          <w:numId w:val="2"/>
        </w:numPr>
        <w:spacing w:before="120" w:after="120" w:line="276" w:lineRule="auto"/>
        <w:jc w:val="both"/>
      </w:pPr>
      <w:r>
        <w:t>a contratada se vincula à sua proposta e às previsões contidas no Aviso de Contratação Direta e seus anexos;</w:t>
      </w:r>
    </w:p>
    <w:p w:rsidR="008D272D" w:rsidRDefault="001E5B61">
      <w:pPr>
        <w:numPr>
          <w:ilvl w:val="2"/>
          <w:numId w:val="2"/>
        </w:numPr>
        <w:spacing w:before="120" w:after="120" w:line="276" w:lineRule="auto"/>
        <w:jc w:val="both"/>
      </w:pPr>
      <w:r>
        <w:t>a contratada reconhece que as hipóteses de rescisão são aquelas previstas nos artigos 137 e 138 da Lei nº 14.133/21 e reconhece os direitos da Administração previstos nos artigos 137 a 139 da mesma Lei.</w:t>
      </w:r>
    </w:p>
    <w:p w:rsidR="008D272D" w:rsidRDefault="001E5B61">
      <w:pPr>
        <w:numPr>
          <w:ilvl w:val="1"/>
          <w:numId w:val="2"/>
        </w:numPr>
        <w:spacing w:before="120" w:after="120" w:line="276" w:lineRule="auto"/>
        <w:ind w:left="425" w:firstLine="0"/>
        <w:jc w:val="both"/>
      </w:pPr>
      <w:r>
        <w:t xml:space="preserve">O prazo de vigência da contratação é de 30 (trinta) dias, prorrogável conforme previsão nos anexos a este Aviso de Contratação Direta. </w:t>
      </w:r>
    </w:p>
    <w:p w:rsidR="008D272D" w:rsidRDefault="001E5B61">
      <w:pPr>
        <w:numPr>
          <w:ilvl w:val="1"/>
          <w:numId w:val="2"/>
        </w:numPr>
        <w:spacing w:before="120" w:after="120" w:line="276" w:lineRule="auto"/>
        <w:ind w:left="425" w:firstLine="0"/>
        <w:jc w:val="both"/>
        <w:rPr>
          <w:color w:val="000000"/>
        </w:rPr>
      </w:pPr>
      <w:r>
        <w:rPr>
          <w:color w:val="000000"/>
        </w:rPr>
        <w:t>Na assinatura do contrato ou do instrumento equivalente será exigida a comprovação das condições de habilitação e contratação consignadas neste aviso, que deverão ser mantidas pelo fornecedor durante a vigência do contrato.</w:t>
      </w:r>
    </w:p>
    <w:p w:rsidR="008D272D" w:rsidRDefault="001E5B61">
      <w:pPr>
        <w:numPr>
          <w:ilvl w:val="0"/>
          <w:numId w:val="2"/>
        </w:numPr>
        <w:pBdr>
          <w:top w:val="nil"/>
          <w:left w:val="nil"/>
          <w:bottom w:val="nil"/>
          <w:right w:val="nil"/>
          <w:between w:val="nil"/>
        </w:pBdr>
        <w:spacing w:before="120" w:after="120" w:line="276" w:lineRule="auto"/>
        <w:jc w:val="both"/>
        <w:rPr>
          <w:rFonts w:eastAsia="Arial" w:cs="Arial"/>
          <w:b/>
          <w:color w:val="000000"/>
          <w:szCs w:val="20"/>
        </w:rPr>
      </w:pPr>
      <w:r>
        <w:rPr>
          <w:rFonts w:eastAsia="Arial" w:cs="Arial"/>
          <w:b/>
          <w:color w:val="000000"/>
          <w:szCs w:val="20"/>
        </w:rPr>
        <w:t>SANÇÕES</w:t>
      </w:r>
    </w:p>
    <w:p w:rsidR="008D272D" w:rsidRDefault="001E5B61">
      <w:pPr>
        <w:numPr>
          <w:ilvl w:val="1"/>
          <w:numId w:val="2"/>
        </w:numPr>
        <w:spacing w:before="120" w:after="120" w:line="276" w:lineRule="auto"/>
        <w:ind w:left="425" w:firstLine="0"/>
        <w:jc w:val="both"/>
        <w:rPr>
          <w:b/>
        </w:rPr>
      </w:pPr>
      <w:r>
        <w:t xml:space="preserve">Comete infração administrativa o fornecedor que cometer quaisquer das infrações previstas no art. 155 da Lei nº 14.133, de 2021, quais sejam: </w:t>
      </w:r>
    </w:p>
    <w:p w:rsidR="008D272D" w:rsidRDefault="001E5B61">
      <w:pPr>
        <w:numPr>
          <w:ilvl w:val="2"/>
          <w:numId w:val="2"/>
        </w:numPr>
        <w:spacing w:before="120" w:after="120" w:line="276" w:lineRule="auto"/>
        <w:jc w:val="both"/>
      </w:pPr>
      <w:r>
        <w:rPr>
          <w:color w:val="000000"/>
        </w:rPr>
        <w:t>dar causa à inexecução parcial do contrato</w:t>
      </w:r>
      <w:r>
        <w:t>;</w:t>
      </w:r>
    </w:p>
    <w:p w:rsidR="008D272D" w:rsidRDefault="001E5B61">
      <w:pPr>
        <w:numPr>
          <w:ilvl w:val="2"/>
          <w:numId w:val="2"/>
        </w:numPr>
        <w:spacing w:before="120" w:after="120" w:line="276" w:lineRule="auto"/>
        <w:jc w:val="both"/>
      </w:pPr>
      <w:r>
        <w:rPr>
          <w:color w:val="000000"/>
        </w:rPr>
        <w:t>dar causa à inexecução parcial do contrato que cause grave dano à Administração, ao funcionamento dos serviços públicos ou ao interesse coletivo;</w:t>
      </w:r>
    </w:p>
    <w:p w:rsidR="008D272D" w:rsidRDefault="001E5B61">
      <w:pPr>
        <w:numPr>
          <w:ilvl w:val="2"/>
          <w:numId w:val="2"/>
        </w:numPr>
        <w:spacing w:before="120" w:after="120" w:line="276" w:lineRule="auto"/>
        <w:jc w:val="both"/>
      </w:pPr>
      <w:r>
        <w:rPr>
          <w:color w:val="000000"/>
        </w:rPr>
        <w:t>dar causa à inexecução total do contrato;</w:t>
      </w:r>
    </w:p>
    <w:p w:rsidR="008D272D" w:rsidRDefault="001E5B61">
      <w:pPr>
        <w:numPr>
          <w:ilvl w:val="2"/>
          <w:numId w:val="2"/>
        </w:numPr>
        <w:spacing w:before="120" w:after="120" w:line="276" w:lineRule="auto"/>
        <w:jc w:val="both"/>
      </w:pPr>
      <w:r>
        <w:rPr>
          <w:color w:val="000000"/>
        </w:rPr>
        <w:t>deixar de entregar a documentação exigida para o certame;</w:t>
      </w:r>
    </w:p>
    <w:p w:rsidR="008D272D" w:rsidRDefault="001E5B61">
      <w:pPr>
        <w:numPr>
          <w:ilvl w:val="2"/>
          <w:numId w:val="2"/>
        </w:numPr>
        <w:spacing w:before="120" w:after="120" w:line="276" w:lineRule="auto"/>
        <w:jc w:val="both"/>
      </w:pPr>
      <w:r>
        <w:rPr>
          <w:color w:val="000000"/>
        </w:rPr>
        <w:t>não manter a proposta, salvo em decorrência de fato superveniente devidamente justificado;</w:t>
      </w:r>
    </w:p>
    <w:p w:rsidR="008D272D" w:rsidRDefault="001E5B61">
      <w:pPr>
        <w:numPr>
          <w:ilvl w:val="2"/>
          <w:numId w:val="2"/>
        </w:numPr>
        <w:spacing w:before="120" w:after="120" w:line="276" w:lineRule="auto"/>
        <w:jc w:val="both"/>
      </w:pPr>
      <w:r>
        <w:rPr>
          <w:color w:val="000000"/>
        </w:rPr>
        <w:t>não celebrar o contrato ou não entregar a documentação exigida para a contratação, quando convocado dentro do prazo de validade de sua proposta;</w:t>
      </w:r>
    </w:p>
    <w:p w:rsidR="008D272D" w:rsidRDefault="001E5B61">
      <w:pPr>
        <w:numPr>
          <w:ilvl w:val="2"/>
          <w:numId w:val="2"/>
        </w:numPr>
        <w:spacing w:before="120" w:after="120" w:line="276" w:lineRule="auto"/>
        <w:jc w:val="both"/>
      </w:pPr>
      <w:r>
        <w:rPr>
          <w:color w:val="000000"/>
        </w:rPr>
        <w:t> ensejar o retardamento da execução ou da entrega do objeto da licitação sem motivo justificado;</w:t>
      </w:r>
    </w:p>
    <w:p w:rsidR="008D272D" w:rsidRDefault="001E5B61">
      <w:pPr>
        <w:numPr>
          <w:ilvl w:val="2"/>
          <w:numId w:val="2"/>
        </w:numPr>
        <w:spacing w:before="120" w:after="120" w:line="276" w:lineRule="auto"/>
        <w:jc w:val="both"/>
      </w:pPr>
      <w:r>
        <w:rPr>
          <w:color w:val="000000"/>
        </w:rPr>
        <w:t>apresentar declaração ou documentação falsa exigida para o certame ou prestar declaração falsa durante a dispensa eletrônica ou a execução do contrato;</w:t>
      </w:r>
    </w:p>
    <w:p w:rsidR="008D272D" w:rsidRDefault="001E5B61">
      <w:pPr>
        <w:numPr>
          <w:ilvl w:val="2"/>
          <w:numId w:val="2"/>
        </w:numPr>
        <w:spacing w:before="120" w:after="120" w:line="276" w:lineRule="auto"/>
        <w:jc w:val="both"/>
      </w:pPr>
      <w:r>
        <w:rPr>
          <w:color w:val="000000"/>
        </w:rPr>
        <w:t>fraudar a dispensa eletrônica ou praticar ato fraudulento na execução do contrato;</w:t>
      </w:r>
    </w:p>
    <w:p w:rsidR="008D272D" w:rsidRDefault="001E5B61">
      <w:pPr>
        <w:numPr>
          <w:ilvl w:val="2"/>
          <w:numId w:val="2"/>
        </w:numPr>
        <w:spacing w:before="120" w:after="120" w:line="276" w:lineRule="auto"/>
        <w:jc w:val="both"/>
      </w:pPr>
      <w:r>
        <w:rPr>
          <w:color w:val="000000"/>
        </w:rPr>
        <w:t> comportar-se de modo inidôneo ou cometer fraude de qualquer natureza;</w:t>
      </w:r>
    </w:p>
    <w:p w:rsidR="008D272D" w:rsidRDefault="001E5B61">
      <w:pPr>
        <w:numPr>
          <w:ilvl w:val="3"/>
          <w:numId w:val="2"/>
        </w:numPr>
        <w:pBdr>
          <w:top w:val="nil"/>
          <w:left w:val="nil"/>
          <w:bottom w:val="nil"/>
          <w:right w:val="nil"/>
          <w:between w:val="nil"/>
        </w:pBdr>
        <w:spacing w:before="120" w:after="120" w:line="276" w:lineRule="auto"/>
        <w:ind w:hanging="648"/>
        <w:jc w:val="both"/>
        <w:rPr>
          <w:rFonts w:eastAsia="Arial" w:cs="Arial"/>
          <w:color w:val="000000"/>
          <w:szCs w:val="20"/>
        </w:rPr>
      </w:pPr>
      <w:r>
        <w:rPr>
          <w:rFonts w:eastAsia="Arial" w:cs="Arial"/>
          <w:color w:val="00000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8D272D" w:rsidRDefault="001E5B61">
      <w:pPr>
        <w:numPr>
          <w:ilvl w:val="2"/>
          <w:numId w:val="2"/>
        </w:numPr>
        <w:spacing w:before="120" w:after="120" w:line="276" w:lineRule="auto"/>
        <w:jc w:val="both"/>
      </w:pPr>
      <w:r>
        <w:rPr>
          <w:color w:val="000000"/>
        </w:rPr>
        <w:t> praticar atos ilícitos com vistas a frustrar os objetivos deste certame.</w:t>
      </w:r>
    </w:p>
    <w:p w:rsidR="008D272D" w:rsidRDefault="001E5B61">
      <w:pPr>
        <w:numPr>
          <w:ilvl w:val="2"/>
          <w:numId w:val="2"/>
        </w:numPr>
        <w:spacing w:before="120" w:after="120" w:line="276" w:lineRule="auto"/>
        <w:jc w:val="both"/>
        <w:rPr>
          <w:color w:val="000000"/>
        </w:rPr>
      </w:pPr>
      <w:r>
        <w:rPr>
          <w:color w:val="000000"/>
        </w:rPr>
        <w:t>praticar ato lesivo previsto no </w:t>
      </w:r>
      <w:hyperlink r:id="rId12" w:anchor="art5">
        <w:r>
          <w:rPr>
            <w:color w:val="000000"/>
          </w:rPr>
          <w:t>art. 5º da Lei nº 12.846, de 1º de agosto de 2013.</w:t>
        </w:r>
      </w:hyperlink>
    </w:p>
    <w:p w:rsidR="008D272D" w:rsidRDefault="001E5B61">
      <w:pPr>
        <w:numPr>
          <w:ilvl w:val="1"/>
          <w:numId w:val="2"/>
        </w:numPr>
        <w:spacing w:before="120" w:after="120" w:line="276" w:lineRule="auto"/>
        <w:ind w:left="425" w:firstLine="0"/>
        <w:jc w:val="both"/>
        <w:rPr>
          <w:b/>
        </w:rPr>
      </w:pPr>
      <w:r>
        <w:lastRenderedPageBreak/>
        <w:t>O fornecedor que cometer qualquer das infrações discriminadas nos subitens anteriores ficará sujeito, sem prejuízo da responsabilidade civil e criminal, às seguintes sanções:</w:t>
      </w:r>
    </w:p>
    <w:p w:rsidR="008D272D" w:rsidRDefault="001E5B61">
      <w:pPr>
        <w:numPr>
          <w:ilvl w:val="2"/>
          <w:numId w:val="1"/>
        </w:numPr>
        <w:spacing w:before="120" w:after="120" w:line="276" w:lineRule="auto"/>
        <w:jc w:val="both"/>
      </w:pPr>
      <w:r>
        <w:t>Advertência pela falta do subitem 8.1.1 deste Aviso de Contratação Direta, quando não se justificar a imposição de penalidade mais grave;</w:t>
      </w:r>
    </w:p>
    <w:p w:rsidR="008D272D" w:rsidRDefault="001E5B61">
      <w:pPr>
        <w:numPr>
          <w:ilvl w:val="2"/>
          <w:numId w:val="1"/>
        </w:numPr>
        <w:spacing w:before="120" w:after="120" w:line="276" w:lineRule="auto"/>
        <w:jc w:val="both"/>
      </w:pPr>
      <w:r>
        <w:t>Multa de 1% (um por cento) sobre o valor estimado do(s) item(s) prejudicado(s) pela conduta do fornecedor, por qualquer das infrações dos subitens 8.1.1 a 8.1.12;</w:t>
      </w:r>
    </w:p>
    <w:p w:rsidR="008D272D" w:rsidRDefault="001E5B61">
      <w:pPr>
        <w:numPr>
          <w:ilvl w:val="2"/>
          <w:numId w:val="1"/>
        </w:numPr>
        <w:spacing w:before="120" w:after="120" w:line="276" w:lineRule="auto"/>
        <w:jc w:val="both"/>
      </w:pPr>
      <w:r>
        <w:rPr>
          <w:color w:val="000000"/>
        </w:rPr>
        <w:t>Impedimento de licitar e contratar</w:t>
      </w:r>
      <w:r>
        <w:t xml:space="preserve"> </w:t>
      </w:r>
      <w:r>
        <w:rPr>
          <w:color w:val="00000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t>;</w:t>
      </w:r>
    </w:p>
    <w:p w:rsidR="008D272D" w:rsidRDefault="001E5B61">
      <w:pPr>
        <w:numPr>
          <w:ilvl w:val="2"/>
          <w:numId w:val="1"/>
        </w:numPr>
        <w:spacing w:before="120" w:after="120" w:line="276" w:lineRule="auto"/>
        <w:jc w:val="both"/>
      </w:pPr>
      <w:r>
        <w:rPr>
          <w:color w:val="00000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t>;</w:t>
      </w:r>
    </w:p>
    <w:p w:rsidR="008D272D" w:rsidRDefault="001E5B61">
      <w:pPr>
        <w:numPr>
          <w:ilvl w:val="1"/>
          <w:numId w:val="2"/>
        </w:numPr>
        <w:spacing w:before="120" w:after="120" w:line="276" w:lineRule="auto"/>
        <w:jc w:val="both"/>
      </w:pPr>
      <w:r>
        <w:t>Na aplicação das sanções serão considerados:</w:t>
      </w:r>
    </w:p>
    <w:p w:rsidR="008D272D" w:rsidRDefault="001E5B61">
      <w:pPr>
        <w:numPr>
          <w:ilvl w:val="2"/>
          <w:numId w:val="2"/>
        </w:numPr>
        <w:spacing w:before="120" w:after="120" w:line="276" w:lineRule="auto"/>
        <w:jc w:val="both"/>
      </w:pPr>
      <w:r>
        <w:t>a natureza e a gravidade da infração cometida;</w:t>
      </w:r>
    </w:p>
    <w:p w:rsidR="008D272D" w:rsidRDefault="001E5B61">
      <w:pPr>
        <w:numPr>
          <w:ilvl w:val="2"/>
          <w:numId w:val="2"/>
        </w:numPr>
        <w:spacing w:before="120" w:after="120" w:line="276" w:lineRule="auto"/>
        <w:jc w:val="both"/>
      </w:pPr>
      <w:r>
        <w:t>as peculiaridades do caso concreto;</w:t>
      </w:r>
    </w:p>
    <w:p w:rsidR="008D272D" w:rsidRDefault="001E5B61">
      <w:pPr>
        <w:numPr>
          <w:ilvl w:val="2"/>
          <w:numId w:val="2"/>
        </w:numPr>
        <w:spacing w:before="120" w:after="120" w:line="276" w:lineRule="auto"/>
        <w:jc w:val="both"/>
      </w:pPr>
      <w:r>
        <w:t>as circunstâncias agravantes ou atenuantes;</w:t>
      </w:r>
    </w:p>
    <w:p w:rsidR="008D272D" w:rsidRDefault="001E5B61">
      <w:pPr>
        <w:numPr>
          <w:ilvl w:val="2"/>
          <w:numId w:val="2"/>
        </w:numPr>
        <w:spacing w:before="120" w:after="120" w:line="276" w:lineRule="auto"/>
        <w:jc w:val="both"/>
      </w:pPr>
      <w:r>
        <w:t>os danos que dela provierem para a Administração Pública;</w:t>
      </w:r>
    </w:p>
    <w:p w:rsidR="008D272D" w:rsidRDefault="001E5B61">
      <w:pPr>
        <w:numPr>
          <w:ilvl w:val="2"/>
          <w:numId w:val="2"/>
        </w:numPr>
        <w:spacing w:before="120" w:after="120" w:line="276" w:lineRule="auto"/>
        <w:jc w:val="both"/>
      </w:pPr>
      <w:r>
        <w:t>a implantação ou o aperfeiçoamento de programa de integridade, conforme normas e orientações dos órgãos de controle.</w:t>
      </w:r>
    </w:p>
    <w:p w:rsidR="008D272D" w:rsidRDefault="001E5B61">
      <w:pPr>
        <w:numPr>
          <w:ilvl w:val="1"/>
          <w:numId w:val="2"/>
        </w:numPr>
        <w:spacing w:before="120" w:after="120" w:line="276" w:lineRule="auto"/>
        <w:ind w:left="425" w:firstLine="0"/>
        <w:jc w:val="both"/>
      </w:pPr>
      <w:bookmarkStart w:id="1" w:name="bookmark=id.1fob9te" w:colFirst="0" w:colLast="0"/>
      <w:bookmarkStart w:id="2" w:name="bookmark=id.2et92p0" w:colFirst="0" w:colLast="0"/>
      <w:bookmarkStart w:id="3" w:name="bookmark=id.3znysh7" w:colFirst="0" w:colLast="0"/>
      <w:bookmarkEnd w:id="1"/>
      <w:bookmarkEnd w:id="2"/>
      <w:bookmarkEnd w:id="3"/>
      <w:r>
        <w:t>Se a multa aplicada e as indenizações cabíveis forem superiores ao valor de pagamento eventualmente devido pela Administração ao contratado, além da perda desse valor, a diferença será descontada da garantia prestada ou será cobrada judicialmente.</w:t>
      </w:r>
    </w:p>
    <w:p w:rsidR="008D272D" w:rsidRDefault="001E5B61">
      <w:pPr>
        <w:numPr>
          <w:ilvl w:val="1"/>
          <w:numId w:val="2"/>
        </w:numPr>
        <w:spacing w:before="120" w:after="120" w:line="276" w:lineRule="auto"/>
        <w:ind w:left="425" w:firstLine="0"/>
        <w:jc w:val="both"/>
      </w:pPr>
      <w:bookmarkStart w:id="4" w:name="bookmark=id.tyjcwt" w:colFirst="0" w:colLast="0"/>
      <w:bookmarkEnd w:id="4"/>
      <w:r>
        <w:t>A aplicação das sanções previstas neste Aviso de Contratação Direta, em hipótese alguma, a obrigação de reparação integral do dano causado à Administração Pública.</w:t>
      </w:r>
    </w:p>
    <w:p w:rsidR="008D272D" w:rsidRDefault="001E5B61">
      <w:pPr>
        <w:numPr>
          <w:ilvl w:val="1"/>
          <w:numId w:val="2"/>
        </w:numPr>
        <w:spacing w:before="120" w:after="120" w:line="276" w:lineRule="auto"/>
        <w:ind w:left="425" w:firstLine="0"/>
        <w:jc w:val="both"/>
      </w:pPr>
      <w:r>
        <w:t>A penalidade de multa pode ser aplicada cumulativamente com as demais sanções.</w:t>
      </w:r>
    </w:p>
    <w:p w:rsidR="008D272D" w:rsidRDefault="001E5B61">
      <w:pPr>
        <w:numPr>
          <w:ilvl w:val="1"/>
          <w:numId w:val="2"/>
        </w:numPr>
        <w:spacing w:before="120" w:after="120" w:line="276" w:lineRule="auto"/>
        <w:ind w:left="425" w:firstLine="0"/>
        <w:jc w:val="both"/>
      </w:pPr>
      <w: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8D272D" w:rsidRDefault="001E5B61">
      <w:pPr>
        <w:numPr>
          <w:ilvl w:val="1"/>
          <w:numId w:val="2"/>
        </w:numPr>
        <w:spacing w:before="120" w:after="120" w:line="276" w:lineRule="auto"/>
        <w:ind w:left="425" w:firstLine="0"/>
        <w:jc w:val="both"/>
      </w:pPr>
      <w: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8D272D" w:rsidRDefault="001E5B61">
      <w:pPr>
        <w:numPr>
          <w:ilvl w:val="1"/>
          <w:numId w:val="2"/>
        </w:numPr>
        <w:spacing w:before="120" w:after="120" w:line="276" w:lineRule="auto"/>
        <w:ind w:left="425" w:firstLine="0"/>
        <w:jc w:val="both"/>
      </w:pPr>
      <w:r>
        <w:t xml:space="preserve">O processamento do PAR não interfere no seguimento regular dos processos administrativos específicos para apuração da ocorrência de danos e prejuízos à </w:t>
      </w:r>
      <w:r>
        <w:lastRenderedPageBreak/>
        <w:t xml:space="preserve">Administração Pública Federal resultantes de ato lesivo cometido por pessoa jurídica, com ou sem a participação de agente público. </w:t>
      </w:r>
    </w:p>
    <w:p w:rsidR="008D272D" w:rsidRDefault="001E5B61">
      <w:pPr>
        <w:numPr>
          <w:ilvl w:val="1"/>
          <w:numId w:val="2"/>
        </w:numPr>
        <w:spacing w:before="120" w:after="120" w:line="276" w:lineRule="auto"/>
        <w:ind w:left="425" w:firstLine="0"/>
        <w:jc w:val="both"/>
      </w:pPr>
      <w: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8D272D" w:rsidRDefault="001E5B61">
      <w:pPr>
        <w:numPr>
          <w:ilvl w:val="1"/>
          <w:numId w:val="2"/>
        </w:numPr>
        <w:spacing w:before="120" w:after="120" w:line="276" w:lineRule="auto"/>
        <w:ind w:left="425" w:firstLine="0"/>
        <w:jc w:val="both"/>
      </w:pPr>
      <w:r>
        <w:t>As sanções por atos praticados no decorrer da contratação estão previstas nos anexos a este Aviso.</w:t>
      </w:r>
    </w:p>
    <w:p w:rsidR="008D272D" w:rsidRDefault="008D272D">
      <w:pPr>
        <w:spacing w:before="120" w:after="120" w:line="276" w:lineRule="auto"/>
        <w:ind w:left="425"/>
        <w:jc w:val="both"/>
      </w:pPr>
    </w:p>
    <w:p w:rsidR="008D272D" w:rsidRDefault="001E5B61">
      <w:pPr>
        <w:numPr>
          <w:ilvl w:val="0"/>
          <w:numId w:val="2"/>
        </w:numPr>
        <w:pBdr>
          <w:top w:val="nil"/>
          <w:left w:val="nil"/>
          <w:bottom w:val="nil"/>
          <w:right w:val="nil"/>
          <w:between w:val="nil"/>
        </w:pBdr>
        <w:spacing w:before="120" w:after="120" w:line="276" w:lineRule="auto"/>
        <w:jc w:val="both"/>
        <w:rPr>
          <w:rFonts w:eastAsia="Arial" w:cs="Arial"/>
          <w:b/>
          <w:color w:val="000000"/>
          <w:szCs w:val="20"/>
        </w:rPr>
      </w:pPr>
      <w:r>
        <w:rPr>
          <w:rFonts w:eastAsia="Arial" w:cs="Arial"/>
          <w:b/>
          <w:color w:val="000000"/>
          <w:szCs w:val="20"/>
        </w:rPr>
        <w:t>DAS DISPOSIÇÕES GERAIS</w:t>
      </w:r>
    </w:p>
    <w:p w:rsidR="008D272D" w:rsidRDefault="001E5B61">
      <w:pPr>
        <w:numPr>
          <w:ilvl w:val="1"/>
          <w:numId w:val="2"/>
        </w:numPr>
        <w:spacing w:before="120" w:after="120" w:line="276" w:lineRule="auto"/>
        <w:ind w:left="425" w:firstLine="0"/>
        <w:jc w:val="both"/>
      </w:pPr>
      <w: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rsidR="008D272D" w:rsidRDefault="001E5B61">
      <w:pPr>
        <w:numPr>
          <w:ilvl w:val="1"/>
          <w:numId w:val="2"/>
        </w:numPr>
        <w:spacing w:before="120" w:after="120" w:line="276" w:lineRule="auto"/>
        <w:ind w:left="425" w:firstLine="0"/>
        <w:jc w:val="both"/>
        <w:rPr>
          <w:color w:val="000000"/>
        </w:rPr>
      </w:pPr>
      <w:r>
        <w:rPr>
          <w:color w:val="000000"/>
        </w:rPr>
        <w:t>No caso de todos os fornecedores restarem desclassificados ou inabilitados (procedimento fracassado), a Administração poderá:</w:t>
      </w:r>
    </w:p>
    <w:p w:rsidR="008D272D" w:rsidRDefault="001E5B61">
      <w:pPr>
        <w:numPr>
          <w:ilvl w:val="2"/>
          <w:numId w:val="2"/>
        </w:numPr>
        <w:spacing w:before="120" w:after="120" w:line="276" w:lineRule="auto"/>
        <w:jc w:val="both"/>
        <w:rPr>
          <w:color w:val="000000"/>
        </w:rPr>
      </w:pPr>
      <w:r>
        <w:rPr>
          <w:color w:val="000000"/>
        </w:rPr>
        <w:t>republicar o presente aviso com uma nova data;</w:t>
      </w:r>
    </w:p>
    <w:p w:rsidR="008D272D" w:rsidRDefault="001E5B61">
      <w:pPr>
        <w:numPr>
          <w:ilvl w:val="2"/>
          <w:numId w:val="2"/>
        </w:numPr>
        <w:spacing w:before="120" w:after="120" w:line="276" w:lineRule="auto"/>
        <w:jc w:val="both"/>
        <w:rPr>
          <w:color w:val="000000"/>
        </w:rPr>
      </w:pPr>
      <w:r>
        <w:rPr>
          <w:color w:val="000000"/>
        </w:rPr>
        <w:t>valer-se, para a contratação, de proposta obtida na pesquisa de preços que serviu de base ao procedimento, se houver, privilegiando-se os menores preços, sempre que possível, e desde que atendidas às condições de habilitação exigidas.</w:t>
      </w:r>
    </w:p>
    <w:p w:rsidR="008D272D" w:rsidRDefault="001E5B61">
      <w:pPr>
        <w:numPr>
          <w:ilvl w:val="3"/>
          <w:numId w:val="2"/>
        </w:numPr>
        <w:spacing w:before="120" w:after="120" w:line="276" w:lineRule="auto"/>
        <w:ind w:hanging="648"/>
        <w:jc w:val="both"/>
        <w:rPr>
          <w:color w:val="000000"/>
        </w:rPr>
      </w:pPr>
      <w:r>
        <w:rPr>
          <w:color w:val="000000"/>
        </w:rPr>
        <w:t>No caso do subitem anterior, a contratação será operacionalizada fora deste procedimento.</w:t>
      </w:r>
    </w:p>
    <w:p w:rsidR="008D272D" w:rsidRDefault="001E5B61">
      <w:pPr>
        <w:numPr>
          <w:ilvl w:val="2"/>
          <w:numId w:val="2"/>
        </w:numPr>
        <w:spacing w:before="120" w:after="120" w:line="276" w:lineRule="auto"/>
        <w:jc w:val="both"/>
        <w:rPr>
          <w:color w:val="000000"/>
        </w:rPr>
      </w:pPr>
      <w:r>
        <w:rPr>
          <w:color w:val="000000"/>
        </w:rPr>
        <w:t>fixar prazo para que possa haver adequação das propostas ou da documentação de habilitação, conforme o caso.</w:t>
      </w:r>
    </w:p>
    <w:p w:rsidR="008D272D" w:rsidRDefault="001E5B61">
      <w:pPr>
        <w:numPr>
          <w:ilvl w:val="1"/>
          <w:numId w:val="2"/>
        </w:numPr>
        <w:spacing w:before="120" w:after="120" w:line="276" w:lineRule="auto"/>
        <w:ind w:left="425" w:firstLine="0"/>
        <w:jc w:val="both"/>
        <w:rPr>
          <w:color w:val="000000"/>
        </w:rPr>
      </w:pPr>
      <w:r>
        <w:rPr>
          <w:color w:val="000000"/>
        </w:rPr>
        <w:t>As providências dos subitens 9.2.1 e 9.2.2 acima poderão ser utilizadas se não houver o comparecimento de quaisquer fornecedores interessados (procedimento deserto)</w:t>
      </w:r>
    </w:p>
    <w:p w:rsidR="008D272D" w:rsidRDefault="001E5B61">
      <w:pPr>
        <w:numPr>
          <w:ilvl w:val="1"/>
          <w:numId w:val="2"/>
        </w:numPr>
        <w:spacing w:before="120" w:after="120" w:line="276" w:lineRule="auto"/>
        <w:ind w:left="425" w:firstLine="0"/>
        <w:jc w:val="both"/>
        <w:rPr>
          <w:color w:val="000000"/>
        </w:rPr>
      </w:pPr>
      <w:r>
        <w:rPr>
          <w:color w:val="000000"/>
        </w:rPr>
        <w:t>Havendo a necessidade de realização de ato de qualquer natureza pelos fornecedores, cujo prazo não conste deste Aviso de Contratação Direta, deverá ser atendido o prazo indicado pelo agente competente da Administração na respectiva notificação.</w:t>
      </w:r>
    </w:p>
    <w:p w:rsidR="008D272D" w:rsidRDefault="001E5B61">
      <w:pPr>
        <w:numPr>
          <w:ilvl w:val="1"/>
          <w:numId w:val="2"/>
        </w:numPr>
        <w:spacing w:before="120" w:after="120" w:line="276" w:lineRule="auto"/>
        <w:ind w:left="425" w:firstLine="0"/>
        <w:jc w:val="both"/>
        <w:rPr>
          <w:color w:val="000000"/>
        </w:rPr>
      </w:pPr>
      <w:r>
        <w:rPr>
          <w:color w:val="000000"/>
        </w:rPr>
        <w:t>Caberá ao fornecedor acompanhar as operações, ficando responsável pelo ônus decorrente da perda do negócio diante da inobservância de quaisquer mensagens emitidas pela Administração ou de sua desconexão.</w:t>
      </w:r>
    </w:p>
    <w:p w:rsidR="008D272D" w:rsidRDefault="001E5B61">
      <w:pPr>
        <w:numPr>
          <w:ilvl w:val="1"/>
          <w:numId w:val="2"/>
        </w:numPr>
        <w:spacing w:before="120" w:after="120" w:line="276" w:lineRule="auto"/>
        <w:ind w:left="425" w:firstLine="0"/>
        <w:jc w:val="both"/>
        <w:rPr>
          <w:color w:val="000000"/>
        </w:rPr>
      </w:pPr>
      <w:r>
        <w:rPr>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8D272D" w:rsidRDefault="001E5B61">
      <w:pPr>
        <w:numPr>
          <w:ilvl w:val="1"/>
          <w:numId w:val="2"/>
        </w:numPr>
        <w:spacing w:before="120" w:after="120" w:line="276" w:lineRule="auto"/>
        <w:ind w:left="425" w:firstLine="0"/>
        <w:jc w:val="both"/>
        <w:rPr>
          <w:color w:val="000000"/>
        </w:rPr>
      </w:pPr>
      <w:r>
        <w:rPr>
          <w:color w:val="000000"/>
        </w:rPr>
        <w:t>Os horários estabelecidos na divulgação deste procedimento e durante o envio de lances observarão o horário de Brasília-DF, inclusive para contagem de tempo e registro no Sistema e na documentação relativa ao procedimento.</w:t>
      </w:r>
    </w:p>
    <w:p w:rsidR="008D272D" w:rsidRDefault="001E5B61">
      <w:pPr>
        <w:numPr>
          <w:ilvl w:val="1"/>
          <w:numId w:val="2"/>
        </w:numPr>
        <w:spacing w:before="120" w:after="120" w:line="276" w:lineRule="auto"/>
        <w:ind w:left="425" w:firstLine="0"/>
        <w:jc w:val="both"/>
        <w:rPr>
          <w:color w:val="000000"/>
        </w:rPr>
      </w:pPr>
      <w:r>
        <w:rPr>
          <w:color w:val="00000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8D272D" w:rsidRDefault="001E5B61">
      <w:pPr>
        <w:numPr>
          <w:ilvl w:val="1"/>
          <w:numId w:val="2"/>
        </w:numPr>
        <w:spacing w:before="120" w:after="120" w:line="276" w:lineRule="auto"/>
        <w:ind w:left="425" w:firstLine="0"/>
        <w:jc w:val="both"/>
        <w:rPr>
          <w:color w:val="000000"/>
        </w:rPr>
      </w:pPr>
      <w:r>
        <w:rPr>
          <w:color w:val="000000"/>
        </w:rPr>
        <w:lastRenderedPageBreak/>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8D272D" w:rsidRDefault="001E5B61">
      <w:pPr>
        <w:numPr>
          <w:ilvl w:val="1"/>
          <w:numId w:val="2"/>
        </w:numPr>
        <w:spacing w:before="120" w:after="120" w:line="276" w:lineRule="auto"/>
        <w:ind w:left="425" w:firstLine="0"/>
        <w:jc w:val="both"/>
        <w:rPr>
          <w:color w:val="000000"/>
        </w:rPr>
      </w:pPr>
      <w:r>
        <w:rPr>
          <w:color w:val="000000"/>
        </w:rPr>
        <w:t>Os fornecedores assumem todos os custos de preparação e apresentação de suas propostas e a Administração não será, em nenhum caso, responsável por esses custos, independentemente da condução ou do resultado do processo de contratação.</w:t>
      </w:r>
    </w:p>
    <w:p w:rsidR="008D272D" w:rsidRDefault="001E5B61">
      <w:pPr>
        <w:numPr>
          <w:ilvl w:val="1"/>
          <w:numId w:val="2"/>
        </w:numPr>
        <w:spacing w:before="120" w:after="120" w:line="276" w:lineRule="auto"/>
        <w:ind w:left="425" w:firstLine="0"/>
        <w:jc w:val="both"/>
        <w:rPr>
          <w:color w:val="000000"/>
        </w:rPr>
      </w:pPr>
      <w:r>
        <w:rPr>
          <w:color w:val="000000"/>
        </w:rPr>
        <w:t>Em caso de divergência entre disposições deste Aviso de Contratação Direta e de seus anexos ou demais peças que compõem o processo, prevalecerá as deste Aviso.</w:t>
      </w:r>
    </w:p>
    <w:p w:rsidR="008D272D" w:rsidRDefault="001E5B61">
      <w:pPr>
        <w:numPr>
          <w:ilvl w:val="1"/>
          <w:numId w:val="2"/>
        </w:numPr>
        <w:spacing w:before="120" w:after="120" w:line="276" w:lineRule="auto"/>
        <w:ind w:left="425" w:firstLine="0"/>
        <w:jc w:val="both"/>
        <w:rPr>
          <w:color w:val="000000"/>
        </w:rPr>
      </w:pPr>
      <w:r>
        <w:rPr>
          <w:color w:val="000000"/>
        </w:rPr>
        <w:t>Da sessão pública será divulgada Ata no sistema eletrônico.</w:t>
      </w:r>
    </w:p>
    <w:p w:rsidR="008D272D" w:rsidRDefault="001E5B61">
      <w:pPr>
        <w:numPr>
          <w:ilvl w:val="1"/>
          <w:numId w:val="2"/>
        </w:numPr>
        <w:spacing w:before="120" w:after="120" w:line="276" w:lineRule="auto"/>
        <w:ind w:left="425" w:firstLine="0"/>
        <w:jc w:val="both"/>
        <w:rPr>
          <w:color w:val="000000"/>
        </w:rPr>
      </w:pPr>
      <w:r>
        <w:rPr>
          <w:color w:val="000000"/>
        </w:rPr>
        <w:t>Integram este Aviso de Contratação Direta, para todos os fins e efeitos, os seguintes anexos:</w:t>
      </w:r>
    </w:p>
    <w:p w:rsidR="008D272D" w:rsidRDefault="001E5B61">
      <w:pPr>
        <w:numPr>
          <w:ilvl w:val="2"/>
          <w:numId w:val="2"/>
        </w:numPr>
        <w:spacing w:before="120" w:after="120" w:line="276" w:lineRule="auto"/>
        <w:jc w:val="both"/>
        <w:rPr>
          <w:color w:val="000000"/>
        </w:rPr>
      </w:pPr>
      <w:r>
        <w:rPr>
          <w:color w:val="000000"/>
        </w:rPr>
        <w:t>ANEXO I – Documentação exigida para Habilitação</w:t>
      </w:r>
    </w:p>
    <w:p w:rsidR="008D272D" w:rsidRDefault="001E5B61">
      <w:pPr>
        <w:numPr>
          <w:ilvl w:val="2"/>
          <w:numId w:val="2"/>
        </w:numPr>
        <w:spacing w:before="120" w:after="120" w:line="276" w:lineRule="auto"/>
        <w:jc w:val="both"/>
        <w:rPr>
          <w:color w:val="000000"/>
        </w:rPr>
      </w:pPr>
      <w:r>
        <w:rPr>
          <w:color w:val="000000"/>
        </w:rPr>
        <w:t>ANEXO II – Termo de Referência;</w:t>
      </w:r>
    </w:p>
    <w:p w:rsidR="008D272D" w:rsidRDefault="001E5B61">
      <w:pPr>
        <w:numPr>
          <w:ilvl w:val="2"/>
          <w:numId w:val="2"/>
        </w:numPr>
        <w:spacing w:before="120" w:after="120" w:line="276" w:lineRule="auto"/>
        <w:jc w:val="both"/>
      </w:pPr>
      <w:r>
        <w:t>ANEXO III – Minuta de Nota de Empenho;</w:t>
      </w:r>
    </w:p>
    <w:p w:rsidR="008D272D" w:rsidRDefault="008D272D">
      <w:pPr>
        <w:spacing w:after="120" w:line="276" w:lineRule="auto"/>
        <w:ind w:left="360" w:right="-15"/>
        <w:jc w:val="both"/>
        <w:rPr>
          <w:color w:val="000000"/>
        </w:rPr>
      </w:pPr>
    </w:p>
    <w:p w:rsidR="008D272D" w:rsidRDefault="00760C51">
      <w:pPr>
        <w:ind w:right="-7" w:firstLine="567"/>
        <w:jc w:val="center"/>
      </w:pPr>
      <w:r>
        <w:t>Santana do Livramento, 06 de junho</w:t>
      </w:r>
      <w:r w:rsidR="001E5B61">
        <w:t xml:space="preserve"> de 2022.</w:t>
      </w:r>
    </w:p>
    <w:p w:rsidR="008D272D" w:rsidRDefault="008D272D">
      <w:pPr>
        <w:ind w:right="-7" w:firstLine="567"/>
        <w:jc w:val="center"/>
      </w:pPr>
    </w:p>
    <w:p w:rsidR="008D272D" w:rsidRDefault="008D272D">
      <w:pPr>
        <w:ind w:right="-7" w:firstLine="567"/>
        <w:jc w:val="center"/>
      </w:pPr>
    </w:p>
    <w:p w:rsidR="008D272D" w:rsidRDefault="008D272D">
      <w:pPr>
        <w:ind w:right="-7" w:firstLine="567"/>
        <w:jc w:val="center"/>
        <w:rPr>
          <w:highlight w:val="yellow"/>
        </w:rPr>
      </w:pPr>
    </w:p>
    <w:p w:rsidR="007A319D" w:rsidRDefault="00760C51" w:rsidP="007A319D">
      <w:pPr>
        <w:widowControl w:val="0"/>
        <w:pBdr>
          <w:top w:val="nil"/>
          <w:left w:val="nil"/>
          <w:bottom w:val="nil"/>
          <w:right w:val="nil"/>
          <w:between w:val="nil"/>
        </w:pBdr>
        <w:jc w:val="center"/>
        <w:rPr>
          <w:rFonts w:ascii="Times" w:eastAsia="Times" w:hAnsi="Times" w:cs="Times"/>
          <w:color w:val="00000A"/>
        </w:rPr>
      </w:pPr>
      <w:r>
        <w:rPr>
          <w:rFonts w:ascii="Times New Roman" w:hAnsi="Times New Roman" w:cs="Times New Roman"/>
          <w:b/>
          <w:color w:val="00000A"/>
          <w:sz w:val="22"/>
          <w:szCs w:val="22"/>
        </w:rPr>
        <w:t>ANDRE DE OLIVEIRA FERREIRA</w:t>
      </w:r>
      <w:r w:rsidR="007A319D">
        <w:rPr>
          <w:rFonts w:ascii="Times New Roman" w:hAnsi="Times New Roman" w:cs="Times New Roman"/>
          <w:b/>
          <w:color w:val="00000A"/>
          <w:sz w:val="22"/>
          <w:szCs w:val="22"/>
        </w:rPr>
        <w:t xml:space="preserve"> - </w:t>
      </w:r>
      <w:r>
        <w:rPr>
          <w:rFonts w:ascii="Times New Roman" w:hAnsi="Times New Roman" w:cs="Times New Roman"/>
          <w:b/>
          <w:color w:val="00000A"/>
          <w:sz w:val="22"/>
          <w:szCs w:val="22"/>
        </w:rPr>
        <w:t>CAP</w:t>
      </w:r>
    </w:p>
    <w:p w:rsidR="008D272D" w:rsidRDefault="007A319D" w:rsidP="007A319D">
      <w:pPr>
        <w:jc w:val="center"/>
        <w:rPr>
          <w:highlight w:val="yellow"/>
        </w:rPr>
      </w:pPr>
      <w:r>
        <w:rPr>
          <w:rFonts w:ascii="Times New Roman" w:hAnsi="Times New Roman" w:cs="Times New Roman"/>
          <w:b/>
          <w:color w:val="00000A"/>
          <w:sz w:val="22"/>
          <w:szCs w:val="22"/>
        </w:rPr>
        <w:t>Ordenador de Despesas</w:t>
      </w:r>
      <w:r w:rsidR="00760C51">
        <w:rPr>
          <w:rFonts w:ascii="Times New Roman" w:hAnsi="Times New Roman" w:cs="Times New Roman"/>
          <w:b/>
          <w:color w:val="00000A"/>
          <w:sz w:val="22"/>
          <w:szCs w:val="22"/>
        </w:rPr>
        <w:t xml:space="preserve"> substituto </w:t>
      </w:r>
    </w:p>
    <w:p w:rsidR="008D272D" w:rsidRDefault="008D272D">
      <w:pPr>
        <w:jc w:val="center"/>
        <w:rPr>
          <w:b/>
        </w:rPr>
      </w:pPr>
    </w:p>
    <w:p w:rsidR="008D272D" w:rsidRDefault="008D272D">
      <w:pPr>
        <w:jc w:val="center"/>
        <w:rPr>
          <w:b/>
        </w:rPr>
      </w:pPr>
    </w:p>
    <w:p w:rsidR="008D272D" w:rsidRDefault="008D272D">
      <w:pPr>
        <w:jc w:val="center"/>
        <w:rPr>
          <w:b/>
        </w:rPr>
      </w:pPr>
    </w:p>
    <w:p w:rsidR="008D272D" w:rsidRDefault="008D272D">
      <w:pPr>
        <w:jc w:val="center"/>
        <w:rPr>
          <w:b/>
        </w:rPr>
      </w:pPr>
    </w:p>
    <w:p w:rsidR="008D272D" w:rsidRDefault="008D272D">
      <w:pPr>
        <w:jc w:val="center"/>
        <w:rPr>
          <w:b/>
        </w:rPr>
      </w:pPr>
    </w:p>
    <w:p w:rsidR="008D272D" w:rsidRDefault="008D272D">
      <w:pPr>
        <w:jc w:val="center"/>
        <w:rPr>
          <w:b/>
        </w:rPr>
      </w:pPr>
    </w:p>
    <w:p w:rsidR="008D272D" w:rsidRDefault="008D272D">
      <w:pPr>
        <w:jc w:val="center"/>
        <w:rPr>
          <w:b/>
        </w:rPr>
      </w:pPr>
    </w:p>
    <w:p w:rsidR="008D272D" w:rsidRDefault="008D272D">
      <w:pPr>
        <w:jc w:val="center"/>
        <w:rPr>
          <w:b/>
        </w:rPr>
      </w:pPr>
    </w:p>
    <w:p w:rsidR="008D272D" w:rsidRDefault="008D272D">
      <w:pPr>
        <w:jc w:val="center"/>
        <w:rPr>
          <w:b/>
        </w:rPr>
      </w:pPr>
    </w:p>
    <w:p w:rsidR="008D272D" w:rsidRDefault="008D272D">
      <w:pPr>
        <w:jc w:val="center"/>
        <w:rPr>
          <w:b/>
        </w:rPr>
      </w:pPr>
    </w:p>
    <w:p w:rsidR="008D272D" w:rsidRDefault="008D272D">
      <w:pPr>
        <w:jc w:val="center"/>
        <w:rPr>
          <w:b/>
        </w:rPr>
      </w:pPr>
    </w:p>
    <w:p w:rsidR="008D272D" w:rsidRDefault="008D272D">
      <w:pPr>
        <w:jc w:val="center"/>
        <w:rPr>
          <w:b/>
        </w:rPr>
      </w:pPr>
    </w:p>
    <w:p w:rsidR="008D272D" w:rsidRDefault="008D272D">
      <w:pPr>
        <w:jc w:val="center"/>
        <w:rPr>
          <w:b/>
        </w:rPr>
      </w:pPr>
    </w:p>
    <w:p w:rsidR="008D272D" w:rsidRDefault="008D272D">
      <w:pPr>
        <w:jc w:val="center"/>
        <w:rPr>
          <w:b/>
        </w:rPr>
      </w:pPr>
    </w:p>
    <w:p w:rsidR="008D272D" w:rsidRDefault="008D272D">
      <w:pPr>
        <w:jc w:val="center"/>
        <w:rPr>
          <w:b/>
        </w:rPr>
      </w:pPr>
    </w:p>
    <w:p w:rsidR="008D272D" w:rsidRDefault="008D272D">
      <w:pPr>
        <w:jc w:val="center"/>
        <w:rPr>
          <w:b/>
        </w:rPr>
      </w:pPr>
    </w:p>
    <w:p w:rsidR="008D272D" w:rsidRDefault="008D272D">
      <w:pPr>
        <w:jc w:val="center"/>
        <w:rPr>
          <w:b/>
        </w:rPr>
      </w:pPr>
    </w:p>
    <w:p w:rsidR="008D272D" w:rsidRDefault="008D272D">
      <w:pPr>
        <w:jc w:val="center"/>
        <w:rPr>
          <w:b/>
        </w:rPr>
      </w:pPr>
    </w:p>
    <w:p w:rsidR="008D272D" w:rsidRDefault="008D272D">
      <w:pPr>
        <w:jc w:val="center"/>
        <w:rPr>
          <w:b/>
        </w:rPr>
      </w:pPr>
    </w:p>
    <w:p w:rsidR="008D272D" w:rsidRDefault="008D272D">
      <w:pPr>
        <w:jc w:val="center"/>
        <w:rPr>
          <w:b/>
        </w:rPr>
      </w:pPr>
    </w:p>
    <w:p w:rsidR="008D272D" w:rsidRDefault="008D272D">
      <w:pPr>
        <w:jc w:val="center"/>
        <w:rPr>
          <w:b/>
        </w:rPr>
      </w:pPr>
    </w:p>
    <w:p w:rsidR="008D272D" w:rsidRDefault="008D272D">
      <w:pPr>
        <w:jc w:val="center"/>
        <w:rPr>
          <w:b/>
        </w:rPr>
      </w:pPr>
    </w:p>
    <w:p w:rsidR="008D272D" w:rsidRDefault="008D272D">
      <w:pPr>
        <w:jc w:val="center"/>
        <w:rPr>
          <w:b/>
        </w:rPr>
      </w:pPr>
    </w:p>
    <w:p w:rsidR="008D272D" w:rsidRDefault="008D272D">
      <w:pPr>
        <w:jc w:val="center"/>
        <w:rPr>
          <w:b/>
        </w:rPr>
      </w:pPr>
    </w:p>
    <w:p w:rsidR="008D272D" w:rsidRDefault="008D272D">
      <w:pPr>
        <w:jc w:val="center"/>
        <w:rPr>
          <w:b/>
        </w:rPr>
      </w:pPr>
    </w:p>
    <w:p w:rsidR="008D272D" w:rsidRDefault="008D272D">
      <w:pPr>
        <w:jc w:val="center"/>
        <w:rPr>
          <w:b/>
        </w:rPr>
      </w:pPr>
    </w:p>
    <w:p w:rsidR="008D272D" w:rsidRDefault="008D272D">
      <w:pPr>
        <w:jc w:val="center"/>
        <w:rPr>
          <w:b/>
        </w:rPr>
      </w:pPr>
    </w:p>
    <w:p w:rsidR="008D272D" w:rsidRDefault="008D272D">
      <w:pPr>
        <w:jc w:val="center"/>
        <w:rPr>
          <w:b/>
        </w:rPr>
      </w:pPr>
    </w:p>
    <w:p w:rsidR="008D272D" w:rsidRDefault="008D272D">
      <w:pPr>
        <w:jc w:val="center"/>
        <w:rPr>
          <w:b/>
        </w:rPr>
      </w:pPr>
    </w:p>
    <w:p w:rsidR="008D272D" w:rsidRDefault="008D272D">
      <w:pPr>
        <w:jc w:val="center"/>
        <w:rPr>
          <w:b/>
        </w:rPr>
      </w:pPr>
    </w:p>
    <w:p w:rsidR="008D272D" w:rsidRDefault="008D272D">
      <w:pPr>
        <w:jc w:val="center"/>
        <w:rPr>
          <w:b/>
        </w:rPr>
      </w:pPr>
    </w:p>
    <w:p w:rsidR="008D272D" w:rsidRDefault="008D272D">
      <w:pPr>
        <w:jc w:val="center"/>
        <w:rPr>
          <w:b/>
        </w:rPr>
      </w:pPr>
    </w:p>
    <w:p w:rsidR="008D272D" w:rsidRDefault="008D272D">
      <w:pPr>
        <w:jc w:val="center"/>
        <w:rPr>
          <w:b/>
        </w:rPr>
      </w:pPr>
    </w:p>
    <w:p w:rsidR="008D272D" w:rsidRDefault="008D272D">
      <w:pPr>
        <w:jc w:val="center"/>
        <w:rPr>
          <w:b/>
        </w:rPr>
      </w:pPr>
    </w:p>
    <w:p w:rsidR="008D272D" w:rsidRDefault="008D272D">
      <w:pPr>
        <w:jc w:val="center"/>
        <w:rPr>
          <w:b/>
        </w:rPr>
      </w:pPr>
    </w:p>
    <w:p w:rsidR="008D272D" w:rsidRDefault="008D272D">
      <w:pPr>
        <w:jc w:val="center"/>
        <w:rPr>
          <w:b/>
        </w:rPr>
      </w:pPr>
    </w:p>
    <w:p w:rsidR="008D272D" w:rsidRDefault="008D272D">
      <w:pPr>
        <w:jc w:val="center"/>
        <w:rPr>
          <w:b/>
        </w:rPr>
      </w:pPr>
    </w:p>
    <w:p w:rsidR="008D272D" w:rsidRDefault="008D272D">
      <w:pPr>
        <w:jc w:val="center"/>
        <w:rPr>
          <w:b/>
        </w:rPr>
      </w:pPr>
    </w:p>
    <w:p w:rsidR="008D272D" w:rsidRDefault="008D272D">
      <w:pPr>
        <w:jc w:val="center"/>
        <w:rPr>
          <w:b/>
        </w:rPr>
      </w:pPr>
    </w:p>
    <w:p w:rsidR="008D272D" w:rsidRDefault="008D272D">
      <w:pPr>
        <w:jc w:val="center"/>
        <w:rPr>
          <w:b/>
        </w:rPr>
      </w:pPr>
    </w:p>
    <w:p w:rsidR="008D272D" w:rsidRDefault="008D272D">
      <w:pPr>
        <w:jc w:val="center"/>
        <w:rPr>
          <w:b/>
        </w:rPr>
      </w:pPr>
    </w:p>
    <w:p w:rsidR="008D272D" w:rsidRDefault="008D272D">
      <w:pPr>
        <w:jc w:val="center"/>
        <w:rPr>
          <w:b/>
        </w:rPr>
      </w:pPr>
    </w:p>
    <w:p w:rsidR="008D272D" w:rsidRDefault="001E5B61">
      <w:pPr>
        <w:jc w:val="center"/>
        <w:rPr>
          <w:b/>
        </w:rPr>
      </w:pPr>
      <w:r>
        <w:rPr>
          <w:b/>
        </w:rPr>
        <w:t>ANEXO I – DOCUMENTAÇÃO EXIGIDA PARA HABILITAÇÃO</w:t>
      </w:r>
    </w:p>
    <w:p w:rsidR="008D272D" w:rsidRDefault="008D272D"/>
    <w:p w:rsidR="008D272D" w:rsidRDefault="001E5B61">
      <w:pPr>
        <w:numPr>
          <w:ilvl w:val="0"/>
          <w:numId w:val="3"/>
        </w:numPr>
        <w:pBdr>
          <w:top w:val="nil"/>
          <w:left w:val="nil"/>
          <w:bottom w:val="nil"/>
          <w:right w:val="nil"/>
          <w:between w:val="nil"/>
        </w:pBdr>
        <w:shd w:val="clear" w:color="auto" w:fill="FFFFFF"/>
        <w:spacing w:before="120" w:after="120" w:line="276" w:lineRule="auto"/>
        <w:jc w:val="both"/>
        <w:rPr>
          <w:rFonts w:eastAsia="Arial" w:cs="Arial"/>
          <w:color w:val="000000"/>
          <w:szCs w:val="20"/>
        </w:rPr>
      </w:pPr>
      <w:r>
        <w:rPr>
          <w:rFonts w:eastAsia="Arial" w:cs="Arial"/>
          <w:b/>
          <w:color w:val="000000"/>
          <w:szCs w:val="20"/>
        </w:rPr>
        <w:t xml:space="preserve">Habilitação jurídica: </w:t>
      </w:r>
    </w:p>
    <w:p w:rsidR="008D272D" w:rsidRDefault="001E5B61">
      <w:pPr>
        <w:numPr>
          <w:ilvl w:val="1"/>
          <w:numId w:val="3"/>
        </w:numPr>
        <w:tabs>
          <w:tab w:val="left" w:pos="1440"/>
        </w:tabs>
        <w:spacing w:before="120" w:after="120" w:line="276" w:lineRule="auto"/>
        <w:jc w:val="both"/>
      </w:pPr>
      <w:r>
        <w:t>No caso de empresário individual, inscrição no Registro Público de Empresas Mercantis, a cargo da Junta Comercial da respectiva sede;</w:t>
      </w:r>
    </w:p>
    <w:p w:rsidR="008D272D" w:rsidRDefault="001E5B61">
      <w:pPr>
        <w:numPr>
          <w:ilvl w:val="1"/>
          <w:numId w:val="3"/>
        </w:numPr>
        <w:pBdr>
          <w:top w:val="nil"/>
          <w:left w:val="nil"/>
          <w:bottom w:val="nil"/>
          <w:right w:val="nil"/>
          <w:between w:val="nil"/>
        </w:pBdr>
        <w:tabs>
          <w:tab w:val="left" w:pos="1440"/>
        </w:tabs>
        <w:spacing w:before="120" w:after="120" w:line="276" w:lineRule="auto"/>
        <w:jc w:val="both"/>
        <w:rPr>
          <w:rFonts w:eastAsia="Arial" w:cs="Arial"/>
          <w:color w:val="000000"/>
          <w:szCs w:val="20"/>
        </w:rPr>
      </w:pPr>
      <w:r>
        <w:rPr>
          <w:rFonts w:eastAsia="Arial" w:cs="Arial"/>
          <w:color w:val="000000"/>
          <w:szCs w:val="20"/>
        </w:rPr>
        <w:t>Em se tratando de Microempreendedor Individual – MEI: Certificado da Condição de Microempreendedor Individual - CCMEI, cuja aceitação ficará condicionada à verificação da autenticidade no sítio www.portaldoempreendedor.gov.br;</w:t>
      </w:r>
    </w:p>
    <w:p w:rsidR="008D272D" w:rsidRDefault="001E5B61">
      <w:pPr>
        <w:numPr>
          <w:ilvl w:val="1"/>
          <w:numId w:val="3"/>
        </w:numPr>
        <w:tabs>
          <w:tab w:val="left" w:pos="1440"/>
        </w:tabs>
        <w:spacing w:before="120" w:after="120" w:line="276" w:lineRule="auto"/>
        <w:jc w:val="both"/>
        <w:rPr>
          <w:color w:val="000000"/>
        </w:rPr>
      </w:pPr>
      <w:r>
        <w:rPr>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8D272D" w:rsidRDefault="001E5B61">
      <w:pPr>
        <w:numPr>
          <w:ilvl w:val="1"/>
          <w:numId w:val="3"/>
        </w:numPr>
        <w:tabs>
          <w:tab w:val="left" w:pos="1440"/>
        </w:tabs>
        <w:spacing w:before="120" w:after="120" w:line="276" w:lineRule="auto"/>
        <w:jc w:val="both"/>
        <w:rPr>
          <w:color w:val="000000"/>
        </w:rPr>
      </w:pPr>
      <w:r>
        <w:rPr>
          <w:color w:val="000000"/>
        </w:rPr>
        <w:t>inscrição no Registro Público de Empresas Mercantis onde opera, com averbação no Registro onde tem sede a matriz, no caso de ser o participante sucursal, filial ou agência;</w:t>
      </w:r>
    </w:p>
    <w:p w:rsidR="008D272D" w:rsidRDefault="001E5B61">
      <w:pPr>
        <w:numPr>
          <w:ilvl w:val="1"/>
          <w:numId w:val="3"/>
        </w:numPr>
        <w:tabs>
          <w:tab w:val="left" w:pos="1440"/>
        </w:tabs>
        <w:spacing w:before="120" w:after="120" w:line="276" w:lineRule="auto"/>
        <w:jc w:val="both"/>
      </w:pPr>
      <w:r>
        <w:rPr>
          <w:color w:val="000000"/>
        </w:rPr>
        <w:t>No caso de sociedade simples: inscrição do ato constitutivo no Registro Civil das Pessoas Jurídicas do local de sua sede, acompanhada de prova da indicação dos seus administradores;</w:t>
      </w:r>
    </w:p>
    <w:p w:rsidR="008D272D" w:rsidRDefault="001E5B61">
      <w:pPr>
        <w:numPr>
          <w:ilvl w:val="1"/>
          <w:numId w:val="3"/>
        </w:numPr>
        <w:tabs>
          <w:tab w:val="left" w:pos="1440"/>
        </w:tabs>
        <w:spacing w:before="120" w:after="120" w:line="276" w:lineRule="auto"/>
        <w:jc w:val="both"/>
        <w:rPr>
          <w:color w:val="000000"/>
        </w:rPr>
      </w:pPr>
      <w:r>
        <w:rPr>
          <w:color w:val="000000"/>
        </w:rPr>
        <w:t>decreto de autorização, em se tratando de sociedade empresária estrangeira em funcionamento no País;</w:t>
      </w:r>
    </w:p>
    <w:p w:rsidR="008D272D" w:rsidRDefault="001E5B61">
      <w:pPr>
        <w:numPr>
          <w:ilvl w:val="1"/>
          <w:numId w:val="3"/>
        </w:numPr>
        <w:tabs>
          <w:tab w:val="left" w:pos="1440"/>
        </w:tabs>
        <w:spacing w:before="120" w:after="120" w:line="276" w:lineRule="auto"/>
        <w:jc w:val="both"/>
      </w:pPr>
      <w:r>
        <w:t xml:space="preserve">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8D272D" w:rsidRDefault="001E5B61">
      <w:pPr>
        <w:numPr>
          <w:ilvl w:val="1"/>
          <w:numId w:val="3"/>
        </w:numPr>
        <w:pBdr>
          <w:top w:val="nil"/>
          <w:left w:val="nil"/>
          <w:bottom w:val="nil"/>
          <w:right w:val="nil"/>
          <w:between w:val="nil"/>
        </w:pBdr>
        <w:spacing w:before="120" w:line="276" w:lineRule="auto"/>
        <w:jc w:val="both"/>
        <w:rPr>
          <w:rFonts w:eastAsia="Arial" w:cs="Arial"/>
          <w:color w:val="000000"/>
          <w:szCs w:val="20"/>
        </w:rPr>
      </w:pPr>
      <w:r>
        <w:rPr>
          <w:rFonts w:eastAsia="Arial" w:cs="Arial"/>
          <w:color w:val="000000"/>
          <w:szCs w:val="20"/>
        </w:rPr>
        <w:t>Os documentos acima deverão estar acompanhados de todas as alterações ou da consolidação respectiva.</w:t>
      </w:r>
    </w:p>
    <w:p w:rsidR="008D272D" w:rsidRDefault="008D272D">
      <w:pPr>
        <w:pBdr>
          <w:top w:val="nil"/>
          <w:left w:val="nil"/>
          <w:bottom w:val="nil"/>
          <w:right w:val="nil"/>
          <w:between w:val="nil"/>
        </w:pBdr>
        <w:spacing w:after="120" w:line="276" w:lineRule="auto"/>
        <w:ind w:left="1134"/>
        <w:jc w:val="both"/>
        <w:rPr>
          <w:rFonts w:eastAsia="Arial" w:cs="Arial"/>
          <w:color w:val="000000"/>
          <w:szCs w:val="20"/>
        </w:rPr>
      </w:pPr>
    </w:p>
    <w:p w:rsidR="008D272D" w:rsidRDefault="001E5B61">
      <w:pPr>
        <w:numPr>
          <w:ilvl w:val="0"/>
          <w:numId w:val="3"/>
        </w:numPr>
        <w:pBdr>
          <w:top w:val="nil"/>
          <w:left w:val="nil"/>
          <w:bottom w:val="nil"/>
          <w:right w:val="nil"/>
          <w:between w:val="nil"/>
        </w:pBdr>
        <w:shd w:val="clear" w:color="auto" w:fill="FFFFFF"/>
        <w:spacing w:before="120" w:after="120" w:line="276" w:lineRule="auto"/>
        <w:jc w:val="both"/>
        <w:rPr>
          <w:rFonts w:eastAsia="Arial" w:cs="Arial"/>
          <w:color w:val="000000"/>
          <w:szCs w:val="20"/>
        </w:rPr>
      </w:pPr>
      <w:r>
        <w:rPr>
          <w:rFonts w:eastAsia="Arial" w:cs="Arial"/>
          <w:b/>
          <w:color w:val="000000"/>
          <w:szCs w:val="20"/>
        </w:rPr>
        <w:t xml:space="preserve"> Regularidade fiscal, social e trabalhista:</w:t>
      </w:r>
    </w:p>
    <w:p w:rsidR="008D272D" w:rsidRDefault="001E5B61">
      <w:pPr>
        <w:numPr>
          <w:ilvl w:val="1"/>
          <w:numId w:val="3"/>
        </w:numPr>
        <w:tabs>
          <w:tab w:val="left" w:pos="1440"/>
        </w:tabs>
        <w:spacing w:before="120" w:after="120" w:line="276" w:lineRule="auto"/>
        <w:jc w:val="both"/>
      </w:pPr>
      <w:r>
        <w:t>prova de inscrição no Cadastro Nacional de Pessoas Jurídicas ou no Cadastro de Pessoas Físicas, conforme o caso;</w:t>
      </w:r>
    </w:p>
    <w:p w:rsidR="008D272D" w:rsidRDefault="001E5B61">
      <w:pPr>
        <w:numPr>
          <w:ilvl w:val="1"/>
          <w:numId w:val="3"/>
        </w:numPr>
        <w:tabs>
          <w:tab w:val="left" w:pos="1440"/>
        </w:tabs>
        <w:spacing w:before="120" w:after="120" w:line="276" w:lineRule="auto"/>
        <w:jc w:val="both"/>
      </w:pPr>
      <w: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8D272D" w:rsidRDefault="001E5B61">
      <w:pPr>
        <w:numPr>
          <w:ilvl w:val="1"/>
          <w:numId w:val="3"/>
        </w:numPr>
        <w:tabs>
          <w:tab w:val="left" w:pos="1440"/>
        </w:tabs>
        <w:spacing w:before="120" w:after="120" w:line="276" w:lineRule="auto"/>
        <w:jc w:val="both"/>
        <w:rPr>
          <w:color w:val="000000"/>
        </w:rPr>
      </w:pPr>
      <w:r>
        <w:rPr>
          <w:color w:val="000000"/>
        </w:rPr>
        <w:lastRenderedPageBreak/>
        <w:t>prova de regularidade com o Fundo de Garantia do Tempo de Serviço (FGTS);</w:t>
      </w:r>
    </w:p>
    <w:p w:rsidR="008D272D" w:rsidRDefault="001E5B61">
      <w:pPr>
        <w:numPr>
          <w:ilvl w:val="1"/>
          <w:numId w:val="3"/>
        </w:numPr>
        <w:tabs>
          <w:tab w:val="left" w:pos="1440"/>
        </w:tabs>
        <w:spacing w:before="120" w:after="120" w:line="276" w:lineRule="auto"/>
        <w:jc w:val="both"/>
      </w:pPr>
      <w: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8D272D" w:rsidRDefault="001E5B61">
      <w:pPr>
        <w:numPr>
          <w:ilvl w:val="1"/>
          <w:numId w:val="3"/>
        </w:numPr>
        <w:tabs>
          <w:tab w:val="left" w:pos="1440"/>
        </w:tabs>
        <w:spacing w:before="120" w:after="120" w:line="276" w:lineRule="auto"/>
        <w:jc w:val="both"/>
      </w:pPr>
      <w:r>
        <w:t xml:space="preserve">prova de inscrição no cadastro de contribuintes estadual e municipal, relativo ao domicílio ou sede do fornecedor, pertinente ao seu ramo de atividade e compatível com o objeto contratual; </w:t>
      </w:r>
    </w:p>
    <w:p w:rsidR="008D272D" w:rsidRDefault="001E5B61">
      <w:pPr>
        <w:numPr>
          <w:ilvl w:val="1"/>
          <w:numId w:val="3"/>
        </w:numPr>
        <w:tabs>
          <w:tab w:val="left" w:pos="1440"/>
        </w:tabs>
        <w:spacing w:before="120" w:after="120" w:line="276" w:lineRule="auto"/>
        <w:jc w:val="both"/>
        <w:rPr>
          <w:b/>
        </w:rPr>
      </w:pPr>
      <w:r>
        <w:t xml:space="preserve">prova de regularidade com a Fazenda Estadual e Municipal do domicílio ou sede do fornecedor, relativa à atividade em cujo exercício contrata ou concorre; </w:t>
      </w:r>
    </w:p>
    <w:p w:rsidR="008D272D" w:rsidRDefault="001E5B61">
      <w:pPr>
        <w:numPr>
          <w:ilvl w:val="1"/>
          <w:numId w:val="3"/>
        </w:numPr>
        <w:tabs>
          <w:tab w:val="left" w:pos="1440"/>
        </w:tabs>
        <w:spacing w:before="120" w:after="120" w:line="276" w:lineRule="auto"/>
        <w:jc w:val="both"/>
        <w:rPr>
          <w:b/>
        </w:rPr>
      </w:pPr>
      <w:r>
        <w:t xml:space="preserve">caso o fornecedor seja considerado isento dos tributos estaduais </w:t>
      </w:r>
      <w:r>
        <w:rPr>
          <w:b/>
          <w:u w:val="single"/>
        </w:rPr>
        <w:t>ou</w:t>
      </w:r>
      <w:r>
        <w:t xml:space="preserve"> municipais relacionados ao objeto contratual, deverá comprovar tal condição mediante a apresentação de declaração da Fazenda respectiva do seu domicílio ou sede, ou outra equivalente, na forma da lei; </w:t>
      </w:r>
    </w:p>
    <w:p w:rsidR="008D272D" w:rsidRDefault="001E5B61">
      <w:pPr>
        <w:numPr>
          <w:ilvl w:val="0"/>
          <w:numId w:val="3"/>
        </w:numPr>
        <w:pBdr>
          <w:top w:val="nil"/>
          <w:left w:val="nil"/>
          <w:bottom w:val="nil"/>
          <w:right w:val="nil"/>
          <w:between w:val="nil"/>
        </w:pBdr>
        <w:shd w:val="clear" w:color="auto" w:fill="FFFFFF"/>
        <w:spacing w:before="120" w:after="120" w:line="276" w:lineRule="auto"/>
        <w:jc w:val="both"/>
        <w:rPr>
          <w:rFonts w:eastAsia="Arial" w:cs="Arial"/>
          <w:color w:val="000000"/>
          <w:szCs w:val="20"/>
        </w:rPr>
      </w:pPr>
      <w:r>
        <w:rPr>
          <w:rFonts w:eastAsia="Arial" w:cs="Arial"/>
          <w:b/>
          <w:color w:val="000000"/>
          <w:szCs w:val="20"/>
        </w:rPr>
        <w:t xml:space="preserve">Qualificação Econômico-Financeira: </w:t>
      </w:r>
    </w:p>
    <w:p w:rsidR="008D272D" w:rsidRDefault="001E5B61">
      <w:pPr>
        <w:numPr>
          <w:ilvl w:val="1"/>
          <w:numId w:val="3"/>
        </w:numPr>
        <w:pBdr>
          <w:top w:val="nil"/>
          <w:left w:val="nil"/>
          <w:bottom w:val="nil"/>
          <w:right w:val="nil"/>
          <w:between w:val="nil"/>
        </w:pBdr>
        <w:tabs>
          <w:tab w:val="left" w:pos="1440"/>
        </w:tabs>
        <w:spacing w:before="120" w:after="120" w:line="276" w:lineRule="auto"/>
        <w:jc w:val="both"/>
        <w:rPr>
          <w:rFonts w:eastAsia="Arial" w:cs="Arial"/>
          <w:color w:val="000000"/>
          <w:szCs w:val="20"/>
        </w:rPr>
      </w:pPr>
      <w:r>
        <w:rPr>
          <w:rFonts w:eastAsia="Arial" w:cs="Arial"/>
          <w:color w:val="000000"/>
          <w:szCs w:val="20"/>
        </w:rPr>
        <w:t>certidão negativa de falência expedida pelo distribuidor da sede do fornecedor;</w:t>
      </w:r>
    </w:p>
    <w:p w:rsidR="008D272D" w:rsidRDefault="001E5B61">
      <w:pPr>
        <w:numPr>
          <w:ilvl w:val="1"/>
          <w:numId w:val="3"/>
        </w:numPr>
        <w:tabs>
          <w:tab w:val="left" w:pos="1440"/>
        </w:tabs>
        <w:spacing w:before="120" w:after="120" w:line="276" w:lineRule="auto"/>
        <w:jc w:val="both"/>
        <w:rPr>
          <w:color w:val="000000"/>
        </w:rPr>
      </w:pPr>
      <w:r>
        <w:rPr>
          <w:color w:val="000000"/>
        </w:rPr>
        <w:t>balanço patrimonial, demonstração de resultado de exercício e demais demonstrações contábeis dos 2 (dois) últimos exercícios sociais;</w:t>
      </w:r>
    </w:p>
    <w:p w:rsidR="008D272D" w:rsidRDefault="001E5B61">
      <w:pPr>
        <w:numPr>
          <w:ilvl w:val="2"/>
          <w:numId w:val="3"/>
        </w:numPr>
        <w:spacing w:before="120" w:after="120" w:line="276" w:lineRule="auto"/>
        <w:jc w:val="both"/>
        <w:rPr>
          <w:color w:val="000000"/>
        </w:rPr>
      </w:pPr>
      <w:r>
        <w:rPr>
          <w:color w:val="000000"/>
        </w:rPr>
        <w:t>As empresas criadas no exercício financeiro da dispensa deverão atender a todas as exigências da habilitação e poderão substituir os demonstrativos contábeis pelo balanço de abertura.</w:t>
      </w:r>
    </w:p>
    <w:p w:rsidR="008D272D" w:rsidRDefault="001E5B61">
      <w:pPr>
        <w:numPr>
          <w:ilvl w:val="2"/>
          <w:numId w:val="3"/>
        </w:numPr>
        <w:spacing w:before="120" w:after="120" w:line="276" w:lineRule="auto"/>
        <w:jc w:val="both"/>
        <w:rPr>
          <w:color w:val="000000"/>
        </w:rPr>
      </w:pPr>
      <w:r>
        <w:rPr>
          <w:color w:val="000000"/>
        </w:rPr>
        <w:t>Os documentos referidos acima limitar-se-ão ao último exercício no caso de a pessoa jurídica ter sido constituída há menos de 2 (dois) anos.</w:t>
      </w:r>
    </w:p>
    <w:p w:rsidR="008D272D" w:rsidRDefault="001E5B61">
      <w:pPr>
        <w:numPr>
          <w:ilvl w:val="2"/>
          <w:numId w:val="3"/>
        </w:numPr>
        <w:pBdr>
          <w:top w:val="nil"/>
          <w:left w:val="nil"/>
          <w:bottom w:val="nil"/>
          <w:right w:val="nil"/>
          <w:between w:val="nil"/>
        </w:pBdr>
        <w:spacing w:before="120" w:after="120" w:line="276" w:lineRule="auto"/>
        <w:jc w:val="both"/>
        <w:rPr>
          <w:rFonts w:eastAsia="Arial" w:cs="Arial"/>
          <w:i/>
          <w:color w:val="000000"/>
          <w:szCs w:val="20"/>
        </w:rPr>
      </w:pPr>
      <w:r>
        <w:rPr>
          <w:rFonts w:eastAsia="Arial" w:cs="Arial"/>
          <w:i/>
          <w:color w:val="000000"/>
          <w:szCs w:val="20"/>
        </w:rPr>
        <w:t>Caso o fornecedor seja cooperativa, tais documentos deverão ser acompanhados da última auditoria contábil-financeira, conforme dispõe o artigo 112 da Lei nº 5.764, de 1971, ou de uma declaração, sob as penas da lei, de que tal auditoria não foi exigida pelo órgão fiscalizador;</w:t>
      </w:r>
    </w:p>
    <w:p w:rsidR="008D272D" w:rsidRDefault="001E5B61">
      <w:pPr>
        <w:numPr>
          <w:ilvl w:val="1"/>
          <w:numId w:val="3"/>
        </w:numPr>
        <w:tabs>
          <w:tab w:val="left" w:pos="1440"/>
        </w:tabs>
        <w:spacing w:before="120" w:after="120" w:line="276" w:lineRule="auto"/>
        <w:jc w:val="both"/>
        <w:rPr>
          <w:color w:val="000000"/>
        </w:rPr>
      </w:pPr>
      <w:r>
        <w:rPr>
          <w:color w:val="000000"/>
        </w:rPr>
        <w:t xml:space="preserve">comprovação da boa situação financeira da empresa mediante obtenção de índices de Liquidez Geral (LG), Solvência Geral (SG) e Liquidez Corrente (LC), superiores a 1 (um), obtidos pela aplicação das seguintes fórmulas: </w:t>
      </w:r>
    </w:p>
    <w:tbl>
      <w:tblPr>
        <w:tblStyle w:val="a0"/>
        <w:tblW w:w="6487" w:type="dxa"/>
        <w:tblInd w:w="1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2234"/>
        <w:gridCol w:w="4253"/>
      </w:tblGrid>
      <w:tr w:rsidR="008D272D">
        <w:trPr>
          <w:cantSplit/>
          <w:tblHeader/>
        </w:trPr>
        <w:tc>
          <w:tcPr>
            <w:tcW w:w="2234" w:type="dxa"/>
            <w:vMerge w:val="restart"/>
            <w:tcBorders>
              <w:top w:val="nil"/>
              <w:left w:val="nil"/>
              <w:bottom w:val="nil"/>
              <w:right w:val="nil"/>
            </w:tcBorders>
            <w:vAlign w:val="center"/>
          </w:tcPr>
          <w:p w:rsidR="008D272D" w:rsidRDefault="001E5B61">
            <w:pPr>
              <w:tabs>
                <w:tab w:val="left" w:pos="1440"/>
              </w:tabs>
              <w:spacing w:line="276" w:lineRule="auto"/>
              <w:jc w:val="both"/>
              <w:rPr>
                <w:color w:val="000000"/>
              </w:rPr>
            </w:pPr>
            <w:r>
              <w:rPr>
                <w:rFonts w:ascii="Times New Roman" w:hAnsi="Times New Roman" w:cs="Times New Roman"/>
                <w:color w:val="000000"/>
              </w:rPr>
              <w:t>LG =</w:t>
            </w:r>
          </w:p>
        </w:tc>
        <w:tc>
          <w:tcPr>
            <w:tcW w:w="4253" w:type="dxa"/>
            <w:tcBorders>
              <w:top w:val="nil"/>
              <w:left w:val="nil"/>
              <w:right w:val="nil"/>
            </w:tcBorders>
            <w:vAlign w:val="bottom"/>
          </w:tcPr>
          <w:p w:rsidR="008D272D" w:rsidRDefault="001E5B61">
            <w:pPr>
              <w:tabs>
                <w:tab w:val="left" w:pos="1440"/>
              </w:tabs>
              <w:spacing w:line="276" w:lineRule="auto"/>
              <w:jc w:val="both"/>
              <w:rPr>
                <w:color w:val="000000"/>
              </w:rPr>
            </w:pPr>
            <w:r>
              <w:rPr>
                <w:rFonts w:ascii="Times New Roman" w:hAnsi="Times New Roman" w:cs="Times New Roman"/>
                <w:color w:val="000000"/>
              </w:rPr>
              <w:t>Ativo Circulante + Realizável a Longo Prazo</w:t>
            </w:r>
          </w:p>
        </w:tc>
      </w:tr>
      <w:tr w:rsidR="008D272D">
        <w:trPr>
          <w:cantSplit/>
          <w:tblHeader/>
        </w:trPr>
        <w:tc>
          <w:tcPr>
            <w:tcW w:w="2234" w:type="dxa"/>
            <w:vMerge/>
            <w:tcBorders>
              <w:top w:val="nil"/>
              <w:left w:val="nil"/>
              <w:bottom w:val="nil"/>
              <w:right w:val="nil"/>
            </w:tcBorders>
            <w:vAlign w:val="center"/>
          </w:tcPr>
          <w:p w:rsidR="008D272D" w:rsidRDefault="008D272D">
            <w:pPr>
              <w:widowControl w:val="0"/>
              <w:pBdr>
                <w:top w:val="nil"/>
                <w:left w:val="nil"/>
                <w:bottom w:val="nil"/>
                <w:right w:val="nil"/>
                <w:between w:val="nil"/>
              </w:pBdr>
              <w:spacing w:line="276" w:lineRule="auto"/>
              <w:rPr>
                <w:color w:val="000000"/>
              </w:rPr>
            </w:pPr>
          </w:p>
        </w:tc>
        <w:tc>
          <w:tcPr>
            <w:tcW w:w="4253" w:type="dxa"/>
            <w:tcBorders>
              <w:left w:val="nil"/>
              <w:bottom w:val="nil"/>
              <w:right w:val="nil"/>
            </w:tcBorders>
          </w:tcPr>
          <w:p w:rsidR="008D272D" w:rsidRDefault="001E5B61">
            <w:pPr>
              <w:tabs>
                <w:tab w:val="left" w:pos="1440"/>
              </w:tabs>
              <w:spacing w:line="276" w:lineRule="auto"/>
              <w:jc w:val="both"/>
              <w:rPr>
                <w:color w:val="000000"/>
              </w:rPr>
            </w:pPr>
            <w:r>
              <w:rPr>
                <w:rFonts w:ascii="Times New Roman" w:hAnsi="Times New Roman" w:cs="Times New Roman"/>
                <w:color w:val="000000"/>
              </w:rPr>
              <w:t>Passivo Circulante + Passivo Não Circulante</w:t>
            </w:r>
          </w:p>
        </w:tc>
      </w:tr>
    </w:tbl>
    <w:p w:rsidR="008D272D" w:rsidRDefault="008D272D">
      <w:pPr>
        <w:tabs>
          <w:tab w:val="left" w:pos="1440"/>
        </w:tabs>
        <w:spacing w:line="276" w:lineRule="auto"/>
        <w:ind w:left="1134"/>
        <w:jc w:val="both"/>
        <w:rPr>
          <w:color w:val="000000"/>
        </w:rPr>
      </w:pPr>
    </w:p>
    <w:tbl>
      <w:tblPr>
        <w:tblStyle w:val="a1"/>
        <w:tblW w:w="6629" w:type="dxa"/>
        <w:tblInd w:w="1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2234"/>
        <w:gridCol w:w="4395"/>
      </w:tblGrid>
      <w:tr w:rsidR="008D272D">
        <w:trPr>
          <w:cantSplit/>
          <w:tblHeader/>
        </w:trPr>
        <w:tc>
          <w:tcPr>
            <w:tcW w:w="2234" w:type="dxa"/>
            <w:vMerge w:val="restart"/>
            <w:tcBorders>
              <w:top w:val="nil"/>
              <w:left w:val="nil"/>
              <w:bottom w:val="nil"/>
              <w:right w:val="nil"/>
            </w:tcBorders>
            <w:vAlign w:val="center"/>
          </w:tcPr>
          <w:p w:rsidR="008D272D" w:rsidRDefault="001E5B61">
            <w:pPr>
              <w:tabs>
                <w:tab w:val="left" w:pos="1440"/>
              </w:tabs>
              <w:spacing w:line="276" w:lineRule="auto"/>
              <w:jc w:val="both"/>
              <w:rPr>
                <w:color w:val="000000"/>
              </w:rPr>
            </w:pPr>
            <w:r>
              <w:rPr>
                <w:rFonts w:ascii="Times New Roman" w:hAnsi="Times New Roman" w:cs="Times New Roman"/>
                <w:color w:val="000000"/>
              </w:rPr>
              <w:t>SG =</w:t>
            </w:r>
          </w:p>
        </w:tc>
        <w:tc>
          <w:tcPr>
            <w:tcW w:w="4395" w:type="dxa"/>
            <w:tcBorders>
              <w:top w:val="nil"/>
              <w:left w:val="nil"/>
              <w:right w:val="nil"/>
            </w:tcBorders>
            <w:vAlign w:val="bottom"/>
          </w:tcPr>
          <w:p w:rsidR="008D272D" w:rsidRDefault="001E5B61">
            <w:pPr>
              <w:tabs>
                <w:tab w:val="left" w:pos="1440"/>
              </w:tabs>
              <w:spacing w:line="276" w:lineRule="auto"/>
              <w:jc w:val="both"/>
              <w:rPr>
                <w:color w:val="000000"/>
              </w:rPr>
            </w:pPr>
            <w:r>
              <w:rPr>
                <w:rFonts w:ascii="Times New Roman" w:hAnsi="Times New Roman" w:cs="Times New Roman"/>
                <w:color w:val="000000"/>
              </w:rPr>
              <w:t>Ativo Total</w:t>
            </w:r>
          </w:p>
        </w:tc>
      </w:tr>
      <w:tr w:rsidR="008D272D">
        <w:trPr>
          <w:cantSplit/>
          <w:tblHeader/>
        </w:trPr>
        <w:tc>
          <w:tcPr>
            <w:tcW w:w="2234" w:type="dxa"/>
            <w:vMerge/>
            <w:tcBorders>
              <w:top w:val="nil"/>
              <w:left w:val="nil"/>
              <w:bottom w:val="nil"/>
              <w:right w:val="nil"/>
            </w:tcBorders>
            <w:vAlign w:val="center"/>
          </w:tcPr>
          <w:p w:rsidR="008D272D" w:rsidRDefault="008D272D">
            <w:pPr>
              <w:widowControl w:val="0"/>
              <w:pBdr>
                <w:top w:val="nil"/>
                <w:left w:val="nil"/>
                <w:bottom w:val="nil"/>
                <w:right w:val="nil"/>
                <w:between w:val="nil"/>
              </w:pBdr>
              <w:spacing w:line="276" w:lineRule="auto"/>
              <w:rPr>
                <w:color w:val="000000"/>
              </w:rPr>
            </w:pPr>
          </w:p>
        </w:tc>
        <w:tc>
          <w:tcPr>
            <w:tcW w:w="4395" w:type="dxa"/>
            <w:tcBorders>
              <w:left w:val="nil"/>
              <w:bottom w:val="nil"/>
              <w:right w:val="nil"/>
            </w:tcBorders>
          </w:tcPr>
          <w:p w:rsidR="008D272D" w:rsidRDefault="001E5B61">
            <w:pPr>
              <w:tabs>
                <w:tab w:val="left" w:pos="1440"/>
              </w:tabs>
              <w:spacing w:line="276" w:lineRule="auto"/>
              <w:jc w:val="both"/>
              <w:rPr>
                <w:color w:val="000000"/>
              </w:rPr>
            </w:pPr>
            <w:r>
              <w:rPr>
                <w:rFonts w:ascii="Times New Roman" w:hAnsi="Times New Roman" w:cs="Times New Roman"/>
                <w:color w:val="000000"/>
              </w:rPr>
              <w:t>Passivo Circulante + Passivo Não Circulante</w:t>
            </w:r>
          </w:p>
        </w:tc>
      </w:tr>
    </w:tbl>
    <w:p w:rsidR="008D272D" w:rsidRDefault="008D272D">
      <w:pPr>
        <w:tabs>
          <w:tab w:val="left" w:pos="1440"/>
        </w:tabs>
        <w:spacing w:line="276" w:lineRule="auto"/>
        <w:ind w:left="1134"/>
        <w:jc w:val="both"/>
        <w:rPr>
          <w:color w:val="000000"/>
        </w:rPr>
      </w:pPr>
    </w:p>
    <w:tbl>
      <w:tblPr>
        <w:tblStyle w:val="a2"/>
        <w:tblW w:w="4786" w:type="dxa"/>
        <w:tblInd w:w="1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2235"/>
        <w:gridCol w:w="2551"/>
      </w:tblGrid>
      <w:tr w:rsidR="008D272D">
        <w:trPr>
          <w:cantSplit/>
          <w:tblHeader/>
        </w:trPr>
        <w:tc>
          <w:tcPr>
            <w:tcW w:w="2235" w:type="dxa"/>
            <w:vMerge w:val="restart"/>
            <w:tcBorders>
              <w:top w:val="nil"/>
              <w:left w:val="nil"/>
              <w:bottom w:val="nil"/>
              <w:right w:val="nil"/>
            </w:tcBorders>
            <w:vAlign w:val="center"/>
          </w:tcPr>
          <w:p w:rsidR="008D272D" w:rsidRDefault="001E5B61">
            <w:pPr>
              <w:tabs>
                <w:tab w:val="left" w:pos="1440"/>
              </w:tabs>
              <w:spacing w:line="276" w:lineRule="auto"/>
              <w:jc w:val="both"/>
              <w:rPr>
                <w:color w:val="000000"/>
              </w:rPr>
            </w:pPr>
            <w:r>
              <w:rPr>
                <w:rFonts w:ascii="Times New Roman" w:hAnsi="Times New Roman" w:cs="Times New Roman"/>
                <w:color w:val="000000"/>
              </w:rPr>
              <w:t>LC =</w:t>
            </w:r>
          </w:p>
        </w:tc>
        <w:tc>
          <w:tcPr>
            <w:tcW w:w="2551" w:type="dxa"/>
            <w:tcBorders>
              <w:top w:val="nil"/>
              <w:left w:val="nil"/>
              <w:right w:val="nil"/>
            </w:tcBorders>
            <w:vAlign w:val="bottom"/>
          </w:tcPr>
          <w:p w:rsidR="008D272D" w:rsidRDefault="001E5B61">
            <w:pPr>
              <w:tabs>
                <w:tab w:val="left" w:pos="1440"/>
              </w:tabs>
              <w:spacing w:line="276" w:lineRule="auto"/>
              <w:jc w:val="both"/>
              <w:rPr>
                <w:color w:val="000000"/>
              </w:rPr>
            </w:pPr>
            <w:r>
              <w:rPr>
                <w:rFonts w:ascii="Times New Roman" w:hAnsi="Times New Roman" w:cs="Times New Roman"/>
                <w:color w:val="000000"/>
              </w:rPr>
              <w:t>Ativo Circulante</w:t>
            </w:r>
          </w:p>
        </w:tc>
      </w:tr>
      <w:tr w:rsidR="008D272D">
        <w:trPr>
          <w:cantSplit/>
          <w:tblHeader/>
        </w:trPr>
        <w:tc>
          <w:tcPr>
            <w:tcW w:w="2235" w:type="dxa"/>
            <w:vMerge/>
            <w:tcBorders>
              <w:top w:val="nil"/>
              <w:left w:val="nil"/>
              <w:bottom w:val="nil"/>
              <w:right w:val="nil"/>
            </w:tcBorders>
            <w:vAlign w:val="center"/>
          </w:tcPr>
          <w:p w:rsidR="008D272D" w:rsidRDefault="008D272D">
            <w:pPr>
              <w:widowControl w:val="0"/>
              <w:pBdr>
                <w:top w:val="nil"/>
                <w:left w:val="nil"/>
                <w:bottom w:val="nil"/>
                <w:right w:val="nil"/>
                <w:between w:val="nil"/>
              </w:pBdr>
              <w:spacing w:line="276" w:lineRule="auto"/>
              <w:rPr>
                <w:color w:val="000000"/>
              </w:rPr>
            </w:pPr>
          </w:p>
        </w:tc>
        <w:tc>
          <w:tcPr>
            <w:tcW w:w="2551" w:type="dxa"/>
            <w:tcBorders>
              <w:left w:val="nil"/>
              <w:bottom w:val="nil"/>
              <w:right w:val="nil"/>
            </w:tcBorders>
          </w:tcPr>
          <w:p w:rsidR="008D272D" w:rsidRDefault="001E5B61">
            <w:pPr>
              <w:tabs>
                <w:tab w:val="left" w:pos="1440"/>
              </w:tabs>
              <w:spacing w:line="276" w:lineRule="auto"/>
              <w:jc w:val="both"/>
              <w:rPr>
                <w:color w:val="000000"/>
              </w:rPr>
            </w:pPr>
            <w:r>
              <w:rPr>
                <w:rFonts w:ascii="Times New Roman" w:hAnsi="Times New Roman" w:cs="Times New Roman"/>
                <w:color w:val="000000"/>
              </w:rPr>
              <w:t>Passivo Circulante</w:t>
            </w:r>
          </w:p>
        </w:tc>
      </w:tr>
    </w:tbl>
    <w:p w:rsidR="008D272D" w:rsidRDefault="001E5B61">
      <w:pPr>
        <w:numPr>
          <w:ilvl w:val="2"/>
          <w:numId w:val="3"/>
        </w:numPr>
        <w:tabs>
          <w:tab w:val="left" w:pos="1440"/>
        </w:tabs>
        <w:spacing w:before="120" w:after="120" w:line="276" w:lineRule="auto"/>
        <w:jc w:val="both"/>
        <w:rPr>
          <w:color w:val="000000"/>
        </w:rPr>
      </w:pPr>
      <w:r>
        <w:rPr>
          <w:color w:val="000000"/>
        </w:rPr>
        <w:t xml:space="preserve">As empresas, que apresentarem resultado inferior ou igual a 1(um) em qualquer dos índices de Liquidez Geral (LG), Solvência Geral (SG) e Liquidez Corrente (LC), deverão comprovar capital ou patrimônio líquido </w:t>
      </w:r>
      <w:r>
        <w:t xml:space="preserve">mínimo de 10%(dez por cento.) do valor total estimado da contratação ou </w:t>
      </w:r>
      <w:r>
        <w:rPr>
          <w:color w:val="000000"/>
        </w:rPr>
        <w:t xml:space="preserve">do item pertinente. </w:t>
      </w:r>
    </w:p>
    <w:p w:rsidR="008D272D" w:rsidRDefault="001E5B61">
      <w:pPr>
        <w:numPr>
          <w:ilvl w:val="2"/>
          <w:numId w:val="3"/>
        </w:numPr>
        <w:tabs>
          <w:tab w:val="left" w:pos="1440"/>
        </w:tabs>
        <w:spacing w:before="120" w:after="120" w:line="276" w:lineRule="auto"/>
        <w:jc w:val="both"/>
        <w:rPr>
          <w:i/>
        </w:rPr>
      </w:pPr>
      <w:r>
        <w:rPr>
          <w:i/>
        </w:rPr>
        <w:t>O atendimento dos índices econômicos previstos neste item deverá ser atestado mediante declaração assinada por profissional habilitado da área contábil, apresentada pelo fornecedor.</w:t>
      </w:r>
    </w:p>
    <w:p w:rsidR="008D272D" w:rsidRDefault="001E5B61">
      <w:pPr>
        <w:numPr>
          <w:ilvl w:val="0"/>
          <w:numId w:val="3"/>
        </w:numPr>
        <w:pBdr>
          <w:top w:val="nil"/>
          <w:left w:val="nil"/>
          <w:bottom w:val="nil"/>
          <w:right w:val="nil"/>
          <w:between w:val="nil"/>
        </w:pBdr>
        <w:shd w:val="clear" w:color="auto" w:fill="FFFFFF"/>
        <w:spacing w:before="120" w:after="120" w:line="276" w:lineRule="auto"/>
        <w:jc w:val="both"/>
        <w:rPr>
          <w:rFonts w:eastAsia="Arial" w:cs="Arial"/>
          <w:b/>
          <w:color w:val="000000"/>
          <w:szCs w:val="20"/>
        </w:rPr>
      </w:pPr>
      <w:r>
        <w:rPr>
          <w:rFonts w:eastAsia="Arial" w:cs="Arial"/>
          <w:b/>
          <w:color w:val="000000"/>
          <w:szCs w:val="20"/>
        </w:rPr>
        <w:lastRenderedPageBreak/>
        <w:t>Qualificação Técnica</w:t>
      </w:r>
    </w:p>
    <w:p w:rsidR="008D272D" w:rsidRDefault="001E5B61">
      <w:pPr>
        <w:numPr>
          <w:ilvl w:val="1"/>
          <w:numId w:val="3"/>
        </w:numPr>
        <w:pBdr>
          <w:top w:val="nil"/>
          <w:left w:val="nil"/>
          <w:bottom w:val="nil"/>
          <w:right w:val="nil"/>
          <w:between w:val="nil"/>
        </w:pBdr>
        <w:shd w:val="clear" w:color="auto" w:fill="FFFFFF"/>
        <w:spacing w:before="120" w:after="120" w:line="276" w:lineRule="auto"/>
        <w:jc w:val="both"/>
        <w:rPr>
          <w:rFonts w:eastAsia="Arial" w:cs="Arial"/>
          <w:color w:val="000000"/>
          <w:szCs w:val="20"/>
        </w:rPr>
      </w:pPr>
      <w:r>
        <w:rPr>
          <w:rFonts w:eastAsia="Arial" w:cs="Arial"/>
          <w:color w:val="000000"/>
          <w:szCs w:val="20"/>
        </w:rPr>
        <w:t xml:space="preserve">Comprovação de aptidão para a prestação dos serviços em características, quantidades e prazos compatíveis com o objeto desta dispensa, ou com o item pertinente, mediante a apresentação de atestado(s) fornecido(s) por pessoas jurídicas de direito público ou privado. </w:t>
      </w:r>
    </w:p>
    <w:p w:rsidR="008D272D" w:rsidRDefault="001E5B61">
      <w:pPr>
        <w:numPr>
          <w:ilvl w:val="2"/>
          <w:numId w:val="3"/>
        </w:numPr>
        <w:pBdr>
          <w:top w:val="nil"/>
          <w:left w:val="nil"/>
          <w:bottom w:val="nil"/>
          <w:right w:val="nil"/>
          <w:between w:val="nil"/>
        </w:pBdr>
        <w:shd w:val="clear" w:color="auto" w:fill="FFFFFF"/>
        <w:spacing w:before="120" w:after="120" w:line="276" w:lineRule="auto"/>
        <w:jc w:val="both"/>
        <w:rPr>
          <w:rFonts w:eastAsia="Arial" w:cs="Arial"/>
          <w:color w:val="000000"/>
          <w:szCs w:val="20"/>
        </w:rPr>
      </w:pPr>
      <w:r>
        <w:rPr>
          <w:rFonts w:eastAsia="Arial" w:cs="Arial"/>
          <w:color w:val="000000"/>
          <w:szCs w:val="20"/>
        </w:rPr>
        <w:t>Para fins da comprovação de que trata este subitem, os atestados deverão dizer respeito a contratos executados com as seguintes características mínimas:</w:t>
      </w:r>
    </w:p>
    <w:p w:rsidR="008D272D" w:rsidRDefault="001E5B61">
      <w:pPr>
        <w:numPr>
          <w:ilvl w:val="3"/>
          <w:numId w:val="3"/>
        </w:numPr>
        <w:pBdr>
          <w:top w:val="nil"/>
          <w:left w:val="nil"/>
          <w:bottom w:val="nil"/>
          <w:right w:val="nil"/>
          <w:between w:val="nil"/>
        </w:pBdr>
        <w:shd w:val="clear" w:color="auto" w:fill="FFFFFF"/>
        <w:spacing w:before="120" w:after="120" w:line="276" w:lineRule="auto"/>
        <w:jc w:val="both"/>
        <w:rPr>
          <w:rFonts w:eastAsia="Arial" w:cs="Arial"/>
          <w:color w:val="000000"/>
          <w:szCs w:val="20"/>
        </w:rPr>
      </w:pPr>
      <w:r>
        <w:rPr>
          <w:rFonts w:eastAsia="Arial" w:cs="Arial"/>
          <w:color w:val="000000"/>
          <w:szCs w:val="20"/>
        </w:rPr>
        <w:t>Deverá haver a comprovação da experiência mínima de 3(três) anos na prestação dos serviços, sendo aceito o somatório de atestados de períodos diferentes, não havendo obrigatoriedade de os 3(três)   anos serem ininterruptos.</w:t>
      </w:r>
    </w:p>
    <w:p w:rsidR="008D272D" w:rsidRDefault="001E5B61">
      <w:pPr>
        <w:numPr>
          <w:ilvl w:val="3"/>
          <w:numId w:val="3"/>
        </w:numPr>
        <w:pBdr>
          <w:top w:val="nil"/>
          <w:left w:val="nil"/>
          <w:bottom w:val="nil"/>
          <w:right w:val="nil"/>
          <w:between w:val="nil"/>
        </w:pBdr>
        <w:shd w:val="clear" w:color="auto" w:fill="FFFFFF"/>
        <w:spacing w:before="120" w:after="120" w:line="276" w:lineRule="auto"/>
        <w:jc w:val="both"/>
        <w:rPr>
          <w:rFonts w:eastAsia="Arial" w:cs="Arial"/>
          <w:color w:val="000000"/>
          <w:szCs w:val="20"/>
        </w:rPr>
      </w:pPr>
      <w:bookmarkStart w:id="5" w:name="_heading=h.3dy6vkm" w:colFirst="0" w:colLast="0"/>
      <w:bookmarkEnd w:id="5"/>
      <w:r>
        <w:rPr>
          <w:rFonts w:eastAsia="Arial" w:cs="Arial"/>
          <w:color w:val="000000"/>
          <w:szCs w:val="20"/>
        </w:rPr>
        <w:t xml:space="preserve">Os atestados deverão referir-se a serviços prestados no âmbito de sua atividade econômica principal ou secundária especificadas no contrato social vigente; </w:t>
      </w:r>
    </w:p>
    <w:p w:rsidR="008D272D" w:rsidRDefault="001E5B61">
      <w:pPr>
        <w:numPr>
          <w:ilvl w:val="3"/>
          <w:numId w:val="3"/>
        </w:numPr>
        <w:pBdr>
          <w:top w:val="nil"/>
          <w:left w:val="nil"/>
          <w:bottom w:val="nil"/>
          <w:right w:val="nil"/>
          <w:between w:val="nil"/>
        </w:pBdr>
        <w:shd w:val="clear" w:color="auto" w:fill="FFFFFF"/>
        <w:spacing w:before="120" w:after="120" w:line="276" w:lineRule="auto"/>
        <w:jc w:val="both"/>
        <w:rPr>
          <w:rFonts w:eastAsia="Arial" w:cs="Arial"/>
          <w:i/>
          <w:color w:val="000000"/>
          <w:szCs w:val="20"/>
        </w:rPr>
      </w:pPr>
      <w:bookmarkStart w:id="6" w:name="_heading=h.1t3h5sf" w:colFirst="0" w:colLast="0"/>
      <w:bookmarkEnd w:id="6"/>
      <w:r>
        <w:rPr>
          <w:rFonts w:eastAsia="Arial" w:cs="Arial"/>
          <w:i/>
          <w:color w:val="000000"/>
          <w:szCs w:val="20"/>
        </w:rPr>
        <w:t>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p>
    <w:p w:rsidR="008D272D" w:rsidRDefault="001E5B61">
      <w:pPr>
        <w:numPr>
          <w:ilvl w:val="3"/>
          <w:numId w:val="3"/>
        </w:numPr>
        <w:pBdr>
          <w:top w:val="nil"/>
          <w:left w:val="nil"/>
          <w:bottom w:val="nil"/>
          <w:right w:val="nil"/>
          <w:between w:val="nil"/>
        </w:pBdr>
        <w:shd w:val="clear" w:color="auto" w:fill="FFFFFF"/>
        <w:spacing w:before="120" w:after="120" w:line="276" w:lineRule="auto"/>
        <w:jc w:val="both"/>
        <w:rPr>
          <w:rFonts w:eastAsia="Arial" w:cs="Arial"/>
          <w:color w:val="000000"/>
          <w:szCs w:val="20"/>
        </w:rPr>
      </w:pPr>
      <w:r>
        <w:rPr>
          <w:rFonts w:eastAsia="Arial" w:cs="Arial"/>
          <w:color w:val="000000"/>
          <w:szCs w:val="20"/>
        </w:rPr>
        <w:t>O fornecedor disponibilizará todas as informações necessárias à comprovação da legitimidade dos atestados, apresentando, dentre outros documentos, cópia do contrato que deu suporte à contratação, endereço atual da contratante e local em que foram prestados os serviços.</w:t>
      </w:r>
    </w:p>
    <w:p w:rsidR="008D272D" w:rsidRDefault="008D272D"/>
    <w:p w:rsidR="008D272D" w:rsidRDefault="001E5B61">
      <w:pPr>
        <w:numPr>
          <w:ilvl w:val="1"/>
          <w:numId w:val="3"/>
        </w:numPr>
        <w:pBdr>
          <w:top w:val="nil"/>
          <w:left w:val="nil"/>
          <w:bottom w:val="nil"/>
          <w:right w:val="nil"/>
          <w:between w:val="nil"/>
        </w:pBdr>
        <w:shd w:val="clear" w:color="auto" w:fill="FFFFFF"/>
        <w:spacing w:before="120" w:after="120" w:line="276" w:lineRule="auto"/>
        <w:jc w:val="both"/>
        <w:rPr>
          <w:rFonts w:eastAsia="Arial" w:cs="Arial"/>
          <w:i/>
          <w:color w:val="000000"/>
          <w:szCs w:val="20"/>
        </w:rPr>
      </w:pPr>
      <w:r>
        <w:rPr>
          <w:rFonts w:eastAsia="Arial" w:cs="Arial"/>
          <w:i/>
          <w:color w:val="000000"/>
          <w:szCs w:val="20"/>
        </w:rPr>
        <w:t>Em relação às fornecedoras cooperativas será, ainda, exigida a seguinte documentação complementar:</w:t>
      </w:r>
    </w:p>
    <w:p w:rsidR="008D272D" w:rsidRDefault="001E5B61">
      <w:pPr>
        <w:numPr>
          <w:ilvl w:val="2"/>
          <w:numId w:val="3"/>
        </w:numPr>
        <w:pBdr>
          <w:top w:val="nil"/>
          <w:left w:val="nil"/>
          <w:bottom w:val="nil"/>
          <w:right w:val="nil"/>
          <w:between w:val="nil"/>
        </w:pBdr>
        <w:shd w:val="clear" w:color="auto" w:fill="FFFFFF"/>
        <w:spacing w:before="120" w:after="120" w:line="276" w:lineRule="auto"/>
        <w:jc w:val="both"/>
        <w:rPr>
          <w:rFonts w:eastAsia="Arial" w:cs="Arial"/>
          <w:color w:val="000000"/>
          <w:szCs w:val="20"/>
        </w:rPr>
      </w:pPr>
      <w:r>
        <w:rPr>
          <w:rFonts w:eastAsia="Arial" w:cs="Arial"/>
          <w:color w:val="000000"/>
          <w:szCs w:val="20"/>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rsidR="008D272D" w:rsidRDefault="001E5B61">
      <w:pPr>
        <w:numPr>
          <w:ilvl w:val="2"/>
          <w:numId w:val="3"/>
        </w:numPr>
        <w:pBdr>
          <w:top w:val="nil"/>
          <w:left w:val="nil"/>
          <w:bottom w:val="nil"/>
          <w:right w:val="nil"/>
          <w:between w:val="nil"/>
        </w:pBdr>
        <w:shd w:val="clear" w:color="auto" w:fill="FFFFFF"/>
        <w:spacing w:before="120" w:after="120" w:line="276" w:lineRule="auto"/>
        <w:jc w:val="both"/>
        <w:rPr>
          <w:rFonts w:eastAsia="Arial" w:cs="Arial"/>
          <w:color w:val="000000"/>
          <w:szCs w:val="20"/>
        </w:rPr>
      </w:pPr>
      <w:r>
        <w:rPr>
          <w:rFonts w:eastAsia="Arial" w:cs="Arial"/>
          <w:color w:val="000000"/>
          <w:szCs w:val="20"/>
        </w:rPr>
        <w:t>A declaração de regularidade de situação do contribuinte individual – DRSCI, para cada um dos cooperados indicados;</w:t>
      </w:r>
    </w:p>
    <w:p w:rsidR="008D272D" w:rsidRDefault="001E5B61">
      <w:pPr>
        <w:numPr>
          <w:ilvl w:val="2"/>
          <w:numId w:val="3"/>
        </w:numPr>
        <w:pBdr>
          <w:top w:val="nil"/>
          <w:left w:val="nil"/>
          <w:bottom w:val="nil"/>
          <w:right w:val="nil"/>
          <w:between w:val="nil"/>
        </w:pBdr>
        <w:shd w:val="clear" w:color="auto" w:fill="FFFFFF"/>
        <w:spacing w:before="120" w:after="120" w:line="276" w:lineRule="auto"/>
        <w:jc w:val="both"/>
        <w:rPr>
          <w:rFonts w:eastAsia="Arial" w:cs="Arial"/>
          <w:color w:val="000000"/>
          <w:szCs w:val="20"/>
        </w:rPr>
      </w:pPr>
      <w:r>
        <w:rPr>
          <w:rFonts w:eastAsia="Arial" w:cs="Arial"/>
          <w:color w:val="000000"/>
          <w:szCs w:val="20"/>
        </w:rPr>
        <w:t xml:space="preserve">A comprovação do capital social proporcional ao número de cooperados necessários à prestação do serviço; </w:t>
      </w:r>
    </w:p>
    <w:p w:rsidR="008D272D" w:rsidRDefault="001E5B61">
      <w:pPr>
        <w:numPr>
          <w:ilvl w:val="2"/>
          <w:numId w:val="3"/>
        </w:numPr>
        <w:pBdr>
          <w:top w:val="nil"/>
          <w:left w:val="nil"/>
          <w:bottom w:val="nil"/>
          <w:right w:val="nil"/>
          <w:between w:val="nil"/>
        </w:pBdr>
        <w:shd w:val="clear" w:color="auto" w:fill="FFFFFF"/>
        <w:spacing w:before="120" w:after="120" w:line="276" w:lineRule="auto"/>
        <w:jc w:val="both"/>
        <w:rPr>
          <w:rFonts w:eastAsia="Arial" w:cs="Arial"/>
          <w:color w:val="000000"/>
          <w:szCs w:val="20"/>
        </w:rPr>
      </w:pPr>
      <w:r>
        <w:rPr>
          <w:rFonts w:eastAsia="Arial" w:cs="Arial"/>
          <w:color w:val="000000"/>
          <w:szCs w:val="20"/>
        </w:rPr>
        <w:t>O registro previsto na Lei n. 5.764/71, art. 107;</w:t>
      </w:r>
    </w:p>
    <w:p w:rsidR="008D272D" w:rsidRDefault="001E5B61">
      <w:pPr>
        <w:numPr>
          <w:ilvl w:val="2"/>
          <w:numId w:val="3"/>
        </w:numPr>
        <w:pBdr>
          <w:top w:val="nil"/>
          <w:left w:val="nil"/>
          <w:bottom w:val="nil"/>
          <w:right w:val="nil"/>
          <w:between w:val="nil"/>
        </w:pBdr>
        <w:shd w:val="clear" w:color="auto" w:fill="FFFFFF"/>
        <w:spacing w:before="120" w:after="120" w:line="276" w:lineRule="auto"/>
        <w:jc w:val="both"/>
        <w:rPr>
          <w:rFonts w:eastAsia="Arial" w:cs="Arial"/>
          <w:color w:val="000000"/>
          <w:szCs w:val="20"/>
        </w:rPr>
      </w:pPr>
      <w:r>
        <w:rPr>
          <w:rFonts w:eastAsia="Arial" w:cs="Arial"/>
          <w:color w:val="000000"/>
          <w:szCs w:val="20"/>
        </w:rPr>
        <w:t xml:space="preserve"> A comprovação de integração das respectivas quotas-partes por parte dos cooperados que executarão o contrato; e</w:t>
      </w:r>
    </w:p>
    <w:p w:rsidR="008D272D" w:rsidRDefault="001E5B61">
      <w:pPr>
        <w:numPr>
          <w:ilvl w:val="2"/>
          <w:numId w:val="3"/>
        </w:numPr>
        <w:pBdr>
          <w:top w:val="nil"/>
          <w:left w:val="nil"/>
          <w:bottom w:val="nil"/>
          <w:right w:val="nil"/>
          <w:between w:val="nil"/>
        </w:pBdr>
        <w:shd w:val="clear" w:color="auto" w:fill="FFFFFF"/>
        <w:spacing w:before="120" w:after="120" w:line="276" w:lineRule="auto"/>
        <w:jc w:val="both"/>
        <w:rPr>
          <w:rFonts w:eastAsia="Arial" w:cs="Arial"/>
          <w:color w:val="000000"/>
          <w:szCs w:val="20"/>
        </w:rPr>
      </w:pPr>
      <w:r>
        <w:rPr>
          <w:rFonts w:eastAsia="Arial" w:cs="Arial"/>
          <w:color w:val="000000"/>
          <w:szCs w:val="20"/>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w:t>
      </w:r>
      <w:r>
        <w:rPr>
          <w:rFonts w:eastAsia="Arial" w:cs="Arial"/>
          <w:color w:val="000000"/>
          <w:szCs w:val="20"/>
        </w:rPr>
        <w:lastRenderedPageBreak/>
        <w:t>reuniões seccionais; e f) ata da sessão que os cooperados autorizaram a cooperativa a contratar o objeto da dispensa;</w:t>
      </w:r>
    </w:p>
    <w:p w:rsidR="008D272D" w:rsidRDefault="001E5B61">
      <w:pPr>
        <w:numPr>
          <w:ilvl w:val="2"/>
          <w:numId w:val="3"/>
        </w:numPr>
        <w:pBdr>
          <w:top w:val="nil"/>
          <w:left w:val="nil"/>
          <w:bottom w:val="nil"/>
          <w:right w:val="nil"/>
          <w:between w:val="nil"/>
        </w:pBdr>
        <w:shd w:val="clear" w:color="auto" w:fill="FFFFFF"/>
        <w:spacing w:before="120" w:after="120" w:line="276" w:lineRule="auto"/>
        <w:jc w:val="both"/>
        <w:rPr>
          <w:rFonts w:eastAsia="Arial" w:cs="Arial"/>
          <w:color w:val="000000"/>
          <w:szCs w:val="20"/>
        </w:rPr>
      </w:pPr>
      <w:r>
        <w:rPr>
          <w:rFonts w:eastAsia="Arial" w:cs="Arial"/>
          <w:color w:val="000000"/>
          <w:szCs w:val="20"/>
        </w:rPr>
        <w:t>A última auditoria contábil-financeira da cooperativa, conforme dispõe o art. 112 da Lei n. 5.764/71 ou uma declaração, sob as penas da lei, de que tal auditoria não foi exigida pelo órgão fiscalizador.</w:t>
      </w:r>
    </w:p>
    <w:sectPr w:rsidR="008D272D" w:rsidSect="008D272D">
      <w:footerReference w:type="default" r:id="rId13"/>
      <w:pgSz w:w="11906" w:h="16838"/>
      <w:pgMar w:top="1417" w:right="1701" w:bottom="1417" w:left="1701" w:header="0"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16CD" w:rsidRDefault="00C116CD" w:rsidP="008D272D">
      <w:r>
        <w:separator/>
      </w:r>
    </w:p>
  </w:endnote>
  <w:endnote w:type="continuationSeparator" w:id="1">
    <w:p w:rsidR="00C116CD" w:rsidRDefault="00C116CD" w:rsidP="008D272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Noto Sans CJK SC">
    <w:panose1 w:val="00000000000000000000"/>
    <w:charset w:val="00"/>
    <w:family w:val="roman"/>
    <w:notTrueType/>
    <w:pitch w:val="default"/>
    <w:sig w:usb0="00000000" w:usb1="00000000" w:usb2="00000000" w:usb3="00000000" w:csb0="00000000" w:csb1="00000000"/>
  </w:font>
  <w:font w:name="Lohit Devanagari">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Ecofont_Spranq_eco_Sans">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WenQuanYi Micro Hei">
    <w:panose1 w:val="00000000000000000000"/>
    <w:charset w:val="00"/>
    <w:family w:val="roman"/>
    <w:notTrueType/>
    <w:pitch w:val="default"/>
    <w:sig w:usb0="00000000" w:usb1="00000000" w:usb2="00000000" w:usb3="00000000" w:csb0="00000000" w:csb1="00000000"/>
  </w:font>
  <w:font w:name="Lohit Hindi">
    <w:panose1 w:val="00000000000000000000"/>
    <w:charset w:val="00"/>
    <w:family w:val="roman"/>
    <w:notTrueType/>
    <w:pitch w:val="default"/>
    <w:sig w:usb0="00000000" w:usb1="00000000" w:usb2="00000000" w:usb3="00000000" w:csb0="00000000" w:csb1="00000000"/>
  </w:font>
  <w:font w:name="Times">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272D" w:rsidRDefault="001E5B61">
    <w:pPr>
      <w:pBdr>
        <w:top w:val="nil"/>
        <w:left w:val="nil"/>
        <w:bottom w:val="nil"/>
        <w:right w:val="nil"/>
        <w:between w:val="nil"/>
      </w:pBdr>
      <w:tabs>
        <w:tab w:val="center" w:pos="4252"/>
        <w:tab w:val="right" w:pos="8504"/>
      </w:tabs>
      <w:rPr>
        <w:rFonts w:eastAsia="Arial" w:cs="Arial"/>
        <w:color w:val="000000"/>
        <w:sz w:val="12"/>
        <w:szCs w:val="12"/>
      </w:rPr>
    </w:pPr>
    <w:r>
      <w:rPr>
        <w:rFonts w:eastAsia="Arial" w:cs="Arial"/>
        <w:color w:val="000000"/>
        <w:sz w:val="12"/>
        <w:szCs w:val="12"/>
      </w:rPr>
      <w:t>Câmara Nacional de Modelos de Licitações e Contratos – CNMLC/CGU/AGU</w:t>
    </w:r>
  </w:p>
  <w:p w:rsidR="008D272D" w:rsidRDefault="001E5B61">
    <w:pPr>
      <w:pBdr>
        <w:top w:val="nil"/>
        <w:left w:val="nil"/>
        <w:bottom w:val="nil"/>
        <w:right w:val="nil"/>
        <w:between w:val="nil"/>
      </w:pBdr>
      <w:tabs>
        <w:tab w:val="center" w:pos="4252"/>
        <w:tab w:val="right" w:pos="8504"/>
      </w:tabs>
      <w:rPr>
        <w:rFonts w:eastAsia="Arial" w:cs="Arial"/>
        <w:color w:val="000000"/>
        <w:sz w:val="12"/>
        <w:szCs w:val="12"/>
      </w:rPr>
    </w:pPr>
    <w:r>
      <w:rPr>
        <w:rFonts w:eastAsia="Arial" w:cs="Arial"/>
        <w:color w:val="000000"/>
        <w:sz w:val="12"/>
        <w:szCs w:val="12"/>
      </w:rPr>
      <w:t>Aviso de Dispensa Eletrônica – Lei nº 14.133/21 e IN SEGES/ME nº 67/2021</w:t>
    </w:r>
  </w:p>
  <w:p w:rsidR="008D272D" w:rsidRDefault="001E5B61">
    <w:pPr>
      <w:pBdr>
        <w:top w:val="nil"/>
        <w:left w:val="nil"/>
        <w:bottom w:val="nil"/>
        <w:right w:val="nil"/>
        <w:between w:val="nil"/>
      </w:pBdr>
      <w:tabs>
        <w:tab w:val="center" w:pos="4252"/>
        <w:tab w:val="right" w:pos="8504"/>
      </w:tabs>
      <w:rPr>
        <w:rFonts w:eastAsia="Arial" w:cs="Arial"/>
        <w:color w:val="000000"/>
        <w:szCs w:val="20"/>
      </w:rPr>
    </w:pPr>
    <w:r>
      <w:rPr>
        <w:rFonts w:eastAsia="Arial" w:cs="Arial"/>
        <w:color w:val="000000"/>
        <w:sz w:val="12"/>
        <w:szCs w:val="12"/>
      </w:rPr>
      <w:t>Versão: Agosto/2021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16CD" w:rsidRDefault="00C116CD" w:rsidP="008D272D">
      <w:r>
        <w:separator/>
      </w:r>
    </w:p>
  </w:footnote>
  <w:footnote w:type="continuationSeparator" w:id="1">
    <w:p w:rsidR="00C116CD" w:rsidRDefault="00C116CD" w:rsidP="008D272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3F420E"/>
    <w:multiLevelType w:val="multilevel"/>
    <w:tmpl w:val="B8F08014"/>
    <w:lvl w:ilvl="0">
      <w:start w:val="1"/>
      <w:numFmt w:val="decimal"/>
      <w:lvlText w:val="%1."/>
      <w:lvlJc w:val="left"/>
      <w:pPr>
        <w:ind w:left="360" w:hanging="360"/>
      </w:pPr>
      <w:rPr>
        <w:b/>
      </w:r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i w:val="0"/>
        <w:color w:val="000000"/>
      </w:rPr>
    </w:lvl>
    <w:lvl w:ilvl="3">
      <w:start w:val="1"/>
      <w:numFmt w:val="lowerLetter"/>
      <w:lvlText w:val="%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40A41D57"/>
    <w:multiLevelType w:val="multilevel"/>
    <w:tmpl w:val="83503E14"/>
    <w:lvl w:ilvl="0">
      <w:start w:val="1"/>
      <w:numFmt w:val="decimal"/>
      <w:lvlText w:val="%1."/>
      <w:lvlJc w:val="left"/>
      <w:pPr>
        <w:ind w:left="360" w:hanging="360"/>
      </w:pPr>
      <w:rPr>
        <w:b/>
      </w:r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i w:val="0"/>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6F182FE2"/>
    <w:multiLevelType w:val="multilevel"/>
    <w:tmpl w:val="6570F506"/>
    <w:lvl w:ilvl="0">
      <w:start w:val="1"/>
      <w:numFmt w:val="decimal"/>
      <w:lvlText w:val="%1."/>
      <w:lvlJc w:val="left"/>
      <w:pPr>
        <w:ind w:left="360" w:hanging="360"/>
      </w:pPr>
      <w:rPr>
        <w:b/>
      </w:r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i w:val="0"/>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7BC342D5"/>
    <w:multiLevelType w:val="multilevel"/>
    <w:tmpl w:val="5CB27394"/>
    <w:lvl w:ilvl="0">
      <w:start w:val="1"/>
      <w:numFmt w:val="decimal"/>
      <w:lvlText w:val="%1"/>
      <w:lvlJc w:val="left"/>
      <w:pPr>
        <w:ind w:left="360" w:hanging="360"/>
      </w:pPr>
    </w:lvl>
    <w:lvl w:ilvl="1">
      <w:start w:val="1"/>
      <w:numFmt w:val="decimal"/>
      <w:lvlText w:val="%1.%2"/>
      <w:lvlJc w:val="left"/>
      <w:pPr>
        <w:ind w:left="927" w:hanging="360"/>
      </w:pPr>
      <w:rPr>
        <w:b w:val="0"/>
      </w:rPr>
    </w:lvl>
    <w:lvl w:ilvl="2">
      <w:start w:val="1"/>
      <w:numFmt w:val="decimal"/>
      <w:lvlText w:val="%1.%2.%3"/>
      <w:lvlJc w:val="left"/>
      <w:pPr>
        <w:ind w:left="1854" w:hanging="720"/>
      </w:pPr>
      <w:rPr>
        <w:b w:val="0"/>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8D272D"/>
    <w:rsid w:val="001E5B61"/>
    <w:rsid w:val="002A07CA"/>
    <w:rsid w:val="005A4503"/>
    <w:rsid w:val="006D6616"/>
    <w:rsid w:val="00760C51"/>
    <w:rsid w:val="007A319D"/>
    <w:rsid w:val="00851F6C"/>
    <w:rsid w:val="00855C04"/>
    <w:rsid w:val="008D272D"/>
    <w:rsid w:val="008F08C8"/>
    <w:rsid w:val="00C116CD"/>
    <w:rsid w:val="00F67181"/>
    <w:rsid w:val="00FA5F4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E1A"/>
    <w:rPr>
      <w:rFonts w:eastAsia="Times New Roman" w:cs="Tahoma"/>
      <w:szCs w:val="24"/>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0"/>
    <w:next w:val="normal0"/>
    <w:rsid w:val="008D272D"/>
    <w:pPr>
      <w:keepNext/>
      <w:keepLines/>
      <w:spacing w:before="360" w:after="80"/>
      <w:outlineLvl w:val="1"/>
    </w:pPr>
    <w:rPr>
      <w:b/>
      <w:sz w:val="36"/>
      <w:szCs w:val="36"/>
    </w:rPr>
  </w:style>
  <w:style w:type="paragraph" w:styleId="Ttulo3">
    <w:name w:val="heading 3"/>
    <w:basedOn w:val="normal0"/>
    <w:next w:val="normal0"/>
    <w:rsid w:val="008D272D"/>
    <w:pPr>
      <w:keepNext/>
      <w:keepLines/>
      <w:spacing w:before="280" w:after="80"/>
      <w:outlineLvl w:val="2"/>
    </w:pPr>
    <w:rPr>
      <w:b/>
      <w:sz w:val="28"/>
      <w:szCs w:val="28"/>
    </w:rPr>
  </w:style>
  <w:style w:type="paragraph" w:styleId="Ttulo4">
    <w:name w:val="heading 4"/>
    <w:basedOn w:val="normal0"/>
    <w:next w:val="normal0"/>
    <w:rsid w:val="008D272D"/>
    <w:pPr>
      <w:keepNext/>
      <w:keepLines/>
      <w:spacing w:before="240" w:after="40"/>
      <w:outlineLvl w:val="3"/>
    </w:pPr>
    <w:rPr>
      <w:b/>
      <w:sz w:val="24"/>
      <w:szCs w:val="24"/>
    </w:rPr>
  </w:style>
  <w:style w:type="paragraph" w:styleId="Ttulo5">
    <w:name w:val="heading 5"/>
    <w:basedOn w:val="normal0"/>
    <w:next w:val="normal0"/>
    <w:rsid w:val="008D272D"/>
    <w:pPr>
      <w:keepNext/>
      <w:keepLines/>
      <w:spacing w:before="220" w:after="40"/>
      <w:outlineLvl w:val="4"/>
    </w:pPr>
    <w:rPr>
      <w:b/>
      <w:sz w:val="22"/>
      <w:szCs w:val="22"/>
    </w:rPr>
  </w:style>
  <w:style w:type="paragraph" w:styleId="Ttulo6">
    <w:name w:val="heading 6"/>
    <w:basedOn w:val="normal0"/>
    <w:next w:val="normal0"/>
    <w:rsid w:val="008D272D"/>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0">
    <w:name w:val="normal"/>
    <w:rsid w:val="008D272D"/>
  </w:style>
  <w:style w:type="table" w:customStyle="1" w:styleId="TableNormal">
    <w:name w:val="Table Normal"/>
    <w:rsid w:val="008D272D"/>
    <w:tblPr>
      <w:tblCellMar>
        <w:top w:w="0" w:type="dxa"/>
        <w:left w:w="0" w:type="dxa"/>
        <w:bottom w:w="0" w:type="dxa"/>
        <w:right w:w="0" w:type="dxa"/>
      </w:tblCellMar>
    </w:tblPr>
  </w:style>
  <w:style w:type="paragraph" w:styleId="Ttulo">
    <w:name w:val="Title"/>
    <w:basedOn w:val="Normal"/>
    <w:next w:val="Corpodetexto"/>
    <w:qFormat/>
    <w:rsid w:val="008D272D"/>
    <w:pPr>
      <w:keepNext/>
      <w:spacing w:before="240" w:after="120"/>
    </w:pPr>
    <w:rPr>
      <w:rFonts w:ascii="Liberation Sans" w:eastAsia="Noto Sans CJK SC" w:hAnsi="Liberation Sans" w:cs="Lohit Devanagari"/>
      <w:sz w:val="28"/>
      <w:szCs w:val="28"/>
    </w:rPr>
  </w:style>
  <w:style w:type="character" w:customStyle="1" w:styleId="CitaoChar">
    <w:name w:val="Citação Char"/>
    <w:basedOn w:val="Fontepargpadro"/>
    <w:link w:val="Citao"/>
    <w:qFormat/>
    <w:rsid w:val="009F7713"/>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9F7713"/>
    <w:rPr>
      <w:rFonts w:ascii="Arial" w:eastAsiaTheme="majorEastAsia" w:hAnsi="Arial" w:cs="Times New Roman"/>
      <w:b/>
      <w:bCs/>
      <w:color w:val="000000"/>
      <w:sz w:val="20"/>
      <w:szCs w:val="20"/>
      <w:lang w:eastAsia="pt-BR"/>
    </w:rPr>
  </w:style>
  <w:style w:type="character" w:customStyle="1" w:styleId="Ttulo1Char">
    <w:name w:val="Título 1 Char"/>
    <w:basedOn w:val="Fontepargpadro"/>
    <w:link w:val="Ttulo1"/>
    <w:uiPriority w:val="9"/>
    <w:qFormat/>
    <w:rsid w:val="009F7713"/>
    <w:rPr>
      <w:rFonts w:asciiTheme="majorHAnsi" w:eastAsiaTheme="majorEastAsia" w:hAnsiTheme="majorHAnsi" w:cstheme="majorBidi"/>
      <w:color w:val="2F5496" w:themeColor="accent1" w:themeShade="BF"/>
      <w:sz w:val="32"/>
      <w:szCs w:val="32"/>
      <w:lang w:eastAsia="pt-BR"/>
    </w:rPr>
  </w:style>
  <w:style w:type="character" w:customStyle="1" w:styleId="citao2Char">
    <w:name w:val="citação 2 Char"/>
    <w:basedOn w:val="CitaoChar"/>
    <w:qFormat/>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A728B9"/>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3D08AF"/>
    <w:rPr>
      <w:sz w:val="16"/>
      <w:szCs w:val="16"/>
    </w:rPr>
  </w:style>
  <w:style w:type="character" w:customStyle="1" w:styleId="TextodecomentrioChar">
    <w:name w:val="Texto de comentário Char"/>
    <w:basedOn w:val="Fontepargpadro"/>
    <w:link w:val="Textodecomentrio"/>
    <w:qFormat/>
    <w:rsid w:val="003D08AF"/>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3D08AF"/>
    <w:rPr>
      <w:rFonts w:ascii="Arial" w:eastAsia="Times New Roman" w:hAnsi="Arial" w:cs="Tahoma"/>
      <w:b/>
      <w:bCs/>
      <w:sz w:val="20"/>
      <w:szCs w:val="20"/>
      <w:lang w:eastAsia="pt-BR"/>
    </w:rPr>
  </w:style>
  <w:style w:type="character" w:customStyle="1" w:styleId="LinkdaInternet">
    <w:name w:val="Link da Internet"/>
    <w:rsid w:val="002F5EFF"/>
    <w:rPr>
      <w:color w:val="000080"/>
      <w:u w:val="single"/>
    </w:rPr>
  </w:style>
  <w:style w:type="character" w:customStyle="1" w:styleId="Nivel4Char">
    <w:name w:val="Nivel 4 Char"/>
    <w:basedOn w:val="Fontepargpadro"/>
    <w:link w:val="Nivel4"/>
    <w:qFormat/>
    <w:rsid w:val="002F5EFF"/>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731D60"/>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805244"/>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805244"/>
    <w:rPr>
      <w:rFonts w:ascii="Arial" w:eastAsia="Times New Roman" w:hAnsi="Arial" w:cs="Tahoma"/>
      <w:sz w:val="20"/>
      <w:szCs w:val="24"/>
      <w:lang w:eastAsia="pt-BR"/>
    </w:rPr>
  </w:style>
  <w:style w:type="character" w:customStyle="1" w:styleId="CorpodetextoChar">
    <w:name w:val="Corpo de texto Char"/>
    <w:basedOn w:val="Fontepargpadro"/>
    <w:link w:val="Corpodetexto"/>
    <w:uiPriority w:val="1"/>
    <w:qFormat/>
    <w:rsid w:val="00D57A5A"/>
    <w:rPr>
      <w:rFonts w:ascii="Times New Roman" w:eastAsia="Times New Roman" w:hAnsi="Times New Roman" w:cs="Times New Roman"/>
    </w:rPr>
  </w:style>
  <w:style w:type="paragraph" w:styleId="Corpodetexto">
    <w:name w:val="Body Text"/>
    <w:basedOn w:val="Normal"/>
    <w:link w:val="CorpodetextoChar"/>
    <w:uiPriority w:val="1"/>
    <w:qFormat/>
    <w:rsid w:val="00D57A5A"/>
    <w:pPr>
      <w:ind w:left="357"/>
    </w:pPr>
    <w:rPr>
      <w:rFonts w:ascii="Times New Roman" w:hAnsi="Times New Roman" w:cs="Times New Roman"/>
      <w:sz w:val="22"/>
      <w:szCs w:val="22"/>
      <w:lang w:eastAsia="en-US"/>
    </w:rPr>
  </w:style>
  <w:style w:type="paragraph" w:styleId="Lista">
    <w:name w:val="List"/>
    <w:basedOn w:val="Corpodetexto"/>
    <w:rsid w:val="008D272D"/>
    <w:rPr>
      <w:rFonts w:cs="Lohit Devanagari"/>
    </w:rPr>
  </w:style>
  <w:style w:type="paragraph" w:styleId="Legenda">
    <w:name w:val="caption"/>
    <w:basedOn w:val="Normal"/>
    <w:qFormat/>
    <w:rsid w:val="008D272D"/>
    <w:pPr>
      <w:suppressLineNumbers/>
      <w:spacing w:before="120" w:after="120"/>
    </w:pPr>
    <w:rPr>
      <w:rFonts w:cs="Lohit Devanagari"/>
      <w:i/>
      <w:iCs/>
      <w:sz w:val="24"/>
    </w:rPr>
  </w:style>
  <w:style w:type="paragraph" w:customStyle="1" w:styleId="ndice">
    <w:name w:val="Índice"/>
    <w:basedOn w:val="Normal"/>
    <w:qFormat/>
    <w:rsid w:val="008D272D"/>
    <w:pPr>
      <w:suppressLineNumbers/>
    </w:pPr>
    <w:rPr>
      <w:rFonts w:cs="Lohit Devanagari"/>
    </w:rPr>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paragraph" w:customStyle="1" w:styleId="PADRO">
    <w:name w:val="PADRÃO"/>
    <w:qFormat/>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qFormat/>
    <w:rsid w:val="006A70C8"/>
    <w:rPr>
      <w:szCs w:val="20"/>
    </w:rPr>
  </w:style>
  <w:style w:type="paragraph" w:customStyle="1" w:styleId="Citao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3D08AF"/>
    <w:rPr>
      <w:szCs w:val="20"/>
    </w:rPr>
  </w:style>
  <w:style w:type="paragraph" w:styleId="Assuntodocomentrio">
    <w:name w:val="annotation subject"/>
    <w:basedOn w:val="Textodecomentrio"/>
    <w:next w:val="Textodecomentrio"/>
    <w:link w:val="AssuntodocomentrioChar"/>
    <w:uiPriority w:val="99"/>
    <w:semiHidden/>
    <w:unhideWhenUsed/>
    <w:qFormat/>
    <w:rsid w:val="003D08AF"/>
    <w:rPr>
      <w:b/>
      <w:bCs/>
    </w:rPr>
  </w:style>
  <w:style w:type="paragraph" w:customStyle="1" w:styleId="Nivel1">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paragraph" w:customStyle="1" w:styleId="Nivel2">
    <w:name w:val="Nivel 2"/>
    <w:qFormat/>
    <w:rsid w:val="002F5EFF"/>
    <w:pPr>
      <w:spacing w:before="120" w:after="120" w:line="276" w:lineRule="auto"/>
      <w:jc w:val="both"/>
    </w:pPr>
    <w:rPr>
      <w:rFonts w:ascii="Ecofont_Spranq_eco_Sans" w:eastAsia="Arial Unicode MS" w:hAnsi="Ecofont_Spranq_eco_Sans" w:cs="Times New Roman"/>
    </w:rPr>
  </w:style>
  <w:style w:type="paragraph" w:customStyle="1" w:styleId="Nivel10">
    <w:name w:val="Nivel 1"/>
    <w:basedOn w:val="Nivel2"/>
    <w:next w:val="Nivel2"/>
    <w:qFormat/>
    <w:rsid w:val="002F5EFF"/>
    <w:rPr>
      <w:rFonts w:cs="Arial"/>
      <w:b/>
    </w:rPr>
  </w:style>
  <w:style w:type="paragraph" w:customStyle="1" w:styleId="Nivel3">
    <w:name w:val="Nivel 3"/>
    <w:basedOn w:val="Nivel2"/>
    <w:qFormat/>
    <w:rsid w:val="002F5EFF"/>
    <w:rPr>
      <w:rFonts w:cs="Arial"/>
      <w:color w:val="000000"/>
    </w:rPr>
  </w:style>
  <w:style w:type="paragraph" w:customStyle="1" w:styleId="Nivel4">
    <w:name w:val="Nivel 4"/>
    <w:basedOn w:val="Nivel3"/>
    <w:link w:val="Nivel4Char"/>
    <w:qFormat/>
    <w:rsid w:val="002F5EFF"/>
    <w:rPr>
      <w:color w:val="auto"/>
    </w:rPr>
  </w:style>
  <w:style w:type="paragraph" w:customStyle="1" w:styleId="Nivel5">
    <w:name w:val="Nivel 5"/>
    <w:basedOn w:val="Nivel4"/>
    <w:qFormat/>
    <w:rsid w:val="002F5EFF"/>
    <w:pPr>
      <w:tabs>
        <w:tab w:val="left" w:pos="360"/>
      </w:tabs>
    </w:pPr>
  </w:style>
  <w:style w:type="paragraph" w:styleId="Textodebalo">
    <w:name w:val="Balloon Text"/>
    <w:basedOn w:val="Normal"/>
    <w:link w:val="TextodebaloChar"/>
    <w:uiPriority w:val="99"/>
    <w:semiHidden/>
    <w:unhideWhenUsed/>
    <w:qFormat/>
    <w:rsid w:val="00731D60"/>
    <w:rPr>
      <w:rFonts w:ascii="Segoe UI" w:hAnsi="Segoe UI" w:cs="Segoe UI"/>
      <w:sz w:val="18"/>
      <w:szCs w:val="18"/>
    </w:rPr>
  </w:style>
  <w:style w:type="paragraph" w:customStyle="1" w:styleId="CabealhoeRodap">
    <w:name w:val="Cabeçalho e Rodapé"/>
    <w:basedOn w:val="Normal"/>
    <w:qFormat/>
    <w:rsid w:val="008D272D"/>
  </w:style>
  <w:style w:type="paragraph" w:styleId="Cabealho">
    <w:name w:val="header"/>
    <w:basedOn w:val="Normal"/>
    <w:link w:val="CabealhoChar"/>
    <w:uiPriority w:val="99"/>
    <w:unhideWhenUsed/>
    <w:rsid w:val="00805244"/>
    <w:pPr>
      <w:tabs>
        <w:tab w:val="center" w:pos="4252"/>
        <w:tab w:val="right" w:pos="8504"/>
      </w:tabs>
    </w:pPr>
  </w:style>
  <w:style w:type="paragraph" w:styleId="Rodap">
    <w:name w:val="footer"/>
    <w:basedOn w:val="Normal"/>
    <w:link w:val="RodapChar"/>
    <w:uiPriority w:val="99"/>
    <w:unhideWhenUsed/>
    <w:rsid w:val="00805244"/>
    <w:pPr>
      <w:tabs>
        <w:tab w:val="center" w:pos="4252"/>
        <w:tab w:val="right" w:pos="8504"/>
      </w:tabs>
    </w:pPr>
  </w:style>
  <w:style w:type="table" w:styleId="Tabelacomgrade">
    <w:name w:val="Table Grid"/>
    <w:basedOn w:val="Tabelanormal"/>
    <w:rsid w:val="002F5EFF"/>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qFormat/>
    <w:rsid w:val="003E7399"/>
    <w:pPr>
      <w:widowControl w:val="0"/>
      <w:autoSpaceDN w:val="0"/>
      <w:textAlignment w:val="baseline"/>
    </w:pPr>
    <w:rPr>
      <w:rFonts w:ascii="Times" w:eastAsia="Times" w:hAnsi="Times" w:cs="Times"/>
      <w:color w:val="00000A"/>
      <w:kern w:val="3"/>
      <w:sz w:val="24"/>
    </w:rPr>
  </w:style>
  <w:style w:type="paragraph" w:customStyle="1" w:styleId="Contedodatabela">
    <w:name w:val="Conteúdo da tabela"/>
    <w:basedOn w:val="Normal"/>
    <w:qFormat/>
    <w:rsid w:val="003E7399"/>
    <w:pPr>
      <w:ind w:left="357"/>
    </w:pPr>
    <w:rPr>
      <w:rFonts w:ascii="Times New Roman" w:hAnsi="Times New Roman" w:cs="Times New Roman"/>
      <w:sz w:val="22"/>
      <w:szCs w:val="22"/>
      <w:lang w:eastAsia="en-US"/>
    </w:rPr>
  </w:style>
  <w:style w:type="paragraph" w:customStyle="1" w:styleId="TableContents">
    <w:name w:val="Table Contents"/>
    <w:basedOn w:val="Standard"/>
    <w:rsid w:val="003E7399"/>
    <w:pPr>
      <w:suppressLineNumbers/>
    </w:pPr>
  </w:style>
  <w:style w:type="paragraph" w:styleId="Subttulo">
    <w:name w:val="Subtitle"/>
    <w:basedOn w:val="Normal"/>
    <w:next w:val="Normal"/>
    <w:rsid w:val="008D272D"/>
    <w:pPr>
      <w:keepNext/>
      <w:keepLines/>
      <w:spacing w:before="360" w:after="80"/>
    </w:pPr>
    <w:rPr>
      <w:rFonts w:ascii="Georgia" w:eastAsia="Georgia" w:hAnsi="Georgia" w:cs="Georgia"/>
      <w:i/>
      <w:color w:val="666666"/>
      <w:sz w:val="48"/>
      <w:szCs w:val="48"/>
    </w:rPr>
  </w:style>
  <w:style w:type="table" w:customStyle="1" w:styleId="a">
    <w:basedOn w:val="TableNormal"/>
    <w:rsid w:val="008D272D"/>
    <w:tblPr>
      <w:tblStyleRowBandSize w:val="1"/>
      <w:tblStyleColBandSize w:val="1"/>
      <w:tblCellMar>
        <w:top w:w="0" w:type="dxa"/>
        <w:left w:w="0" w:type="dxa"/>
        <w:bottom w:w="0" w:type="dxa"/>
        <w:right w:w="0" w:type="dxa"/>
      </w:tblCellMar>
    </w:tblPr>
  </w:style>
  <w:style w:type="table" w:customStyle="1" w:styleId="a0">
    <w:basedOn w:val="TableNormal"/>
    <w:rsid w:val="008D272D"/>
    <w:tblPr>
      <w:tblStyleRowBandSize w:val="1"/>
      <w:tblStyleColBandSize w:val="1"/>
      <w:tblCellMar>
        <w:top w:w="0" w:type="dxa"/>
        <w:left w:w="108" w:type="dxa"/>
        <w:bottom w:w="0" w:type="dxa"/>
        <w:right w:w="108" w:type="dxa"/>
      </w:tblCellMar>
    </w:tblPr>
  </w:style>
  <w:style w:type="table" w:customStyle="1" w:styleId="a1">
    <w:basedOn w:val="TableNormal"/>
    <w:rsid w:val="008D272D"/>
    <w:tblPr>
      <w:tblStyleRowBandSize w:val="1"/>
      <w:tblStyleColBandSize w:val="1"/>
      <w:tblCellMar>
        <w:top w:w="0" w:type="dxa"/>
        <w:left w:w="108" w:type="dxa"/>
        <w:bottom w:w="0" w:type="dxa"/>
        <w:right w:w="108" w:type="dxa"/>
      </w:tblCellMar>
    </w:tblPr>
  </w:style>
  <w:style w:type="table" w:customStyle="1" w:styleId="a2">
    <w:basedOn w:val="TableNormal"/>
    <w:rsid w:val="008D272D"/>
    <w:tblPr>
      <w:tblStyleRowBandSize w:val="1"/>
      <w:tblStyleColBandSize w:val="1"/>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j.jus.br/improbidade_adm/consultar_requerido.php"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portaldatransparencia.gov.br/ceis" TargetMode="External"/><Relationship Id="rId4" Type="http://schemas.openxmlformats.org/officeDocument/2006/relationships/settings" Target="settings.xml"/><Relationship Id="rId9" Type="http://schemas.openxmlformats.org/officeDocument/2006/relationships/hyperlink" Target="http://www.planalto.gov.br/ccivil_03/LEIS/L6404consol.htm" TargetMode="Externa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4yhDubJwE0xqtP9cD+nLzz9i/7w==">AMUW2mX9Pf2OZ6abaQkCASM5wAHm0DfDc/8/Bx8g5nDzMj3Jg44x9LUE8UefqZ+efWfgy5YBVXpLP/k40PQbKAre3xZ3ALdHTtWyQi9Ekz6pO8UwHrh1HXlYdsMcyCJp4EQJ2ev0kfD040qcILahAZ/Jm+J2xpCzltfgQjyZYDCQW1OhSpUHCOhzv6jbviIBJavTmBJnPpImLliX/wBWljyfS9Z7mPv2kQ==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15</Pages>
  <Words>6042</Words>
  <Characters>32631</Characters>
  <Application>Microsoft Office Word</Application>
  <DocSecurity>0</DocSecurity>
  <Lines>271</Lines>
  <Paragraphs>77</Paragraphs>
  <ScaleCrop>false</ScaleCrop>
  <Company/>
  <LinksUpToDate>false</LinksUpToDate>
  <CharactersWithSpaces>38596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Hugo Sales</dc:creator>
  <cp:lastModifiedBy>Machado</cp:lastModifiedBy>
  <cp:revision>6</cp:revision>
  <cp:lastPrinted>2022-06-06T12:29:00Z</cp:lastPrinted>
  <dcterms:created xsi:type="dcterms:W3CDTF">2022-05-18T20:10:00Z</dcterms:created>
  <dcterms:modified xsi:type="dcterms:W3CDTF">2022-06-06T17:34:00Z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