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dodocumento"/>
        <w:widowControl w:val="false"/>
        <w:jc w:val="center"/>
        <w:rPr>
          <w:rFonts w:ascii="Calibri" w:hAnsi="Calibri" w:cs="Calibri" w:asciiTheme="minorHAnsi" w:cstheme="minorHAnsi" w:hAnsiTheme="minorHAnsi"/>
        </w:rPr>
      </w:pPr>
      <w:r>
        <w:rPr/>
        <w:object>
          <v:shape id="ole_rId2" style="width:28.35pt;height:28.35pt" o:ole="">
            <v:imagedata r:id="rId3" o:title=""/>
          </v:shape>
          <o:OLEObject Type="Embed" ProgID="PBrush" ShapeID="ole_rId2" DrawAspect="Content" ObjectID="_1839835171" r:id="rId2"/>
        </w:object>
      </w:r>
    </w:p>
    <w:p>
      <w:pPr>
        <w:pStyle w:val="NoSpacing"/>
        <w:widowControl w:val="false"/>
        <w:jc w:val="center"/>
        <w:rPr>
          <w:rFonts w:ascii="Calibri" w:hAnsi="Calibri" w:cs="Calibri" w:asciiTheme="minorHAnsi" w:cstheme="minorHAnsi" w:hAnsiTheme="minorHAnsi"/>
          <w:b/>
          <w:b/>
          <w:color w:val="000000" w:themeColor="text1"/>
          <w:sz w:val="20"/>
          <w:szCs w:val="20"/>
        </w:rPr>
      </w:pPr>
      <w:r>
        <w:rPr>
          <w:rFonts w:cs="Calibri" w:ascii="Calibri" w:hAnsi="Calibri" w:asciiTheme="minorHAnsi" w:cstheme="minorHAnsi" w:hAnsiTheme="minorHAnsi"/>
          <w:b/>
          <w:color w:val="000000" w:themeColor="text1"/>
          <w:sz w:val="20"/>
          <w:szCs w:val="20"/>
        </w:rPr>
        <w:t>MINISTÉRIO DA DEFESA</w:t>
      </w:r>
    </w:p>
    <w:p>
      <w:pPr>
        <w:pStyle w:val="Normal"/>
        <w:widowControl w:val="false"/>
        <w:jc w:val="center"/>
        <w:rPr>
          <w:rFonts w:ascii="Calibri" w:hAnsi="Calibri" w:cs="Calibri" w:asciiTheme="minorHAnsi" w:cstheme="minorHAnsi" w:hAnsiTheme="minorHAnsi"/>
          <w:b/>
          <w:b/>
          <w:bCs/>
          <w:color w:val="000000" w:themeColor="text1"/>
          <w:sz w:val="20"/>
          <w:szCs w:val="20"/>
        </w:rPr>
      </w:pPr>
      <w:r>
        <w:rPr>
          <w:rFonts w:cs="Calibri" w:ascii="Calibri" w:hAnsi="Calibri" w:asciiTheme="minorHAnsi" w:cstheme="minorHAnsi" w:hAnsiTheme="minorHAnsi"/>
          <w:b/>
          <w:bCs/>
          <w:color w:val="000000" w:themeColor="text1"/>
          <w:sz w:val="20"/>
          <w:szCs w:val="20"/>
        </w:rPr>
        <w:t>EXÉRCITO BRASILEIRO</w:t>
      </w:r>
    </w:p>
    <w:p>
      <w:pPr>
        <w:pStyle w:val="Normal"/>
        <w:widowControl w:val="false"/>
        <w:jc w:val="center"/>
        <w:rPr>
          <w:rFonts w:ascii="Calibri" w:hAnsi="Calibri" w:cs="Calibri" w:asciiTheme="minorHAnsi" w:cstheme="minorHAnsi" w:hAnsiTheme="minorHAnsi"/>
          <w:b/>
          <w:b/>
          <w:bCs/>
          <w:color w:val="000000" w:themeColor="text1"/>
          <w:sz w:val="20"/>
          <w:szCs w:val="20"/>
        </w:rPr>
      </w:pPr>
      <w:r>
        <w:rPr>
          <w:rFonts w:cs="Calibri" w:ascii="Calibri" w:hAnsi="Calibri" w:asciiTheme="minorHAnsi" w:cstheme="minorHAnsi" w:hAnsiTheme="minorHAnsi"/>
          <w:b/>
          <w:bCs/>
          <w:color w:val="000000" w:themeColor="text1"/>
          <w:sz w:val="20"/>
          <w:szCs w:val="20"/>
        </w:rPr>
        <w:t>38º BATALHÃO DE INFANTARIA</w:t>
      </w:r>
    </w:p>
    <w:p>
      <w:pPr>
        <w:pStyle w:val="Normal"/>
        <w:widowControl w:val="false"/>
        <w:jc w:val="center"/>
        <w:rPr>
          <w:rFonts w:ascii="Calibri" w:hAnsi="Calibri" w:cs="Calibri" w:asciiTheme="minorHAnsi" w:cstheme="minorHAnsi" w:hAnsiTheme="minorHAnsi"/>
          <w:b/>
          <w:b/>
          <w:bCs/>
          <w:color w:val="000000" w:themeColor="text1"/>
          <w:sz w:val="20"/>
          <w:szCs w:val="20"/>
        </w:rPr>
      </w:pPr>
      <w:r>
        <w:rPr>
          <w:rFonts w:cs="Calibri" w:ascii="Calibri" w:hAnsi="Calibri" w:asciiTheme="minorHAnsi" w:cstheme="minorHAnsi" w:hAnsiTheme="minorHAnsi"/>
          <w:b/>
          <w:bCs/>
          <w:color w:val="000000" w:themeColor="text1"/>
          <w:sz w:val="20"/>
          <w:szCs w:val="20"/>
        </w:rPr>
        <w:t>(Inf da Gu Fx BA/1851)</w:t>
      </w:r>
    </w:p>
    <w:p>
      <w:pPr>
        <w:pStyle w:val="Normal"/>
        <w:widowControl w:val="false"/>
        <w:jc w:val="center"/>
        <w:rPr>
          <w:rFonts w:ascii="Calibri" w:hAnsi="Calibri" w:cs="Calibri" w:asciiTheme="minorHAnsi" w:cstheme="minorHAnsi" w:hAnsiTheme="minorHAnsi"/>
          <w:b/>
          <w:b/>
          <w:bCs/>
          <w:color w:val="000000" w:themeColor="text1"/>
        </w:rPr>
      </w:pPr>
      <w:r>
        <w:rPr>
          <w:rFonts w:cs="Calibri" w:ascii="Calibri" w:hAnsi="Calibri" w:asciiTheme="minorHAnsi" w:cstheme="minorHAnsi" w:hAnsiTheme="minorHAnsi"/>
          <w:b/>
          <w:bCs/>
          <w:color w:val="000000" w:themeColor="text1"/>
          <w:sz w:val="20"/>
          <w:szCs w:val="20"/>
        </w:rPr>
        <w:t>BATALHÃO GENERAL TIBÚRCIO</w:t>
      </w:r>
    </w:p>
    <w:p>
      <w:pPr>
        <w:pStyle w:val="Normal"/>
        <w:spacing w:lineRule="exact" w:line="268"/>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p>
      <w:pPr>
        <w:pStyle w:val="Normal"/>
        <w:spacing w:lineRule="auto" w:line="235"/>
        <w:ind w:left="851" w:right="345" w:hanging="0"/>
        <w:jc w:val="center"/>
        <w:rPr>
          <w:rFonts w:ascii="Calibri" w:hAnsi="Calibri" w:eastAsia="Times New Roman"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 xml:space="preserve">PRAIA DE PIRATININGA, S/Nº – PRAINHA – VILA VELHA (ES) – CEP 29100-901 </w:t>
      </w:r>
    </w:p>
    <w:p>
      <w:pPr>
        <w:pStyle w:val="Normal"/>
        <w:spacing w:lineRule="auto" w:line="235"/>
        <w:ind w:left="851" w:right="345" w:hanging="0"/>
        <w:jc w:val="center"/>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 xml:space="preserve">FONE (27) </w:t>
      </w:r>
      <w:bookmarkStart w:id="0" w:name="__DdeLink__10016_1540243727"/>
      <w:r>
        <w:rPr>
          <w:rFonts w:eastAsia="Times New Roman" w:cs="Calibri" w:ascii="Calibri" w:hAnsi="Calibri" w:asciiTheme="minorHAnsi" w:cstheme="minorHAnsi" w:hAnsiTheme="minorHAnsi"/>
          <w:color w:val="000000" w:themeColor="text1"/>
          <w:sz w:val="24"/>
          <w:szCs w:val="24"/>
        </w:rPr>
        <w:t>3061-7333</w:t>
      </w:r>
      <w:bookmarkEnd w:id="0"/>
      <w:r>
        <w:rPr>
          <w:rFonts w:eastAsia="Times New Roman" w:cs="Calibri" w:ascii="Calibri" w:hAnsi="Calibri" w:asciiTheme="minorHAnsi" w:cstheme="minorHAnsi" w:hAnsiTheme="minorHAnsi"/>
          <w:color w:val="000000" w:themeColor="text1"/>
          <w:sz w:val="24"/>
          <w:szCs w:val="24"/>
        </w:rPr>
        <w:t xml:space="preserve"> – E-mail: </w:t>
      </w:r>
      <w:bookmarkStart w:id="1" w:name="__DdeLink__328_1286284596"/>
      <w:bookmarkEnd w:id="1"/>
      <w:r>
        <w:rPr>
          <w:rFonts w:eastAsia="Times New Roman" w:cs="Calibri" w:ascii="Calibri" w:hAnsi="Calibri" w:asciiTheme="minorHAnsi" w:cstheme="minorHAnsi" w:hAnsiTheme="minorHAnsi"/>
          <w:color w:val="000000" w:themeColor="text1"/>
          <w:sz w:val="24"/>
          <w:szCs w:val="24"/>
        </w:rPr>
        <w:t>cpl38bi@yahoo.com.br</w:t>
      </w:r>
    </w:p>
    <w:p>
      <w:pPr>
        <w:pStyle w:val="Normal"/>
        <w:spacing w:lineRule="exact" w:line="266"/>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p>
      <w:pPr>
        <w:pStyle w:val="Normal"/>
        <w:ind w:right="-319" w:hanging="0"/>
        <w:jc w:val="center"/>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b/>
          <w:bCs/>
          <w:color w:val="000000" w:themeColor="text1"/>
          <w:sz w:val="24"/>
          <w:szCs w:val="24"/>
        </w:rPr>
        <w:t>TERMO DE REFERÊNCIA</w:t>
      </w:r>
    </w:p>
    <w:p>
      <w:pPr>
        <w:pStyle w:val="Normal"/>
        <w:spacing w:lineRule="exact" w:line="20"/>
        <w:rPr>
          <w:rFonts w:ascii="Calibri" w:hAnsi="Calibri" w:cs="Calibri" w:asciiTheme="minorHAnsi" w:cstheme="minorHAnsi" w:hAnsiTheme="minorHAnsi"/>
          <w:b/>
          <w:b/>
          <w:bCs/>
          <w:color w:val="000000" w:themeColor="text1"/>
          <w:sz w:val="24"/>
          <w:szCs w:val="24"/>
        </w:rPr>
      </w:pPr>
      <w:r>
        <w:rPr>
          <w:rFonts w:cs="Calibri" w:cstheme="minorHAnsi" w:ascii="Calibri" w:hAnsi="Calibri"/>
          <w:b/>
          <w:bCs/>
          <w:color w:val="000000" w:themeColor="text1"/>
          <w:sz w:val="24"/>
          <w:szCs w:val="24"/>
        </w:rPr>
      </w:r>
    </w:p>
    <w:p>
      <w:pPr>
        <w:pStyle w:val="Normal"/>
        <w:ind w:right="-359" w:hanging="0"/>
        <w:jc w:val="center"/>
        <w:rPr>
          <w:rFonts w:ascii="Calibri" w:hAnsi="Calibri" w:eastAsia="Times New Roman" w:cs="Calibri" w:asciiTheme="minorHAnsi" w:cstheme="minorHAnsi" w:hAnsiTheme="minorHAnsi"/>
          <w:b/>
          <w:b/>
          <w:bCs/>
          <w:color w:val="000000" w:themeColor="text1"/>
          <w:sz w:val="24"/>
          <w:szCs w:val="24"/>
        </w:rPr>
      </w:pPr>
      <w:r>
        <w:rPr>
          <w:rFonts w:eastAsia="Times New Roman" w:cs="Calibri" w:ascii="Calibri" w:hAnsi="Calibri" w:asciiTheme="minorHAnsi" w:cstheme="minorHAnsi" w:hAnsiTheme="minorHAnsi"/>
          <w:b/>
          <w:bCs/>
          <w:color w:val="000000" w:themeColor="text1"/>
          <w:sz w:val="24"/>
          <w:szCs w:val="24"/>
        </w:rPr>
        <w:t>PROCESSO ADMINISTRATIVO Nº _____/2022</w:t>
      </w:r>
    </w:p>
    <w:p>
      <w:pPr>
        <w:pStyle w:val="Normal"/>
        <w:ind w:right="-359" w:hanging="0"/>
        <w:jc w:val="center"/>
        <w:rPr>
          <w:rFonts w:ascii="Calibri" w:hAnsi="Calibri" w:eastAsia="Times New Roman" w:cs="Calibri" w:asciiTheme="minorHAnsi" w:cstheme="minorHAnsi" w:hAnsiTheme="minorHAnsi"/>
          <w:b/>
          <w:b/>
          <w:bCs/>
          <w:color w:val="000000" w:themeColor="text1"/>
          <w:sz w:val="24"/>
          <w:szCs w:val="24"/>
        </w:rPr>
      </w:pPr>
      <w:r>
        <w:rPr>
          <w:rFonts w:eastAsia="Times New Roman" w:cs="Calibri" w:ascii="Calibri" w:hAnsi="Calibri" w:asciiTheme="minorHAnsi" w:cstheme="minorHAnsi" w:hAnsiTheme="minorHAnsi"/>
          <w:b/>
          <w:bCs/>
          <w:color w:val="000000" w:themeColor="text1"/>
          <w:sz w:val="24"/>
          <w:szCs w:val="24"/>
        </w:rPr>
        <w:t>DISPENSA ELETRÔNICA Nº ______/2022</w:t>
      </w:r>
    </w:p>
    <w:p>
      <w:pPr>
        <w:pStyle w:val="Normal"/>
        <w:ind w:right="-359" w:hanging="0"/>
        <w:jc w:val="center"/>
        <w:rPr/>
      </w:pPr>
      <w:r>
        <w:rPr>
          <w:rFonts w:eastAsia="Times New Roman" w:cs="Calibri" w:ascii="Calibri" w:hAnsi="Calibri" w:asciiTheme="minorHAnsi" w:cstheme="minorHAnsi" w:hAnsiTheme="minorHAnsi"/>
          <w:b/>
          <w:bCs/>
          <w:color w:val="000000" w:themeColor="text1"/>
          <w:sz w:val="24"/>
          <w:szCs w:val="24"/>
        </w:rPr>
        <w:t>NUP: 64064.011433/2022-42</w:t>
      </w:r>
    </w:p>
    <w:p>
      <w:pPr>
        <w:pStyle w:val="Normal"/>
        <w:ind w:right="-359" w:hanging="0"/>
        <w:jc w:val="center"/>
        <w:rPr>
          <w:rFonts w:ascii="Calibri" w:hAnsi="Calibri" w:cs="Calibri" w:asciiTheme="minorHAnsi" w:cstheme="minorHAnsi" w:hAnsiTheme="minorHAnsi"/>
          <w:b/>
          <w:b/>
          <w:bCs/>
          <w:color w:val="000000" w:themeColor="text1"/>
          <w:sz w:val="24"/>
          <w:szCs w:val="24"/>
        </w:rPr>
      </w:pPr>
      <w:r>
        <w:rPr>
          <w:rFonts w:cs="Calibri" w:cstheme="minorHAnsi" w:ascii="Calibri" w:hAnsi="Calibri"/>
          <w:b/>
          <w:bCs/>
          <w:color w:val="000000" w:themeColor="text1"/>
          <w:sz w:val="24"/>
          <w:szCs w:val="24"/>
        </w:rPr>
      </w:r>
    </w:p>
    <w:p>
      <w:pPr>
        <w:pStyle w:val="Normal"/>
        <w:spacing w:lineRule="exact" w:line="314"/>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p>
      <w:pPr>
        <w:pStyle w:val="Normal"/>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b/>
          <w:bCs/>
          <w:color w:val="000000" w:themeColor="text1"/>
          <w:sz w:val="24"/>
          <w:szCs w:val="24"/>
        </w:rPr>
        <w:t>1.  OBJETO</w:t>
      </w:r>
    </w:p>
    <w:p>
      <w:pPr>
        <w:pStyle w:val="Normal"/>
        <w:ind w:firstLine="283"/>
        <w:jc w:val="both"/>
        <w:rPr/>
      </w:pPr>
      <w:r>
        <w:rPr>
          <w:rFonts w:eastAsia="Times New Roman" w:cs="Calibri" w:ascii="Calibri" w:hAnsi="Calibri" w:asciiTheme="minorHAnsi" w:cstheme="minorHAnsi" w:hAnsiTheme="minorHAnsi"/>
          <w:color w:val="000000" w:themeColor="text1"/>
          <w:sz w:val="24"/>
          <w:szCs w:val="24"/>
        </w:rPr>
        <w:t>1.1 A presente licitação na modalidade DISPENSA ELETRÔNICA tem como objeto a aquisição de material hospitalar e medicamentos, conforme condições, quantidades e exigências estabelecidas neste Termo de Referência.</w:t>
      </w:r>
    </w:p>
    <w:p>
      <w:pPr>
        <w:pStyle w:val="Normal"/>
        <w:spacing w:lineRule="exact" w:line="292"/>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p>
      <w:pPr>
        <w:pStyle w:val="Normal"/>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b/>
          <w:bCs/>
          <w:color w:val="000000" w:themeColor="text1"/>
          <w:sz w:val="24"/>
          <w:szCs w:val="24"/>
        </w:rPr>
        <w:t>2.  JUSTIFICATIVA</w:t>
      </w:r>
    </w:p>
    <w:p>
      <w:pPr>
        <w:pStyle w:val="Normal"/>
        <w:ind w:firstLine="283"/>
        <w:jc w:val="both"/>
        <w:rPr/>
      </w:pPr>
      <w:r>
        <w:rPr>
          <w:rFonts w:eastAsia="Times New Roman" w:cs="Calibri" w:ascii="Calibri" w:hAnsi="Calibri" w:asciiTheme="minorHAnsi" w:cstheme="minorHAnsi" w:hAnsiTheme="minorHAnsi"/>
          <w:color w:val="000000" w:themeColor="text1"/>
          <w:sz w:val="24"/>
          <w:szCs w:val="24"/>
        </w:rPr>
        <w:t xml:space="preserve">2.1 </w:t>
      </w:r>
      <w:bookmarkStart w:id="2" w:name="__DdeLink__4893_1594558593"/>
      <w:r>
        <w:rPr>
          <w:rFonts w:eastAsia="Times New Roman" w:cs="Calibri" w:ascii="Calibri" w:hAnsi="Calibri"/>
          <w:color w:val="000000"/>
          <w:sz w:val="24"/>
          <w:szCs w:val="24"/>
          <w:lang w:val="pt-BR"/>
        </w:rPr>
        <w:t>Os materiais hospitalares e medicamentos necessitam ser adquiridos para os atendimentos diários realizados na Formação Sanitária, além de serem usados em exercícios de campo e em procedimentos realizados no Posto Médico.</w:t>
      </w:r>
      <w:bookmarkEnd w:id="2"/>
    </w:p>
    <w:p>
      <w:pPr>
        <w:pStyle w:val="Normal"/>
        <w:spacing w:lineRule="exact" w:line="234"/>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p>
      <w:pPr>
        <w:pStyle w:val="Normal"/>
        <w:rPr>
          <w:rFonts w:ascii="Calibri" w:hAnsi="Calibri" w:cs="Calibri" w:asciiTheme="minorHAnsi" w:cstheme="minorHAnsi" w:hAnsiTheme="minorHAnsi"/>
          <w:b/>
          <w:b/>
          <w:bCs/>
          <w:color w:val="000000" w:themeColor="text1"/>
          <w:sz w:val="24"/>
          <w:szCs w:val="24"/>
        </w:rPr>
      </w:pPr>
      <w:r>
        <w:rPr>
          <w:rFonts w:eastAsia="Times New Roman" w:cs="Calibri" w:ascii="Calibri" w:hAnsi="Calibri" w:asciiTheme="minorHAnsi" w:cstheme="minorHAnsi" w:hAnsiTheme="minorHAnsi"/>
          <w:b/>
          <w:bCs/>
          <w:color w:val="000000" w:themeColor="text1"/>
          <w:sz w:val="24"/>
          <w:szCs w:val="24"/>
        </w:rPr>
        <w:t>3. ESPECIFICAÇÃO TÉCNICA / DESCRIÇÃO DO OBJETO</w:t>
      </w:r>
    </w:p>
    <w:p>
      <w:pPr>
        <w:pStyle w:val="Normal"/>
        <w:ind w:left="340" w:hanging="0"/>
        <w:rPr>
          <w:rFonts w:ascii="Calibri" w:hAnsi="Calibri" w:eastAsia="Times New Roman" w:cs="Calibri" w:asciiTheme="minorHAnsi" w:cstheme="minorHAnsi" w:hAnsiTheme="minorHAnsi"/>
          <w:color w:val="000000" w:themeColor="text1"/>
          <w:sz w:val="24"/>
          <w:szCs w:val="24"/>
        </w:rPr>
      </w:pPr>
      <w:r>
        <w:rPr>
          <w:rFonts w:eastAsia="Times New Roman" w:cs="Calibri" w:cstheme="minorHAnsi" w:ascii="Calibri" w:hAnsi="Calibri"/>
          <w:color w:val="000000" w:themeColor="text1"/>
          <w:sz w:val="24"/>
          <w:szCs w:val="24"/>
        </w:rPr>
      </w:r>
    </w:p>
    <w:p>
      <w:pPr>
        <w:pStyle w:val="Normal"/>
        <w:spacing w:lineRule="exact" w:line="20"/>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tbl>
      <w:tblPr>
        <w:tblW w:w="9923" w:type="dxa"/>
        <w:jc w:val="left"/>
        <w:tblInd w:w="10" w:type="dxa"/>
        <w:tblCellMar>
          <w:top w:w="0" w:type="dxa"/>
          <w:left w:w="10" w:type="dxa"/>
          <w:bottom w:w="0" w:type="dxa"/>
          <w:right w:w="30" w:type="dxa"/>
        </w:tblCellMar>
        <w:tblLook w:val="0000" w:noHBand="0" w:noVBand="0" w:firstColumn="0" w:lastRow="0" w:lastColumn="0" w:firstRow="0"/>
      </w:tblPr>
      <w:tblGrid>
        <w:gridCol w:w="709"/>
        <w:gridCol w:w="4820"/>
        <w:gridCol w:w="1417"/>
        <w:gridCol w:w="1418"/>
        <w:gridCol w:w="1559"/>
      </w:tblGrid>
      <w:tr>
        <w:trPr>
          <w:trHeight w:val="311" w:hRule="atLeast"/>
        </w:trPr>
        <w:tc>
          <w:tcPr>
            <w:tcW w:w="709" w:type="dxa"/>
            <w:tcBorders>
              <w:top w:val="single" w:sz="4" w:space="0" w:color="000001"/>
              <w:left w:val="single" w:sz="4" w:space="0" w:color="000001"/>
              <w:bottom w:val="single" w:sz="4" w:space="0" w:color="000001"/>
            </w:tcBorders>
            <w:shd w:color="auto" w:fill="auto" w:val="clear"/>
            <w:vAlign w:val="center"/>
          </w:tcPr>
          <w:p>
            <w:pPr>
              <w:pStyle w:val="Caption"/>
              <w:widowControl w:val="false"/>
              <w:spacing w:before="0" w:after="0"/>
              <w:jc w:val="center"/>
              <w:rPr>
                <w:rFonts w:ascii="Calibri" w:hAnsi="Calibri" w:cs="Calibri" w:asciiTheme="minorHAnsi" w:cstheme="minorHAnsi" w:hAnsiTheme="minorHAnsi"/>
                <w:color w:val="000000" w:themeColor="text1"/>
              </w:rPr>
            </w:pPr>
            <w:r>
              <w:rPr>
                <w:rFonts w:cs="Calibri" w:ascii="Calibri" w:hAnsi="Calibri" w:asciiTheme="minorHAnsi" w:cstheme="minorHAnsi" w:hAnsiTheme="minorHAnsi"/>
                <w:b/>
                <w:i w:val="false"/>
                <w:color w:val="000000" w:themeColor="text1"/>
              </w:rPr>
              <w:t>Item</w:t>
            </w:r>
          </w:p>
        </w:tc>
        <w:tc>
          <w:tcPr>
            <w:tcW w:w="4820" w:type="dxa"/>
            <w:tcBorders>
              <w:top w:val="single" w:sz="4" w:space="0" w:color="000001"/>
              <w:left w:val="single" w:sz="4" w:space="0" w:color="000001"/>
              <w:bottom w:val="single" w:sz="4" w:space="0" w:color="000001"/>
            </w:tcBorders>
            <w:shd w:color="auto" w:fill="auto" w:val="clear"/>
            <w:vAlign w:val="center"/>
          </w:tcPr>
          <w:p>
            <w:pPr>
              <w:pStyle w:val="Caption"/>
              <w:widowControl w:val="false"/>
              <w:spacing w:before="0" w:after="0"/>
              <w:jc w:val="center"/>
              <w:rPr>
                <w:rFonts w:ascii="Calibri" w:hAnsi="Calibri" w:cs="Calibri" w:asciiTheme="minorHAnsi" w:cstheme="minorHAnsi" w:hAnsiTheme="minorHAnsi"/>
                <w:color w:val="000000" w:themeColor="text1"/>
              </w:rPr>
            </w:pPr>
            <w:r>
              <w:rPr>
                <w:rFonts w:cs="Calibri" w:ascii="Calibri" w:hAnsi="Calibri" w:asciiTheme="minorHAnsi" w:cstheme="minorHAnsi" w:hAnsiTheme="minorHAnsi"/>
                <w:b/>
                <w:bCs/>
                <w:i w:val="false"/>
                <w:color w:val="000000" w:themeColor="text1"/>
              </w:rPr>
              <w:t>Especificação</w:t>
            </w:r>
          </w:p>
        </w:tc>
        <w:tc>
          <w:tcPr>
            <w:tcW w:w="1417" w:type="dxa"/>
            <w:tcBorders>
              <w:top w:val="single" w:sz="4" w:space="0" w:color="000001"/>
              <w:left w:val="single" w:sz="4" w:space="0" w:color="000001"/>
              <w:bottom w:val="single" w:sz="4" w:space="0" w:color="000001"/>
            </w:tcBorders>
            <w:shd w:color="auto" w:fill="auto" w:val="clear"/>
            <w:vAlign w:val="center"/>
          </w:tcPr>
          <w:p>
            <w:pPr>
              <w:pStyle w:val="Caption"/>
              <w:widowControl w:val="false"/>
              <w:spacing w:before="0" w:after="0"/>
              <w:jc w:val="center"/>
              <w:rPr>
                <w:rFonts w:ascii="Calibri" w:hAnsi="Calibri" w:cs="Calibri" w:asciiTheme="minorHAnsi" w:cstheme="minorHAnsi" w:hAnsiTheme="minorHAnsi"/>
                <w:color w:val="000000" w:themeColor="text1"/>
              </w:rPr>
            </w:pPr>
            <w:r>
              <w:rPr>
                <w:rFonts w:cs="Calibri" w:ascii="Calibri" w:hAnsi="Calibri" w:asciiTheme="minorHAnsi" w:cstheme="minorHAnsi" w:hAnsiTheme="minorHAnsi"/>
                <w:b/>
                <w:i w:val="false"/>
                <w:color w:val="000000" w:themeColor="text1"/>
              </w:rPr>
              <w:t>Unidade</w:t>
            </w:r>
          </w:p>
        </w:tc>
        <w:tc>
          <w:tcPr>
            <w:tcW w:w="1418" w:type="dxa"/>
            <w:tcBorders>
              <w:top w:val="single" w:sz="4" w:space="0" w:color="000001"/>
              <w:left w:val="single" w:sz="4" w:space="0" w:color="000001"/>
              <w:bottom w:val="single" w:sz="4" w:space="0" w:color="000001"/>
            </w:tcBorders>
            <w:shd w:color="auto" w:fill="auto" w:val="clear"/>
            <w:vAlign w:val="center"/>
          </w:tcPr>
          <w:p>
            <w:pPr>
              <w:pStyle w:val="Caption"/>
              <w:widowControl w:val="false"/>
              <w:spacing w:before="0" w:after="0"/>
              <w:jc w:val="center"/>
              <w:rPr>
                <w:rFonts w:ascii="Calibri" w:hAnsi="Calibri" w:cs="Calibri" w:asciiTheme="minorHAnsi" w:cstheme="minorHAnsi" w:hAnsiTheme="minorHAnsi"/>
                <w:b/>
                <w:b/>
                <w:i w:val="false"/>
                <w:i w:val="false"/>
                <w:color w:val="000000" w:themeColor="text1"/>
              </w:rPr>
            </w:pPr>
            <w:r>
              <w:rPr>
                <w:rFonts w:cs="Calibri" w:ascii="Calibri" w:hAnsi="Calibri" w:asciiTheme="minorHAnsi" w:cstheme="minorHAnsi" w:hAnsiTheme="minorHAnsi"/>
                <w:b/>
                <w:i w:val="false"/>
                <w:color w:val="000000" w:themeColor="text1"/>
              </w:rPr>
              <w:t>Valor Unit</w:t>
            </w:r>
          </w:p>
        </w:tc>
        <w:tc>
          <w:tcPr>
            <w:tcW w:w="1559"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Caption"/>
              <w:widowControl w:val="false"/>
              <w:spacing w:before="0" w:after="0"/>
              <w:jc w:val="center"/>
              <w:rPr>
                <w:rFonts w:ascii="Calibri" w:hAnsi="Calibri" w:cs="Calibri" w:asciiTheme="minorHAnsi" w:cstheme="minorHAnsi" w:hAnsiTheme="minorHAnsi"/>
                <w:color w:val="000000" w:themeColor="text1"/>
              </w:rPr>
            </w:pPr>
            <w:r>
              <w:rPr>
                <w:rFonts w:cs="Calibri" w:ascii="Calibri" w:hAnsi="Calibri" w:asciiTheme="minorHAnsi" w:cstheme="minorHAnsi" w:hAnsiTheme="minorHAnsi"/>
                <w:b/>
                <w:i w:val="false"/>
                <w:color w:val="000000" w:themeColor="text1"/>
              </w:rPr>
              <w:t>Valor Total</w:t>
            </w:r>
          </w:p>
        </w:tc>
      </w:tr>
      <w:tr>
        <w:trPr>
          <w:trHeight w:val="79" w:hRule="atLeast"/>
        </w:trPr>
        <w:tc>
          <w:tcPr>
            <w:tcW w:w="709" w:type="dxa"/>
            <w:tcBorders>
              <w:top w:val="single" w:sz="4" w:space="0" w:color="000001"/>
              <w:left w:val="single" w:sz="4" w:space="0" w:color="000001"/>
              <w:bottom w:val="single" w:sz="4" w:space="0" w:color="000001"/>
            </w:tcBorders>
            <w:shd w:color="auto" w:fill="auto" w:val="clear"/>
            <w:vAlign w:val="center"/>
          </w:tcPr>
          <w:p>
            <w:pPr>
              <w:pStyle w:val="Normal"/>
              <w:widowControl w:val="false"/>
              <w:jc w:val="center"/>
              <w:rPr>
                <w:rFonts w:ascii="Calibri" w:hAnsi="Calibri"/>
                <w:sz w:val="24"/>
                <w:szCs w:val="24"/>
              </w:rPr>
            </w:pPr>
            <w:r>
              <w:rPr>
                <w:rFonts w:cs="Calibri" w:ascii="Calibri" w:hAnsi="Calibri"/>
                <w:color w:val="000000"/>
                <w:sz w:val="24"/>
                <w:szCs w:val="24"/>
              </w:rPr>
              <w:t>1</w:t>
            </w:r>
          </w:p>
        </w:tc>
        <w:tc>
          <w:tcPr>
            <w:tcW w:w="4820" w:type="dxa"/>
            <w:tcBorders>
              <w:top w:val="single" w:sz="4" w:space="0" w:color="000001"/>
              <w:left w:val="single" w:sz="4" w:space="0" w:color="000001"/>
              <w:bottom w:val="single" w:sz="4" w:space="0" w:color="000001"/>
            </w:tcBorders>
            <w:shd w:color="auto" w:fill="auto" w:val="clear"/>
            <w:vAlign w:val="bottom"/>
          </w:tcPr>
          <w:p>
            <w:pPr>
              <w:pStyle w:val="Normal"/>
              <w:widowControl w:val="false"/>
              <w:tabs>
                <w:tab w:val="clear" w:pos="720"/>
                <w:tab w:val="left" w:pos="1134" w:leader="none"/>
              </w:tabs>
              <w:spacing w:lineRule="auto" w:line="240" w:before="0" w:after="200"/>
              <w:jc w:val="left"/>
              <w:rPr>
                <w:rFonts w:ascii="Calibri" w:hAnsi="Calibri"/>
                <w:sz w:val="24"/>
                <w:szCs w:val="24"/>
              </w:rPr>
            </w:pPr>
            <w:r>
              <w:rPr>
                <w:rFonts w:eastAsia="Times New Roman" w:cs="Arial" w:ascii="Calibri" w:hAnsi="Calibri"/>
                <w:b w:val="false"/>
                <w:bCs w:val="false"/>
                <w:color w:val="00000A"/>
                <w:sz w:val="24"/>
                <w:szCs w:val="24"/>
                <w:shd w:fill="FFFFFF" w:val="clear"/>
              </w:rPr>
              <w:t>Agulha hipodérmica, material: aço inoxidável siliconizado, dimensão: 22 g x 1", tipo ponta: bisel curto trifacetado, tipo conexão: conector luer lock em plástico, tipo fixação: protetor plástico, característica adicional: com sistema segurança segundo NR 32, tipo uso: estéril, descartável, embalagem individual</w:t>
            </w:r>
            <w:r>
              <w:rPr>
                <w:rFonts w:eastAsia="Times New Roman" w:cs="Arial" w:ascii="Calibri" w:hAnsi="Calibri"/>
                <w:b w:val="false"/>
                <w:bCs w:val="false"/>
                <w:color w:val="000000"/>
                <w:sz w:val="24"/>
                <w:szCs w:val="24"/>
                <w:shd w:fill="FFFFFF" w:val="clear"/>
              </w:rPr>
              <w:t>. Apresentação: caixa com 100 unidades.</w:t>
            </w:r>
          </w:p>
        </w:tc>
        <w:tc>
          <w:tcPr>
            <w:tcW w:w="1417" w:type="dxa"/>
            <w:tcBorders>
              <w:top w:val="single" w:sz="4" w:space="0" w:color="000001"/>
              <w:left w:val="single" w:sz="4" w:space="0" w:color="000001"/>
              <w:bottom w:val="single" w:sz="4" w:space="0" w:color="000001"/>
            </w:tcBorders>
            <w:shd w:color="auto" w:fill="auto" w:val="clear"/>
            <w:vAlign w:val="center"/>
          </w:tcPr>
          <w:p>
            <w:pPr>
              <w:pStyle w:val="Normal"/>
              <w:widowControl w:val="false"/>
              <w:tabs>
                <w:tab w:val="clear" w:pos="720"/>
                <w:tab w:val="left" w:pos="284" w:leader="none"/>
                <w:tab w:val="left" w:pos="426" w:leader="none"/>
              </w:tabs>
              <w:jc w:val="center"/>
              <w:rPr>
                <w:rFonts w:ascii="CALIBRI" w:hAnsi="CALIBRI"/>
                <w:sz w:val="22"/>
                <w:szCs w:val="22"/>
              </w:rPr>
            </w:pPr>
            <w:r>
              <w:rPr>
                <w:rFonts w:ascii="CALIBRI" w:hAnsi="CALIBRI"/>
                <w:sz w:val="22"/>
                <w:szCs w:val="22"/>
              </w:rPr>
              <w:t>caixa</w:t>
            </w:r>
          </w:p>
        </w:tc>
        <w:tc>
          <w:tcPr>
            <w:tcW w:w="1418" w:type="dxa"/>
            <w:tcBorders>
              <w:top w:val="single" w:sz="4" w:space="0" w:color="000001"/>
              <w:left w:val="single" w:sz="4" w:space="0" w:color="000001"/>
              <w:bottom w:val="single" w:sz="4" w:space="0" w:color="000001"/>
            </w:tcBorders>
            <w:shd w:color="auto" w:fill="auto" w:val="clear"/>
            <w:vAlign w:val="center"/>
          </w:tcPr>
          <w:p>
            <w:pPr>
              <w:pStyle w:val="Normal"/>
              <w:widowControl w:val="false"/>
              <w:suppressAutoHyphens w:val="false"/>
              <w:spacing w:before="60" w:after="60"/>
              <w:jc w:val="center"/>
              <w:rPr>
                <w:rFonts w:ascii="calibri" w:hAnsi="calibri"/>
                <w:sz w:val="24"/>
                <w:szCs w:val="24"/>
                <w:lang w:eastAsia="pt-BR"/>
              </w:rPr>
            </w:pPr>
            <w:r>
              <w:rPr>
                <w:rFonts w:ascii="calibri" w:hAnsi="calibri"/>
                <w:sz w:val="24"/>
                <w:szCs w:val="24"/>
                <w:lang w:eastAsia="pt-BR"/>
              </w:rPr>
              <w:t>43,43</w:t>
            </w:r>
          </w:p>
        </w:tc>
        <w:tc>
          <w:tcPr>
            <w:tcW w:w="1559"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false"/>
              <w:spacing w:before="60" w:after="60"/>
              <w:jc w:val="center"/>
              <w:rPr>
                <w:rFonts w:ascii="calibri" w:hAnsi="calibri"/>
                <w:sz w:val="24"/>
                <w:szCs w:val="24"/>
                <w:lang w:eastAsia="pt-BR"/>
              </w:rPr>
            </w:pPr>
            <w:r>
              <w:rPr>
                <w:rFonts w:ascii="calibri" w:hAnsi="calibri"/>
                <w:sz w:val="24"/>
                <w:szCs w:val="24"/>
                <w:lang w:eastAsia="pt-BR"/>
              </w:rPr>
              <w:t>434,30</w:t>
            </w:r>
          </w:p>
        </w:tc>
      </w:tr>
      <w:tr>
        <w:trPr>
          <w:trHeight w:val="79" w:hRule="atLeast"/>
        </w:trPr>
        <w:tc>
          <w:tcPr>
            <w:tcW w:w="709" w:type="dxa"/>
            <w:tcBorders>
              <w:top w:val="single" w:sz="4" w:space="0" w:color="000001"/>
              <w:left w:val="single" w:sz="4" w:space="0" w:color="000001"/>
              <w:bottom w:val="single" w:sz="4" w:space="0" w:color="000001"/>
            </w:tcBorders>
            <w:shd w:color="auto" w:fill="auto" w:val="clear"/>
            <w:vAlign w:val="center"/>
          </w:tcPr>
          <w:p>
            <w:pPr>
              <w:pStyle w:val="Normal"/>
              <w:widowControl w:val="false"/>
              <w:jc w:val="center"/>
              <w:rPr>
                <w:rFonts w:ascii="Calibri" w:hAnsi="Calibri"/>
                <w:sz w:val="24"/>
                <w:szCs w:val="24"/>
              </w:rPr>
            </w:pPr>
            <w:r>
              <w:rPr>
                <w:rFonts w:cs="Calibri" w:ascii="Calibri" w:hAnsi="Calibri"/>
                <w:color w:val="000000"/>
                <w:sz w:val="24"/>
                <w:szCs w:val="24"/>
              </w:rPr>
              <w:t>2</w:t>
            </w:r>
          </w:p>
        </w:tc>
        <w:tc>
          <w:tcPr>
            <w:tcW w:w="4820" w:type="dxa"/>
            <w:tcBorders>
              <w:top w:val="single" w:sz="4" w:space="0" w:color="000001"/>
              <w:left w:val="single" w:sz="4" w:space="0" w:color="000001"/>
              <w:bottom w:val="single" w:sz="4" w:space="0" w:color="000001"/>
            </w:tcBorders>
            <w:shd w:color="auto" w:fill="auto" w:val="clear"/>
            <w:vAlign w:val="center"/>
          </w:tcPr>
          <w:p>
            <w:pPr>
              <w:pStyle w:val="Normal"/>
              <w:widowControl w:val="false"/>
              <w:spacing w:before="0" w:after="200"/>
              <w:jc w:val="left"/>
              <w:rPr>
                <w:rFonts w:ascii="Calibri" w:hAnsi="Calibri"/>
                <w:sz w:val="24"/>
                <w:szCs w:val="24"/>
              </w:rPr>
            </w:pPr>
            <w:r>
              <w:rPr>
                <w:rFonts w:cs="Arial" w:ascii="Calibri" w:hAnsi="Calibri"/>
                <w:b w:val="false"/>
                <w:bCs w:val="false"/>
                <w:sz w:val="24"/>
                <w:szCs w:val="24"/>
                <w:shd w:fill="FFFFFF" w:val="clear"/>
              </w:rPr>
              <w:t>Ambroxol 6mg/ml, frasco com 120ml.</w:t>
            </w:r>
          </w:p>
        </w:tc>
        <w:tc>
          <w:tcPr>
            <w:tcW w:w="1417" w:type="dxa"/>
            <w:tcBorders>
              <w:top w:val="single" w:sz="4" w:space="0" w:color="000001"/>
              <w:left w:val="single" w:sz="4" w:space="0" w:color="000001"/>
              <w:bottom w:val="single" w:sz="4" w:space="0" w:color="000001"/>
            </w:tcBorders>
            <w:shd w:color="auto" w:fill="auto" w:val="clear"/>
            <w:vAlign w:val="center"/>
          </w:tcPr>
          <w:p>
            <w:pPr>
              <w:pStyle w:val="Normal"/>
              <w:widowControl w:val="false"/>
              <w:tabs>
                <w:tab w:val="clear" w:pos="720"/>
                <w:tab w:val="left" w:pos="284" w:leader="none"/>
                <w:tab w:val="left" w:pos="426" w:leader="none"/>
              </w:tabs>
              <w:jc w:val="center"/>
              <w:rPr>
                <w:rFonts w:ascii="CALIBRI" w:hAnsi="CALIBRI"/>
                <w:sz w:val="22"/>
                <w:szCs w:val="22"/>
              </w:rPr>
            </w:pPr>
            <w:r>
              <w:rPr>
                <w:rFonts w:ascii="CALIBRI" w:hAnsi="CALIBRI"/>
                <w:sz w:val="22"/>
                <w:szCs w:val="22"/>
              </w:rPr>
              <w:t>frasco</w:t>
            </w:r>
          </w:p>
        </w:tc>
        <w:tc>
          <w:tcPr>
            <w:tcW w:w="1418" w:type="dxa"/>
            <w:tcBorders>
              <w:top w:val="single" w:sz="4" w:space="0" w:color="000001"/>
              <w:left w:val="single" w:sz="4" w:space="0" w:color="000001"/>
              <w:bottom w:val="single" w:sz="4" w:space="0" w:color="000001"/>
            </w:tcBorders>
            <w:shd w:color="auto" w:fill="auto" w:val="clear"/>
            <w:vAlign w:val="center"/>
          </w:tcPr>
          <w:p>
            <w:pPr>
              <w:pStyle w:val="Normal"/>
              <w:widowControl w:val="false"/>
              <w:suppressAutoHyphens w:val="false"/>
              <w:spacing w:before="60" w:after="60"/>
              <w:jc w:val="center"/>
              <w:rPr>
                <w:rFonts w:ascii="calibri" w:hAnsi="calibri"/>
                <w:sz w:val="24"/>
                <w:szCs w:val="24"/>
                <w:lang w:eastAsia="pt-BR"/>
              </w:rPr>
            </w:pPr>
            <w:r>
              <w:rPr>
                <w:rFonts w:ascii="calibri" w:hAnsi="calibri"/>
                <w:sz w:val="24"/>
                <w:szCs w:val="24"/>
                <w:lang w:eastAsia="pt-BR"/>
              </w:rPr>
              <w:t>6,60</w:t>
            </w:r>
          </w:p>
        </w:tc>
        <w:tc>
          <w:tcPr>
            <w:tcW w:w="1559"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false"/>
              <w:spacing w:before="60" w:after="60"/>
              <w:jc w:val="center"/>
              <w:rPr>
                <w:rFonts w:ascii="calibri" w:hAnsi="calibri"/>
                <w:sz w:val="24"/>
                <w:szCs w:val="24"/>
                <w:lang w:eastAsia="pt-BR"/>
              </w:rPr>
            </w:pPr>
            <w:r>
              <w:rPr>
                <w:rFonts w:ascii="calibri" w:hAnsi="calibri"/>
                <w:sz w:val="24"/>
                <w:szCs w:val="24"/>
                <w:lang w:eastAsia="pt-BR"/>
              </w:rPr>
              <w:t>660,00</w:t>
            </w:r>
          </w:p>
        </w:tc>
      </w:tr>
      <w:tr>
        <w:trPr>
          <w:trHeight w:val="79" w:hRule="atLeast"/>
        </w:trPr>
        <w:tc>
          <w:tcPr>
            <w:tcW w:w="709" w:type="dxa"/>
            <w:tcBorders>
              <w:top w:val="single" w:sz="4" w:space="0" w:color="000001"/>
              <w:left w:val="single" w:sz="4" w:space="0" w:color="000001"/>
              <w:bottom w:val="single" w:sz="4" w:space="0" w:color="000001"/>
            </w:tcBorders>
            <w:shd w:color="auto" w:fill="auto" w:val="clear"/>
            <w:vAlign w:val="center"/>
          </w:tcPr>
          <w:p>
            <w:pPr>
              <w:pStyle w:val="Normal"/>
              <w:widowControl w:val="false"/>
              <w:jc w:val="center"/>
              <w:rPr>
                <w:rFonts w:ascii="Calibri" w:hAnsi="Calibri"/>
                <w:sz w:val="24"/>
                <w:szCs w:val="24"/>
              </w:rPr>
            </w:pPr>
            <w:r>
              <w:rPr>
                <w:rFonts w:cs="Calibri" w:ascii="Calibri" w:hAnsi="Calibri"/>
                <w:color w:val="000000"/>
                <w:sz w:val="24"/>
                <w:szCs w:val="24"/>
              </w:rPr>
              <w:t>3</w:t>
            </w:r>
          </w:p>
        </w:tc>
        <w:tc>
          <w:tcPr>
            <w:tcW w:w="4820" w:type="dxa"/>
            <w:tcBorders>
              <w:top w:val="single" w:sz="4" w:space="0" w:color="000001"/>
              <w:left w:val="single" w:sz="4" w:space="0" w:color="000001"/>
              <w:bottom w:val="single" w:sz="4" w:space="0" w:color="000001"/>
            </w:tcBorders>
            <w:shd w:color="auto" w:fill="auto" w:val="clear"/>
          </w:tcPr>
          <w:p>
            <w:pPr>
              <w:pStyle w:val="Normal"/>
              <w:widowControl w:val="false"/>
              <w:spacing w:lineRule="auto" w:line="240" w:before="0" w:after="200"/>
              <w:jc w:val="left"/>
              <w:rPr>
                <w:rFonts w:ascii="Calibri" w:hAnsi="Calibri"/>
                <w:sz w:val="24"/>
                <w:szCs w:val="24"/>
              </w:rPr>
            </w:pPr>
            <w:r>
              <w:rPr>
                <w:rFonts w:cs="Arial" w:ascii="Calibri" w:hAnsi="Calibri"/>
                <w:b w:val="false"/>
                <w:bCs w:val="false"/>
                <w:sz w:val="24"/>
                <w:szCs w:val="24"/>
                <w:shd w:fill="FFFFFF" w:val="clear"/>
              </w:rPr>
              <w:t>Bromoprida 5mg/ml, ampola 2ml, injetável.</w:t>
            </w:r>
          </w:p>
        </w:tc>
        <w:tc>
          <w:tcPr>
            <w:tcW w:w="1417" w:type="dxa"/>
            <w:tcBorders>
              <w:top w:val="single" w:sz="4" w:space="0" w:color="000001"/>
              <w:left w:val="single" w:sz="4" w:space="0" w:color="000001"/>
              <w:bottom w:val="single" w:sz="4" w:space="0" w:color="000001"/>
            </w:tcBorders>
            <w:shd w:color="auto" w:fill="auto" w:val="clear"/>
            <w:vAlign w:val="center"/>
          </w:tcPr>
          <w:p>
            <w:pPr>
              <w:pStyle w:val="Normal"/>
              <w:widowControl w:val="false"/>
              <w:tabs>
                <w:tab w:val="clear" w:pos="720"/>
                <w:tab w:val="left" w:pos="284" w:leader="none"/>
                <w:tab w:val="left" w:pos="426" w:leader="none"/>
              </w:tabs>
              <w:jc w:val="center"/>
              <w:rPr>
                <w:rFonts w:ascii="CALIBRI" w:hAnsi="CALIBRI"/>
                <w:sz w:val="22"/>
                <w:szCs w:val="22"/>
              </w:rPr>
            </w:pPr>
            <w:r>
              <w:rPr>
                <w:rFonts w:ascii="CALIBRI" w:hAnsi="CALIBRI"/>
                <w:sz w:val="22"/>
                <w:szCs w:val="22"/>
              </w:rPr>
              <w:t>ampolas</w:t>
            </w:r>
          </w:p>
        </w:tc>
        <w:tc>
          <w:tcPr>
            <w:tcW w:w="1418" w:type="dxa"/>
            <w:tcBorders>
              <w:top w:val="single" w:sz="4" w:space="0" w:color="000001"/>
              <w:left w:val="single" w:sz="4" w:space="0" w:color="000001"/>
              <w:bottom w:val="single" w:sz="4" w:space="0" w:color="000001"/>
            </w:tcBorders>
            <w:shd w:color="auto" w:fill="auto" w:val="clear"/>
            <w:vAlign w:val="center"/>
          </w:tcPr>
          <w:p>
            <w:pPr>
              <w:pStyle w:val="Normal"/>
              <w:widowControl w:val="false"/>
              <w:suppressAutoHyphens w:val="false"/>
              <w:spacing w:before="60" w:after="60"/>
              <w:jc w:val="center"/>
              <w:rPr>
                <w:rFonts w:ascii="calibri" w:hAnsi="calibri"/>
                <w:sz w:val="24"/>
                <w:szCs w:val="24"/>
                <w:lang w:eastAsia="pt-BR"/>
              </w:rPr>
            </w:pPr>
            <w:r>
              <w:rPr>
                <w:rFonts w:ascii="calibri" w:hAnsi="calibri"/>
                <w:sz w:val="24"/>
                <w:szCs w:val="24"/>
                <w:lang w:eastAsia="pt-BR"/>
              </w:rPr>
              <w:t>6,38</w:t>
            </w:r>
          </w:p>
        </w:tc>
        <w:tc>
          <w:tcPr>
            <w:tcW w:w="1559"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false"/>
              <w:spacing w:before="60" w:after="60"/>
              <w:jc w:val="center"/>
              <w:rPr>
                <w:rFonts w:ascii="calibri" w:hAnsi="calibri"/>
                <w:sz w:val="24"/>
                <w:szCs w:val="24"/>
                <w:lang w:eastAsia="pt-BR"/>
              </w:rPr>
            </w:pPr>
            <w:r>
              <w:rPr>
                <w:rFonts w:ascii="calibri" w:hAnsi="calibri"/>
                <w:sz w:val="24"/>
                <w:szCs w:val="24"/>
                <w:lang w:eastAsia="pt-BR"/>
              </w:rPr>
              <w:t>638,00</w:t>
            </w:r>
          </w:p>
        </w:tc>
      </w:tr>
      <w:tr>
        <w:trPr>
          <w:trHeight w:val="79" w:hRule="atLeast"/>
        </w:trPr>
        <w:tc>
          <w:tcPr>
            <w:tcW w:w="709" w:type="dxa"/>
            <w:tcBorders>
              <w:top w:val="single" w:sz="4" w:space="0" w:color="000001"/>
              <w:left w:val="single" w:sz="4" w:space="0" w:color="000001"/>
              <w:bottom w:val="single" w:sz="4" w:space="0" w:color="000001"/>
            </w:tcBorders>
            <w:shd w:color="auto" w:fill="auto" w:val="clear"/>
            <w:vAlign w:val="center"/>
          </w:tcPr>
          <w:p>
            <w:pPr>
              <w:pStyle w:val="Normal"/>
              <w:widowControl w:val="false"/>
              <w:jc w:val="center"/>
              <w:rPr>
                <w:rFonts w:ascii="Calibri" w:hAnsi="Calibri"/>
                <w:sz w:val="24"/>
                <w:szCs w:val="24"/>
              </w:rPr>
            </w:pPr>
            <w:r>
              <w:rPr>
                <w:rFonts w:cs="Calibri" w:ascii="Calibri" w:hAnsi="Calibri"/>
                <w:color w:val="000000"/>
                <w:sz w:val="24"/>
                <w:szCs w:val="24"/>
              </w:rPr>
              <w:t>4</w:t>
            </w:r>
          </w:p>
        </w:tc>
        <w:tc>
          <w:tcPr>
            <w:tcW w:w="4820" w:type="dxa"/>
            <w:tcBorders>
              <w:top w:val="single" w:sz="4" w:space="0" w:color="000001"/>
              <w:left w:val="single" w:sz="4" w:space="0" w:color="000001"/>
              <w:bottom w:val="single" w:sz="4" w:space="0" w:color="000001"/>
            </w:tcBorders>
            <w:shd w:color="auto" w:fill="auto" w:val="clear"/>
          </w:tcPr>
          <w:p>
            <w:pPr>
              <w:pStyle w:val="Normal"/>
              <w:widowControl w:val="false"/>
              <w:spacing w:lineRule="auto" w:line="240" w:before="0" w:after="200"/>
              <w:jc w:val="left"/>
              <w:rPr>
                <w:rFonts w:ascii="Calibri" w:hAnsi="Calibri"/>
                <w:sz w:val="24"/>
                <w:szCs w:val="24"/>
              </w:rPr>
            </w:pPr>
            <w:r>
              <w:rPr>
                <w:rFonts w:cs="Arial" w:ascii="Calibri" w:hAnsi="Calibri"/>
                <w:b w:val="false"/>
                <w:bCs w:val="false"/>
                <w:color w:val="000000"/>
                <w:sz w:val="24"/>
                <w:szCs w:val="24"/>
                <w:shd w:fill="FFFFFF" w:val="clear"/>
              </w:rPr>
              <w:t>Diclofenaco 25mg/ml, ampola 3ml, injetável.</w:t>
            </w:r>
          </w:p>
        </w:tc>
        <w:tc>
          <w:tcPr>
            <w:tcW w:w="1417" w:type="dxa"/>
            <w:tcBorders>
              <w:top w:val="single" w:sz="4" w:space="0" w:color="000001"/>
              <w:left w:val="single" w:sz="4" w:space="0" w:color="000001"/>
              <w:bottom w:val="single" w:sz="4" w:space="0" w:color="000001"/>
            </w:tcBorders>
            <w:shd w:color="auto" w:fill="auto" w:val="clear"/>
            <w:vAlign w:val="center"/>
          </w:tcPr>
          <w:p>
            <w:pPr>
              <w:pStyle w:val="Normal"/>
              <w:widowControl w:val="false"/>
              <w:tabs>
                <w:tab w:val="clear" w:pos="720"/>
                <w:tab w:val="left" w:pos="284" w:leader="none"/>
                <w:tab w:val="left" w:pos="426" w:leader="none"/>
              </w:tabs>
              <w:jc w:val="center"/>
              <w:rPr>
                <w:rFonts w:ascii="CALIBRI" w:hAnsi="CALIBRI"/>
                <w:sz w:val="22"/>
                <w:szCs w:val="22"/>
              </w:rPr>
            </w:pPr>
            <w:r>
              <w:rPr>
                <w:rFonts w:ascii="CALIBRI" w:hAnsi="CALIBRI"/>
                <w:sz w:val="22"/>
                <w:szCs w:val="22"/>
              </w:rPr>
              <w:t>ampola</w:t>
            </w:r>
          </w:p>
        </w:tc>
        <w:tc>
          <w:tcPr>
            <w:tcW w:w="1418" w:type="dxa"/>
            <w:tcBorders>
              <w:top w:val="single" w:sz="4" w:space="0" w:color="000001"/>
              <w:left w:val="single" w:sz="4" w:space="0" w:color="000001"/>
              <w:bottom w:val="single" w:sz="4" w:space="0" w:color="000001"/>
            </w:tcBorders>
            <w:shd w:color="auto" w:fill="auto" w:val="clear"/>
            <w:vAlign w:val="center"/>
          </w:tcPr>
          <w:p>
            <w:pPr>
              <w:pStyle w:val="Normal"/>
              <w:widowControl w:val="false"/>
              <w:suppressAutoHyphens w:val="false"/>
              <w:spacing w:before="60" w:after="60"/>
              <w:jc w:val="center"/>
              <w:rPr>
                <w:rFonts w:ascii="calibri" w:hAnsi="calibri"/>
                <w:sz w:val="24"/>
                <w:szCs w:val="24"/>
                <w:lang w:eastAsia="pt-BR"/>
              </w:rPr>
            </w:pPr>
            <w:r>
              <w:rPr>
                <w:rFonts w:ascii="calibri" w:hAnsi="calibri"/>
                <w:sz w:val="24"/>
                <w:szCs w:val="24"/>
                <w:lang w:eastAsia="pt-BR"/>
              </w:rPr>
              <w:t>5,29</w:t>
            </w:r>
          </w:p>
        </w:tc>
        <w:tc>
          <w:tcPr>
            <w:tcW w:w="1559"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false"/>
              <w:spacing w:before="60" w:after="60"/>
              <w:jc w:val="center"/>
              <w:rPr>
                <w:rFonts w:ascii="calibri" w:hAnsi="calibri"/>
                <w:sz w:val="24"/>
                <w:szCs w:val="24"/>
                <w:lang w:eastAsia="pt-BR"/>
              </w:rPr>
            </w:pPr>
            <w:r>
              <w:rPr>
                <w:rFonts w:ascii="calibri" w:hAnsi="calibri"/>
                <w:sz w:val="24"/>
                <w:szCs w:val="24"/>
                <w:lang w:eastAsia="pt-BR"/>
              </w:rPr>
              <w:t>1.058,00</w:t>
            </w:r>
          </w:p>
        </w:tc>
      </w:tr>
      <w:tr>
        <w:trPr>
          <w:trHeight w:val="79" w:hRule="atLeast"/>
        </w:trPr>
        <w:tc>
          <w:tcPr>
            <w:tcW w:w="709" w:type="dxa"/>
            <w:tcBorders>
              <w:top w:val="single" w:sz="4" w:space="0" w:color="000001"/>
              <w:left w:val="single" w:sz="4" w:space="0" w:color="000001"/>
              <w:bottom w:val="single" w:sz="4" w:space="0" w:color="000001"/>
            </w:tcBorders>
            <w:shd w:color="auto" w:fill="auto" w:val="clear"/>
            <w:vAlign w:val="center"/>
          </w:tcPr>
          <w:p>
            <w:pPr>
              <w:pStyle w:val="Normal"/>
              <w:widowControl w:val="false"/>
              <w:jc w:val="center"/>
              <w:rPr>
                <w:rFonts w:ascii="Calibri" w:hAnsi="Calibri"/>
                <w:sz w:val="24"/>
                <w:szCs w:val="24"/>
              </w:rPr>
            </w:pPr>
            <w:r>
              <w:rPr>
                <w:rFonts w:ascii="Calibri" w:hAnsi="Calibri"/>
                <w:sz w:val="24"/>
                <w:szCs w:val="24"/>
              </w:rPr>
              <w:t>5</w:t>
            </w:r>
          </w:p>
        </w:tc>
        <w:tc>
          <w:tcPr>
            <w:tcW w:w="4820" w:type="dxa"/>
            <w:tcBorders>
              <w:top w:val="single" w:sz="4" w:space="0" w:color="000001"/>
              <w:left w:val="single" w:sz="4" w:space="0" w:color="000001"/>
              <w:bottom w:val="single" w:sz="4" w:space="0" w:color="000001"/>
            </w:tcBorders>
            <w:shd w:color="auto" w:fill="auto" w:val="clear"/>
            <w:vAlign w:val="center"/>
          </w:tcPr>
          <w:p>
            <w:pPr>
              <w:pStyle w:val="Normal"/>
              <w:widowControl w:val="false"/>
              <w:spacing w:before="0" w:after="200"/>
              <w:jc w:val="left"/>
              <w:rPr>
                <w:rFonts w:ascii="Calibri" w:hAnsi="Calibri"/>
                <w:sz w:val="24"/>
                <w:szCs w:val="24"/>
              </w:rPr>
            </w:pPr>
            <w:r>
              <w:rPr>
                <w:rFonts w:cs="Arial" w:ascii="Calibri" w:hAnsi="Calibri"/>
                <w:b w:val="false"/>
                <w:bCs w:val="false"/>
                <w:sz w:val="24"/>
                <w:szCs w:val="24"/>
                <w:shd w:fill="FFFFFF" w:val="clear"/>
              </w:rPr>
              <w:t xml:space="preserve">Escopolamina + dipirona 4+500mg/ml, ampola 5ml, injetável. </w:t>
            </w:r>
          </w:p>
        </w:tc>
        <w:tc>
          <w:tcPr>
            <w:tcW w:w="1417" w:type="dxa"/>
            <w:tcBorders>
              <w:top w:val="single" w:sz="4" w:space="0" w:color="000001"/>
              <w:left w:val="single" w:sz="4" w:space="0" w:color="000001"/>
              <w:bottom w:val="single" w:sz="4" w:space="0" w:color="000001"/>
            </w:tcBorders>
            <w:shd w:color="auto" w:fill="auto" w:val="clear"/>
            <w:vAlign w:val="center"/>
          </w:tcPr>
          <w:p>
            <w:pPr>
              <w:pStyle w:val="Normal"/>
              <w:widowControl w:val="false"/>
              <w:tabs>
                <w:tab w:val="clear" w:pos="720"/>
                <w:tab w:val="left" w:pos="284" w:leader="none"/>
                <w:tab w:val="left" w:pos="426" w:leader="none"/>
              </w:tabs>
              <w:jc w:val="center"/>
              <w:rPr>
                <w:rFonts w:ascii="CALIBRI" w:hAnsi="CALIBRI"/>
                <w:sz w:val="22"/>
                <w:szCs w:val="22"/>
              </w:rPr>
            </w:pPr>
            <w:r>
              <w:rPr>
                <w:rFonts w:ascii="CALIBRI" w:hAnsi="CALIBRI"/>
                <w:sz w:val="22"/>
                <w:szCs w:val="22"/>
              </w:rPr>
              <w:t>ampola</w:t>
            </w:r>
          </w:p>
        </w:tc>
        <w:tc>
          <w:tcPr>
            <w:tcW w:w="1418" w:type="dxa"/>
            <w:tcBorders>
              <w:top w:val="single" w:sz="4" w:space="0" w:color="000001"/>
              <w:left w:val="single" w:sz="4" w:space="0" w:color="000001"/>
              <w:bottom w:val="single" w:sz="4" w:space="0" w:color="000001"/>
            </w:tcBorders>
            <w:shd w:color="auto" w:fill="auto" w:val="clear"/>
            <w:vAlign w:val="center"/>
          </w:tcPr>
          <w:p>
            <w:pPr>
              <w:pStyle w:val="Normal"/>
              <w:widowControl w:val="false"/>
              <w:suppressAutoHyphens w:val="false"/>
              <w:spacing w:before="60" w:after="60"/>
              <w:jc w:val="center"/>
              <w:rPr>
                <w:rFonts w:ascii="calibri" w:hAnsi="calibri"/>
                <w:sz w:val="24"/>
                <w:szCs w:val="24"/>
                <w:lang w:eastAsia="pt-BR"/>
              </w:rPr>
            </w:pPr>
            <w:r>
              <w:rPr>
                <w:rFonts w:ascii="calibri" w:hAnsi="calibri"/>
                <w:sz w:val="24"/>
                <w:szCs w:val="24"/>
                <w:lang w:eastAsia="pt-BR"/>
              </w:rPr>
              <w:t>14,63</w:t>
            </w:r>
          </w:p>
        </w:tc>
        <w:tc>
          <w:tcPr>
            <w:tcW w:w="1559"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false"/>
              <w:spacing w:before="60" w:after="60"/>
              <w:jc w:val="center"/>
              <w:rPr>
                <w:rFonts w:ascii="calibri" w:hAnsi="calibri"/>
                <w:sz w:val="24"/>
                <w:szCs w:val="24"/>
                <w:lang w:eastAsia="pt-BR"/>
              </w:rPr>
            </w:pPr>
            <w:r>
              <w:rPr>
                <w:rFonts w:ascii="calibri" w:hAnsi="calibri"/>
                <w:sz w:val="24"/>
                <w:szCs w:val="24"/>
                <w:lang w:eastAsia="pt-BR"/>
              </w:rPr>
              <w:t>2.926,00</w:t>
            </w:r>
          </w:p>
        </w:tc>
      </w:tr>
      <w:tr>
        <w:trPr>
          <w:trHeight w:val="79" w:hRule="atLeast"/>
        </w:trPr>
        <w:tc>
          <w:tcPr>
            <w:tcW w:w="709" w:type="dxa"/>
            <w:tcBorders>
              <w:top w:val="single" w:sz="4" w:space="0" w:color="000001"/>
              <w:left w:val="single" w:sz="4" w:space="0" w:color="000001"/>
              <w:bottom w:val="single" w:sz="4" w:space="0" w:color="000001"/>
            </w:tcBorders>
            <w:shd w:color="auto" w:fill="auto" w:val="clear"/>
            <w:vAlign w:val="center"/>
          </w:tcPr>
          <w:p>
            <w:pPr>
              <w:pStyle w:val="Normal"/>
              <w:widowControl w:val="false"/>
              <w:jc w:val="center"/>
              <w:rPr>
                <w:rFonts w:ascii="Calibri" w:hAnsi="Calibri"/>
                <w:sz w:val="24"/>
                <w:szCs w:val="24"/>
              </w:rPr>
            </w:pPr>
            <w:r>
              <w:rPr>
                <w:rFonts w:ascii="Calibri" w:hAnsi="Calibri"/>
                <w:sz w:val="24"/>
                <w:szCs w:val="24"/>
              </w:rPr>
              <w:t>6</w:t>
            </w:r>
          </w:p>
        </w:tc>
        <w:tc>
          <w:tcPr>
            <w:tcW w:w="4820" w:type="dxa"/>
            <w:tcBorders>
              <w:top w:val="single" w:sz="4" w:space="0" w:color="000001"/>
              <w:left w:val="single" w:sz="4" w:space="0" w:color="000001"/>
              <w:bottom w:val="single" w:sz="4" w:space="0" w:color="000001"/>
            </w:tcBorders>
            <w:shd w:color="auto" w:fill="auto" w:val="clear"/>
            <w:vAlign w:val="center"/>
          </w:tcPr>
          <w:p>
            <w:pPr>
              <w:pStyle w:val="Normal"/>
              <w:widowControl w:val="false"/>
              <w:spacing w:before="0" w:after="200"/>
              <w:jc w:val="left"/>
              <w:rPr>
                <w:rFonts w:ascii="Calibri" w:hAnsi="Calibri"/>
                <w:sz w:val="24"/>
                <w:szCs w:val="24"/>
              </w:rPr>
            </w:pPr>
            <w:r>
              <w:rPr>
                <w:rFonts w:cs="Arial" w:ascii="Calibri" w:hAnsi="Calibri"/>
                <w:b w:val="false"/>
                <w:bCs w:val="false"/>
                <w:sz w:val="24"/>
                <w:szCs w:val="24"/>
                <w:shd w:fill="FFFFFF" w:val="clear"/>
              </w:rPr>
              <w:t xml:space="preserve">Furosemida 20mg/2ml, injetável, ampola 2ml. </w:t>
            </w:r>
          </w:p>
        </w:tc>
        <w:tc>
          <w:tcPr>
            <w:tcW w:w="1417" w:type="dxa"/>
            <w:tcBorders>
              <w:top w:val="single" w:sz="4" w:space="0" w:color="000001"/>
              <w:left w:val="single" w:sz="4" w:space="0" w:color="000001"/>
              <w:bottom w:val="single" w:sz="4" w:space="0" w:color="000001"/>
            </w:tcBorders>
            <w:shd w:color="auto" w:fill="auto" w:val="clear"/>
            <w:vAlign w:val="center"/>
          </w:tcPr>
          <w:p>
            <w:pPr>
              <w:pStyle w:val="Normal"/>
              <w:widowControl w:val="false"/>
              <w:tabs>
                <w:tab w:val="clear" w:pos="720"/>
                <w:tab w:val="left" w:pos="284" w:leader="none"/>
                <w:tab w:val="left" w:pos="426" w:leader="none"/>
              </w:tabs>
              <w:jc w:val="center"/>
              <w:rPr>
                <w:rFonts w:ascii="CALIBRI" w:hAnsi="CALIBRI"/>
                <w:sz w:val="22"/>
                <w:szCs w:val="22"/>
              </w:rPr>
            </w:pPr>
            <w:r>
              <w:rPr>
                <w:rFonts w:ascii="CALIBRI" w:hAnsi="CALIBRI"/>
                <w:sz w:val="22"/>
                <w:szCs w:val="22"/>
              </w:rPr>
              <w:t>ampola</w:t>
            </w:r>
          </w:p>
        </w:tc>
        <w:tc>
          <w:tcPr>
            <w:tcW w:w="1418" w:type="dxa"/>
            <w:tcBorders>
              <w:top w:val="single" w:sz="4" w:space="0" w:color="000001"/>
              <w:left w:val="single" w:sz="4" w:space="0" w:color="000001"/>
              <w:bottom w:val="single" w:sz="4" w:space="0" w:color="000001"/>
            </w:tcBorders>
            <w:shd w:color="auto" w:fill="auto" w:val="clear"/>
            <w:vAlign w:val="center"/>
          </w:tcPr>
          <w:p>
            <w:pPr>
              <w:pStyle w:val="Normal"/>
              <w:widowControl w:val="false"/>
              <w:suppressAutoHyphens w:val="false"/>
              <w:spacing w:before="60" w:after="60"/>
              <w:jc w:val="center"/>
              <w:rPr>
                <w:rFonts w:ascii="calibri" w:hAnsi="calibri"/>
                <w:sz w:val="24"/>
                <w:szCs w:val="24"/>
                <w:lang w:eastAsia="pt-BR"/>
              </w:rPr>
            </w:pPr>
            <w:r>
              <w:rPr>
                <w:rFonts w:ascii="calibri" w:hAnsi="calibri"/>
                <w:sz w:val="24"/>
                <w:szCs w:val="24"/>
                <w:lang w:eastAsia="pt-BR"/>
              </w:rPr>
              <w:t>3,13</w:t>
            </w:r>
          </w:p>
        </w:tc>
        <w:tc>
          <w:tcPr>
            <w:tcW w:w="1559"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false"/>
              <w:spacing w:before="60" w:after="60"/>
              <w:jc w:val="center"/>
              <w:rPr>
                <w:rFonts w:ascii="calibri" w:hAnsi="calibri"/>
                <w:sz w:val="24"/>
                <w:szCs w:val="24"/>
                <w:lang w:eastAsia="pt-BR"/>
              </w:rPr>
            </w:pPr>
            <w:r>
              <w:rPr>
                <w:rFonts w:ascii="calibri" w:hAnsi="calibri"/>
                <w:sz w:val="24"/>
                <w:szCs w:val="24"/>
                <w:lang w:eastAsia="pt-BR"/>
              </w:rPr>
              <w:t>156,50</w:t>
            </w:r>
          </w:p>
        </w:tc>
      </w:tr>
      <w:tr>
        <w:trPr>
          <w:trHeight w:val="79" w:hRule="atLeast"/>
        </w:trPr>
        <w:tc>
          <w:tcPr>
            <w:tcW w:w="709" w:type="dxa"/>
            <w:tcBorders>
              <w:top w:val="single" w:sz="4" w:space="0" w:color="000001"/>
              <w:left w:val="single" w:sz="4" w:space="0" w:color="000001"/>
              <w:bottom w:val="single" w:sz="4" w:space="0" w:color="000001"/>
            </w:tcBorders>
            <w:shd w:color="auto" w:fill="auto" w:val="clear"/>
            <w:vAlign w:val="center"/>
          </w:tcPr>
          <w:p>
            <w:pPr>
              <w:pStyle w:val="Normal"/>
              <w:widowControl w:val="false"/>
              <w:jc w:val="center"/>
              <w:rPr>
                <w:rFonts w:ascii="Calibri" w:hAnsi="Calibri"/>
                <w:sz w:val="24"/>
                <w:szCs w:val="24"/>
              </w:rPr>
            </w:pPr>
            <w:r>
              <w:rPr>
                <w:rFonts w:ascii="Calibri" w:hAnsi="Calibri"/>
                <w:sz w:val="24"/>
                <w:szCs w:val="24"/>
              </w:rPr>
              <w:t>7</w:t>
            </w:r>
          </w:p>
        </w:tc>
        <w:tc>
          <w:tcPr>
            <w:tcW w:w="4820" w:type="dxa"/>
            <w:tcBorders>
              <w:top w:val="single" w:sz="4" w:space="0" w:color="000001"/>
              <w:left w:val="single" w:sz="4" w:space="0" w:color="000001"/>
              <w:bottom w:val="single" w:sz="4" w:space="0" w:color="000001"/>
            </w:tcBorders>
            <w:shd w:color="auto" w:fill="auto" w:val="clear"/>
            <w:vAlign w:val="center"/>
          </w:tcPr>
          <w:p>
            <w:pPr>
              <w:pStyle w:val="Normal"/>
              <w:widowControl w:val="false"/>
              <w:spacing w:before="0" w:after="200"/>
              <w:jc w:val="left"/>
              <w:rPr>
                <w:rFonts w:ascii="Calibri" w:hAnsi="Calibri"/>
                <w:sz w:val="24"/>
                <w:szCs w:val="24"/>
              </w:rPr>
            </w:pPr>
            <w:r>
              <w:rPr>
                <w:rFonts w:cs="Arial" w:ascii="Calibri" w:hAnsi="Calibri"/>
                <w:b w:val="false"/>
                <w:bCs w:val="false"/>
                <w:sz w:val="24"/>
                <w:szCs w:val="24"/>
                <w:shd w:fill="FFFFFF" w:val="clear"/>
              </w:rPr>
              <w:t xml:space="preserve">Ondansetrona, cloridrato 2mg/ml, injetável, ampola 2ml. </w:t>
            </w:r>
          </w:p>
        </w:tc>
        <w:tc>
          <w:tcPr>
            <w:tcW w:w="1417" w:type="dxa"/>
            <w:tcBorders>
              <w:top w:val="single" w:sz="4" w:space="0" w:color="000001"/>
              <w:left w:val="single" w:sz="4" w:space="0" w:color="000001"/>
              <w:bottom w:val="single" w:sz="4" w:space="0" w:color="000001"/>
            </w:tcBorders>
            <w:shd w:color="auto" w:fill="auto" w:val="clear"/>
            <w:vAlign w:val="center"/>
          </w:tcPr>
          <w:p>
            <w:pPr>
              <w:pStyle w:val="Normal"/>
              <w:widowControl w:val="false"/>
              <w:tabs>
                <w:tab w:val="clear" w:pos="720"/>
                <w:tab w:val="left" w:pos="284" w:leader="none"/>
                <w:tab w:val="left" w:pos="426" w:leader="none"/>
              </w:tabs>
              <w:jc w:val="center"/>
              <w:rPr>
                <w:rFonts w:ascii="CALIBRI" w:hAnsi="CALIBRI"/>
                <w:sz w:val="22"/>
                <w:szCs w:val="22"/>
              </w:rPr>
            </w:pPr>
            <w:r>
              <w:rPr>
                <w:rFonts w:ascii="CALIBRI" w:hAnsi="CALIBRI"/>
                <w:sz w:val="22"/>
                <w:szCs w:val="22"/>
              </w:rPr>
              <w:t>ampola</w:t>
            </w:r>
          </w:p>
        </w:tc>
        <w:tc>
          <w:tcPr>
            <w:tcW w:w="1418" w:type="dxa"/>
            <w:tcBorders>
              <w:top w:val="single" w:sz="4" w:space="0" w:color="000001"/>
              <w:left w:val="single" w:sz="4" w:space="0" w:color="000001"/>
              <w:bottom w:val="single" w:sz="4" w:space="0" w:color="000001"/>
            </w:tcBorders>
            <w:shd w:color="auto" w:fill="auto" w:val="clear"/>
            <w:vAlign w:val="center"/>
          </w:tcPr>
          <w:p>
            <w:pPr>
              <w:pStyle w:val="Normal"/>
              <w:widowControl w:val="false"/>
              <w:suppressAutoHyphens w:val="false"/>
              <w:spacing w:before="60" w:after="60"/>
              <w:jc w:val="center"/>
              <w:rPr>
                <w:rFonts w:ascii="calibri" w:hAnsi="calibri"/>
                <w:sz w:val="24"/>
                <w:szCs w:val="24"/>
                <w:lang w:eastAsia="pt-BR"/>
              </w:rPr>
            </w:pPr>
            <w:r>
              <w:rPr>
                <w:rFonts w:ascii="calibri" w:hAnsi="calibri"/>
                <w:sz w:val="24"/>
                <w:szCs w:val="24"/>
                <w:lang w:eastAsia="pt-BR"/>
              </w:rPr>
              <w:t>9,31</w:t>
            </w:r>
          </w:p>
        </w:tc>
        <w:tc>
          <w:tcPr>
            <w:tcW w:w="1559"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false"/>
              <w:spacing w:before="60" w:after="60"/>
              <w:jc w:val="center"/>
              <w:rPr>
                <w:rFonts w:ascii="calibri" w:hAnsi="calibri"/>
                <w:sz w:val="24"/>
                <w:szCs w:val="24"/>
                <w:lang w:eastAsia="pt-BR"/>
              </w:rPr>
            </w:pPr>
            <w:r>
              <w:rPr>
                <w:rFonts w:ascii="calibri" w:hAnsi="calibri"/>
                <w:sz w:val="24"/>
                <w:szCs w:val="24"/>
                <w:lang w:eastAsia="pt-BR"/>
              </w:rPr>
              <w:t>465,50</w:t>
            </w:r>
          </w:p>
        </w:tc>
      </w:tr>
      <w:tr>
        <w:trPr>
          <w:trHeight w:val="79" w:hRule="atLeast"/>
        </w:trPr>
        <w:tc>
          <w:tcPr>
            <w:tcW w:w="709" w:type="dxa"/>
            <w:tcBorders>
              <w:left w:val="single" w:sz="4" w:space="0" w:color="000001"/>
              <w:bottom w:val="single" w:sz="4" w:space="0" w:color="000001"/>
            </w:tcBorders>
            <w:shd w:color="auto" w:fill="auto" w:val="clear"/>
            <w:vAlign w:val="center"/>
          </w:tcPr>
          <w:p>
            <w:pPr>
              <w:pStyle w:val="Normal"/>
              <w:widowControl w:val="false"/>
              <w:jc w:val="center"/>
              <w:rPr>
                <w:rFonts w:ascii="Calibri" w:hAnsi="Calibri"/>
                <w:sz w:val="24"/>
                <w:szCs w:val="24"/>
              </w:rPr>
            </w:pPr>
            <w:r>
              <w:rPr>
                <w:rFonts w:ascii="Calibri" w:hAnsi="Calibri"/>
                <w:sz w:val="24"/>
                <w:szCs w:val="24"/>
              </w:rPr>
              <w:t>8</w:t>
            </w:r>
          </w:p>
        </w:tc>
        <w:tc>
          <w:tcPr>
            <w:tcW w:w="4820" w:type="dxa"/>
            <w:tcBorders>
              <w:left w:val="single" w:sz="4" w:space="0" w:color="000001"/>
              <w:bottom w:val="single" w:sz="4" w:space="0" w:color="000001"/>
            </w:tcBorders>
            <w:shd w:color="auto" w:fill="auto" w:val="clear"/>
            <w:vAlign w:val="center"/>
          </w:tcPr>
          <w:p>
            <w:pPr>
              <w:pStyle w:val="Normal"/>
              <w:widowControl w:val="false"/>
              <w:spacing w:before="0" w:after="200"/>
              <w:jc w:val="both"/>
              <w:rPr>
                <w:rFonts w:ascii="Calibri" w:hAnsi="Calibri"/>
                <w:sz w:val="24"/>
                <w:szCs w:val="24"/>
              </w:rPr>
            </w:pPr>
            <w:r>
              <w:rPr>
                <w:rFonts w:cs="Arial" w:ascii="Calibri" w:hAnsi="Calibri"/>
                <w:color w:val="000000"/>
                <w:sz w:val="24"/>
                <w:szCs w:val="24"/>
                <w:shd w:fill="FFFFFF" w:val="clear"/>
              </w:rPr>
              <w:t xml:space="preserve">Oxomemazina cloridrato, composição: associado ao iodeto potássio, benzoato de sódio, componente adicional: guaifenesina. Concentração: 0,4mg + 20mg + 4mg + 6mg, ml. Xarope frasco com 120 ml. </w:t>
            </w:r>
          </w:p>
        </w:tc>
        <w:tc>
          <w:tcPr>
            <w:tcW w:w="1417" w:type="dxa"/>
            <w:tcBorders>
              <w:left w:val="single" w:sz="4" w:space="0" w:color="000001"/>
              <w:bottom w:val="single" w:sz="4" w:space="0" w:color="000001"/>
            </w:tcBorders>
            <w:shd w:color="auto" w:fill="auto" w:val="clear"/>
            <w:vAlign w:val="center"/>
          </w:tcPr>
          <w:p>
            <w:pPr>
              <w:pStyle w:val="Normal"/>
              <w:widowControl w:val="false"/>
              <w:tabs>
                <w:tab w:val="clear" w:pos="720"/>
                <w:tab w:val="left" w:pos="284" w:leader="none"/>
                <w:tab w:val="left" w:pos="426" w:leader="none"/>
              </w:tabs>
              <w:jc w:val="center"/>
              <w:rPr>
                <w:rFonts w:ascii="CALIBRI" w:hAnsi="CALIBRI"/>
                <w:sz w:val="22"/>
                <w:szCs w:val="22"/>
              </w:rPr>
            </w:pPr>
            <w:r>
              <w:rPr>
                <w:rFonts w:ascii="CALIBRI" w:hAnsi="CALIBRI"/>
                <w:sz w:val="22"/>
                <w:szCs w:val="22"/>
              </w:rPr>
              <w:t>frasco</w:t>
            </w:r>
          </w:p>
        </w:tc>
        <w:tc>
          <w:tcPr>
            <w:tcW w:w="1418" w:type="dxa"/>
            <w:tcBorders>
              <w:left w:val="single" w:sz="4" w:space="0" w:color="000001"/>
              <w:bottom w:val="single" w:sz="4" w:space="0" w:color="000001"/>
            </w:tcBorders>
            <w:shd w:color="auto" w:fill="auto" w:val="clear"/>
            <w:vAlign w:val="center"/>
          </w:tcPr>
          <w:p>
            <w:pPr>
              <w:pStyle w:val="Normal"/>
              <w:widowControl w:val="false"/>
              <w:suppressAutoHyphens w:val="false"/>
              <w:spacing w:before="60" w:after="60"/>
              <w:jc w:val="center"/>
              <w:rPr>
                <w:rFonts w:ascii="calibri" w:hAnsi="calibri"/>
                <w:sz w:val="24"/>
                <w:szCs w:val="24"/>
              </w:rPr>
            </w:pPr>
            <w:r>
              <w:rPr>
                <w:rFonts w:ascii="calibri" w:hAnsi="calibri"/>
                <w:sz w:val="24"/>
                <w:szCs w:val="24"/>
              </w:rPr>
              <w:t>18,16</w:t>
            </w:r>
          </w:p>
        </w:tc>
        <w:tc>
          <w:tcPr>
            <w:tcW w:w="1559" w:type="dxa"/>
            <w:tcBorders>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false"/>
              <w:spacing w:before="60" w:after="60"/>
              <w:jc w:val="center"/>
              <w:rPr>
                <w:rFonts w:ascii="calibri" w:hAnsi="calibri"/>
                <w:sz w:val="24"/>
                <w:szCs w:val="24"/>
              </w:rPr>
            </w:pPr>
            <w:r>
              <w:rPr>
                <w:rFonts w:ascii="calibri" w:hAnsi="calibri"/>
                <w:sz w:val="24"/>
                <w:szCs w:val="24"/>
              </w:rPr>
              <w:t>1.816,00</w:t>
            </w:r>
          </w:p>
        </w:tc>
      </w:tr>
      <w:tr>
        <w:trPr>
          <w:trHeight w:val="79" w:hRule="atLeast"/>
        </w:trPr>
        <w:tc>
          <w:tcPr>
            <w:tcW w:w="709" w:type="dxa"/>
            <w:tcBorders>
              <w:left w:val="single" w:sz="4" w:space="0" w:color="000001"/>
              <w:bottom w:val="single" w:sz="4" w:space="0" w:color="000001"/>
            </w:tcBorders>
            <w:shd w:color="auto" w:fill="auto" w:val="clear"/>
            <w:vAlign w:val="center"/>
          </w:tcPr>
          <w:p>
            <w:pPr>
              <w:pStyle w:val="Normal"/>
              <w:widowControl w:val="false"/>
              <w:jc w:val="center"/>
              <w:rPr>
                <w:rFonts w:ascii="Calibri" w:hAnsi="Calibri"/>
                <w:sz w:val="24"/>
                <w:szCs w:val="24"/>
              </w:rPr>
            </w:pPr>
            <w:r>
              <w:rPr>
                <w:rFonts w:ascii="Calibri" w:hAnsi="Calibri"/>
                <w:sz w:val="24"/>
                <w:szCs w:val="24"/>
              </w:rPr>
              <w:t>9</w:t>
            </w:r>
          </w:p>
        </w:tc>
        <w:tc>
          <w:tcPr>
            <w:tcW w:w="4820" w:type="dxa"/>
            <w:tcBorders>
              <w:left w:val="single" w:sz="4" w:space="0" w:color="000001"/>
              <w:bottom w:val="single" w:sz="4" w:space="0" w:color="000001"/>
            </w:tcBorders>
            <w:shd w:color="auto" w:fill="auto" w:val="clear"/>
            <w:vAlign w:val="center"/>
          </w:tcPr>
          <w:p>
            <w:pPr>
              <w:pStyle w:val="Normal"/>
              <w:widowControl w:val="false"/>
              <w:spacing w:before="0" w:after="200"/>
              <w:jc w:val="both"/>
              <w:rPr>
                <w:rFonts w:ascii="Calibri" w:hAnsi="Calibri"/>
                <w:sz w:val="24"/>
                <w:szCs w:val="24"/>
              </w:rPr>
            </w:pPr>
            <w:r>
              <w:rPr>
                <w:rFonts w:cs="Arial" w:ascii="Calibri" w:hAnsi="Calibri"/>
                <w:bCs/>
                <w:sz w:val="24"/>
                <w:szCs w:val="24"/>
                <w:shd w:fill="FFFFFF" w:val="clear"/>
              </w:rPr>
              <w:t xml:space="preserve">Óleo mineral, uso tópico, frasco 1000 ml. </w:t>
            </w:r>
          </w:p>
        </w:tc>
        <w:tc>
          <w:tcPr>
            <w:tcW w:w="1417" w:type="dxa"/>
            <w:tcBorders>
              <w:left w:val="single" w:sz="4" w:space="0" w:color="000001"/>
              <w:bottom w:val="single" w:sz="4" w:space="0" w:color="000001"/>
            </w:tcBorders>
            <w:shd w:color="auto" w:fill="auto" w:val="clear"/>
            <w:vAlign w:val="center"/>
          </w:tcPr>
          <w:p>
            <w:pPr>
              <w:pStyle w:val="Normal"/>
              <w:widowControl w:val="false"/>
              <w:tabs>
                <w:tab w:val="clear" w:pos="720"/>
                <w:tab w:val="left" w:pos="284" w:leader="none"/>
                <w:tab w:val="left" w:pos="426" w:leader="none"/>
              </w:tabs>
              <w:jc w:val="center"/>
              <w:rPr>
                <w:rFonts w:ascii="CALIBRI" w:hAnsi="CALIBRI"/>
                <w:sz w:val="22"/>
                <w:szCs w:val="22"/>
              </w:rPr>
            </w:pPr>
            <w:r>
              <w:rPr>
                <w:rFonts w:ascii="CALIBRI" w:hAnsi="CALIBRI"/>
                <w:sz w:val="22"/>
                <w:szCs w:val="22"/>
              </w:rPr>
              <w:t>frasco</w:t>
            </w:r>
          </w:p>
        </w:tc>
        <w:tc>
          <w:tcPr>
            <w:tcW w:w="1418" w:type="dxa"/>
            <w:tcBorders>
              <w:left w:val="single" w:sz="4" w:space="0" w:color="000001"/>
              <w:bottom w:val="single" w:sz="4" w:space="0" w:color="000001"/>
            </w:tcBorders>
            <w:shd w:color="auto" w:fill="auto" w:val="clear"/>
            <w:vAlign w:val="center"/>
          </w:tcPr>
          <w:p>
            <w:pPr>
              <w:pStyle w:val="Normal"/>
              <w:widowControl w:val="false"/>
              <w:suppressAutoHyphens w:val="false"/>
              <w:spacing w:before="60" w:after="60"/>
              <w:jc w:val="center"/>
              <w:rPr>
                <w:rFonts w:ascii="calibri" w:hAnsi="calibri"/>
                <w:sz w:val="24"/>
                <w:szCs w:val="24"/>
              </w:rPr>
            </w:pPr>
            <w:r>
              <w:rPr>
                <w:rFonts w:ascii="calibri" w:hAnsi="calibri"/>
                <w:sz w:val="24"/>
                <w:szCs w:val="24"/>
              </w:rPr>
              <w:t>132,97</w:t>
            </w:r>
          </w:p>
        </w:tc>
        <w:tc>
          <w:tcPr>
            <w:tcW w:w="1559" w:type="dxa"/>
            <w:tcBorders>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false"/>
              <w:spacing w:before="60" w:after="60"/>
              <w:jc w:val="center"/>
              <w:rPr>
                <w:rFonts w:ascii="calibri" w:hAnsi="calibri"/>
                <w:sz w:val="24"/>
                <w:szCs w:val="24"/>
              </w:rPr>
            </w:pPr>
            <w:r>
              <w:rPr>
                <w:rFonts w:ascii="calibri" w:hAnsi="calibri"/>
                <w:sz w:val="24"/>
                <w:szCs w:val="24"/>
              </w:rPr>
              <w:t>2.659,40</w:t>
            </w:r>
          </w:p>
        </w:tc>
      </w:tr>
      <w:tr>
        <w:trPr>
          <w:trHeight w:val="79" w:hRule="atLeast"/>
        </w:trPr>
        <w:tc>
          <w:tcPr>
            <w:tcW w:w="709" w:type="dxa"/>
            <w:tcBorders>
              <w:left w:val="single" w:sz="4" w:space="0" w:color="000001"/>
              <w:bottom w:val="single" w:sz="4" w:space="0" w:color="000001"/>
            </w:tcBorders>
            <w:shd w:color="auto" w:fill="auto" w:val="clear"/>
            <w:vAlign w:val="center"/>
          </w:tcPr>
          <w:p>
            <w:pPr>
              <w:pStyle w:val="Normal"/>
              <w:widowControl w:val="false"/>
              <w:jc w:val="center"/>
              <w:rPr>
                <w:rFonts w:ascii="Calibri" w:hAnsi="Calibri"/>
                <w:sz w:val="24"/>
                <w:szCs w:val="24"/>
              </w:rPr>
            </w:pPr>
            <w:r>
              <w:rPr>
                <w:rFonts w:ascii="Calibri" w:hAnsi="Calibri"/>
                <w:sz w:val="24"/>
                <w:szCs w:val="24"/>
              </w:rPr>
              <w:t>10</w:t>
            </w:r>
          </w:p>
        </w:tc>
        <w:tc>
          <w:tcPr>
            <w:tcW w:w="4820" w:type="dxa"/>
            <w:tcBorders>
              <w:left w:val="single" w:sz="4" w:space="0" w:color="000001"/>
              <w:bottom w:val="single" w:sz="4" w:space="0" w:color="000001"/>
            </w:tcBorders>
            <w:shd w:color="auto" w:fill="auto" w:val="clear"/>
            <w:vAlign w:val="center"/>
          </w:tcPr>
          <w:p>
            <w:pPr>
              <w:pStyle w:val="Normal"/>
              <w:widowControl w:val="false"/>
              <w:spacing w:before="0" w:after="200"/>
              <w:jc w:val="both"/>
              <w:rPr>
                <w:rFonts w:ascii="Calibri" w:hAnsi="Calibri"/>
                <w:sz w:val="24"/>
                <w:szCs w:val="24"/>
              </w:rPr>
            </w:pPr>
            <w:r>
              <w:rPr>
                <w:rFonts w:cs="Arial" w:ascii="Calibri" w:hAnsi="Calibri"/>
                <w:color w:val="000000"/>
                <w:sz w:val="24"/>
                <w:szCs w:val="24"/>
                <w:shd w:fill="FFFFFF" w:val="clear"/>
              </w:rPr>
              <w:t>Fio de sutura absorvível de poliglactina 3-0. Sutura absorvível multifilamentar trançada de poliglactina 910 (PGLA) 3-0 70 cm, com agulha de 2,5 cm SR25, curvatura de ½ círculo, agulha cilíndrica gastrointestinal.</w:t>
            </w:r>
          </w:p>
        </w:tc>
        <w:tc>
          <w:tcPr>
            <w:tcW w:w="1417" w:type="dxa"/>
            <w:tcBorders>
              <w:left w:val="single" w:sz="4" w:space="0" w:color="000001"/>
              <w:bottom w:val="single" w:sz="4" w:space="0" w:color="000001"/>
            </w:tcBorders>
            <w:shd w:color="auto" w:fill="auto" w:val="clear"/>
            <w:vAlign w:val="center"/>
          </w:tcPr>
          <w:p>
            <w:pPr>
              <w:pStyle w:val="Normal"/>
              <w:widowControl w:val="false"/>
              <w:tabs>
                <w:tab w:val="clear" w:pos="720"/>
                <w:tab w:val="left" w:pos="284" w:leader="none"/>
                <w:tab w:val="left" w:pos="426" w:leader="none"/>
              </w:tabs>
              <w:jc w:val="center"/>
              <w:rPr>
                <w:rFonts w:ascii="CALIBRI" w:hAnsi="CALIBRI"/>
                <w:sz w:val="22"/>
                <w:szCs w:val="22"/>
              </w:rPr>
            </w:pPr>
            <w:r>
              <w:rPr>
                <w:rFonts w:ascii="CALIBRI" w:hAnsi="CALIBRI"/>
                <w:sz w:val="22"/>
                <w:szCs w:val="22"/>
              </w:rPr>
              <w:t>unidade</w:t>
            </w:r>
          </w:p>
        </w:tc>
        <w:tc>
          <w:tcPr>
            <w:tcW w:w="1418" w:type="dxa"/>
            <w:tcBorders>
              <w:left w:val="single" w:sz="4" w:space="0" w:color="000001"/>
              <w:bottom w:val="single" w:sz="4" w:space="0" w:color="000001"/>
            </w:tcBorders>
            <w:shd w:color="auto" w:fill="auto" w:val="clear"/>
            <w:vAlign w:val="center"/>
          </w:tcPr>
          <w:p>
            <w:pPr>
              <w:pStyle w:val="Normal"/>
              <w:widowControl w:val="false"/>
              <w:suppressAutoHyphens w:val="false"/>
              <w:spacing w:before="60" w:after="60"/>
              <w:jc w:val="center"/>
              <w:rPr>
                <w:rFonts w:ascii="calibri" w:hAnsi="calibri"/>
                <w:sz w:val="24"/>
                <w:szCs w:val="24"/>
              </w:rPr>
            </w:pPr>
            <w:r>
              <w:rPr>
                <w:rFonts w:ascii="calibri" w:hAnsi="calibri"/>
                <w:sz w:val="24"/>
                <w:szCs w:val="24"/>
              </w:rPr>
              <w:t>8,78</w:t>
            </w:r>
          </w:p>
        </w:tc>
        <w:tc>
          <w:tcPr>
            <w:tcW w:w="1559" w:type="dxa"/>
            <w:tcBorders>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false"/>
              <w:spacing w:before="60" w:after="60"/>
              <w:jc w:val="center"/>
              <w:rPr>
                <w:rFonts w:ascii="calibri" w:hAnsi="calibri"/>
                <w:sz w:val="24"/>
                <w:szCs w:val="24"/>
              </w:rPr>
            </w:pPr>
            <w:r>
              <w:rPr>
                <w:rFonts w:ascii="calibri" w:hAnsi="calibri"/>
                <w:sz w:val="24"/>
                <w:szCs w:val="24"/>
              </w:rPr>
              <w:t>1.264,32</w:t>
            </w:r>
          </w:p>
        </w:tc>
      </w:tr>
    </w:tbl>
    <w:p>
      <w:pPr>
        <w:pStyle w:val="Normal"/>
        <w:ind w:left="340" w:hanging="0"/>
        <w:jc w:val="both"/>
        <w:rPr>
          <w:rFonts w:ascii="Calibri" w:hAnsi="Calibri" w:eastAsia="Times New Roman" w:cs="Calibri" w:asciiTheme="minorHAnsi" w:cstheme="minorHAnsi" w:hAnsiTheme="minorHAnsi"/>
          <w:color w:val="000000" w:themeColor="text1"/>
          <w:sz w:val="24"/>
          <w:szCs w:val="24"/>
        </w:rPr>
      </w:pPr>
      <w:r>
        <w:rPr>
          <w:rFonts w:eastAsia="Times New Roman" w:cs="Calibri" w:cstheme="minorHAnsi" w:ascii="Calibri" w:hAnsi="Calibri"/>
          <w:color w:val="000000" w:themeColor="text1"/>
          <w:sz w:val="24"/>
          <w:szCs w:val="24"/>
        </w:rPr>
      </w:r>
    </w:p>
    <w:p>
      <w:pPr>
        <w:pStyle w:val="Normal"/>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3.1 Os itens inseridos no Comprasnet contemplam a descrição do Catálogo de Materiais, podendo haver divergência com o especificado no quadro acima. Caso isso ocorra, será utilizada para fins de aceitação do objeto a descrição constante no quadro.</w:t>
      </w:r>
    </w:p>
    <w:p>
      <w:pPr>
        <w:pStyle w:val="Normal"/>
        <w:ind w:left="340" w:hanging="0"/>
        <w:jc w:val="both"/>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p>
      <w:pPr>
        <w:pStyle w:val="Normal"/>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b/>
          <w:bCs/>
          <w:color w:val="000000" w:themeColor="text1"/>
          <w:sz w:val="24"/>
          <w:szCs w:val="24"/>
        </w:rPr>
        <w:t>4. PRAZO, LOCAL E CONDIÇÕES DE ENTREGA OU EXECUÇÃO</w:t>
      </w:r>
    </w:p>
    <w:p>
      <w:pPr>
        <w:pStyle w:val="Normal"/>
        <w:ind w:firstLine="283"/>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4.1 Prazo de entrega: 30 (trinta) dias corridos, a contar do recebimento da nota de empenho.</w:t>
      </w:r>
    </w:p>
    <w:p>
      <w:pPr>
        <w:pStyle w:val="Normal"/>
        <w:spacing w:lineRule="exact" w:line="20"/>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p>
      <w:pPr>
        <w:pStyle w:val="Normal"/>
        <w:ind w:firstLine="283"/>
        <w:jc w:val="both"/>
        <w:rPr/>
      </w:pPr>
      <w:r>
        <w:rPr>
          <w:rFonts w:eastAsia="Times New Roman" w:cs="Calibri" w:ascii="Calibri" w:hAnsi="Calibri" w:asciiTheme="minorHAnsi" w:cstheme="minorHAnsi" w:hAnsiTheme="minorHAnsi"/>
          <w:color w:val="000000" w:themeColor="text1"/>
          <w:sz w:val="24"/>
          <w:szCs w:val="24"/>
        </w:rPr>
        <w:t>4.2 Local de entrega: Farmácia do 38º Batalhão de Infantaria – Praia de Piratininga, s/nº, Prainha, Vila Velha – ES, CEP 29100-901.</w:t>
      </w:r>
    </w:p>
    <w:p>
      <w:pPr>
        <w:pStyle w:val="Normal"/>
        <w:spacing w:lineRule="exact" w:line="316"/>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p>
      <w:pPr>
        <w:pStyle w:val="Normal"/>
        <w:tabs>
          <w:tab w:val="clear" w:pos="720"/>
          <w:tab w:val="left" w:pos="260" w:leader="none"/>
        </w:tabs>
        <w:rPr>
          <w:rFonts w:ascii="Calibri" w:hAnsi="Calibri" w:cs="Calibri" w:asciiTheme="minorHAnsi" w:cstheme="minorHAnsi" w:hAnsiTheme="minorHAnsi"/>
          <w:b/>
          <w:b/>
          <w:bCs/>
          <w:color w:val="000000" w:themeColor="text1"/>
          <w:sz w:val="24"/>
          <w:szCs w:val="24"/>
        </w:rPr>
      </w:pPr>
      <w:r>
        <w:rPr>
          <w:rFonts w:eastAsia="Times New Roman" w:cs="Calibri" w:ascii="Calibri" w:hAnsi="Calibri" w:asciiTheme="minorHAnsi" w:cstheme="minorHAnsi" w:hAnsiTheme="minorHAnsi"/>
          <w:b/>
          <w:bCs/>
          <w:color w:val="000000" w:themeColor="text1"/>
          <w:sz w:val="24"/>
          <w:szCs w:val="24"/>
        </w:rPr>
        <w:t>5. RESPONSÁVEL PELO RECEBIMENTO, TELEFONE E E-MAIL</w:t>
      </w:r>
    </w:p>
    <w:p>
      <w:pPr>
        <w:pStyle w:val="Normal"/>
        <w:ind w:firstLine="283"/>
        <w:rPr/>
      </w:pPr>
      <w:r>
        <w:rPr>
          <w:rFonts w:eastAsia="Times New Roman" w:cs="Calibri" w:ascii="Calibri" w:hAnsi="Calibri" w:asciiTheme="minorHAnsi" w:cstheme="minorHAnsi" w:hAnsiTheme="minorHAnsi"/>
          <w:color w:val="000000" w:themeColor="text1"/>
          <w:sz w:val="24"/>
          <w:szCs w:val="24"/>
        </w:rPr>
        <w:t>Setor: Farmácia</w:t>
      </w:r>
    </w:p>
    <w:p>
      <w:pPr>
        <w:pStyle w:val="Normal"/>
        <w:spacing w:lineRule="exact" w:line="8"/>
        <w:ind w:firstLine="283"/>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p>
      <w:pPr>
        <w:pStyle w:val="Normal"/>
        <w:ind w:firstLine="283"/>
        <w:rPr/>
      </w:pPr>
      <w:r>
        <w:rPr>
          <w:rFonts w:eastAsia="Times New Roman" w:cs="Calibri" w:ascii="Calibri" w:hAnsi="Calibri" w:asciiTheme="minorHAnsi" w:cstheme="minorHAnsi" w:hAnsiTheme="minorHAnsi"/>
          <w:color w:val="000000" w:themeColor="text1"/>
          <w:sz w:val="24"/>
          <w:szCs w:val="24"/>
        </w:rPr>
        <w:t>Telefone: (27) 3061-7333</w:t>
      </w:r>
    </w:p>
    <w:p>
      <w:pPr>
        <w:pStyle w:val="Normal"/>
        <w:spacing w:lineRule="exact" w:line="8"/>
        <w:ind w:firstLine="283"/>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p>
      <w:pPr>
        <w:pStyle w:val="Normal"/>
        <w:ind w:firstLine="283"/>
        <w:rPr/>
      </w:pPr>
      <w:r>
        <w:rPr>
          <w:rFonts w:eastAsia="Times New Roman" w:cs="Calibri" w:ascii="Calibri" w:hAnsi="Calibri" w:asciiTheme="minorHAnsi" w:cstheme="minorHAnsi" w:hAnsiTheme="minorHAnsi"/>
          <w:color w:val="000000" w:themeColor="text1"/>
          <w:sz w:val="24"/>
          <w:szCs w:val="24"/>
        </w:rPr>
        <w:t>E-mail: farmacia@38bi.eb.mil.br</w:t>
      </w:r>
    </w:p>
    <w:p>
      <w:pPr>
        <w:pStyle w:val="Normal"/>
        <w:spacing w:lineRule="exact" w:line="304"/>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p>
      <w:pPr>
        <w:pStyle w:val="Normal"/>
        <w:ind w:left="20" w:hanging="0"/>
        <w:rPr>
          <w:rFonts w:ascii="Calibri" w:hAnsi="Calibri" w:cs="Calibri" w:asciiTheme="minorHAnsi" w:cstheme="minorHAnsi" w:hAnsiTheme="minorHAnsi"/>
          <w:b/>
          <w:b/>
          <w:bCs/>
          <w:color w:val="000000" w:themeColor="text1"/>
          <w:sz w:val="24"/>
          <w:szCs w:val="24"/>
        </w:rPr>
      </w:pPr>
      <w:r>
        <w:rPr>
          <w:rFonts w:eastAsia="Times New Roman" w:cs="Calibri" w:ascii="Calibri" w:hAnsi="Calibri" w:asciiTheme="minorHAnsi" w:cstheme="minorHAnsi" w:hAnsiTheme="minorHAnsi"/>
          <w:b/>
          <w:bCs/>
          <w:color w:val="000000" w:themeColor="text1"/>
          <w:sz w:val="24"/>
          <w:szCs w:val="24"/>
        </w:rPr>
        <w:t>6. PROCEDIMENTO DO CERTAME</w:t>
      </w:r>
    </w:p>
    <w:p>
      <w:pPr>
        <w:pStyle w:val="Normal"/>
        <w:spacing w:lineRule="auto" w:line="235"/>
        <w:ind w:left="57" w:firstLine="227"/>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 xml:space="preserve">6.1 A dispensa eletrônica será inserida no sistema, sendo aberta automaticamente pelo portal de compras governamentais e finalizada conforme descrito na IN 67 – SEGES/ME, de 8 de julho de 2021. </w:t>
      </w:r>
    </w:p>
    <w:p>
      <w:pPr>
        <w:pStyle w:val="Normal"/>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6.2 Encerrada a fase de lances, o operador do sistema aguardará o procedimento de envio da documentação da empresa, descrito no item 12 deste termo, solicitando maiores informações ou quaisquer outras necessidades verificadas pela administração.</w:t>
      </w:r>
    </w:p>
    <w:p>
      <w:pPr>
        <w:pStyle w:val="Normal"/>
        <w:spacing w:lineRule="auto" w:line="240"/>
        <w:ind w:firstLine="283"/>
        <w:jc w:val="both"/>
        <w:rPr>
          <w:rFonts w:ascii="Calibri" w:hAnsi="Calibri" w:cs="Calibri" w:asciiTheme="minorHAnsi" w:cstheme="minorHAnsi" w:hAnsiTheme="minorHAnsi"/>
          <w:b/>
          <w:b/>
          <w:color w:val="000000" w:themeColor="text1"/>
          <w:sz w:val="24"/>
          <w:szCs w:val="24"/>
        </w:rPr>
      </w:pPr>
      <w:r>
        <w:rPr>
          <w:rFonts w:eastAsia="Times New Roman" w:cs="Calibri" w:ascii="Calibri" w:hAnsi="Calibri" w:asciiTheme="minorHAnsi" w:cstheme="minorHAnsi" w:hAnsiTheme="minorHAnsi"/>
          <w:color w:val="000000" w:themeColor="text1"/>
          <w:sz w:val="24"/>
          <w:szCs w:val="24"/>
        </w:rPr>
        <w:t xml:space="preserve">6.3 </w:t>
      </w:r>
      <w:r>
        <w:rPr>
          <w:rFonts w:eastAsia="Times New Roman" w:cs="Calibri" w:ascii="Calibri" w:hAnsi="Calibri" w:asciiTheme="minorHAnsi" w:cstheme="minorHAnsi" w:hAnsiTheme="minorHAnsi"/>
          <w:b/>
          <w:color w:val="000000" w:themeColor="text1"/>
          <w:sz w:val="24"/>
          <w:szCs w:val="24"/>
        </w:rPr>
        <w:t>A Administração poderá solicitar amostra, catálogo ou folder do produto</w:t>
      </w:r>
      <w:r>
        <w:rPr>
          <w:rFonts w:eastAsia="Times New Roman" w:cs="Calibri" w:ascii="Calibri" w:hAnsi="Calibri" w:asciiTheme="minorHAnsi" w:cstheme="minorHAnsi" w:hAnsiTheme="minorHAnsi"/>
          <w:color w:val="000000" w:themeColor="text1"/>
          <w:sz w:val="24"/>
          <w:szCs w:val="24"/>
        </w:rPr>
        <w:t xml:space="preserve">, </w:t>
      </w:r>
      <w:r>
        <w:rPr>
          <w:rFonts w:eastAsia="Times New Roman" w:cs="Calibri" w:ascii="Calibri" w:hAnsi="Calibri" w:asciiTheme="minorHAnsi" w:cstheme="minorHAnsi" w:hAnsiTheme="minorHAnsi"/>
          <w:b/>
          <w:color w:val="000000" w:themeColor="text1"/>
          <w:sz w:val="24"/>
          <w:szCs w:val="24"/>
        </w:rPr>
        <w:t>ou ainda o link do fabricante, para aferição da qualidade do produto, bem como do atendimento ao que consta da especificação, visando proteger o erário e garantindo à administração pública a aquisição de itens funcionais.</w:t>
      </w:r>
    </w:p>
    <w:p>
      <w:pPr>
        <w:pStyle w:val="Normal"/>
        <w:spacing w:lineRule="exact" w:line="302"/>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p>
      <w:pPr>
        <w:pStyle w:val="Normal"/>
        <w:ind w:left="20" w:hanging="0"/>
        <w:rPr>
          <w:rFonts w:ascii="Calibri" w:hAnsi="Calibri" w:cs="Calibri" w:asciiTheme="minorHAnsi" w:cstheme="minorHAnsi" w:hAnsiTheme="minorHAnsi"/>
          <w:b/>
          <w:b/>
          <w:bCs/>
          <w:color w:val="000000" w:themeColor="text1"/>
          <w:sz w:val="24"/>
          <w:szCs w:val="24"/>
        </w:rPr>
      </w:pPr>
      <w:r>
        <w:rPr>
          <w:rFonts w:eastAsia="Times New Roman" w:cs="Calibri" w:ascii="Calibri" w:hAnsi="Calibri" w:asciiTheme="minorHAnsi" w:cstheme="minorHAnsi" w:hAnsiTheme="minorHAnsi"/>
          <w:b/>
          <w:bCs/>
          <w:color w:val="000000" w:themeColor="text1"/>
          <w:sz w:val="24"/>
          <w:szCs w:val="24"/>
        </w:rPr>
        <w:t>7. CONDIÇÕES E PRAZOS DE PAGAMENTO</w:t>
      </w:r>
    </w:p>
    <w:p>
      <w:pPr>
        <w:pStyle w:val="Normal"/>
        <w:spacing w:lineRule="auto" w:line="240"/>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7.1 O pagamento será efetuado mediante a apresentação de nota fiscal do produto, acompanhada das informações quanto aos seus dados bancários e de cópia da nota de empenho, para atestação e posterior liquidação e pagamento da despesa pelo Contratante, mediante ordem bancária creditada em conta corrente, no prazo máximo de trinta dias, contados do recebimento definitivo do produto, pela atestação da respectiva nota fiscal, nos termos do artigo 25 da Lei nº 14.133/21.</w:t>
      </w:r>
    </w:p>
    <w:p>
      <w:pPr>
        <w:pStyle w:val="Normal"/>
        <w:spacing w:lineRule="auto" w:line="235"/>
        <w:ind w:firstLine="680"/>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7.1.1 O pagamento será efetuado pela Administração em parcela única, quando do recebimento definitivo do produto.</w:t>
      </w:r>
    </w:p>
    <w:p>
      <w:pPr>
        <w:pStyle w:val="Normal"/>
        <w:spacing w:lineRule="auto" w:line="235"/>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7.2 Informações sobre notas fiscais ou recibos encaminhados à Tesouraria para pagamento somente serão prestadas por intermédio do telefone (27) 3061-7310.</w:t>
      </w:r>
    </w:p>
    <w:p>
      <w:pPr>
        <w:pStyle w:val="Normal"/>
        <w:spacing w:lineRule="auto" w:line="235"/>
        <w:ind w:firstLine="680"/>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7.2.1 Na consulta, deverão ser informados o nome do interessado, com CNPJ ou CPF, o número da nota fiscal e o objeto da cotação, com a respectiva data.</w:t>
      </w:r>
    </w:p>
    <w:p>
      <w:pPr>
        <w:pStyle w:val="Normal"/>
        <w:spacing w:lineRule="auto" w:line="240"/>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7.3 No caso da Contratada ser optante pelo Sistema Integrado de Pagamento de Impostos e Contribuições das Microempresas e Empresas de Pequeno Porte (SIMPLES), ela deverá apresentar, juntamente com a nota fiscal, a devida comprovação, a fim de evitar a retenção na fonte dos tributos e contribuições.</w:t>
      </w:r>
    </w:p>
    <w:p>
      <w:pPr>
        <w:pStyle w:val="Normal"/>
        <w:spacing w:lineRule="auto" w:line="235"/>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7.4 No ato da efetivação do pagamento será efetuada a retenção na fonte dos tributos e contribuições, de acordo com a legislação tributária vigente.</w:t>
      </w:r>
    </w:p>
    <w:p>
      <w:pPr>
        <w:pStyle w:val="Normal"/>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7.5 Caso haja incorreção no faturamento, os documentos de cobrança serão devolvidos para regularização e pagos em até 72 horas, a contar da sua nova aceitação, não cabendo atualização financeira sob hipótese alguma.</w:t>
      </w:r>
    </w:p>
    <w:p>
      <w:pPr>
        <w:pStyle w:val="Normal"/>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7.6 O 38º Batalhão de Infantaria reserva-se o direito de se recusar ao pagamento se, na ocasião prevista para a atestação, o objeto deste Termo de Referência não estiver de acordo com o licitado, proposto e contratado.</w:t>
      </w:r>
    </w:p>
    <w:p>
      <w:pPr>
        <w:pStyle w:val="Normal"/>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7.7 É vedado ao Licitante vencedor, sob pena de rescisão contratual, negociar ou caucionar a nota de empenho recebida para fins de operação financeira, ainda que relacionada com o objeto deste edital.</w:t>
      </w:r>
    </w:p>
    <w:p>
      <w:pPr>
        <w:pStyle w:val="Normal"/>
        <w:spacing w:lineRule="exact" w:line="304"/>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p>
      <w:pPr>
        <w:pStyle w:val="Normal"/>
        <w:rPr>
          <w:rFonts w:ascii="Calibri" w:hAnsi="Calibri" w:cs="Calibri" w:asciiTheme="minorHAnsi" w:cstheme="minorHAnsi" w:hAnsiTheme="minorHAnsi"/>
          <w:b/>
          <w:b/>
          <w:bCs/>
          <w:color w:val="000000" w:themeColor="text1"/>
          <w:sz w:val="24"/>
          <w:szCs w:val="24"/>
        </w:rPr>
      </w:pPr>
      <w:r>
        <w:rPr>
          <w:rFonts w:eastAsia="Times New Roman" w:cs="Calibri" w:ascii="Calibri" w:hAnsi="Calibri" w:asciiTheme="minorHAnsi" w:cstheme="minorHAnsi" w:hAnsiTheme="minorHAnsi"/>
          <w:b/>
          <w:bCs/>
          <w:color w:val="000000" w:themeColor="text1"/>
          <w:sz w:val="24"/>
          <w:szCs w:val="24"/>
        </w:rPr>
        <w:t>8. RECEBIMENTO, FISCALIZAÇÃO E ATESTAÇÃO</w:t>
      </w:r>
    </w:p>
    <w:p>
      <w:pPr>
        <w:pStyle w:val="Normal"/>
        <w:spacing w:lineRule="auto" w:line="240"/>
        <w:ind w:firstLine="283"/>
        <w:jc w:val="both"/>
        <w:rPr/>
      </w:pPr>
      <w:r>
        <w:rPr>
          <w:rFonts w:eastAsia="Times New Roman" w:cs="Calibri" w:ascii="Calibri" w:hAnsi="Calibri" w:asciiTheme="minorHAnsi" w:cstheme="minorHAnsi" w:hAnsiTheme="minorHAnsi"/>
          <w:color w:val="000000" w:themeColor="text1"/>
          <w:sz w:val="24"/>
          <w:szCs w:val="24"/>
        </w:rPr>
        <w:t>8.1 Os materiais serão recebidos provisoriamente, imediatamente após efetuada a entrega, para efeito de posterior verificação da sua conformidade com as especificações constantes da proposta, por servidor lotado na Seção de Farmácia localizada dentro do Batalhão, de segunda-feira a quinta-feira, no horário das 09:30 às 12:00 e das 13:30 à 15:00 horas, e na sexta feira de 8-12h.</w:t>
      </w:r>
    </w:p>
    <w:p>
      <w:pPr>
        <w:pStyle w:val="Normal"/>
        <w:tabs>
          <w:tab w:val="clear" w:pos="720"/>
          <w:tab w:val="left" w:pos="285" w:leader="none"/>
        </w:tabs>
        <w:spacing w:lineRule="auto" w:line="235"/>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8.2 Os materiais serão recebidos, definitivamente, após a verificação da sua qualidade e quantidade, por comissão ou servidor lotado na unidade requisitante.</w:t>
      </w:r>
    </w:p>
    <w:p>
      <w:pPr>
        <w:pStyle w:val="Normal"/>
        <w:spacing w:lineRule="auto" w:line="240"/>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8.3 Os materiais entregues em desacordo com as especificações contidas no edital e seus anexos serão rejeitados parcial ou totalmente, conforme o caso, estando a Contratada obrigada a substituí-los, as suas expensas, no prazo estipulado pela Administração, contado da data do recebimento da notificação, sob pena de responder pelas penalidades constantes do edital, em razão de atraso no prazo de execução.</w:t>
      </w:r>
    </w:p>
    <w:p>
      <w:pPr>
        <w:pStyle w:val="Normal"/>
        <w:spacing w:lineRule="auto" w:line="235"/>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8.4 Essa notificação suspende os prazos de recebimento e de pagamento até que a irregularidade seja sanada.</w:t>
      </w:r>
    </w:p>
    <w:p>
      <w:pPr>
        <w:pStyle w:val="Normal"/>
        <w:ind w:firstLine="340"/>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8.5 Quando a recusa for parcial, a Administração poderá solicitar a substituição da nota fiscal por outra contendo apenas os itens aprovados, que deverá ocorrer em até três dias úteis.</w:t>
      </w:r>
    </w:p>
    <w:p>
      <w:pPr>
        <w:pStyle w:val="Normal"/>
        <w:ind w:firstLine="340"/>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8.6 Para o recebimento definitivo ou dependendo da natureza do material, poderão ser efetuados testes por amostragem para avaliação dos produtos, sendo o licitante convocado pela administração, com prazos a serem definidos para apresentação ou envio dos produtos.</w:t>
      </w:r>
    </w:p>
    <w:p>
      <w:pPr>
        <w:pStyle w:val="Normal"/>
        <w:ind w:firstLine="737"/>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8.6.1 Um representante da Contratada poderá acompanhar a avaliação dos materiais, desde que assim se manifeste até o momento da entrega, sendo a conferência efetuada na presença de testemunhas, em caso do seu não comparecimento.</w:t>
      </w:r>
    </w:p>
    <w:p>
      <w:pPr>
        <w:pStyle w:val="Normal"/>
        <w:spacing w:lineRule="exact" w:line="304"/>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p>
      <w:pPr>
        <w:pStyle w:val="Normal"/>
        <w:rPr>
          <w:rFonts w:ascii="Calibri" w:hAnsi="Calibri" w:cs="Calibri" w:asciiTheme="minorHAnsi" w:cstheme="minorHAnsi" w:hAnsiTheme="minorHAnsi"/>
          <w:b/>
          <w:b/>
          <w:bCs/>
          <w:color w:val="000000" w:themeColor="text1"/>
          <w:sz w:val="24"/>
          <w:szCs w:val="24"/>
        </w:rPr>
      </w:pPr>
      <w:r>
        <w:rPr>
          <w:rFonts w:eastAsia="Times New Roman" w:cs="Calibri" w:ascii="Calibri" w:hAnsi="Calibri" w:asciiTheme="minorHAnsi" w:cstheme="minorHAnsi" w:hAnsiTheme="minorHAnsi"/>
          <w:b/>
          <w:bCs/>
          <w:color w:val="000000" w:themeColor="text1"/>
          <w:sz w:val="24"/>
          <w:szCs w:val="24"/>
        </w:rPr>
        <w:t>9. OBRIGAÇÕES DA CONTRATANTE</w:t>
      </w:r>
    </w:p>
    <w:p>
      <w:pPr>
        <w:pStyle w:val="Normal"/>
        <w:ind w:firstLine="283"/>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9.1 Receber e conferir os materiais.</w:t>
      </w:r>
    </w:p>
    <w:p>
      <w:pPr>
        <w:pStyle w:val="Normal"/>
        <w:spacing w:lineRule="exact" w:line="8"/>
        <w:ind w:firstLine="283"/>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p>
      <w:pPr>
        <w:pStyle w:val="Normal"/>
        <w:ind w:firstLine="283"/>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9.2 Recusar o material que não estiver de acordo com as especificações.</w:t>
      </w:r>
    </w:p>
    <w:p>
      <w:pPr>
        <w:pStyle w:val="Normal"/>
        <w:spacing w:lineRule="exact" w:line="8"/>
        <w:ind w:firstLine="283"/>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p>
      <w:pPr>
        <w:pStyle w:val="Normal"/>
        <w:ind w:firstLine="283"/>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9.3 Efetuar o pagamento dentro do prazo estipulado no item 7  deste Termo de Referência.</w:t>
      </w:r>
    </w:p>
    <w:p>
      <w:pPr>
        <w:pStyle w:val="Normal"/>
        <w:spacing w:lineRule="exact" w:line="8"/>
        <w:ind w:firstLine="283"/>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p>
      <w:pPr>
        <w:pStyle w:val="Normal"/>
        <w:ind w:firstLine="283"/>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9.4 Prestar as informações e os esclarecimentos que venham a ser solicitados pela Contratada.</w:t>
      </w:r>
    </w:p>
    <w:p>
      <w:pPr>
        <w:pStyle w:val="Normal"/>
        <w:spacing w:lineRule="exact" w:line="304"/>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p>
      <w:pPr>
        <w:pStyle w:val="Normal"/>
        <w:rPr>
          <w:rFonts w:ascii="Calibri" w:hAnsi="Calibri" w:cs="Calibri" w:asciiTheme="minorHAnsi" w:cstheme="minorHAnsi" w:hAnsiTheme="minorHAnsi"/>
          <w:b/>
          <w:b/>
          <w:bCs/>
          <w:color w:val="000000" w:themeColor="text1"/>
          <w:sz w:val="24"/>
          <w:szCs w:val="24"/>
        </w:rPr>
      </w:pPr>
      <w:r>
        <w:rPr>
          <w:rFonts w:eastAsia="Times New Roman" w:cs="Calibri" w:ascii="Calibri" w:hAnsi="Calibri" w:asciiTheme="minorHAnsi" w:cstheme="minorHAnsi" w:hAnsiTheme="minorHAnsi"/>
          <w:b/>
          <w:bCs/>
          <w:color w:val="000000" w:themeColor="text1"/>
          <w:sz w:val="24"/>
          <w:szCs w:val="24"/>
        </w:rPr>
        <w:t>10. OBRIGAÇÕES DA CONTRATADA</w:t>
      </w:r>
    </w:p>
    <w:p>
      <w:pPr>
        <w:pStyle w:val="Normal"/>
        <w:tabs>
          <w:tab w:val="clear" w:pos="720"/>
          <w:tab w:val="left" w:pos="287" w:leader="none"/>
        </w:tabs>
        <w:spacing w:lineRule="auto" w:line="235"/>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10.1 Entregar o produto no prazo máximo de 30 dias, a contar do recebimento da nota de empenho.</w:t>
      </w:r>
    </w:p>
    <w:p>
      <w:pPr>
        <w:pStyle w:val="Normal"/>
        <w:ind w:firstLine="737"/>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10.1.1 Esse prazo poderá ser prorrogável por 10 (dez) dias, desde que solicitado tempestivamente, por escrito, com justificativa devidamente comprovada.</w:t>
      </w:r>
    </w:p>
    <w:p>
      <w:pPr>
        <w:pStyle w:val="Normal"/>
        <w:spacing w:lineRule="auto" w:line="235"/>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10.2 Substituir, no prazo de até 10 dias, o produto entregue com defeito ou fora das especificações.</w:t>
      </w:r>
    </w:p>
    <w:p>
      <w:pPr>
        <w:pStyle w:val="Normal"/>
        <w:spacing w:lineRule="auto" w:line="235"/>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 xml:space="preserve">10.3 Fornecer a garantia estipulada na especificação, a contar da data de aceitação do produto pelo Contratante. </w:t>
      </w:r>
    </w:p>
    <w:p>
      <w:pPr>
        <w:pStyle w:val="Normal"/>
        <w:spacing w:lineRule="auto" w:line="235"/>
        <w:ind w:firstLine="737"/>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10.3.1 Se a garantia ofertada pelo fabricante for maior do que a ofertada pelo licitante, prevalecerá a primeira.</w:t>
      </w:r>
    </w:p>
    <w:p>
      <w:pPr>
        <w:pStyle w:val="Normal"/>
        <w:spacing w:lineRule="auto" w:line="235"/>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10.4 Ofertar produtos que atendam às Normas da ABNT e/ou apresentem selo de aprovação de Órgão Regulamentador, quando for o caso.</w:t>
      </w:r>
    </w:p>
    <w:p>
      <w:pPr>
        <w:pStyle w:val="Normal"/>
        <w:spacing w:lineRule="auto" w:line="235"/>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10.5 Prever e tomar todas as precauções e medidas para que se evite o dano a qualquer parte e/ou material do Contratante no transporte e/ou instalação do produto, quando for o caso.</w:t>
      </w:r>
    </w:p>
    <w:p>
      <w:pPr>
        <w:pStyle w:val="Normal"/>
        <w:spacing w:lineRule="auto" w:line="235"/>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10.6 Atender prontamente às solicitações do Contratante durante o prazo de entrega e de garantia.</w:t>
      </w:r>
    </w:p>
    <w:p>
      <w:pPr>
        <w:pStyle w:val="Normal"/>
        <w:spacing w:lineRule="auto" w:line="235"/>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10.7 Assumir a responsabilidade pelos encargos sociais, previdenciários, fiscais e comerciais resultantes da contratação.</w:t>
      </w:r>
    </w:p>
    <w:p>
      <w:pPr>
        <w:pStyle w:val="Normal"/>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10.8 Manter os seus dados cadastrais atualizados junto ao Contratante e ao SICAF, devendo solicitar, imediatamente, a correção ou alteração dos registros tão logo identifique incorreção ou se tornem desatualizados.</w:t>
      </w:r>
    </w:p>
    <w:p>
      <w:pPr>
        <w:pStyle w:val="Normal"/>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10.9 Manter, durante toda a execução do contrato, em compatibilidade com as obrigações por ele assumidas, todas as condições de habilitação e qualificação exigidas na licitação, podendo o Contratante, a qualquer tempo, exigir as respectivas comprovações.</w:t>
      </w:r>
    </w:p>
    <w:p>
      <w:pPr>
        <w:pStyle w:val="Normal"/>
        <w:spacing w:lineRule="auto" w:line="235"/>
        <w:ind w:firstLine="737"/>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10.9.1 Constatada qualquer irregularidade, os pagamentos serão sobrestados e a Contratada será intimada a providenciar sua regularização.</w:t>
      </w:r>
    </w:p>
    <w:p>
      <w:pPr>
        <w:pStyle w:val="Normal"/>
        <w:spacing w:lineRule="auto" w:line="240"/>
        <w:ind w:firstLine="737"/>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10.9.2 Caso a situação não seja regularizada, o Contratante efetuará os pagamentos devidos, uma vez iniciado o procedimento de rescisão contratual unilateral, em face da configuração de inexecução contratual, com fundamento no art. 78, inciso I, c/c o art. 55, inciso XIII, ambos da Lei no 8.666/1993, sem prejuízo da aplicação das sanções cabíveis e da comunicação do fato aos órgãos pertinentes.</w:t>
      </w:r>
    </w:p>
    <w:p>
      <w:pPr>
        <w:pStyle w:val="Normal"/>
        <w:ind w:left="368" w:hanging="0"/>
        <w:rPr>
          <w:rFonts w:ascii="Calibri" w:hAnsi="Calibri" w:eastAsia="Times New Roman" w:cs="Calibri" w:asciiTheme="minorHAnsi" w:cstheme="minorHAnsi" w:hAnsiTheme="minorHAnsi"/>
          <w:color w:val="000000" w:themeColor="text1"/>
          <w:sz w:val="24"/>
          <w:szCs w:val="24"/>
        </w:rPr>
      </w:pPr>
      <w:r>
        <w:rPr>
          <w:rFonts w:eastAsia="Times New Roman" w:cs="Calibri" w:cstheme="minorHAnsi" w:ascii="Calibri" w:hAnsi="Calibri"/>
          <w:color w:val="000000" w:themeColor="text1"/>
          <w:sz w:val="24"/>
          <w:szCs w:val="24"/>
        </w:rPr>
      </w:r>
    </w:p>
    <w:p>
      <w:pPr>
        <w:pStyle w:val="Normal"/>
        <w:rPr>
          <w:rFonts w:ascii="Calibri" w:hAnsi="Calibri" w:cs="Calibri" w:asciiTheme="minorHAnsi" w:cstheme="minorHAnsi" w:hAnsiTheme="minorHAnsi"/>
          <w:b/>
          <w:b/>
          <w:bCs/>
          <w:color w:val="000000" w:themeColor="text1"/>
          <w:sz w:val="24"/>
          <w:szCs w:val="24"/>
        </w:rPr>
      </w:pPr>
      <w:r>
        <w:rPr>
          <w:rFonts w:eastAsia="Times New Roman" w:cs="Calibri" w:ascii="Calibri" w:hAnsi="Calibri" w:asciiTheme="minorHAnsi" w:cstheme="minorHAnsi" w:hAnsiTheme="minorHAnsi"/>
          <w:b/>
          <w:bCs/>
          <w:color w:val="000000" w:themeColor="text1"/>
          <w:sz w:val="24"/>
          <w:szCs w:val="24"/>
        </w:rPr>
        <w:t>11. CRITÉRIO DE AVALIAÇÃO DAS PROPOSTAS</w:t>
      </w:r>
    </w:p>
    <w:p>
      <w:pPr>
        <w:pStyle w:val="Normal"/>
        <w:ind w:firstLine="283"/>
        <w:jc w:val="both"/>
        <w:rPr>
          <w:rFonts w:ascii="Calibri" w:hAnsi="Calibri" w:cs="Calibri" w:asciiTheme="minorHAnsi" w:cstheme="minorHAnsi" w:hAnsiTheme="minorHAnsi"/>
          <w:b/>
          <w:b/>
          <w:color w:val="000000" w:themeColor="text1"/>
          <w:sz w:val="24"/>
          <w:szCs w:val="24"/>
        </w:rPr>
      </w:pPr>
      <w:r>
        <w:rPr>
          <w:rFonts w:eastAsia="Times New Roman" w:cs="Calibri" w:ascii="Calibri" w:hAnsi="Calibri" w:asciiTheme="minorHAnsi" w:cstheme="minorHAnsi" w:hAnsiTheme="minorHAnsi"/>
          <w:color w:val="000000" w:themeColor="text1"/>
          <w:sz w:val="24"/>
          <w:szCs w:val="24"/>
        </w:rPr>
        <w:t xml:space="preserve">11.1 </w:t>
      </w:r>
      <w:r>
        <w:rPr>
          <w:rFonts w:cs="Arial" w:ascii="Calibri" w:hAnsi="Calibri" w:asciiTheme="minorHAnsi" w:hAnsiTheme="minorHAnsi"/>
          <w:sz w:val="24"/>
          <w:szCs w:val="24"/>
        </w:rPr>
        <w:t>O fornecedor interessado, após a divulgação do aviso de contratação direta, encaminhará, exclusivamente por meio do Sistema de Dispensa Eletrônica, a proposta com a descrição do objeto ofertado, a marca do produto,</w:t>
      </w:r>
      <w:r>
        <w:rPr>
          <w:rFonts w:ascii="Calibri" w:hAnsi="Calibri" w:asciiTheme="minorHAnsi" w:hAnsiTheme="minorHAnsi"/>
          <w:sz w:val="24"/>
          <w:szCs w:val="24"/>
        </w:rPr>
        <w:t xml:space="preserve"> </w:t>
      </w:r>
      <w:r>
        <w:rPr>
          <w:rFonts w:cs="Arial" w:ascii="Calibri" w:hAnsi="Calibri" w:asciiTheme="minorHAnsi" w:hAnsiTheme="minorHAnsi"/>
          <w:sz w:val="24"/>
          <w:szCs w:val="24"/>
        </w:rPr>
        <w:t>quando for o caso, e o preço, até a data e o horário estabelecidos para abertura do procedimento, devendo, ainda, declarar em campo próprio do sistema, as informações previstas no art. 8º, incisos I ao VI, da IN nº 67, de 8 de julho de 2021.</w:t>
      </w:r>
    </w:p>
    <w:p>
      <w:pPr>
        <w:pStyle w:val="Normal"/>
        <w:tabs>
          <w:tab w:val="clear" w:pos="720"/>
          <w:tab w:val="left" w:pos="56" w:leader="none"/>
          <w:tab w:val="left" w:pos="736" w:leader="none"/>
          <w:tab w:val="left" w:pos="960" w:leader="none"/>
        </w:tabs>
        <w:spacing w:lineRule="auto" w:line="235"/>
        <w:ind w:firstLine="737"/>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11.1.1 Deverá conter informação clara da marca e modelo do produto ofertado, do preço unitário e do preço total, do prazo de entrega, do prazo de garantia, bem como da validade que não deverá ser inferior a 60 (sessenta) dias.</w:t>
      </w:r>
    </w:p>
    <w:p>
      <w:pPr>
        <w:pStyle w:val="Normal"/>
        <w:tabs>
          <w:tab w:val="clear" w:pos="720"/>
          <w:tab w:val="left" w:pos="56" w:leader="none"/>
          <w:tab w:val="left" w:pos="736" w:leader="none"/>
          <w:tab w:val="left" w:pos="960" w:leader="none"/>
        </w:tabs>
        <w:spacing w:lineRule="auto" w:line="235"/>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11.2 Juntamente com a proposta de preços, poderá ser solicitado amostra, o catálogo do produto ou informado o link do fabricante para seja possível a conferência das especificações.</w:t>
      </w:r>
    </w:p>
    <w:p>
      <w:pPr>
        <w:pStyle w:val="Normal"/>
        <w:tabs>
          <w:tab w:val="clear" w:pos="720"/>
          <w:tab w:val="left" w:pos="56" w:leader="none"/>
          <w:tab w:val="left" w:pos="736" w:leader="none"/>
          <w:tab w:val="left" w:pos="960" w:leader="none"/>
        </w:tabs>
        <w:spacing w:lineRule="auto" w:line="235"/>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11.3 A habilitação dos licitantes será verificada por meio do SICAF (habilitação parcial).</w:t>
      </w:r>
    </w:p>
    <w:p>
      <w:pPr>
        <w:pStyle w:val="Normal"/>
        <w:tabs>
          <w:tab w:val="clear" w:pos="720"/>
          <w:tab w:val="left" w:pos="56" w:leader="none"/>
          <w:tab w:val="left" w:pos="343" w:leader="none"/>
          <w:tab w:val="left" w:pos="736" w:leader="none"/>
          <w:tab w:val="left" w:pos="960" w:leader="none"/>
        </w:tabs>
        <w:spacing w:lineRule="auto" w:line="235"/>
        <w:ind w:firstLine="737"/>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11.3.1 O licitante que não atender às exigências de habilitação parcial no SICAF deverá apresentar documentos que supram tais exigências.</w:t>
      </w:r>
    </w:p>
    <w:p>
      <w:pPr>
        <w:pStyle w:val="Normal"/>
        <w:tabs>
          <w:tab w:val="clear" w:pos="720"/>
          <w:tab w:val="left" w:pos="56" w:leader="none"/>
          <w:tab w:val="left" w:pos="343" w:leader="none"/>
          <w:tab w:val="left" w:pos="736" w:leader="none"/>
          <w:tab w:val="left" w:pos="960" w:leader="none"/>
        </w:tabs>
        <w:spacing w:lineRule="auto" w:line="235"/>
        <w:ind w:firstLine="737"/>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11.3.2 Os documentos que não estejam contemplados no SICAF, ou que nele constem como vencidos, deverão ser remetidos em conjunto com a proposta de preços, em prazo idêntico ao estipulado para a entrega da proposta.</w:t>
      </w:r>
    </w:p>
    <w:p>
      <w:pPr>
        <w:pStyle w:val="Normal"/>
        <w:tabs>
          <w:tab w:val="clear" w:pos="720"/>
          <w:tab w:val="left" w:pos="56" w:leader="none"/>
          <w:tab w:val="left" w:pos="343" w:leader="none"/>
          <w:tab w:val="left" w:pos="736" w:leader="none"/>
          <w:tab w:val="left" w:pos="960" w:leader="none"/>
        </w:tabs>
        <w:spacing w:lineRule="auto" w:line="235"/>
        <w:ind w:firstLine="737"/>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11.3.3 Em caráter de diligência, poderão ser solicitados, a qualquer momento, em original ou por cópia autenticada, os documentos remetidos por e-mail, bem como correções ou omissões na proposta e documentação remetidas.</w:t>
      </w:r>
    </w:p>
    <w:p>
      <w:pPr>
        <w:pStyle w:val="Normal"/>
        <w:tabs>
          <w:tab w:val="clear" w:pos="720"/>
          <w:tab w:val="left" w:pos="56" w:leader="none"/>
          <w:tab w:val="left" w:pos="343" w:leader="none"/>
          <w:tab w:val="left" w:pos="736" w:leader="none"/>
          <w:tab w:val="left" w:pos="960" w:leader="none"/>
        </w:tabs>
        <w:spacing w:lineRule="auto" w:line="235"/>
        <w:ind w:firstLine="737"/>
        <w:jc w:val="both"/>
        <w:rPr>
          <w:rFonts w:ascii="Calibri" w:hAnsi="Calibri" w:eastAsia="Times New Roman"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11.3.4 Os documentos encaminhados deverão estar em nome do licitante, com indicação do número de inscrição no CNPJ.</w:t>
      </w:r>
    </w:p>
    <w:p>
      <w:pPr>
        <w:pStyle w:val="Normal"/>
        <w:tabs>
          <w:tab w:val="clear" w:pos="720"/>
          <w:tab w:val="left" w:pos="56" w:leader="none"/>
          <w:tab w:val="left" w:pos="343" w:leader="none"/>
          <w:tab w:val="left" w:pos="736" w:leader="none"/>
          <w:tab w:val="left" w:pos="960" w:leader="none"/>
        </w:tabs>
        <w:spacing w:lineRule="auto" w:line="235"/>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 xml:space="preserve">      </w:t>
      </w:r>
      <w:r>
        <w:rPr>
          <w:rFonts w:eastAsia="Times New Roman" w:cs="Calibri" w:ascii="Calibri" w:hAnsi="Calibri" w:asciiTheme="minorHAnsi" w:cstheme="minorHAnsi" w:hAnsiTheme="minorHAnsi"/>
          <w:color w:val="000000" w:themeColor="text1"/>
          <w:sz w:val="24"/>
          <w:szCs w:val="24"/>
        </w:rPr>
        <w:t xml:space="preserve">11.4 </w:t>
      </w:r>
      <w:bookmarkStart w:id="3" w:name="_GoBack"/>
      <w:bookmarkEnd w:id="3"/>
      <w:r>
        <w:rPr>
          <w:rFonts w:ascii="Calibri" w:hAnsi="Calibri" w:asciiTheme="minorHAnsi" w:hAnsiTheme="minorHAnsi"/>
          <w:sz w:val="24"/>
          <w:szCs w:val="24"/>
        </w:rPr>
        <w:t>Os preços deverão ser expressos em reais e conter todos os tributos e encargos</w:t>
        <w:br/>
        <w:t>decorrentes da prestação do serviço relativo a esta contratação.</w:t>
        <w:br/>
        <w:t xml:space="preserve">              11.4.1 Os preços deverão ser cotados com até 2 (duas) casas decimais, com intervalos mínimos de diferença de R$ 0,01 (um centavo).</w:t>
      </w:r>
    </w:p>
    <w:p>
      <w:pPr>
        <w:pStyle w:val="Normal"/>
        <w:ind w:left="380" w:hanging="0"/>
        <w:rPr>
          <w:rFonts w:ascii="Calibri" w:hAnsi="Calibri" w:eastAsia="Times New Roman" w:cs="Calibri" w:asciiTheme="minorHAnsi" w:cstheme="minorHAnsi" w:hAnsiTheme="minorHAnsi"/>
          <w:color w:val="000000" w:themeColor="text1"/>
          <w:sz w:val="24"/>
          <w:szCs w:val="24"/>
        </w:rPr>
      </w:pPr>
      <w:r>
        <w:rPr>
          <w:rFonts w:eastAsia="Times New Roman" w:cs="Calibri" w:cstheme="minorHAnsi" w:ascii="Calibri" w:hAnsi="Calibri"/>
          <w:color w:val="000000" w:themeColor="text1"/>
          <w:sz w:val="24"/>
          <w:szCs w:val="24"/>
        </w:rPr>
      </w:r>
    </w:p>
    <w:p>
      <w:pPr>
        <w:pStyle w:val="Normal"/>
        <w:rPr>
          <w:rFonts w:ascii="Calibri" w:hAnsi="Calibri" w:cs="Calibri" w:asciiTheme="minorHAnsi" w:cstheme="minorHAnsi" w:hAnsiTheme="minorHAnsi"/>
          <w:b/>
          <w:b/>
          <w:bCs/>
          <w:color w:val="000000" w:themeColor="text1"/>
          <w:sz w:val="24"/>
          <w:szCs w:val="24"/>
        </w:rPr>
      </w:pPr>
      <w:r>
        <w:rPr>
          <w:rFonts w:eastAsia="Times New Roman" w:cs="Calibri" w:ascii="Calibri" w:hAnsi="Calibri" w:asciiTheme="minorHAnsi" w:cstheme="minorHAnsi" w:hAnsiTheme="minorHAnsi"/>
          <w:b/>
          <w:bCs/>
          <w:color w:val="000000" w:themeColor="text1"/>
          <w:sz w:val="24"/>
          <w:szCs w:val="24"/>
        </w:rPr>
        <w:t>12. SANÇÕES</w:t>
      </w:r>
    </w:p>
    <w:p>
      <w:pPr>
        <w:pStyle w:val="Normal"/>
        <w:spacing w:lineRule="auto" w:line="240"/>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12.1 Além das penalidades previstas no artigo 156 da Lei no 14.133/21, a Contratada se sujeitará, em caso de atraso injustificado na execução do contrato, a multa moratória no percentual de 1% ao dia sobre o valor da totalidade dos itens em atraso, até o limite de 30 dias, a partir do qual poderá caracterizar, a critério da Administração, a inexecução do contrato, punível com multa compensatória de 30% sobre o valor da nota de empenho, em caso de inexecução total, ou sobre o valor da totalidade dos itens não entregues, em caso de inexecução parcial da obrigação assumida, cumulada com a suspensão temporária de participar de licitação e impedimento de contratar com a Administração por até dois anos.</w:t>
      </w:r>
    </w:p>
    <w:p>
      <w:pPr>
        <w:pStyle w:val="Normal"/>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12.2 A omissão na prestação da garantia e do suporte técnico caracterizará inexecução parcial, punível com a citada multa compensatória, cumulada com as sanções previstas nos incisos III e IV do art. 156 da Lei no 14.133/21.</w:t>
      </w:r>
    </w:p>
    <w:p>
      <w:pPr>
        <w:pStyle w:val="Normal"/>
        <w:ind w:firstLine="283"/>
        <w:jc w:val="both"/>
        <w:rPr>
          <w:rFonts w:ascii="Calibri" w:hAnsi="Calibri" w:eastAsia="Times New Roman"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12.3 A multa, aplicada após regular processo administrativo, será descontada dos pagamentos eventualmente devidos pela Administração. Em caso de inexistência ou insuficiência de crédito da Contratada, o valor devido será cobrado administrativamente e/ou judicialmente.</w:t>
      </w:r>
    </w:p>
    <w:p>
      <w:pPr>
        <w:pStyle w:val="Normal"/>
        <w:ind w:firstLine="283"/>
        <w:jc w:val="both"/>
        <w:rPr>
          <w:rFonts w:ascii="Calibri" w:hAnsi="Calibri" w:eastAsia="Times New Roman" w:cs="Calibri" w:asciiTheme="minorHAnsi" w:cstheme="minorHAnsi" w:hAnsiTheme="minorHAnsi"/>
          <w:color w:val="000000" w:themeColor="text1"/>
          <w:sz w:val="24"/>
          <w:szCs w:val="24"/>
        </w:rPr>
      </w:pPr>
      <w:r>
        <w:rPr>
          <w:rFonts w:eastAsia="Times New Roman" w:cs="Calibri" w:cstheme="minorHAnsi" w:ascii="Calibri" w:hAnsi="Calibri"/>
          <w:color w:val="000000" w:themeColor="text1"/>
          <w:sz w:val="24"/>
          <w:szCs w:val="24"/>
        </w:rPr>
      </w:r>
    </w:p>
    <w:p>
      <w:pPr>
        <w:pStyle w:val="Normal"/>
        <w:rPr>
          <w:rFonts w:ascii="Calibri" w:hAnsi="Calibri" w:cs="Calibri" w:asciiTheme="minorHAnsi" w:cstheme="minorHAnsi" w:hAnsiTheme="minorHAnsi"/>
          <w:b/>
          <w:b/>
          <w:color w:val="000000" w:themeColor="text1"/>
        </w:rPr>
      </w:pPr>
      <w:r>
        <w:rPr>
          <w:rFonts w:eastAsia="Times New Roman" w:cs="Calibri" w:ascii="Calibri" w:hAnsi="Calibri" w:asciiTheme="minorHAnsi" w:cstheme="minorHAnsi" w:hAnsiTheme="minorHAnsi"/>
          <w:b/>
          <w:color w:val="000000" w:themeColor="text1"/>
          <w:sz w:val="24"/>
          <w:szCs w:val="24"/>
        </w:rPr>
        <w:t>13.</w:t>
      </w:r>
      <w:r>
        <w:rPr>
          <w:rFonts w:eastAsia="Times New Roman" w:cs="Calibri" w:ascii="Calibri" w:hAnsi="Calibri" w:asciiTheme="minorHAnsi" w:cstheme="minorHAnsi" w:hAnsiTheme="minorHAnsi"/>
          <w:color w:val="000000" w:themeColor="text1"/>
          <w:sz w:val="24"/>
          <w:szCs w:val="24"/>
        </w:rPr>
        <w:t xml:space="preserve"> </w:t>
      </w:r>
      <w:r>
        <w:rPr>
          <w:rFonts w:cs="Calibri" w:ascii="Calibri" w:hAnsi="Calibri" w:asciiTheme="minorHAnsi" w:cstheme="minorHAnsi" w:hAnsiTheme="minorHAnsi"/>
          <w:b/>
          <w:color w:val="000000" w:themeColor="text1"/>
        </w:rPr>
        <w:t>CRITÉRIOS DE SUSTENTABILIDADE AMBIENTAL</w:t>
      </w:r>
    </w:p>
    <w:p>
      <w:pPr>
        <w:pStyle w:val="ListParagraph"/>
        <w:numPr>
          <w:ilvl w:val="1"/>
          <w:numId w:val="2"/>
        </w:numPr>
        <w:tabs>
          <w:tab w:val="clear" w:pos="720"/>
          <w:tab w:val="left" w:pos="284" w:leader="none"/>
          <w:tab w:val="left" w:pos="851" w:leader="none"/>
        </w:tabs>
        <w:ind w:left="0" w:firstLine="284"/>
        <w:jc w:val="both"/>
        <w:rPr>
          <w:rFonts w:ascii="Calibri" w:hAnsi="Calibri" w:cs="Calibri" w:asciiTheme="minorHAnsi" w:cstheme="minorHAnsi" w:hAnsiTheme="minorHAnsi"/>
          <w:color w:val="000000" w:themeColor="text1"/>
        </w:rPr>
      </w:pPr>
      <w:r>
        <w:rPr>
          <w:rFonts w:cs="Calibri" w:ascii="Calibri" w:hAnsi="Calibri" w:asciiTheme="minorHAnsi" w:cstheme="minorHAnsi" w:hAnsiTheme="minorHAnsi"/>
          <w:color w:val="000000" w:themeColor="text1"/>
        </w:rPr>
        <w:t xml:space="preserve">O licitante vencedor deverá observar os critérios de sustentabilidade ambiental, tendo por fundamento, a Constituição Federal, a Lei nº 14.133/01, compromissos internacionais assumidos pelo Estado Brasileiro, e outras legislações pertinentes, particularmente a Lei Federal nº 12.187, de 29 de dezembro de 2009, que instituiu a Política Nacional sobre Mudança do Clima, e a Lei Federal nº 12.305, de 02 de agosto de 2010, que instituiu a Política Nacional de Resíduos Sólidos. </w:t>
      </w:r>
    </w:p>
    <w:p>
      <w:pPr>
        <w:pStyle w:val="ListParagraph"/>
        <w:numPr>
          <w:ilvl w:val="1"/>
          <w:numId w:val="2"/>
        </w:numPr>
        <w:tabs>
          <w:tab w:val="clear" w:pos="720"/>
          <w:tab w:val="left" w:pos="284" w:leader="none"/>
          <w:tab w:val="left" w:pos="851" w:leader="none"/>
        </w:tabs>
        <w:ind w:left="0" w:firstLine="284"/>
        <w:jc w:val="both"/>
        <w:rPr>
          <w:rFonts w:ascii="Calibri" w:hAnsi="Calibri" w:cs="Calibri" w:asciiTheme="minorHAnsi" w:cstheme="minorHAnsi" w:hAnsiTheme="minorHAnsi"/>
          <w:color w:val="000000" w:themeColor="text1"/>
        </w:rPr>
      </w:pPr>
      <w:r>
        <w:rPr>
          <w:rFonts w:cs="Calibri" w:ascii="Calibri" w:hAnsi="Calibri" w:asciiTheme="minorHAnsi" w:cstheme="minorHAnsi" w:hAnsiTheme="minorHAnsi"/>
          <w:color w:val="000000" w:themeColor="text1"/>
        </w:rPr>
        <w:t>Os serviços serão prestados de acordo com os critérios de sustentabilidade ambiental contidos no Art. 5º da Instrução Normativa nº 01, de 19 de janeiro de 2010, da Secretaria de Logística e Tecnologia da Informação do Ministério do Planejamento, Orçamento e Gestão – SLTI/MPOG e no Decreto nº 7.746/2012, da Casa Civil, da Presidência da República, no que couber.</w:t>
      </w:r>
    </w:p>
    <w:p>
      <w:pPr>
        <w:pStyle w:val="Normal"/>
        <w:numPr>
          <w:ilvl w:val="1"/>
          <w:numId w:val="2"/>
        </w:numPr>
        <w:tabs>
          <w:tab w:val="clear" w:pos="720"/>
          <w:tab w:val="left" w:pos="284" w:leader="none"/>
          <w:tab w:val="left" w:pos="851" w:leader="none"/>
        </w:tabs>
        <w:ind w:left="0" w:firstLine="284"/>
        <w:jc w:val="both"/>
        <w:rPr>
          <w:rFonts w:ascii="Calibri" w:hAnsi="Calibri" w:eastAsia="Times New Roman"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Cumprir, no que couber, as exigências do inciso XI, art. 7° da Lei 12.305, de 02 de agosto de 2010, que institui a Política Nacional de Resíduos Sólidos – PNRS;</w:t>
      </w:r>
    </w:p>
    <w:p>
      <w:pPr>
        <w:pStyle w:val="Normal"/>
        <w:numPr>
          <w:ilvl w:val="1"/>
          <w:numId w:val="2"/>
        </w:numPr>
        <w:tabs>
          <w:tab w:val="clear" w:pos="720"/>
          <w:tab w:val="left" w:pos="284" w:leader="none"/>
          <w:tab w:val="left" w:pos="851" w:leader="none"/>
        </w:tabs>
        <w:ind w:left="0" w:firstLine="284"/>
        <w:jc w:val="both"/>
        <w:rPr>
          <w:rFonts w:ascii="Calibri" w:hAnsi="Calibri" w:eastAsia="Times New Roman"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Cumprir, no que couber, as exigências do art. 6° da Instrução Normativa MPOG n°01, de 19 de janeiro de 2010, que estabelece as práticas de sustentabilidade na execução dos serviços.</w:t>
      </w:r>
    </w:p>
    <w:p>
      <w:pPr>
        <w:pStyle w:val="Normal"/>
        <w:jc w:val="both"/>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p>
      <w:pPr>
        <w:pStyle w:val="Normal"/>
        <w:rPr>
          <w:rFonts w:ascii="Calibri" w:hAnsi="Calibri" w:cs="Calibri" w:asciiTheme="minorHAnsi" w:cstheme="minorHAnsi" w:hAnsiTheme="minorHAnsi"/>
          <w:b/>
          <w:b/>
          <w:bCs/>
          <w:color w:val="000000" w:themeColor="text1"/>
          <w:sz w:val="24"/>
          <w:szCs w:val="24"/>
        </w:rPr>
      </w:pPr>
      <w:r>
        <w:rPr>
          <w:rFonts w:eastAsia="Times New Roman" w:cs="Calibri" w:ascii="Calibri" w:hAnsi="Calibri" w:asciiTheme="minorHAnsi" w:cstheme="minorHAnsi" w:hAnsiTheme="minorHAnsi"/>
          <w:b/>
          <w:bCs/>
          <w:color w:val="000000" w:themeColor="text1"/>
          <w:sz w:val="24"/>
          <w:szCs w:val="24"/>
        </w:rPr>
        <w:t>14. CONDIÇÕES GERAIS</w:t>
      </w:r>
    </w:p>
    <w:p>
      <w:pPr>
        <w:pStyle w:val="Normal"/>
        <w:spacing w:lineRule="auto" w:line="235"/>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14.1 As condições e especificações previstas neste Termo de Referência prevalecem sobre quaisquer outras e o participante não poderá alegar desconhecimento destas previsões.</w:t>
      </w:r>
    </w:p>
    <w:p>
      <w:pPr>
        <w:pStyle w:val="Normal"/>
        <w:spacing w:lineRule="auto" w:line="235"/>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14.2 É de responsabilidade do preponente o conhecimento das características dos materiais relacionados no objeto desta licitação.</w:t>
      </w:r>
    </w:p>
    <w:p>
      <w:pPr>
        <w:pStyle w:val="Normal"/>
        <w:spacing w:lineRule="auto" w:line="235"/>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14.3 As comunicações entre o Contratante e a Contratada serão feitas por escrito e juntadas aos autos pela fiscalização.</w:t>
      </w:r>
    </w:p>
    <w:p>
      <w:pPr>
        <w:pStyle w:val="Normal"/>
        <w:ind w:firstLine="283"/>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14.4 É expressamente proibido à Contratada:</w:t>
      </w:r>
    </w:p>
    <w:p>
      <w:pPr>
        <w:pStyle w:val="Normal"/>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14.4.1 subcontratar o objeto desta licitação, exceto a subcontratação parcial devidamente justificada e autorizada pelo Contratante, sem prejuízo das suas responsabilidades contratuais e legais;</w:t>
      </w:r>
    </w:p>
    <w:p>
      <w:pPr>
        <w:pStyle w:val="Normal"/>
        <w:spacing w:lineRule="auto" w:line="235"/>
        <w:ind w:firstLine="283"/>
        <w:jc w:val="both"/>
        <w:rPr>
          <w:rFonts w:ascii="Calibri" w:hAnsi="Calibri"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14.4.2 veicular publicidade comercial acerca do objeto desta contratação, salvo se houver prévia autorização da Administração do 38º Batalhão de Infantaria.</w:t>
      </w:r>
    </w:p>
    <w:p>
      <w:pPr>
        <w:pStyle w:val="Normal"/>
        <w:spacing w:lineRule="auto" w:line="235"/>
        <w:ind w:firstLine="283"/>
        <w:jc w:val="both"/>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p>
      <w:pPr>
        <w:pStyle w:val="Normal"/>
        <w:spacing w:lineRule="exact" w:line="200"/>
        <w:rPr>
          <w:rFonts w:ascii="Calibri" w:hAnsi="Calibri" w:cs="Calibri" w:asciiTheme="minorHAnsi" w:cstheme="minorHAnsi" w:hAnsiTheme="minorHAnsi"/>
          <w:color w:val="000000" w:themeColor="text1"/>
          <w:sz w:val="24"/>
          <w:szCs w:val="24"/>
        </w:rPr>
      </w:pPr>
      <w:r>
        <w:rPr>
          <w:rFonts w:cs="Calibri" w:cstheme="minorHAnsi" w:ascii="Calibri" w:hAnsi="Calibri"/>
          <w:color w:val="000000" w:themeColor="text1"/>
          <w:sz w:val="24"/>
          <w:szCs w:val="24"/>
        </w:rPr>
      </w:r>
    </w:p>
    <w:p>
      <w:pPr>
        <w:pStyle w:val="Normal"/>
        <w:ind w:right="-2" w:hanging="0"/>
        <w:jc w:val="center"/>
        <w:rPr/>
      </w:pPr>
      <w:r>
        <w:rPr>
          <w:rFonts w:eastAsia="Times New Roman" w:cs="Calibri" w:ascii="Calibri" w:hAnsi="Calibri" w:asciiTheme="minorHAnsi" w:cstheme="minorHAnsi" w:hAnsiTheme="minorHAnsi"/>
          <w:color w:val="000000" w:themeColor="text1"/>
          <w:sz w:val="24"/>
          <w:szCs w:val="24"/>
        </w:rPr>
        <w:t>Vila Velha - ES, 29 de agosto de 2022.</w:t>
      </w:r>
    </w:p>
    <w:p>
      <w:pPr>
        <w:pStyle w:val="Normal"/>
        <w:spacing w:lineRule="exact" w:line="200"/>
        <w:rPr>
          <w:rFonts w:ascii="Calibri" w:hAnsi="Calibri" w:cs="Calibri" w:asciiTheme="minorHAnsi" w:cstheme="minorHAnsi" w:hAnsiTheme="minorHAnsi"/>
          <w:color w:val="000000" w:themeColor="text1"/>
          <w:sz w:val="12"/>
          <w:szCs w:val="12"/>
        </w:rPr>
      </w:pPr>
      <w:r>
        <w:rPr>
          <w:rFonts w:cs="Calibri" w:cstheme="minorHAnsi" w:ascii="Calibri" w:hAnsi="Calibri"/>
          <w:color w:val="000000" w:themeColor="text1"/>
          <w:sz w:val="12"/>
          <w:szCs w:val="12"/>
        </w:rPr>
      </w:r>
    </w:p>
    <w:p>
      <w:pPr>
        <w:pStyle w:val="Normal"/>
        <w:spacing w:lineRule="exact" w:line="200"/>
        <w:rPr>
          <w:rFonts w:ascii="Calibri" w:hAnsi="Calibri" w:cs="Calibri" w:asciiTheme="minorHAnsi" w:cstheme="minorHAnsi" w:hAnsiTheme="minorHAnsi"/>
          <w:color w:val="000000" w:themeColor="text1"/>
          <w:sz w:val="12"/>
          <w:szCs w:val="12"/>
        </w:rPr>
      </w:pPr>
      <w:r>
        <w:rPr>
          <w:rFonts w:cs="Calibri" w:cstheme="minorHAnsi" w:ascii="Calibri" w:hAnsi="Calibri"/>
          <w:color w:val="000000" w:themeColor="text1"/>
          <w:sz w:val="12"/>
          <w:szCs w:val="12"/>
        </w:rPr>
      </w:r>
    </w:p>
    <w:p>
      <w:pPr>
        <w:pStyle w:val="Normal"/>
        <w:jc w:val="center"/>
        <w:rPr>
          <w:rFonts w:ascii="Calibri" w:hAnsi="Calibri" w:eastAsia="Times New Roman" w:cs="Calibri" w:asciiTheme="minorHAnsi" w:cstheme="minorHAnsi" w:hAnsiTheme="minorHAnsi"/>
          <w:b/>
          <w:b/>
          <w:color w:val="000000" w:themeColor="text1"/>
          <w:sz w:val="24"/>
          <w:szCs w:val="24"/>
        </w:rPr>
      </w:pPr>
      <w:r>
        <w:rPr>
          <w:rFonts w:eastAsia="Times New Roman" w:cs="Calibri" w:ascii="Calibri" w:hAnsi="Calibri" w:asciiTheme="minorHAnsi" w:cstheme="minorHAnsi" w:hAnsiTheme="minorHAnsi"/>
          <w:b/>
          <w:color w:val="000000" w:themeColor="text1"/>
          <w:sz w:val="24"/>
          <w:szCs w:val="24"/>
        </w:rPr>
        <w:t>________________________________________</w:t>
      </w:r>
    </w:p>
    <w:p>
      <w:pPr>
        <w:pStyle w:val="Normal"/>
        <w:jc w:val="center"/>
        <w:rPr/>
      </w:pPr>
      <w:r>
        <w:rPr>
          <w:rFonts w:eastAsia="Times New Roman" w:cs="Calibri" w:ascii="Calibri" w:hAnsi="Calibri" w:asciiTheme="minorHAnsi" w:cstheme="minorHAnsi" w:hAnsiTheme="minorHAnsi"/>
          <w:b/>
          <w:bCs/>
          <w:color w:val="000000" w:themeColor="text1"/>
          <w:sz w:val="24"/>
          <w:szCs w:val="24"/>
        </w:rPr>
        <w:t>KAINÁ KIFFER PAIVA – 2º Ten</w:t>
      </w:r>
    </w:p>
    <w:p>
      <w:pPr>
        <w:pStyle w:val="Normal"/>
        <w:jc w:val="center"/>
        <w:rPr/>
      </w:pPr>
      <w:r>
        <w:rPr>
          <w:rFonts w:eastAsia="Times New Roman" w:cs="Calibri" w:ascii="Calibri" w:hAnsi="Calibri" w:asciiTheme="minorHAnsi" w:cstheme="minorHAnsi" w:hAnsiTheme="minorHAnsi"/>
          <w:bCs/>
          <w:iCs/>
          <w:color w:val="000000" w:themeColor="text1"/>
          <w:sz w:val="24"/>
          <w:szCs w:val="24"/>
        </w:rPr>
        <w:t>Encarregado da Farmácia</w:t>
      </w:r>
    </w:p>
    <w:sectPr>
      <w:type w:val="nextPage"/>
      <w:pgSz w:w="11906" w:h="16838"/>
      <w:pgMar w:left="1134" w:right="851" w:gutter="0" w:header="0" w:top="992" w:footer="0" w:bottom="992"/>
      <w:pgNumType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rlito">
    <w:altName w:val="Calibri"/>
    <w:charset w:val="01"/>
    <w:family w:val="roman"/>
    <w:pitch w:val="variable"/>
  </w:font>
  <w:font w:name="Times New Roman">
    <w:charset w:val="01"/>
    <w:family w:val="roman"/>
    <w:pitch w:val="variable"/>
  </w:font>
  <w:font w:name="Tahoma">
    <w:charset w:val="01"/>
    <w:family w:val="roman"/>
    <w:pitch w:val="variable"/>
  </w:font>
  <w:font w:name="Liberation Sans">
    <w:altName w:val="Arial"/>
    <w:charset w:val="01"/>
    <w:family w:val="roman"/>
    <w:pitch w:val="variable"/>
  </w:font>
  <w:font w:name="Ecofont_Spranq_eco_Sans">
    <w:charset w:val="01"/>
    <w:family w:val="roman"/>
    <w:pitch w:val="variable"/>
  </w:font>
  <w:font w:name="Calibri">
    <w:charset w:val="01"/>
    <w:family w:val="roman"/>
    <w:pitch w:val="variable"/>
  </w:font>
  <w:font w:name="CALIBRI">
    <w:charset w:val="01"/>
    <w:family w:val="roman"/>
    <w:pitch w:val="variable"/>
  </w:font>
  <w:font w:name="calibri">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3"/>
      <w:numFmt w:val="decimal"/>
      <w:lvlText w:val="%1"/>
      <w:lvlJc w:val="left"/>
      <w:pPr>
        <w:tabs>
          <w:tab w:val="num" w:pos="0"/>
        </w:tabs>
        <w:ind w:left="390" w:hanging="390"/>
      </w:pPr>
    </w:lvl>
    <w:lvl w:ilvl="1">
      <w:start w:val="1"/>
      <w:numFmt w:val="decimal"/>
      <w:lvlText w:val="%1.%2"/>
      <w:lvlJc w:val="left"/>
      <w:pPr>
        <w:tabs>
          <w:tab w:val="num" w:pos="0"/>
        </w:tabs>
        <w:ind w:left="390" w:hanging="39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 w:cs="Times New Roman" w:eastAsiaTheme="minorEastAsia"/>
        <w:szCs w:val="22"/>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uiPriority="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 w:cs="Times New Roman" w:eastAsiaTheme="minorEastAsia"/>
      <w:color w:val="00000A"/>
      <w:kern w:val="0"/>
      <w:sz w:val="22"/>
      <w:szCs w:val="22"/>
      <w:lang w:val="pt-BR" w:eastAsia="pt-BR" w:bidi="ar-SA"/>
    </w:rPr>
  </w:style>
  <w:style w:type="character" w:styleId="DefaultParagraphFont" w:default="1">
    <w:name w:val="Default Paragraph Font"/>
    <w:uiPriority w:val="1"/>
    <w:semiHidden/>
    <w:unhideWhenUsed/>
    <w:qFormat/>
    <w:rPr/>
  </w:style>
  <w:style w:type="character" w:styleId="LinkdaInternet" w:customStyle="1">
    <w:name w:val="Link da Internet"/>
    <w:basedOn w:val="DefaultParagraphFont"/>
    <w:uiPriority w:val="99"/>
    <w:unhideWhenUsed/>
    <w:rsid w:val="004d5bdc"/>
    <w:rPr>
      <w:color w:val="0000FF"/>
      <w:u w:val="single"/>
    </w:rPr>
  </w:style>
  <w:style w:type="character" w:styleId="TtuloChar" w:customStyle="1">
    <w:name w:val="Título Char"/>
    <w:basedOn w:val="DefaultParagraphFont"/>
    <w:link w:val="Ttulo"/>
    <w:qFormat/>
    <w:rsid w:val="005402fb"/>
    <w:rPr>
      <w:rFonts w:eastAsia="Times New Roman"/>
      <w:b/>
      <w:bCs/>
      <w:sz w:val="24"/>
      <w:szCs w:val="24"/>
      <w:u w:val="single"/>
      <w:lang w:val="x-none"/>
    </w:rPr>
  </w:style>
  <w:style w:type="character" w:styleId="TextodebaloChar" w:customStyle="1">
    <w:name w:val="Texto de balão Char"/>
    <w:basedOn w:val="DefaultParagraphFont"/>
    <w:uiPriority w:val="99"/>
    <w:semiHidden/>
    <w:qFormat/>
    <w:rsid w:val="00cb4c68"/>
    <w:rPr>
      <w:rFonts w:ascii="Tahoma" w:hAnsi="Tahoma" w:cs="Tahoma"/>
      <w:sz w:val="16"/>
      <w:szCs w:val="16"/>
    </w:rPr>
  </w:style>
  <w:style w:type="paragraph" w:styleId="Ttulo">
    <w:name w:val="Título"/>
    <w:basedOn w:val="Normal"/>
    <w:next w:val="Corpodotexto"/>
    <w:qFormat/>
    <w:pPr>
      <w:keepNext w:val="true"/>
      <w:spacing w:before="240" w:after="120"/>
    </w:pPr>
    <w:rPr>
      <w:rFonts w:ascii="Liberation Sans" w:hAnsi="Liberation Sans" w:eastAsia="WenQuanYi Micro Hei" w:cs="FreeSans"/>
      <w:sz w:val="28"/>
      <w:szCs w:val="28"/>
    </w:rPr>
  </w:style>
  <w:style w:type="paragraph" w:styleId="Corpodotexto">
    <w:name w:val="Body Text"/>
    <w:basedOn w:val="Normal"/>
    <w:pPr>
      <w:spacing w:lineRule="auto" w:line="288" w:before="0" w:after="140"/>
    </w:pPr>
    <w:rPr/>
  </w:style>
  <w:style w:type="paragraph" w:styleId="Lista">
    <w:name w:val="List"/>
    <w:basedOn w:val="Corpodotexto"/>
    <w:pPr/>
    <w:rPr>
      <w:rFonts w:cs="FreeSans"/>
    </w:rPr>
  </w:style>
  <w:style w:type="paragraph" w:styleId="Legenda">
    <w:name w:val="Caption"/>
    <w:basedOn w:val="Normal"/>
    <w:qFormat/>
    <w:pPr>
      <w:suppressLineNumbers/>
      <w:spacing w:before="120" w:after="120"/>
    </w:pPr>
    <w:rPr>
      <w:rFonts w:cs="FreeSans"/>
      <w:i/>
      <w:iCs/>
      <w:sz w:val="24"/>
      <w:szCs w:val="24"/>
    </w:rPr>
  </w:style>
  <w:style w:type="paragraph" w:styleId="Ndice" w:customStyle="1">
    <w:name w:val="Índice"/>
    <w:basedOn w:val="Normal"/>
    <w:qFormat/>
    <w:pPr>
      <w:suppressLineNumbers/>
    </w:pPr>
    <w:rPr>
      <w:rFonts w:cs="FreeSans"/>
    </w:rPr>
  </w:style>
  <w:style w:type="paragraph" w:styleId="Ttulododocumento">
    <w:name w:val="Title"/>
    <w:basedOn w:val="Normal"/>
    <w:link w:val="TtuloChar"/>
    <w:qFormat/>
    <w:rsid w:val="005402fb"/>
    <w:pPr/>
    <w:rPr/>
  </w:style>
  <w:style w:type="paragraph" w:styleId="Caption">
    <w:name w:val="caption"/>
    <w:basedOn w:val="Normal"/>
    <w:qFormat/>
    <w:rsid w:val="005402fb"/>
    <w:pPr>
      <w:suppressLineNumbers/>
      <w:suppressAutoHyphens w:val="true"/>
      <w:spacing w:before="120" w:after="120"/>
    </w:pPr>
    <w:rPr>
      <w:rFonts w:eastAsia="Times New Roman" w:cs="Lohit Hindi"/>
      <w:i/>
      <w:iCs/>
      <w:sz w:val="24"/>
      <w:szCs w:val="24"/>
      <w:lang w:eastAsia="zh-CN"/>
    </w:rPr>
  </w:style>
  <w:style w:type="paragraph" w:styleId="NoSpacing">
    <w:name w:val="No Spacing"/>
    <w:uiPriority w:val="1"/>
    <w:qFormat/>
    <w:rsid w:val="005402fb"/>
    <w:pPr>
      <w:widowControl/>
      <w:suppressAutoHyphens w:val="true"/>
      <w:bidi w:val="0"/>
      <w:spacing w:before="0" w:after="0"/>
      <w:jc w:val="left"/>
    </w:pPr>
    <w:rPr>
      <w:rFonts w:ascii="Times New Roman" w:hAnsi="Times New Roman" w:eastAsia="Times New Roman" w:cs="Times New Roman"/>
      <w:color w:val="00000A"/>
      <w:kern w:val="0"/>
      <w:sz w:val="24"/>
      <w:szCs w:val="24"/>
      <w:lang w:val="pt-BR" w:eastAsia="pt-BR" w:bidi="ar-SA"/>
    </w:rPr>
  </w:style>
  <w:style w:type="paragraph" w:styleId="BalloonText">
    <w:name w:val="Balloon Text"/>
    <w:basedOn w:val="Normal"/>
    <w:link w:val="TextodebaloChar"/>
    <w:uiPriority w:val="99"/>
    <w:semiHidden/>
    <w:unhideWhenUsed/>
    <w:qFormat/>
    <w:rsid w:val="00cb4c68"/>
    <w:pPr/>
    <w:rPr>
      <w:rFonts w:ascii="Tahoma" w:hAnsi="Tahoma" w:cs="Tahoma"/>
      <w:sz w:val="16"/>
      <w:szCs w:val="16"/>
    </w:rPr>
  </w:style>
  <w:style w:type="paragraph" w:styleId="ListParagraph">
    <w:name w:val="List Paragraph"/>
    <w:basedOn w:val="Normal"/>
    <w:uiPriority w:val="34"/>
    <w:qFormat/>
    <w:rsid w:val="00a6165e"/>
    <w:pPr>
      <w:spacing w:before="0" w:after="0"/>
      <w:ind w:left="720" w:hanging="0"/>
      <w:contextualSpacing/>
    </w:pPr>
    <w:rPr>
      <w:rFonts w:ascii="Ecofont_Spranq_eco_Sans" w:hAnsi="Ecofont_Spranq_eco_Sans" w:eastAsia="Times New Roman" w:cs="Tahoma"/>
      <w:sz w:val="24"/>
      <w:szCs w:val="24"/>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Application>Collabora_Office/6.4.10.44$Linux_X86_64 LibreOffice_project/2b31b2ef595ece37ba5e5919be43ba04193a2d3b</Application>
  <Pages>6</Pages>
  <Words>2311</Words>
  <Characters>12970</Characters>
  <CharactersWithSpaces>15169</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2022-05-03T17:07:00Z</dcterms:created>
  <dc:creator>Windows User</dc:creator>
  <dc:description/>
  <dc:language>pt-BR</dc:language>
  <cp:lastModifiedBy/>
  <cp:lastPrinted>2022-05-16T12:08:00Z</cp:lastPrinted>
  <dcterms:modified xsi:type="dcterms:W3CDTF">2022-08-30T12:13:13Z</dcterms:modified>
  <cp:revision>26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