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tLeast" w:line="100"/>
        <w:jc w:val="center"/>
        <w:rPr>
          <w:rFonts w:ascii="Arial" w:hAnsi="Arial" w:cs="Arial"/>
          <w:b/>
          <w:b/>
          <w:bCs/>
          <w:sz w:val="20"/>
          <w:szCs w:val="20"/>
        </w:rPr>
      </w:pPr>
      <w:r>
        <w:rPr/>
        <w:drawing>
          <wp:inline distT="0" distB="0" distL="0" distR="0">
            <wp:extent cx="659130" cy="687705"/>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2"/>
                    <a:stretch>
                      <a:fillRect/>
                    </a:stretch>
                  </pic:blipFill>
                  <pic:spPr bwMode="auto">
                    <a:xfrm>
                      <a:off x="0" y="0"/>
                      <a:ext cx="659130" cy="687705"/>
                    </a:xfrm>
                    <a:prstGeom prst="rect">
                      <a:avLst/>
                    </a:prstGeom>
                  </pic:spPr>
                </pic:pic>
              </a:graphicData>
            </a:graphic>
          </wp:inline>
        </w:drawing>
      </w:r>
    </w:p>
    <w:p>
      <w:pPr>
        <w:pStyle w:val="WWPadro"/>
        <w:snapToGrid w:val="false"/>
        <w:jc w:val="center"/>
        <w:rPr>
          <w:rFonts w:ascii="Arial" w:hAnsi="Arial" w:cs="Arial"/>
          <w:b/>
          <w:b/>
          <w:bCs/>
          <w:sz w:val="20"/>
          <w:szCs w:val="20"/>
        </w:rPr>
      </w:pPr>
      <w:r>
        <w:rPr>
          <w:rFonts w:cs="Arial" w:ascii="Arial" w:hAnsi="Arial"/>
          <w:b/>
          <w:bCs/>
          <w:sz w:val="20"/>
          <w:szCs w:val="20"/>
        </w:rPr>
        <w:t>MINISTÉRIO DA DEFESA</w:t>
      </w:r>
    </w:p>
    <w:p>
      <w:pPr>
        <w:pStyle w:val="WWPadro"/>
        <w:snapToGrid w:val="false"/>
        <w:jc w:val="center"/>
        <w:rPr>
          <w:rFonts w:ascii="Arial" w:hAnsi="Arial" w:cs="Arial"/>
          <w:b/>
          <w:b/>
          <w:bCs/>
          <w:sz w:val="20"/>
          <w:szCs w:val="20"/>
        </w:rPr>
      </w:pPr>
      <w:r>
        <w:rPr>
          <w:rFonts w:cs="Arial" w:ascii="Arial" w:hAnsi="Arial"/>
          <w:b/>
          <w:bCs/>
          <w:sz w:val="20"/>
          <w:szCs w:val="20"/>
        </w:rPr>
        <w:t>EXÉRCITO BRASILEIRO</w:t>
      </w:r>
    </w:p>
    <w:p>
      <w:pPr>
        <w:pStyle w:val="WWPadro"/>
        <w:snapToGrid w:val="false"/>
        <w:jc w:val="center"/>
        <w:rPr>
          <w:rFonts w:ascii="Arial" w:hAnsi="Arial" w:cs="Arial"/>
          <w:b/>
          <w:b/>
          <w:bCs/>
          <w:sz w:val="20"/>
          <w:szCs w:val="20"/>
        </w:rPr>
      </w:pPr>
      <w:r>
        <w:rPr>
          <w:rFonts w:cs="Arial" w:ascii="Arial" w:hAnsi="Arial"/>
          <w:b/>
          <w:bCs/>
          <w:sz w:val="20"/>
          <w:szCs w:val="20"/>
        </w:rPr>
        <w:t>22ª BRIGADA DE INFANTARIA DE SELVA</w:t>
      </w:r>
    </w:p>
    <w:p>
      <w:pPr>
        <w:pStyle w:val="WWPadro"/>
        <w:snapToGrid w:val="false"/>
        <w:jc w:val="center"/>
        <w:rPr>
          <w:rFonts w:ascii="Arial" w:hAnsi="Arial" w:cs="Arial"/>
          <w:b/>
          <w:b/>
          <w:bCs/>
          <w:sz w:val="20"/>
          <w:szCs w:val="20"/>
        </w:rPr>
      </w:pPr>
      <w:r>
        <w:rPr>
          <w:rFonts w:cs="Arial" w:ascii="Arial" w:hAnsi="Arial"/>
          <w:b/>
          <w:bCs/>
          <w:sz w:val="20"/>
          <w:szCs w:val="20"/>
        </w:rPr>
        <w:t>COMPANHIA DE COMANDO</w:t>
      </w:r>
    </w:p>
    <w:p>
      <w:pPr>
        <w:pStyle w:val="Normal"/>
        <w:spacing w:lineRule="auto" w:line="276" w:before="0" w:after="0"/>
        <w:jc w:val="center"/>
        <w:rPr>
          <w:rFonts w:ascii="Arial" w:hAnsi="Arial" w:eastAsia="Calibri" w:cs="Arial"/>
          <w:sz w:val="20"/>
          <w:szCs w:val="20"/>
        </w:rPr>
      </w:pPr>
      <w:r>
        <w:rPr>
          <w:rFonts w:eastAsia="Calibri" w:cs="Arial" w:ascii="Arial" w:hAnsi="Arial"/>
          <w:sz w:val="20"/>
          <w:szCs w:val="20"/>
        </w:rPr>
      </w:r>
    </w:p>
    <w:p>
      <w:pPr>
        <w:pStyle w:val="Normal"/>
        <w:spacing w:lineRule="auto" w:line="276" w:before="0" w:after="0"/>
        <w:jc w:val="center"/>
        <w:rPr>
          <w:rFonts w:ascii="Arial" w:hAnsi="Arial" w:eastAsia="Calibri" w:cs="Arial"/>
          <w:sz w:val="20"/>
          <w:szCs w:val="20"/>
        </w:rPr>
      </w:pPr>
      <w:r>
        <w:rPr>
          <w:rFonts w:eastAsia="Calibri" w:cs="Arial" w:ascii="Arial" w:hAnsi="Arial"/>
          <w:sz w:val="20"/>
          <w:szCs w:val="20"/>
        </w:rPr>
      </w:r>
    </w:p>
    <w:p>
      <w:pPr>
        <w:pStyle w:val="Normal"/>
        <w:spacing w:lineRule="auto" w:line="276" w:before="0" w:after="0"/>
        <w:jc w:val="center"/>
        <w:rPr>
          <w:rFonts w:ascii="Arial" w:hAnsi="Arial" w:eastAsia="Arial" w:cs="Arial"/>
          <w:b/>
          <w:b/>
          <w:color w:val="000000"/>
          <w:sz w:val="20"/>
          <w:szCs w:val="20"/>
        </w:rPr>
      </w:pPr>
      <w:r>
        <w:rPr>
          <w:rFonts w:eastAsia="Arial" w:cs="Arial" w:ascii="Arial" w:hAnsi="Arial"/>
          <w:b/>
          <w:color w:val="000000"/>
          <w:sz w:val="20"/>
          <w:szCs w:val="20"/>
        </w:rPr>
        <w:t xml:space="preserve">AVISO DE DISPENSA ELETRÔNICA Nº </w:t>
      </w:r>
      <w:r>
        <w:rPr>
          <w:rFonts w:eastAsia="Arial" w:cs="Arial" w:ascii="Arial" w:hAnsi="Arial"/>
          <w:b/>
          <w:color w:val="000000"/>
          <w:sz w:val="20"/>
          <w:szCs w:val="20"/>
        </w:rPr>
        <w:t>70</w:t>
      </w:r>
      <w:r>
        <w:rPr>
          <w:rFonts w:eastAsia="Arial" w:cs="Arial" w:ascii="Arial" w:hAnsi="Arial"/>
          <w:b/>
          <w:color w:val="000000"/>
          <w:sz w:val="20"/>
          <w:szCs w:val="20"/>
        </w:rPr>
        <w:t>/2022</w:t>
      </w:r>
    </w:p>
    <w:p>
      <w:pPr>
        <w:pStyle w:val="Normal"/>
        <w:spacing w:lineRule="auto" w:line="276" w:before="0" w:after="120"/>
        <w:ind w:right="-15" w:hanging="0"/>
        <w:jc w:val="center"/>
        <w:rPr>
          <w:rFonts w:ascii="Arial" w:hAnsi="Arial" w:eastAsia="Arial" w:cs="Arial"/>
          <w:b/>
          <w:b/>
          <w:sz w:val="20"/>
          <w:szCs w:val="20"/>
        </w:rPr>
      </w:pPr>
      <w:r>
        <w:rPr>
          <w:rFonts w:eastAsia="Arial" w:cs="Arial" w:ascii="Arial" w:hAnsi="Arial"/>
          <w:b/>
          <w:sz w:val="20"/>
          <w:szCs w:val="20"/>
        </w:rPr>
        <w:t>(Processo Administrativo nº 65407.022</w:t>
      </w:r>
      <w:r>
        <w:rPr>
          <w:rFonts w:eastAsia="Arial" w:cs="Arial" w:ascii="Arial" w:hAnsi="Arial"/>
          <w:b/>
          <w:sz w:val="20"/>
          <w:szCs w:val="20"/>
        </w:rPr>
        <w:t>810</w:t>
      </w:r>
      <w:r>
        <w:rPr>
          <w:rFonts w:eastAsia="Arial" w:cs="Arial" w:ascii="Arial" w:hAnsi="Arial"/>
          <w:b/>
          <w:sz w:val="20"/>
          <w:szCs w:val="20"/>
        </w:rPr>
        <w:t>/2022-</w:t>
      </w:r>
      <w:r>
        <w:rPr>
          <w:rFonts w:eastAsia="Arial" w:cs="Arial" w:ascii="Arial" w:hAnsi="Arial"/>
          <w:b/>
          <w:sz w:val="20"/>
          <w:szCs w:val="20"/>
        </w:rPr>
        <w:t>11</w:t>
      </w:r>
      <w:r>
        <w:rPr>
          <w:rFonts w:eastAsia="Arial" w:cs="Arial" w:ascii="Arial" w:hAnsi="Arial"/>
          <w:b/>
          <w:sz w:val="20"/>
          <w:szCs w:val="20"/>
        </w:rPr>
        <w:t>)</w:t>
      </w:r>
      <w:r>
        <w:rPr/>
        <w:t xml:space="preserve"> </w:t>
      </w:r>
    </w:p>
    <w:p>
      <w:pPr>
        <w:pStyle w:val="Normal"/>
        <w:spacing w:lineRule="auto" w:line="240" w:before="0" w:after="0"/>
        <w:rPr>
          <w:rFonts w:ascii="Arial" w:hAnsi="Arial" w:eastAsia="Calibri" w:cs="Arial"/>
          <w:sz w:val="20"/>
          <w:szCs w:val="20"/>
        </w:rPr>
      </w:pPr>
      <w:r>
        <w:rPr>
          <w:rFonts w:eastAsia="Calibri" w:cs="Arial" w:ascii="Arial" w:hAnsi="Arial"/>
          <w:sz w:val="20"/>
          <w:szCs w:val="20"/>
        </w:rPr>
      </w:r>
    </w:p>
    <w:p>
      <w:pPr>
        <w:pStyle w:val="Normal"/>
        <w:spacing w:lineRule="auto" w:line="276" w:before="0" w:after="120"/>
        <w:ind w:right="-30" w:firstLine="540"/>
        <w:jc w:val="both"/>
        <w:rPr>
          <w:rFonts w:ascii="Arial" w:hAnsi="Arial" w:eastAsia="Arial" w:cs="Arial"/>
          <w:sz w:val="20"/>
          <w:szCs w:val="20"/>
        </w:rPr>
      </w:pPr>
      <w:r>
        <w:rPr>
          <w:rFonts w:eastAsia="Arial" w:cs="Arial" w:ascii="Arial" w:hAnsi="Arial"/>
          <w:sz w:val="20"/>
          <w:szCs w:val="20"/>
        </w:rPr>
        <w:t>Torna-se público que a 22º Brigada de Infantaria de Selva, realizará Dispensa Eletrônica, com critério de julgamento</w:t>
      </w:r>
      <w:r>
        <w:rPr>
          <w:rFonts w:eastAsia="Arial" w:cs="Arial" w:ascii="Arial" w:hAnsi="Arial"/>
          <w:b/>
          <w:sz w:val="20"/>
          <w:szCs w:val="20"/>
        </w:rPr>
        <w:t xml:space="preserve"> </w:t>
      </w:r>
      <w:r>
        <w:rPr>
          <w:rFonts w:eastAsia="Arial" w:cs="Arial" w:ascii="Arial" w:hAnsi="Arial"/>
          <w:sz w:val="20"/>
          <w:szCs w:val="20"/>
        </w:rPr>
        <w:t>menor preço</w:t>
      </w:r>
      <w:r>
        <w:rPr>
          <w:rFonts w:eastAsia="Arial" w:cs="Arial" w:ascii="Arial" w:hAnsi="Arial"/>
          <w:b/>
          <w:sz w:val="20"/>
          <w:szCs w:val="20"/>
        </w:rPr>
        <w:t xml:space="preserve">, </w:t>
      </w:r>
      <w:r>
        <w:rPr>
          <w:rFonts w:eastAsia="Arial" w:cs="Arial" w:ascii="Arial" w:hAnsi="Arial"/>
          <w:sz w:val="20"/>
          <w:szCs w:val="20"/>
        </w:rPr>
        <w:t>na hipótese do art. 75, inciso II, nos termos da Lei nº 14.133, de 1º de abril de 2021, da Instrução Normativa SEGES/ME nº 67/2021 e demais legislação aplicável.</w:t>
      </w:r>
    </w:p>
    <w:p>
      <w:pPr>
        <w:pStyle w:val="Normal"/>
        <w:spacing w:lineRule="auto" w:line="276" w:before="0" w:after="0"/>
        <w:jc w:val="both"/>
        <w:rPr>
          <w:rFonts w:ascii="Arial" w:hAnsi="Arial" w:eastAsia="Calibri" w:cs="Arial"/>
          <w:sz w:val="20"/>
          <w:szCs w:val="20"/>
        </w:rPr>
      </w:pPr>
      <w:r>
        <w:rPr>
          <w:rFonts w:eastAsia="Calibri" w:cs="Arial" w:ascii="Arial" w:hAnsi="Arial"/>
          <w:sz w:val="20"/>
          <w:szCs w:val="20"/>
        </w:rPr>
      </w:r>
    </w:p>
    <w:p>
      <w:pPr>
        <w:pStyle w:val="Normal"/>
        <w:spacing w:lineRule="auto" w:line="276" w:before="0" w:after="0"/>
        <w:jc w:val="both"/>
        <w:rPr>
          <w:rFonts w:ascii="Arial" w:hAnsi="Arial" w:eastAsia="Arial" w:cs="Arial"/>
          <w:sz w:val="20"/>
          <w:szCs w:val="20"/>
        </w:rPr>
      </w:pPr>
      <w:r>
        <w:rPr>
          <w:rFonts w:eastAsia="Arial" w:cs="Arial" w:ascii="Arial" w:hAnsi="Arial"/>
          <w:color w:val="000000"/>
          <w:sz w:val="20"/>
          <w:szCs w:val="20"/>
        </w:rPr>
        <w:t>Data da sessão: 2</w:t>
      </w:r>
      <w:r>
        <w:rPr>
          <w:rFonts w:eastAsia="Arial" w:cs="Arial" w:ascii="Arial" w:hAnsi="Arial"/>
          <w:color w:val="000000"/>
          <w:sz w:val="20"/>
          <w:szCs w:val="20"/>
        </w:rPr>
        <w:t>7</w:t>
      </w:r>
      <w:r>
        <w:rPr>
          <w:rFonts w:eastAsia="Arial" w:cs="Arial" w:ascii="Arial" w:hAnsi="Arial"/>
          <w:color w:val="000000"/>
          <w:kern w:val="0"/>
          <w:sz w:val="20"/>
          <w:szCs w:val="20"/>
          <w:lang w:val="pt-BR" w:eastAsia="pt-BR" w:bidi="ar-SA"/>
        </w:rPr>
        <w:t>/</w:t>
      </w:r>
      <w:r>
        <w:rPr>
          <w:rFonts w:eastAsia="Arial" w:cs="Arial" w:ascii="Arial" w:hAnsi="Arial"/>
          <w:sz w:val="20"/>
          <w:szCs w:val="20"/>
        </w:rPr>
        <w:t>09/2022</w:t>
      </w:r>
    </w:p>
    <w:p>
      <w:pPr>
        <w:pStyle w:val="Normal"/>
        <w:spacing w:lineRule="auto" w:line="240" w:before="0" w:after="0"/>
        <w:rPr>
          <w:rFonts w:ascii="Arial" w:hAnsi="Arial" w:eastAsia="Arial" w:cs="Arial"/>
          <w:color w:val="000000"/>
          <w:sz w:val="20"/>
          <w:szCs w:val="20"/>
        </w:rPr>
      </w:pPr>
      <w:r>
        <w:rPr>
          <w:rFonts w:eastAsia="Arial" w:cs="Arial" w:ascii="Arial" w:hAnsi="Arial"/>
          <w:color w:val="000000"/>
          <w:sz w:val="20"/>
          <w:szCs w:val="20"/>
        </w:rPr>
        <w:t>Link: https: //www.gov.br/compras/pt-br/</w:t>
      </w:r>
    </w:p>
    <w:p>
      <w:pPr>
        <w:pStyle w:val="Normal"/>
        <w:spacing w:lineRule="auto" w:line="240" w:before="0" w:after="0"/>
        <w:rPr>
          <w:rFonts w:ascii="Arial" w:hAnsi="Arial" w:eastAsia="Arial" w:cs="Arial"/>
          <w:color w:val="FF0000"/>
          <w:sz w:val="20"/>
          <w:szCs w:val="20"/>
        </w:rPr>
      </w:pPr>
      <w:r>
        <w:rPr>
          <w:rFonts w:eastAsia="Arial" w:cs="Arial" w:ascii="Arial" w:hAnsi="Arial"/>
          <w:color w:val="000000"/>
          <w:sz w:val="20"/>
          <w:szCs w:val="20"/>
        </w:rPr>
        <w:t>Horário da Fase de Lances:08:00 às 14:00 h</w:t>
      </w:r>
    </w:p>
    <w:p>
      <w:pPr>
        <w:pStyle w:val="ListParagraph"/>
        <w:numPr>
          <w:ilvl w:val="0"/>
          <w:numId w:val="2"/>
        </w:numPr>
        <w:tabs>
          <w:tab w:val="clear" w:pos="708"/>
          <w:tab w:val="left" w:pos="284" w:leader="none"/>
        </w:tabs>
        <w:spacing w:lineRule="auto" w:line="276" w:before="480" w:after="120"/>
        <w:contextualSpacing/>
        <w:jc w:val="both"/>
        <w:rPr>
          <w:rFonts w:ascii="Arial" w:hAnsi="Arial" w:eastAsia="Arial" w:cs="Arial"/>
          <w:b/>
          <w:b/>
          <w:sz w:val="20"/>
          <w:szCs w:val="20"/>
        </w:rPr>
      </w:pPr>
      <w:r>
        <w:rPr>
          <w:rFonts w:eastAsia="Arial" w:cs="Arial" w:ascii="Arial" w:hAnsi="Arial"/>
          <w:b/>
          <w:sz w:val="20"/>
          <w:szCs w:val="20"/>
        </w:rPr>
        <w:t>OBJETO DA CONTRATAÇÃO DIRETA</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O objeto da presente dispensa é a escolha da proposta mais vantajosa para a execução do serviço de </w:t>
      </w:r>
      <w:r>
        <w:rPr>
          <w:rFonts w:eastAsia="Arial" w:cs="Arial" w:ascii="Arial" w:hAnsi="Arial"/>
          <w:color w:val="000000"/>
          <w:sz w:val="20"/>
          <w:szCs w:val="20"/>
        </w:rPr>
        <w:t>readequação do cabeamento aéreo para subterrâneo nas áreas e instalações da 22ª Brigada de Infantaria de Selva</w:t>
      </w:r>
      <w:r>
        <w:rPr>
          <w:rFonts w:eastAsia="Arial" w:cs="Arial" w:ascii="Arial" w:hAnsi="Arial"/>
          <w:color w:val="000000"/>
          <w:sz w:val="20"/>
          <w:szCs w:val="20"/>
        </w:rPr>
        <w:t xml:space="preserve"> por dispensa</w:t>
      </w:r>
      <w:r>
        <w:rPr>
          <w:rFonts w:eastAsia="Arial" w:cs="Arial" w:ascii="Arial" w:hAnsi="Arial"/>
          <w:sz w:val="20"/>
          <w:szCs w:val="20"/>
        </w:rPr>
        <w:t xml:space="preserve"> de licitação</w:t>
      </w:r>
      <w:r>
        <w:rPr>
          <w:rFonts w:eastAsia="Arial" w:cs="Arial" w:ascii="Arial" w:hAnsi="Arial"/>
          <w:b/>
          <w:sz w:val="20"/>
          <w:szCs w:val="20"/>
        </w:rPr>
        <w:t>,</w:t>
      </w:r>
      <w:r>
        <w:rPr>
          <w:rFonts w:eastAsia="Arial" w:cs="Arial" w:ascii="Arial" w:hAnsi="Arial"/>
          <w:sz w:val="20"/>
          <w:szCs w:val="20"/>
        </w:rPr>
        <w:t xml:space="preserve"> c</w:t>
      </w:r>
      <w:r>
        <w:rPr>
          <w:rFonts w:eastAsia="Arial" w:cs="Arial" w:ascii="Arial" w:hAnsi="Arial"/>
          <w:color w:val="000000"/>
          <w:sz w:val="20"/>
          <w:szCs w:val="20"/>
        </w:rPr>
        <w:t>onforme condições, quantidades e exigências estabelecidas neste Aviso de Contratação Direta e seu anexo.</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contratação será</w:t>
      </w:r>
      <w:r>
        <w:rPr>
          <w:rFonts w:eastAsia="Arial" w:cs="Arial" w:ascii="Arial" w:hAnsi="Arial"/>
          <w:b/>
          <w:sz w:val="20"/>
          <w:szCs w:val="20"/>
        </w:rPr>
        <w:t>,</w:t>
      </w:r>
      <w:r>
        <w:rPr>
          <w:rFonts w:eastAsia="Arial" w:cs="Arial" w:ascii="Arial" w:hAnsi="Arial"/>
          <w:sz w:val="20"/>
          <w:szCs w:val="20"/>
        </w:rPr>
        <w:t xml:space="preserve"> conforme tabela constante do Termo de Referência.</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O critério de julgamento adotado será o</w:t>
      </w:r>
      <w:r>
        <w:rPr>
          <w:rFonts w:eastAsia="Arial" w:cs="Arial" w:ascii="Arial" w:hAnsi="Arial"/>
          <w:i/>
          <w:sz w:val="20"/>
          <w:szCs w:val="20"/>
        </w:rPr>
        <w:t xml:space="preserve"> </w:t>
      </w:r>
      <w:r>
        <w:rPr>
          <w:rFonts w:eastAsia="Arial" w:cs="Arial" w:ascii="Arial" w:hAnsi="Arial"/>
          <w:sz w:val="20"/>
          <w:szCs w:val="20"/>
        </w:rPr>
        <w:t>menor preço,</w:t>
      </w:r>
      <w:r>
        <w:rPr>
          <w:rFonts w:eastAsia="Arial" w:cs="Arial" w:ascii="Arial" w:hAnsi="Arial"/>
          <w:color w:val="FF0000"/>
          <w:sz w:val="20"/>
          <w:szCs w:val="20"/>
        </w:rPr>
        <w:t xml:space="preserve"> </w:t>
      </w:r>
      <w:r>
        <w:rPr>
          <w:rFonts w:eastAsia="Arial" w:cs="Arial" w:ascii="Arial" w:hAnsi="Arial"/>
          <w:sz w:val="20"/>
          <w:szCs w:val="20"/>
        </w:rPr>
        <w:t>observadas as exigências contidas neste Aviso de Contratação Direta e seu Anexo quanto às especificações do serviço.</w:t>
      </w:r>
    </w:p>
    <w:p>
      <w:pPr>
        <w:pStyle w:val="Normal"/>
        <w:numPr>
          <w:ilvl w:val="0"/>
          <w:numId w:val="3"/>
        </w:numPr>
        <w:tabs>
          <w:tab w:val="clear" w:pos="708"/>
          <w:tab w:val="left" w:pos="284" w:leader="none"/>
        </w:tabs>
        <w:spacing w:lineRule="auto" w:line="276" w:before="480" w:after="120"/>
        <w:ind w:left="0" w:hanging="0"/>
        <w:jc w:val="both"/>
        <w:rPr>
          <w:rFonts w:ascii="Arial" w:hAnsi="Arial" w:eastAsia="Arial" w:cs="Arial"/>
          <w:b/>
          <w:b/>
          <w:sz w:val="20"/>
          <w:szCs w:val="20"/>
        </w:rPr>
      </w:pPr>
      <w:r>
        <w:rPr>
          <w:rFonts w:eastAsia="Arial" w:cs="Arial" w:ascii="Arial" w:hAnsi="Arial"/>
          <w:b/>
          <w:sz w:val="20"/>
          <w:szCs w:val="20"/>
        </w:rPr>
        <w:t>PARTICIPAÇÃO NA DISPENSA ELETRÔNICA.</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A participação na presente dispensa eletrônica se dará mediante Sistema de Dispensa Eletrônica integrante do Sistema de Compras do Governo Federal – Comprasnet 4.0, disponível no endereço eletrônico </w:t>
      </w:r>
      <w:r>
        <w:rPr>
          <w:rFonts w:eastAsia="Arial" w:cs="Arial" w:ascii="Arial" w:hAnsi="Arial"/>
          <w:color w:val="000000"/>
          <w:sz w:val="20"/>
          <w:szCs w:val="20"/>
        </w:rPr>
        <w:t>https://www.gov.br/compras/pt-br/</w:t>
      </w:r>
    </w:p>
    <w:p>
      <w:pPr>
        <w:pStyle w:val="ListParagraph"/>
        <w:numPr>
          <w:ilvl w:val="2"/>
          <w:numId w:val="3"/>
        </w:numPr>
        <w:tabs>
          <w:tab w:val="clear" w:pos="708"/>
          <w:tab w:val="left" w:pos="284"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Os fornecedores deverão atender aos procedimentos previstos no Manual do Sistema de Dispensa Eletrônica, disponível no Portal de Compras do Governo Federal, para acesso ao sistema e operacionalização.</w:t>
      </w:r>
    </w:p>
    <w:p>
      <w:pPr>
        <w:pStyle w:val="ListParagraph"/>
        <w:numPr>
          <w:ilvl w:val="2"/>
          <w:numId w:val="3"/>
        </w:numPr>
        <w:tabs>
          <w:tab w:val="clear" w:pos="708"/>
          <w:tab w:val="left" w:pos="284"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ListParagraph"/>
        <w:numPr>
          <w:ilvl w:val="1"/>
          <w:numId w:val="3"/>
        </w:numPr>
        <w:tabs>
          <w:tab w:val="clear" w:pos="708"/>
          <w:tab w:val="left" w:pos="426" w:leader="none"/>
          <w:tab w:val="left" w:pos="851"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Não poderão participar desta dispensa os fornecedores:</w:t>
      </w:r>
    </w:p>
    <w:p>
      <w:pPr>
        <w:pStyle w:val="ListParagraph"/>
        <w:numPr>
          <w:ilvl w:val="2"/>
          <w:numId w:val="3"/>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não atendam às condições deste Aviso de Contratação Direta e seu anexo;</w:t>
      </w:r>
    </w:p>
    <w:p>
      <w:pPr>
        <w:pStyle w:val="ListParagraph"/>
        <w:numPr>
          <w:ilvl w:val="2"/>
          <w:numId w:val="3"/>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estrangeiros que não tenham representação legal no Brasil com poderes expressos para receber citação e responder administrativa ou judicialmente;</w:t>
      </w:r>
    </w:p>
    <w:p>
      <w:pPr>
        <w:pStyle w:val="ListParagraph"/>
        <w:numPr>
          <w:ilvl w:val="2"/>
          <w:numId w:val="3"/>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se enquadrem nas seguintes vedações:</w:t>
      </w:r>
    </w:p>
    <w:p>
      <w:pPr>
        <w:pStyle w:val="ListParagraph"/>
        <w:numPr>
          <w:ilvl w:val="0"/>
          <w:numId w:val="4"/>
        </w:numPr>
        <w:tabs>
          <w:tab w:val="clear" w:pos="708"/>
          <w:tab w:val="left" w:pos="851" w:leader="none"/>
          <w:tab w:val="left" w:pos="1276" w:leader="none"/>
        </w:tabs>
        <w:spacing w:lineRule="auto" w:line="276" w:before="120" w:after="120"/>
        <w:ind w:left="567" w:hanging="0"/>
        <w:contextualSpacing/>
        <w:jc w:val="both"/>
        <w:rPr>
          <w:rFonts w:ascii="Arial" w:hAnsi="Arial" w:eastAsia="Arial" w:cs="Arial"/>
          <w:color w:val="000000"/>
          <w:sz w:val="20"/>
          <w:szCs w:val="20"/>
        </w:rPr>
      </w:pPr>
      <w:r>
        <w:rPr>
          <w:rFonts w:eastAsia="Arial" w:cs="Arial" w:ascii="Arial" w:hAnsi="Arial"/>
          <w:color w:val="000000"/>
          <w:sz w:val="20"/>
          <w:szCs w:val="20"/>
        </w:rPr>
        <w:t>autor do anteprojeto, do projeto básico ou do projeto executivo, pessoa física ou jurídica, quando a contratação versar sobre obra, serviços ou fornecimento de bens a ele relacionados;</w:t>
      </w:r>
    </w:p>
    <w:p>
      <w:pPr>
        <w:pStyle w:val="ListParagraph"/>
        <w:numPr>
          <w:ilvl w:val="0"/>
          <w:numId w:val="4"/>
        </w:numPr>
        <w:tabs>
          <w:tab w:val="clear" w:pos="708"/>
          <w:tab w:val="left" w:pos="851" w:leader="none"/>
          <w:tab w:val="left" w:pos="1276" w:leader="none"/>
        </w:tabs>
        <w:spacing w:lineRule="auto" w:line="276" w:before="120" w:after="120"/>
        <w:ind w:left="567" w:hanging="0"/>
        <w:contextualSpacing/>
        <w:jc w:val="both"/>
        <w:rPr>
          <w:rFonts w:ascii="Arial" w:hAnsi="Arial" w:eastAsia="Arial" w:cs="Arial"/>
          <w:color w:val="000000"/>
          <w:sz w:val="20"/>
          <w:szCs w:val="20"/>
        </w:rPr>
      </w:pPr>
      <w:r>
        <w:rPr>
          <w:rFonts w:eastAsia="Arial" w:cs="Arial" w:ascii="Arial" w:hAnsi="Arial"/>
          <w:color w:val="000000"/>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0"/>
          <w:numId w:val="4"/>
        </w:numPr>
        <w:tabs>
          <w:tab w:val="clear" w:pos="708"/>
          <w:tab w:val="left" w:pos="851" w:leader="none"/>
          <w:tab w:val="left" w:pos="1276" w:leader="none"/>
        </w:tabs>
        <w:spacing w:lineRule="auto" w:line="276" w:before="120" w:after="120"/>
        <w:ind w:left="567" w:hanging="0"/>
        <w:jc w:val="both"/>
        <w:rPr>
          <w:rFonts w:ascii="Arial" w:hAnsi="Arial" w:eastAsia="Arial" w:cs="Arial"/>
          <w:color w:val="000000"/>
          <w:sz w:val="20"/>
          <w:szCs w:val="20"/>
        </w:rPr>
      </w:pPr>
      <w:r>
        <w:rPr>
          <w:rFonts w:eastAsia="Arial" w:cs="Arial" w:ascii="Arial" w:hAnsi="Arial"/>
          <w:color w:val="000000"/>
          <w:sz w:val="20"/>
          <w:szCs w:val="20"/>
        </w:rPr>
        <w:t>pessoa física ou jurídica que se encontre, ao tempo da contratação, impossibilitada de contratar em decorrência de sanção que lhe foi imposta;</w:t>
      </w:r>
    </w:p>
    <w:p>
      <w:pPr>
        <w:pStyle w:val="Normal"/>
        <w:numPr>
          <w:ilvl w:val="0"/>
          <w:numId w:val="4"/>
        </w:numPr>
        <w:tabs>
          <w:tab w:val="clear" w:pos="708"/>
          <w:tab w:val="left" w:pos="851" w:leader="none"/>
          <w:tab w:val="left" w:pos="1276" w:leader="none"/>
        </w:tabs>
        <w:spacing w:lineRule="auto" w:line="276" w:before="120" w:after="120"/>
        <w:ind w:left="567" w:hanging="0"/>
        <w:jc w:val="both"/>
        <w:rPr>
          <w:rFonts w:ascii="Arial" w:hAnsi="Arial" w:eastAsia="Arial" w:cs="Arial"/>
          <w:color w:val="000000"/>
          <w:sz w:val="20"/>
          <w:szCs w:val="20"/>
        </w:rPr>
      </w:pPr>
      <w:r>
        <w:rPr>
          <w:rFonts w:eastAsia="Arial" w:cs="Arial" w:ascii="Arial" w:hAnsi="Arial"/>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0"/>
          <w:numId w:val="4"/>
        </w:numPr>
        <w:tabs>
          <w:tab w:val="clear" w:pos="708"/>
          <w:tab w:val="left" w:pos="851" w:leader="none"/>
        </w:tabs>
        <w:spacing w:lineRule="auto" w:line="276" w:before="120" w:after="120"/>
        <w:ind w:left="567" w:hanging="0"/>
        <w:jc w:val="both"/>
        <w:rPr>
          <w:rFonts w:ascii="Arial" w:hAnsi="Arial" w:eastAsia="Arial" w:cs="Arial"/>
          <w:sz w:val="20"/>
          <w:szCs w:val="20"/>
        </w:rPr>
      </w:pPr>
      <w:r>
        <w:rPr>
          <w:rFonts w:eastAsia="Arial" w:cs="Arial" w:ascii="Arial" w:hAnsi="Arial"/>
          <w:color w:val="000000"/>
          <w:sz w:val="20"/>
          <w:szCs w:val="20"/>
        </w:rPr>
        <w:t>empresas controladoras, controladas ou coligadas, nos termos da </w:t>
      </w:r>
      <w:hyperlink r:id="rId3">
        <w:r>
          <w:rPr>
            <w:rFonts w:eastAsia="Arial" w:cs="Arial" w:ascii="Arial" w:hAnsi="Arial"/>
            <w:sz w:val="20"/>
            <w:szCs w:val="20"/>
          </w:rPr>
          <w:t>Lei nº 6.404, de 15 de dezembro de 1976</w:t>
        </w:r>
      </w:hyperlink>
      <w:r>
        <w:rPr>
          <w:rFonts w:eastAsia="Arial" w:cs="Arial" w:ascii="Arial" w:hAnsi="Arial"/>
          <w:sz w:val="20"/>
          <w:szCs w:val="20"/>
        </w:rPr>
        <w:t>, concorrendo entre si;</w:t>
      </w:r>
    </w:p>
    <w:p>
      <w:pPr>
        <w:pStyle w:val="Normal"/>
        <w:numPr>
          <w:ilvl w:val="0"/>
          <w:numId w:val="4"/>
        </w:numPr>
        <w:tabs>
          <w:tab w:val="clear" w:pos="708"/>
          <w:tab w:val="left" w:pos="851" w:leader="none"/>
        </w:tabs>
        <w:spacing w:lineRule="auto" w:line="276" w:before="120" w:after="120"/>
        <w:ind w:left="567" w:hanging="0"/>
        <w:jc w:val="both"/>
        <w:rPr>
          <w:rFonts w:ascii="Arial" w:hAnsi="Arial" w:eastAsia="Arial" w:cs="Arial"/>
          <w:color w:val="000000"/>
          <w:sz w:val="20"/>
          <w:szCs w:val="20"/>
        </w:rPr>
      </w:pPr>
      <w:r>
        <w:rPr>
          <w:rFonts w:eastAsia="Arial" w:cs="Arial" w:ascii="Arial" w:hAnsi="Arial"/>
          <w:color w:val="000000"/>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3"/>
          <w:numId w:val="3"/>
        </w:numPr>
        <w:tabs>
          <w:tab w:val="clear" w:pos="708"/>
          <w:tab w:val="left" w:pos="1560" w:leader="none"/>
        </w:tabs>
        <w:spacing w:lineRule="auto" w:line="276" w:before="120" w:after="120"/>
        <w:ind w:left="720" w:firstLine="131"/>
        <w:contextualSpacing/>
        <w:jc w:val="both"/>
        <w:rPr>
          <w:rFonts w:ascii="Arial" w:hAnsi="Arial" w:eastAsia="Arial" w:cs="Arial"/>
          <w:color w:val="000000"/>
          <w:sz w:val="20"/>
          <w:szCs w:val="20"/>
        </w:rPr>
      </w:pPr>
      <w:r>
        <w:rPr>
          <w:rFonts w:eastAsia="Arial" w:cs="Arial" w:ascii="Arial" w:hAnsi="Arial"/>
          <w:color w:val="000000"/>
          <w:sz w:val="20"/>
          <w:szCs w:val="20"/>
        </w:rPr>
        <w:t>Equiparam-se aos autores do projeto as empresas integrantes do mesmo grupo econômico;</w:t>
      </w:r>
    </w:p>
    <w:p>
      <w:pPr>
        <w:pStyle w:val="ListParagraph"/>
        <w:numPr>
          <w:ilvl w:val="3"/>
          <w:numId w:val="3"/>
        </w:numPr>
        <w:tabs>
          <w:tab w:val="clear" w:pos="708"/>
          <w:tab w:val="left" w:pos="1560" w:leader="none"/>
        </w:tabs>
        <w:spacing w:lineRule="auto" w:line="276" w:before="120" w:after="120"/>
        <w:ind w:left="720" w:firstLine="131"/>
        <w:contextualSpacing/>
        <w:jc w:val="both"/>
        <w:rPr>
          <w:rFonts w:ascii="Arial" w:hAnsi="Arial" w:eastAsia="Arial" w:cs="Arial"/>
          <w:color w:val="000000"/>
          <w:sz w:val="20"/>
          <w:szCs w:val="20"/>
        </w:rPr>
      </w:pPr>
      <w:r>
        <w:rPr>
          <w:rFonts w:eastAsia="Arial" w:cs="Arial" w:ascii="Arial" w:hAnsi="Arial"/>
          <w:color w:val="000000"/>
          <w:sz w:val="2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organizações da Sociedade Civil de Interesse Público - OSCIP, atuando nessa condição (Acórdão nº 746/2014-TCU-Plenário); e</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sociedades cooperativas.</w:t>
      </w:r>
    </w:p>
    <w:p>
      <w:pPr>
        <w:pStyle w:val="ListParagraph"/>
        <w:numPr>
          <w:ilvl w:val="0"/>
          <w:numId w:val="3"/>
        </w:numPr>
        <w:tabs>
          <w:tab w:val="clear" w:pos="708"/>
          <w:tab w:val="left" w:pos="284" w:leader="none"/>
        </w:tabs>
        <w:spacing w:lineRule="auto" w:line="276" w:before="480" w:after="120"/>
        <w:ind w:left="0" w:hanging="0"/>
        <w:contextualSpacing/>
        <w:jc w:val="both"/>
        <w:rPr>
          <w:rFonts w:ascii="Arial" w:hAnsi="Arial" w:eastAsia="Arial" w:cs="Arial"/>
          <w:b/>
          <w:b/>
          <w:sz w:val="20"/>
          <w:szCs w:val="20"/>
        </w:rPr>
      </w:pPr>
      <w:r>
        <w:rPr>
          <w:rFonts w:eastAsia="Arial" w:cs="Arial" w:ascii="Arial" w:hAnsi="Arial"/>
          <w:b/>
          <w:sz w:val="20"/>
          <w:szCs w:val="20"/>
        </w:rPr>
        <w:t>INGRESSO NA DISPENSA ELETRÔNICA E CADASTRAMENTO DA PROPOSTA INICIAL</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O ingresso do fornecedor na disputa da dispensa eletrônica se dará com o cadastramento de sua proposta inicial, na forma deste item.</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O fornecedor interessado, após a divulgação do aviso de contratação direta, encaminhará, exclusivamente por meio do Sistema de Dispensa Eletrônica, a proposta com a descrição do serviço ofertado, e o preço, até a data e o horário estabelecidos para abertura do procedimento.</w:t>
      </w:r>
    </w:p>
    <w:p>
      <w:pPr>
        <w:pStyle w:val="ListParagraph"/>
        <w:numPr>
          <w:ilvl w:val="2"/>
          <w:numId w:val="3"/>
        </w:numPr>
        <w:tabs>
          <w:tab w:val="clear" w:pos="708"/>
          <w:tab w:val="left" w:pos="851" w:leader="none"/>
        </w:tabs>
        <w:spacing w:lineRule="auto" w:line="276" w:before="120" w:after="120"/>
        <w:ind w:left="283" w:hanging="11"/>
        <w:contextualSpacing/>
        <w:jc w:val="both"/>
        <w:rPr>
          <w:rFonts w:ascii="Arial" w:hAnsi="Arial" w:eastAsia="Arial" w:cs="Arial"/>
          <w:sz w:val="20"/>
          <w:szCs w:val="20"/>
        </w:rPr>
      </w:pPr>
      <w:r>
        <w:rPr>
          <w:rFonts w:eastAsia="Arial" w:cs="Arial" w:ascii="Arial" w:hAnsi="Arial"/>
          <w:sz w:val="20"/>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Todas as especificações do </w:t>
      </w:r>
      <w:r>
        <w:rPr>
          <w:rFonts w:eastAsia="Arial" w:cs="Arial" w:ascii="Arial" w:hAnsi="Arial"/>
          <w:color w:val="000000"/>
          <w:sz w:val="20"/>
          <w:szCs w:val="20"/>
        </w:rPr>
        <w:t>objeto</w:t>
      </w:r>
      <w:r>
        <w:rPr>
          <w:rFonts w:eastAsia="Arial" w:cs="Arial" w:ascii="Arial" w:hAnsi="Arial"/>
          <w:sz w:val="20"/>
          <w:szCs w:val="20"/>
        </w:rPr>
        <w:t xml:space="preserve"> contidas na proposta, em especial o preço, vinculam a Contratada.</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Nos valores propostos estarão inclusos todos os custos operacionais, encargos previdenciários, trabalhistas, tributários, comerciais e quaisquer outros que incidam direta ou indiretamente na prestação dos serviços;</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Se o regime tributário da empresa implicar o recolhimento de tributos em percentuais variáveis, a cotação adequada será a que corresponde à média dos efetivos recolhimentos da empresa nos últimos doze meses. </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Independentemente do percentual de tributo inserido na planilha, no pagamento serão retidos na fonte os percentuais estabelecidos na legislação vigente.</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sz w:val="20"/>
          <w:szCs w:val="20"/>
        </w:rPr>
        <w:t xml:space="preserve">Uma vez enviada a proposta no sistema, os fornecedores </w:t>
      </w:r>
      <w:r>
        <w:rPr>
          <w:rFonts w:eastAsia="Arial" w:cs="Arial" w:ascii="Arial" w:hAnsi="Arial"/>
          <w:b/>
          <w:sz w:val="20"/>
          <w:szCs w:val="20"/>
        </w:rPr>
        <w:t>NÃO</w:t>
      </w:r>
      <w:r>
        <w:rPr>
          <w:rFonts w:eastAsia="Arial" w:cs="Arial" w:ascii="Arial" w:hAnsi="Arial"/>
          <w:sz w:val="20"/>
          <w:szCs w:val="20"/>
        </w:rPr>
        <w:t xml:space="preserve"> poderão retirá-la, substituí-la ou modificá-la</w:t>
      </w:r>
      <w:r>
        <w:rPr>
          <w:rFonts w:eastAsia="Arial" w:cs="Arial" w:ascii="Arial" w:hAnsi="Arial"/>
          <w:color w:val="000000"/>
          <w:sz w:val="20"/>
          <w:szCs w:val="20"/>
        </w:rPr>
        <w:t>;</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No cadastramento da proposta inicial, o fornecedor deverá, também, assinalar “sim” ou “não” em campo </w:t>
      </w:r>
      <w:r>
        <w:rPr>
          <w:rFonts w:eastAsia="Arial" w:cs="Arial" w:ascii="Arial" w:hAnsi="Arial"/>
          <w:sz w:val="20"/>
          <w:szCs w:val="20"/>
        </w:rPr>
        <w:t>próprio</w:t>
      </w:r>
      <w:r>
        <w:rPr>
          <w:rFonts w:eastAsia="Arial" w:cs="Arial" w:ascii="Arial" w:hAnsi="Arial"/>
          <w:color w:val="000000"/>
          <w:sz w:val="20"/>
          <w:szCs w:val="20"/>
        </w:rPr>
        <w:t xml:space="preserve"> do sistema eletrônico, às seguintes declarações: </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inexistem fatos impeditivos para sua habilitação no certame, ciente da obrigatoriedade de declarar ocorrências posteriores;</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cumpre os requisitos estabelecidos no artigo 3° da Lei Complementar nº 123, de 2006, estando apto a usufruir do tratamento favorecido estabelecido em seus arts. 42 a 49.</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está ciente e concorda com as condições contidas no Aviso de Contratação Direta e seu anexo;</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assume a responsabilidade pelas transações que forem efetuadas no sistema, assumindo como firmes e verdadeiras;</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cumpre as exigências de reserva de cargos para pessoa com deficiência e para reabilitado da Previdência Social, de que trata o art. 93 da Lei nº 8.213/91.</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não emprega menor de 18 anos em trabalho noturno, perigoso ou insalubre e não emprega menor de 16 anos, salvo menor, a partir de 14 anos, na condição de aprendiz, nos termos do artigo 7°, XXXIII, da Constituição;</w:t>
      </w:r>
    </w:p>
    <w:p>
      <w:pPr>
        <w:pStyle w:val="Normal"/>
        <w:numPr>
          <w:ilvl w:val="0"/>
          <w:numId w:val="3"/>
        </w:numPr>
        <w:tabs>
          <w:tab w:val="clear" w:pos="708"/>
          <w:tab w:val="left" w:pos="284" w:leader="none"/>
        </w:tabs>
        <w:spacing w:lineRule="auto" w:line="276" w:before="480" w:after="120"/>
        <w:ind w:left="0" w:hanging="0"/>
        <w:jc w:val="both"/>
        <w:rPr>
          <w:rFonts w:ascii="Arial" w:hAnsi="Arial" w:eastAsia="Arial" w:cs="Arial"/>
          <w:b/>
          <w:b/>
          <w:sz w:val="20"/>
          <w:szCs w:val="20"/>
        </w:rPr>
      </w:pPr>
      <w:r>
        <w:rPr>
          <w:rFonts w:eastAsia="Arial" w:cs="Arial" w:ascii="Arial" w:hAnsi="Arial"/>
          <w:b/>
          <w:sz w:val="20"/>
          <w:szCs w:val="20"/>
        </w:rPr>
        <w:t>FASE DE LANCES</w:t>
      </w:r>
    </w:p>
    <w:p>
      <w:pPr>
        <w:pStyle w:val="ListParagraph"/>
        <w:numPr>
          <w:ilvl w:val="1"/>
          <w:numId w:val="3"/>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 xml:space="preserve">A partir das 8:00h da data estabelecida neste Aviso de Contratação Direta, a sessão pública será automaticamente aberta pelo sistema para o envio de lances públicos e sucessivos, </w:t>
      </w:r>
      <w:r>
        <w:rPr>
          <w:rFonts w:eastAsia="Arial" w:cs="Arial" w:ascii="Arial" w:hAnsi="Arial"/>
          <w:sz w:val="20"/>
          <w:szCs w:val="20"/>
        </w:rPr>
        <w:t xml:space="preserve">exclusivamente por meio do sistema eletrônico, </w:t>
      </w:r>
      <w:r>
        <w:rPr>
          <w:rFonts w:eastAsia="Arial" w:cs="Arial" w:ascii="Arial" w:hAnsi="Arial"/>
          <w:color w:val="000000"/>
          <w:sz w:val="20"/>
          <w:szCs w:val="20"/>
        </w:rPr>
        <w:t>sendo encerrado no horário de finalização de lances também já previsto neste aviso.</w:t>
      </w:r>
    </w:p>
    <w:p>
      <w:pPr>
        <w:pStyle w:val="ListParagraph"/>
        <w:numPr>
          <w:ilvl w:val="1"/>
          <w:numId w:val="3"/>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O lance deverá ser ofertado pelo valor </w:t>
      </w:r>
      <w:r>
        <w:rPr>
          <w:rFonts w:eastAsia="Arial" w:cs="Arial" w:ascii="Arial" w:hAnsi="Arial"/>
          <w:b/>
          <w:bCs/>
          <w:iCs/>
          <w:sz w:val="20"/>
          <w:szCs w:val="20"/>
        </w:rPr>
        <w:t>TOTAL, devendo o valor unitário possuir no máximo duas casas decimais ao se dividir o valor total pela quantidade</w:t>
      </w:r>
      <w:r>
        <w:rPr>
          <w:rFonts w:eastAsia="Arial" w:cs="Arial" w:ascii="Arial" w:hAnsi="Arial"/>
          <w:color w:val="000000"/>
          <w:sz w:val="20"/>
          <w:szCs w:val="20"/>
        </w:rPr>
        <w:t>.</w:t>
      </w:r>
    </w:p>
    <w:p>
      <w:pPr>
        <w:pStyle w:val="ListParagraph"/>
        <w:numPr>
          <w:ilvl w:val="1"/>
          <w:numId w:val="3"/>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O fornecedor somente poderá oferecer valor inferior em relação ao último lance por ele ofertado e registrado pelo sistema.</w:t>
      </w:r>
    </w:p>
    <w:p>
      <w:pPr>
        <w:pStyle w:val="ListParagraph"/>
        <w:numPr>
          <w:ilvl w:val="2"/>
          <w:numId w:val="3"/>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3"/>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O intervalo mínimo de diferença de valores ou percentuais entre os lances, que incidirá tanto em relação aos lances intermediários quanto em relação ao que cobrir a melhor oferta é de</w:t>
      </w:r>
      <w:r>
        <w:rPr>
          <w:rFonts w:eastAsia="Arial" w:cs="Arial" w:ascii="Arial" w:hAnsi="Arial"/>
          <w:i/>
          <w:sz w:val="20"/>
          <w:szCs w:val="20"/>
        </w:rPr>
        <w:t xml:space="preserve"> </w:t>
      </w:r>
      <w:r>
        <w:rPr>
          <w:rFonts w:eastAsia="Arial" w:cs="Arial" w:ascii="Arial" w:hAnsi="Arial"/>
          <w:b/>
          <w:bCs/>
          <w:sz w:val="20"/>
          <w:szCs w:val="20"/>
        </w:rPr>
        <w:t>R$ 0,01 (um centavo)</w:t>
      </w:r>
      <w:r>
        <w:rPr>
          <w:rFonts w:eastAsia="Arial" w:cs="Arial" w:ascii="Arial" w:hAnsi="Arial"/>
          <w:sz w:val="20"/>
          <w:szCs w:val="20"/>
        </w:rPr>
        <w:t>.</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Havendo lances iguais ao menor já ofertado, prevalecerá aquele que for recebido e registrado primeiro no sistema.</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Caso o fornecedor não apresente lances, concorrerá com o valor de sua proposta.</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Durante o procedimento, os fornecedores serão informados, em tempo real, do valor do menor lance registrado, vedada a identificação do fornecedor.</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Imediatamente após o término do prazo estabelecido para a fase de lances, haverá o seu encerramento, com o ordenamento e divulgação dos lances, pelo sistema, em ordem crescente de classificação.</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O encerramento da fase de lances ocorrerá de forma automática pontualmente no horário indicado, sem qualquer possibilidade de prorrogação e não havendo tempo aleatório ou mecanismo similar.</w:t>
      </w:r>
    </w:p>
    <w:p>
      <w:pPr>
        <w:pStyle w:val="Normal"/>
        <w:numPr>
          <w:ilvl w:val="0"/>
          <w:numId w:val="3"/>
        </w:numPr>
        <w:spacing w:lineRule="auto" w:line="276" w:before="480" w:after="120"/>
        <w:ind w:left="357" w:hanging="357"/>
        <w:jc w:val="both"/>
        <w:rPr>
          <w:rFonts w:ascii="Arial" w:hAnsi="Arial" w:eastAsia="Arial" w:cs="Arial"/>
          <w:b/>
          <w:b/>
          <w:sz w:val="20"/>
          <w:szCs w:val="20"/>
        </w:rPr>
      </w:pPr>
      <w:r>
        <w:rPr>
          <w:rFonts w:eastAsia="Arial" w:cs="Arial" w:ascii="Arial" w:hAnsi="Arial"/>
          <w:b/>
          <w:sz w:val="20"/>
          <w:szCs w:val="20"/>
        </w:rPr>
        <w:t>JULGAMENTO DAS PROPOSTAS DE PREÇO</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No caso de o preço da proposta vencedora estar acima do estimado pela Administração, poderá haver a negociação de condições mais vantajosas.</w:t>
      </w:r>
    </w:p>
    <w:p>
      <w:pPr>
        <w:pStyle w:val="ListParagraph"/>
        <w:numPr>
          <w:ilvl w:val="2"/>
          <w:numId w:val="3"/>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Neste caso, será encaminhada contraproposta ao fornecedor que tenha apresentado o melhor preço, para que seja obtida melhor proposta com preço compatível ao estimado pela Administração.</w:t>
      </w:r>
    </w:p>
    <w:p>
      <w:pPr>
        <w:pStyle w:val="ListParagraph"/>
        <w:numPr>
          <w:ilvl w:val="2"/>
          <w:numId w:val="3"/>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3"/>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Em qualquer caso, concluída a negociação, o resultado será registrado na ata do procedimento da dispensa eletrônica.</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Estando o preço compatível, será solicitado o envio da proposta e, se necessário, de documentos complementares, adequada ao último lance.</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O prazo para o envio da proposta atualizada será de 02 (horas), podendo ser prorrogado por conveniência ou necessidade da administração, o não envio da proposta assinada, ocasionará a desclassificação do lance do fornecedor.</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O prazo de validade </w:t>
      </w:r>
      <w:r>
        <w:rPr>
          <w:rFonts w:eastAsia="Arial" w:cs="Arial" w:ascii="Arial" w:hAnsi="Arial"/>
          <w:sz w:val="20"/>
          <w:szCs w:val="20"/>
        </w:rPr>
        <w:t>da</w:t>
      </w:r>
      <w:r>
        <w:rPr>
          <w:rFonts w:eastAsia="Arial" w:cs="Arial" w:ascii="Arial" w:hAnsi="Arial"/>
          <w:color w:val="000000"/>
          <w:sz w:val="20"/>
          <w:szCs w:val="20"/>
        </w:rPr>
        <w:t xml:space="preserve"> proposta não será inferior a </w:t>
      </w:r>
      <w:r>
        <w:rPr>
          <w:rFonts w:eastAsia="Arial" w:cs="Arial" w:ascii="Arial" w:hAnsi="Arial"/>
          <w:sz w:val="20"/>
          <w:szCs w:val="20"/>
        </w:rPr>
        <w:t>60 (sessenta)</w:t>
      </w:r>
      <w:r>
        <w:rPr>
          <w:rFonts w:eastAsia="Arial" w:cs="Arial" w:ascii="Arial" w:hAnsi="Arial"/>
          <w:color w:val="000000"/>
          <w:sz w:val="20"/>
          <w:szCs w:val="20"/>
        </w:rPr>
        <w:t xml:space="preserve"> dias</w:t>
      </w:r>
      <w:r>
        <w:rPr>
          <w:rFonts w:eastAsia="Arial" w:cs="Arial" w:ascii="Arial" w:hAnsi="Arial"/>
          <w:b/>
          <w:color w:val="000000"/>
          <w:sz w:val="20"/>
          <w:szCs w:val="20"/>
        </w:rPr>
        <w:t>,</w:t>
      </w:r>
      <w:r>
        <w:rPr>
          <w:rFonts w:eastAsia="Arial" w:cs="Arial" w:ascii="Arial" w:hAnsi="Arial"/>
          <w:color w:val="000000"/>
          <w:sz w:val="20"/>
          <w:szCs w:val="20"/>
        </w:rPr>
        <w:t xml:space="preserve"> a contar da data de sua apresentação.</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Será desclassificada a proposta vencedora que: </w:t>
      </w:r>
    </w:p>
    <w:p>
      <w:pPr>
        <w:pStyle w:val="ListParagraph"/>
        <w:numPr>
          <w:ilvl w:val="2"/>
          <w:numId w:val="3"/>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contiver vícios insanáveis;</w:t>
      </w:r>
    </w:p>
    <w:p>
      <w:pPr>
        <w:pStyle w:val="ListParagraph"/>
        <w:numPr>
          <w:ilvl w:val="2"/>
          <w:numId w:val="3"/>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não obedecer às especificações técnicas pormenorizadas neste aviso ou em seu anexo;</w:t>
      </w:r>
    </w:p>
    <w:p>
      <w:pPr>
        <w:pStyle w:val="ListParagraph"/>
        <w:numPr>
          <w:ilvl w:val="2"/>
          <w:numId w:val="3"/>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apresentar preços inexequíveis ou permanecerem acima do preço máximo definido para a contratação;</w:t>
      </w:r>
    </w:p>
    <w:p>
      <w:pPr>
        <w:pStyle w:val="ListParagraph"/>
        <w:numPr>
          <w:ilvl w:val="2"/>
          <w:numId w:val="3"/>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não tiverem sua exequibilidade demonstrada, quando exigido pela Administração;</w:t>
      </w:r>
    </w:p>
    <w:p>
      <w:pPr>
        <w:pStyle w:val="ListParagraph"/>
        <w:numPr>
          <w:ilvl w:val="2"/>
          <w:numId w:val="3"/>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apresentar desconformidade com quaisquer outras exigências deste aviso ou seu anexo, desde que insanável.</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color w:val="000000"/>
          <w:sz w:val="20"/>
          <w:szCs w:val="20"/>
        </w:rPr>
        <w:t>Quando</w:t>
      </w:r>
      <w:r>
        <w:rPr>
          <w:rFonts w:eastAsia="Arial" w:cs="Arial" w:ascii="Arial" w:hAnsi="Arial"/>
          <w:sz w:val="20"/>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3"/>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3"/>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3"/>
        </w:numPr>
        <w:tabs>
          <w:tab w:val="clear" w:pos="708"/>
          <w:tab w:val="left" w:pos="426" w:leader="none"/>
        </w:tabs>
        <w:spacing w:lineRule="auto" w:line="276" w:before="120" w:after="120"/>
        <w:ind w:left="0" w:right="-15"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Se houver indícios de inexequibilidade da proposta de preço, ou em caso da necessidade de esclarecimentos </w:t>
      </w:r>
      <w:r>
        <w:rPr>
          <w:rFonts w:eastAsia="Arial" w:cs="Arial" w:ascii="Arial" w:hAnsi="Arial"/>
          <w:sz w:val="20"/>
          <w:szCs w:val="20"/>
        </w:rPr>
        <w:t>complementares</w:t>
      </w:r>
      <w:r>
        <w:rPr>
          <w:rFonts w:eastAsia="Arial" w:cs="Arial" w:ascii="Arial" w:hAnsi="Arial"/>
          <w:color w:val="000000"/>
          <w:sz w:val="20"/>
          <w:szCs w:val="20"/>
        </w:rPr>
        <w:t xml:space="preserve">, poderão ser efetuadas diligências, para que a empresa comprove a exequibilidade da proposta.  </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Erros no preenchimento da planilha não constituem motivo para a desclassificação da proposta. A planilha </w:t>
      </w:r>
      <w:r>
        <w:rPr>
          <w:rFonts w:eastAsia="Arial" w:cs="Arial" w:ascii="Arial" w:hAnsi="Arial"/>
          <w:sz w:val="20"/>
          <w:szCs w:val="20"/>
        </w:rPr>
        <w:t>poderá́</w:t>
      </w:r>
      <w:r>
        <w:rPr>
          <w:rFonts w:eastAsia="Arial" w:cs="Arial" w:ascii="Arial" w:hAnsi="Arial"/>
          <w:color w:val="000000"/>
          <w:sz w:val="20"/>
          <w:szCs w:val="20"/>
        </w:rPr>
        <w:t xml:space="preserve"> ser ajustada pelo fornecedor, no prazo indicado pelo sistema, desde que não haja majoração do preço.</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O ajuste de que trata este dispositivo se limita a sanar erros ou falhas que não alterem a substância das propostas;</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Considera-se erro no preenchimento da planilha passível de correção a indicação de recolhimento de impostos e contribuições na forma do Simples Nacional, quando não cabível esse regime.</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3"/>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Se a proposta ou lance vencedor for desclassificado, será examinada a proposta ou lance subsequente, e, assim sucessivamente, na ordem de classificação.</w:t>
      </w:r>
    </w:p>
    <w:p>
      <w:pPr>
        <w:pStyle w:val="ListParagraph"/>
        <w:numPr>
          <w:ilvl w:val="1"/>
          <w:numId w:val="3"/>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Havendo necessidade, a sessão será suspensa, informando-se no “chat” a nova data e horário para a sua continuidade.</w:t>
      </w:r>
    </w:p>
    <w:p>
      <w:pPr>
        <w:pStyle w:val="ListParagraph"/>
        <w:numPr>
          <w:ilvl w:val="1"/>
          <w:numId w:val="3"/>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Encerrada a análise quanto à aceitação da proposta, se iniciará a fase de habilitação, observado o disposto neste Aviso de Contratação Direta.</w:t>
      </w:r>
    </w:p>
    <w:p>
      <w:pPr>
        <w:pStyle w:val="Normal"/>
        <w:numPr>
          <w:ilvl w:val="0"/>
          <w:numId w:val="3"/>
        </w:numPr>
        <w:spacing w:lineRule="auto" w:line="276" w:before="480" w:after="120"/>
        <w:ind w:left="357" w:hanging="357"/>
        <w:jc w:val="both"/>
        <w:rPr>
          <w:rFonts w:ascii="Arial" w:hAnsi="Arial" w:eastAsia="Arial" w:cs="Arial"/>
          <w:b/>
          <w:b/>
          <w:sz w:val="20"/>
          <w:szCs w:val="20"/>
        </w:rPr>
      </w:pPr>
      <w:r>
        <w:rPr>
          <w:rFonts w:eastAsia="Arial" w:cs="Arial" w:ascii="Arial" w:hAnsi="Arial"/>
          <w:b/>
          <w:sz w:val="20"/>
          <w:szCs w:val="20"/>
        </w:rPr>
        <w:t>HABILITAÇÃO</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Como </w:t>
      </w:r>
      <w:r>
        <w:rPr>
          <w:rFonts w:eastAsia="Arial" w:cs="Arial" w:ascii="Arial" w:hAnsi="Arial"/>
          <w:color w:val="000000"/>
          <w:sz w:val="20"/>
          <w:szCs w:val="20"/>
        </w:rPr>
        <w:t>condição</w:t>
      </w:r>
      <w:r>
        <w:rPr>
          <w:rFonts w:eastAsia="Arial" w:cs="Arial" w:ascii="Arial" w:hAnsi="Arial"/>
          <w:sz w:val="20"/>
          <w:szCs w:val="20"/>
        </w:rPr>
        <w:t xml:space="preserve"> prévia ao exame da documentação de habilitação do fornecedor detentor da proposta classificada em primeiro lugar, será </w:t>
      </w:r>
      <w:r>
        <w:rPr>
          <w:rFonts w:eastAsia="Arial" w:cs="Arial" w:ascii="Arial" w:hAnsi="Arial"/>
          <w:b/>
          <w:bCs/>
          <w:sz w:val="20"/>
          <w:szCs w:val="20"/>
          <w:u w:val="single"/>
        </w:rPr>
        <w:t>verificado o eventual descumprimento das condições de participação</w:t>
      </w:r>
      <w:r>
        <w:rPr>
          <w:rFonts w:eastAsia="Arial" w:cs="Arial" w:ascii="Arial" w:hAnsi="Arial"/>
          <w:sz w:val="20"/>
          <w:szCs w:val="20"/>
        </w:rPr>
        <w:t xml:space="preserve">, especialmente quanto à </w:t>
      </w:r>
      <w:r>
        <w:rPr>
          <w:rFonts w:eastAsia="Arial" w:cs="Arial" w:ascii="Arial" w:hAnsi="Arial"/>
          <w:b/>
          <w:bCs/>
          <w:sz w:val="20"/>
          <w:szCs w:val="20"/>
          <w:u w:val="single"/>
        </w:rPr>
        <w:t>existência de sanção</w:t>
      </w:r>
      <w:r>
        <w:rPr>
          <w:rFonts w:eastAsia="Arial" w:cs="Arial" w:ascii="Arial" w:hAnsi="Arial"/>
          <w:sz w:val="20"/>
          <w:szCs w:val="20"/>
        </w:rPr>
        <w:t xml:space="preserve"> que impeça a participação no certame ou a futura contratação, mediante a consulta aos seguintes cadastros:  </w:t>
      </w:r>
    </w:p>
    <w:p>
      <w:pPr>
        <w:pStyle w:val="Normal"/>
        <w:spacing w:lineRule="auto" w:line="276" w:before="120" w:after="120"/>
        <w:ind w:left="426" w:hanging="0"/>
        <w:jc w:val="both"/>
        <w:rPr>
          <w:rFonts w:ascii="Arial" w:hAnsi="Arial" w:eastAsia="Arial" w:cs="Arial"/>
          <w:sz w:val="20"/>
          <w:szCs w:val="20"/>
        </w:rPr>
      </w:pPr>
      <w:r>
        <w:rPr>
          <w:rFonts w:eastAsia="Arial" w:cs="Arial" w:ascii="Arial" w:hAnsi="Arial"/>
          <w:sz w:val="20"/>
          <w:szCs w:val="20"/>
        </w:rPr>
        <w:t xml:space="preserve">a) </w:t>
      </w:r>
      <w:r>
        <w:rPr>
          <w:rFonts w:eastAsia="Arial" w:cs="Arial" w:ascii="Arial" w:hAnsi="Arial"/>
          <w:b/>
          <w:bCs/>
          <w:sz w:val="20"/>
          <w:szCs w:val="20"/>
          <w:u w:val="single"/>
        </w:rPr>
        <w:t>SICAF</w:t>
      </w:r>
      <w:r>
        <w:rPr>
          <w:rFonts w:eastAsia="Arial" w:cs="Arial" w:ascii="Arial" w:hAnsi="Arial"/>
          <w:sz w:val="20"/>
          <w:szCs w:val="20"/>
        </w:rPr>
        <w:t xml:space="preserve">;  </w:t>
      </w:r>
    </w:p>
    <w:p>
      <w:pPr>
        <w:pStyle w:val="Normal"/>
        <w:spacing w:lineRule="auto" w:line="276" w:before="120" w:after="120"/>
        <w:ind w:left="426" w:hanging="0"/>
        <w:jc w:val="both"/>
        <w:rPr>
          <w:rFonts w:ascii="Arial" w:hAnsi="Arial" w:eastAsia="Arial" w:cs="Arial"/>
          <w:sz w:val="20"/>
          <w:szCs w:val="20"/>
        </w:rPr>
      </w:pPr>
      <w:r>
        <w:rPr>
          <w:rFonts w:eastAsia="Arial" w:cs="Arial" w:ascii="Arial" w:hAnsi="Arial"/>
          <w:sz w:val="20"/>
          <w:szCs w:val="20"/>
        </w:rPr>
        <w:t xml:space="preserve">b) Cadastro Nacional de Empresas Inidôneas e Suspensas - </w:t>
      </w:r>
      <w:r>
        <w:rPr>
          <w:rFonts w:eastAsia="Arial" w:cs="Arial" w:ascii="Arial" w:hAnsi="Arial"/>
          <w:b/>
          <w:bCs/>
          <w:sz w:val="20"/>
          <w:szCs w:val="20"/>
          <w:u w:val="single"/>
        </w:rPr>
        <w:t>CEIS</w:t>
      </w:r>
      <w:r>
        <w:rPr>
          <w:rFonts w:eastAsia="Arial" w:cs="Arial" w:ascii="Arial" w:hAnsi="Arial"/>
          <w:sz w:val="20"/>
          <w:szCs w:val="20"/>
        </w:rPr>
        <w:t>, mantido pela Controladoria-Geral da União (</w:t>
      </w:r>
      <w:hyperlink r:id="rId4">
        <w:r>
          <w:rPr>
            <w:rFonts w:eastAsia="Arial" w:cs="Arial" w:ascii="Arial" w:hAnsi="Arial"/>
            <w:sz w:val="20"/>
            <w:szCs w:val="20"/>
          </w:rPr>
          <w:t>www.portaldatransparencia.gov.br/ceis</w:t>
        </w:r>
      </w:hyperlink>
      <w:r>
        <w:rPr>
          <w:rFonts w:eastAsia="Arial" w:cs="Arial" w:ascii="Arial" w:hAnsi="Arial"/>
          <w:sz w:val="20"/>
          <w:szCs w:val="20"/>
        </w:rPr>
        <w:t xml:space="preserve">);  </w:t>
      </w:r>
    </w:p>
    <w:p>
      <w:pPr>
        <w:pStyle w:val="Normal"/>
        <w:spacing w:lineRule="auto" w:line="276" w:before="120" w:after="120"/>
        <w:ind w:left="426" w:hanging="0"/>
        <w:jc w:val="both"/>
        <w:rPr>
          <w:rFonts w:ascii="Arial" w:hAnsi="Arial" w:eastAsia="Arial" w:cs="Arial"/>
          <w:sz w:val="20"/>
          <w:szCs w:val="20"/>
        </w:rPr>
      </w:pPr>
      <w:r>
        <w:rPr>
          <w:rFonts w:eastAsia="Arial" w:cs="Arial" w:ascii="Arial" w:hAnsi="Arial"/>
          <w:sz w:val="20"/>
          <w:szCs w:val="20"/>
        </w:rPr>
        <w:t xml:space="preserve">c) Cadastro Nacional de Condenações Cíveis por Atos de Improbidade Administrativa, mantido pelo </w:t>
      </w:r>
      <w:r>
        <w:rPr>
          <w:rFonts w:eastAsia="Arial" w:cs="Arial" w:ascii="Arial" w:hAnsi="Arial"/>
          <w:b/>
          <w:bCs/>
          <w:sz w:val="20"/>
          <w:szCs w:val="20"/>
          <w:u w:val="single"/>
        </w:rPr>
        <w:t>Conselho Nacional de Justiça</w:t>
      </w:r>
      <w:r>
        <w:rPr>
          <w:rFonts w:eastAsia="Arial" w:cs="Arial" w:ascii="Arial" w:hAnsi="Arial"/>
          <w:sz w:val="20"/>
          <w:szCs w:val="20"/>
        </w:rPr>
        <w:t xml:space="preserve"> (</w:t>
      </w:r>
      <w:hyperlink r:id="rId5">
        <w:r>
          <w:rPr>
            <w:rFonts w:eastAsia="Arial" w:cs="Arial" w:ascii="Arial" w:hAnsi="Arial"/>
            <w:sz w:val="20"/>
            <w:szCs w:val="20"/>
          </w:rPr>
          <w:t>www.cnj.jus.br/improbidade_adm/consultar_requerido.php</w:t>
        </w:r>
      </w:hyperlink>
      <w:r>
        <w:rPr>
          <w:rFonts w:eastAsia="Arial" w:cs="Arial" w:ascii="Arial" w:hAnsi="Arial"/>
          <w:sz w:val="20"/>
          <w:szCs w:val="20"/>
        </w:rPr>
        <w:t xml:space="preserve">).  </w:t>
      </w:r>
    </w:p>
    <w:p>
      <w:pPr>
        <w:pStyle w:val="Normal"/>
        <w:spacing w:lineRule="auto" w:line="276" w:before="120" w:after="120"/>
        <w:ind w:left="426" w:hanging="0"/>
        <w:jc w:val="both"/>
        <w:rPr>
          <w:rFonts w:ascii="Arial" w:hAnsi="Arial" w:eastAsia="Arial" w:cs="Arial"/>
          <w:sz w:val="20"/>
          <w:szCs w:val="20"/>
        </w:rPr>
      </w:pPr>
      <w:r>
        <w:rPr>
          <w:rFonts w:eastAsia="Arial" w:cs="Arial" w:ascii="Arial" w:hAnsi="Arial"/>
          <w:sz w:val="20"/>
          <w:szCs w:val="20"/>
        </w:rPr>
        <w:t xml:space="preserve">d) Lista de Inidôneos mantida pelo Tribunal de Contas da União - </w:t>
      </w:r>
      <w:r>
        <w:rPr>
          <w:rFonts w:eastAsia="Arial" w:cs="Arial" w:ascii="Arial" w:hAnsi="Arial"/>
          <w:b/>
          <w:bCs/>
          <w:sz w:val="20"/>
          <w:szCs w:val="20"/>
          <w:u w:val="single"/>
        </w:rPr>
        <w:t>TCU</w:t>
      </w:r>
      <w:r>
        <w:rPr>
          <w:rFonts w:eastAsia="Arial" w:cs="Arial" w:ascii="Arial" w:hAnsi="Arial"/>
          <w:sz w:val="20"/>
          <w:szCs w:val="20"/>
        </w:rPr>
        <w:t xml:space="preserve">; </w:t>
      </w:r>
    </w:p>
    <w:p>
      <w:pPr>
        <w:pStyle w:val="ListParagraph"/>
        <w:numPr>
          <w:ilvl w:val="2"/>
          <w:numId w:val="3"/>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 xml:space="preserve">Para a consulta de fornecedores pessoa jurídica poderá haver a substituição das consultas das </w:t>
      </w:r>
      <w:r>
        <w:rPr>
          <w:rFonts w:eastAsia="Arial" w:cs="Arial" w:ascii="Arial" w:hAnsi="Arial"/>
          <w:b/>
          <w:bCs/>
          <w:sz w:val="20"/>
          <w:szCs w:val="20"/>
          <w:u w:val="single"/>
        </w:rPr>
        <w:t>alíneas “b”, “c” e “d” acima pela Consulta Consolidada de Pessoa Jurídica do TCU</w:t>
      </w:r>
      <w:r>
        <w:rPr>
          <w:rFonts w:eastAsia="Arial" w:cs="Arial" w:ascii="Arial" w:hAnsi="Arial"/>
          <w:sz w:val="20"/>
          <w:szCs w:val="20"/>
        </w:rPr>
        <w:t xml:space="preserve"> (</w:t>
      </w:r>
      <w:hyperlink r:id="rId6">
        <w:r>
          <w:rPr>
            <w:rFonts w:eastAsia="Arial" w:cs="Arial" w:ascii="Arial" w:hAnsi="Arial"/>
            <w:sz w:val="20"/>
            <w:szCs w:val="20"/>
          </w:rPr>
          <w:t>https://certidoesapf.apps.tcu.gov.br/</w:t>
        </w:r>
      </w:hyperlink>
      <w:r>
        <w:rPr>
          <w:rFonts w:eastAsia="Arial" w:cs="Arial" w:ascii="Arial" w:hAnsi="Arial"/>
          <w:sz w:val="20"/>
          <w:szCs w:val="20"/>
        </w:rPr>
        <w:t>).</w:t>
      </w:r>
    </w:p>
    <w:p>
      <w:pPr>
        <w:pStyle w:val="ListParagraph"/>
        <w:numPr>
          <w:ilvl w:val="2"/>
          <w:numId w:val="3"/>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A </w:t>
      </w:r>
      <w:r>
        <w:rPr>
          <w:rFonts w:eastAsia="Arial" w:cs="Arial" w:ascii="Arial" w:hAnsi="Arial"/>
          <w:b/>
          <w:bCs/>
          <w:color w:val="000000"/>
          <w:sz w:val="20"/>
          <w:szCs w:val="20"/>
          <w:u w:val="single"/>
        </w:rPr>
        <w:t xml:space="preserve">consulta aos </w:t>
      </w:r>
      <w:r>
        <w:rPr>
          <w:rFonts w:eastAsia="Arial" w:cs="Arial" w:ascii="Arial" w:hAnsi="Arial"/>
          <w:b/>
          <w:bCs/>
          <w:sz w:val="20"/>
          <w:szCs w:val="20"/>
          <w:u w:val="single"/>
        </w:rPr>
        <w:t>cadastros</w:t>
      </w:r>
      <w:r>
        <w:rPr>
          <w:rFonts w:eastAsia="Arial" w:cs="Arial" w:ascii="Arial" w:hAnsi="Arial"/>
          <w:b/>
          <w:bCs/>
          <w:color w:val="000000"/>
          <w:sz w:val="20"/>
          <w:szCs w:val="20"/>
          <w:u w:val="single"/>
        </w:rPr>
        <w:t xml:space="preserve"> será realizada em nome da empresa fornecedora e também de seu sócio majoritário</w:t>
      </w:r>
      <w:r>
        <w:rPr>
          <w:rFonts w:eastAsia="Arial" w:cs="Arial" w:ascii="Arial" w:hAnsi="Arial"/>
          <w:color w:val="000000"/>
          <w:sz w:val="20"/>
          <w:szCs w:val="20"/>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3"/>
        </w:numPr>
        <w:spacing w:lineRule="auto" w:line="276" w:before="120" w:after="120"/>
        <w:ind w:left="709"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Caso conste na Consulta de Situação do Fornecedor a existência de </w:t>
      </w:r>
      <w:r>
        <w:rPr>
          <w:rFonts w:eastAsia="Arial" w:cs="Arial" w:ascii="Arial" w:hAnsi="Arial"/>
          <w:b/>
          <w:bCs/>
          <w:color w:val="000000"/>
          <w:sz w:val="20"/>
          <w:szCs w:val="20"/>
          <w:u w:val="single"/>
        </w:rPr>
        <w:t>Ocorrências Impeditivas Indiretas</w:t>
      </w:r>
      <w:r>
        <w:rPr>
          <w:rFonts w:eastAsia="Arial" w:cs="Arial" w:ascii="Arial" w:hAnsi="Arial"/>
          <w:color w:val="000000"/>
          <w:sz w:val="20"/>
          <w:szCs w:val="20"/>
        </w:rPr>
        <w:t>, o gestor diligenciará para verificar se houve fraude por parte das empresas apontadas no Relatório de Ocorrências Impeditivas Indiretas.</w:t>
      </w:r>
    </w:p>
    <w:p>
      <w:pPr>
        <w:pStyle w:val="ListParagraph"/>
        <w:numPr>
          <w:ilvl w:val="4"/>
          <w:numId w:val="3"/>
        </w:numPr>
        <w:spacing w:lineRule="auto" w:line="276" w:before="120" w:after="120"/>
        <w:ind w:left="1134" w:hanging="0"/>
        <w:contextualSpacing/>
        <w:jc w:val="both"/>
        <w:rPr>
          <w:rFonts w:ascii="Arial" w:hAnsi="Arial" w:eastAsia="Arial" w:cs="Arial"/>
          <w:color w:val="000000"/>
          <w:sz w:val="20"/>
          <w:szCs w:val="20"/>
        </w:rPr>
      </w:pPr>
      <w:r>
        <w:rPr>
          <w:rFonts w:eastAsia="Arial" w:cs="Arial" w:ascii="Arial" w:hAnsi="Arial"/>
          <w:color w:val="000000"/>
          <w:sz w:val="20"/>
          <w:szCs w:val="20"/>
        </w:rPr>
        <w:t>A tentativa de burla será verificada por meio dos vínculos societários, linhas de fornecimento similares, dentre outros.</w:t>
      </w:r>
    </w:p>
    <w:p>
      <w:pPr>
        <w:pStyle w:val="ListParagraph"/>
        <w:numPr>
          <w:ilvl w:val="4"/>
          <w:numId w:val="3"/>
        </w:numPr>
        <w:spacing w:lineRule="auto" w:line="276" w:before="120" w:after="120"/>
        <w:ind w:left="1134" w:hanging="0"/>
        <w:contextualSpacing/>
        <w:jc w:val="both"/>
        <w:rPr>
          <w:rFonts w:ascii="Arial" w:hAnsi="Arial" w:eastAsia="Arial" w:cs="Arial"/>
          <w:color w:val="000000"/>
          <w:sz w:val="20"/>
          <w:szCs w:val="20"/>
        </w:rPr>
      </w:pPr>
      <w:r>
        <w:rPr>
          <w:rFonts w:eastAsia="Arial" w:cs="Arial" w:ascii="Arial" w:hAnsi="Arial"/>
          <w:color w:val="000000"/>
          <w:sz w:val="20"/>
          <w:szCs w:val="20"/>
        </w:rPr>
        <w:t>O fornecedor será convocado para manifestação previamente à sua desclassificação</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Constatada a </w:t>
      </w:r>
      <w:r>
        <w:rPr>
          <w:rFonts w:eastAsia="Arial" w:cs="Arial" w:ascii="Arial" w:hAnsi="Arial"/>
          <w:b/>
          <w:bCs/>
          <w:color w:val="000000"/>
          <w:sz w:val="20"/>
          <w:szCs w:val="20"/>
          <w:u w:val="single"/>
        </w:rPr>
        <w:t>existência de sanção, o fornecedor será reputado inabilitado</w:t>
      </w:r>
      <w:r>
        <w:rPr>
          <w:rFonts w:eastAsia="Arial" w:cs="Arial" w:ascii="Arial" w:hAnsi="Arial"/>
          <w:color w:val="000000"/>
          <w:sz w:val="20"/>
          <w:szCs w:val="20"/>
        </w:rPr>
        <w:t>, por falta de condição de participação.</w:t>
      </w:r>
    </w:p>
    <w:p>
      <w:pPr>
        <w:pStyle w:val="ListParagraph"/>
        <w:numPr>
          <w:ilvl w:val="1"/>
          <w:numId w:val="3"/>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 xml:space="preserve">Caso atendidas as condições de participação, </w:t>
      </w:r>
      <w:r>
        <w:rPr>
          <w:rFonts w:eastAsia="Arial" w:cs="Arial" w:ascii="Arial" w:hAnsi="Arial"/>
          <w:sz w:val="20"/>
          <w:szCs w:val="20"/>
        </w:rPr>
        <w:t>a habilitação dos fornecedores será verificada por meio do SICAF, nos documentos por ele abrangidos</w:t>
      </w:r>
      <w:r>
        <w:rPr>
          <w:rFonts w:eastAsia="Arial" w:cs="Arial" w:ascii="Arial" w:hAnsi="Arial"/>
          <w:color w:val="000000"/>
          <w:sz w:val="20"/>
          <w:szCs w:val="20"/>
        </w:rPr>
        <w:t>.</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3"/>
        </w:numPr>
        <w:tabs>
          <w:tab w:val="clear" w:pos="708"/>
          <w:tab w:val="left" w:pos="284" w:leader="none"/>
        </w:tabs>
        <w:spacing w:lineRule="auto" w:line="276" w:before="120" w:after="120"/>
        <w:ind w:left="357" w:hanging="357"/>
        <w:contextualSpacing/>
        <w:jc w:val="both"/>
        <w:rPr>
          <w:rFonts w:ascii="Arial" w:hAnsi="Arial" w:eastAsia="Arial" w:cs="Arial"/>
          <w:b/>
          <w:b/>
          <w:color w:val="000000"/>
          <w:sz w:val="20"/>
          <w:szCs w:val="20"/>
          <w:shd w:fill="FFFFFF" w:val="clear"/>
        </w:rPr>
      </w:pPr>
      <w:r>
        <w:rPr>
          <w:rFonts w:eastAsia="Arial" w:cs="Arial" w:ascii="Arial" w:hAnsi="Arial"/>
          <w:b/>
          <w:color w:val="000000"/>
          <w:sz w:val="20"/>
          <w:szCs w:val="20"/>
          <w:shd w:fill="FFFFFF" w:val="clear"/>
        </w:rPr>
        <w:t>Regularidade fiscal, social e trabalhista:</w:t>
      </w:r>
    </w:p>
    <w:p>
      <w:pPr>
        <w:pStyle w:val="ListParagraph"/>
        <w:numPr>
          <w:ilvl w:val="2"/>
          <w:numId w:val="3"/>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prova de </w:t>
      </w:r>
      <w:r>
        <w:rPr>
          <w:rFonts w:eastAsia="Arial" w:cs="Arial" w:ascii="Arial" w:hAnsi="Arial"/>
          <w:b/>
          <w:bCs/>
          <w:sz w:val="20"/>
          <w:szCs w:val="20"/>
          <w:u w:val="single"/>
        </w:rPr>
        <w:t>inscrição no Cadastro Nacional de Pessoas Jurídicas ou no Cadastro de Pessoas Físicas</w:t>
      </w:r>
      <w:r>
        <w:rPr>
          <w:rFonts w:eastAsia="Arial" w:cs="Arial" w:ascii="Arial" w:hAnsi="Arial"/>
          <w:sz w:val="20"/>
          <w:szCs w:val="20"/>
        </w:rPr>
        <w:t>, conforme o caso;</w:t>
      </w:r>
    </w:p>
    <w:p>
      <w:pPr>
        <w:pStyle w:val="ListParagraph"/>
        <w:numPr>
          <w:ilvl w:val="2"/>
          <w:numId w:val="3"/>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prova de </w:t>
      </w:r>
      <w:r>
        <w:rPr>
          <w:rFonts w:eastAsia="Arial" w:cs="Arial" w:ascii="Arial" w:hAnsi="Arial"/>
          <w:b/>
          <w:bCs/>
          <w:sz w:val="20"/>
          <w:szCs w:val="20"/>
          <w:u w:val="single"/>
        </w:rPr>
        <w:t>regularidade fiscal perante a Fazenda Nacional</w:t>
      </w:r>
      <w:r>
        <w:rPr>
          <w:rFonts w:eastAsia="Arial" w:cs="Arial" w:ascii="Arial" w:hAnsi="Arial"/>
          <w:sz w:val="20"/>
          <w:szCs w:val="20"/>
        </w:rPr>
        <w:t xml:space="preserve">, mediante apresentação de certidão expedida conjuntamente pela </w:t>
      </w:r>
      <w:r>
        <w:rPr>
          <w:rFonts w:eastAsia="Arial" w:cs="Arial" w:ascii="Arial" w:hAnsi="Arial"/>
          <w:b/>
          <w:bCs/>
          <w:sz w:val="20"/>
          <w:szCs w:val="20"/>
          <w:u w:val="single"/>
        </w:rPr>
        <w:t xml:space="preserve">Secretaria da Receita Federal do Brasil (RFB) </w:t>
      </w:r>
      <w:r>
        <w:rPr>
          <w:rFonts w:eastAsia="Arial" w:cs="Arial" w:ascii="Arial" w:hAnsi="Arial"/>
          <w:sz w:val="20"/>
          <w:szCs w:val="20"/>
        </w:rPr>
        <w:t xml:space="preserve">e pela </w:t>
      </w:r>
      <w:r>
        <w:rPr>
          <w:rFonts w:eastAsia="Arial" w:cs="Arial" w:ascii="Arial" w:hAnsi="Arial"/>
          <w:b/>
          <w:bCs/>
          <w:sz w:val="20"/>
          <w:szCs w:val="20"/>
          <w:u w:val="single"/>
        </w:rPr>
        <w:t>Procuradoria-Geral da Fazenda Nacional (PGFN)</w:t>
      </w:r>
      <w:r>
        <w:rPr>
          <w:rFonts w:eastAsia="Arial" w:cs="Arial" w:ascii="Arial" w:hAnsi="Arial"/>
          <w:sz w:val="20"/>
          <w:szCs w:val="20"/>
        </w:rPr>
        <w:t xml:space="preserve">, referente a todos os créditos tributários federais e à </w:t>
      </w:r>
      <w:r>
        <w:rPr>
          <w:rFonts w:eastAsia="Arial" w:cs="Arial" w:ascii="Arial" w:hAnsi="Arial"/>
          <w:b/>
          <w:bCs/>
          <w:sz w:val="20"/>
          <w:szCs w:val="20"/>
          <w:u w:val="single"/>
        </w:rPr>
        <w:t>Dívida Ativa da União (DAU)</w:t>
      </w:r>
      <w:r>
        <w:rPr>
          <w:rFonts w:eastAsia="Arial" w:cs="Arial" w:ascii="Arial" w:hAnsi="Arial"/>
          <w:sz w:val="20"/>
          <w:szCs w:val="20"/>
        </w:rPr>
        <w:t xml:space="preserve"> por elas administrados, inclusive aqueles relativos à Seguridade Social, nos termos da Portaria Conjunta nº 1.751, de 02/10/2014, do Secretário da Receita Federal do Brasil e da Procuradora-Geral da Fazenda Nacional.</w:t>
      </w:r>
    </w:p>
    <w:p>
      <w:pPr>
        <w:pStyle w:val="ListParagraph"/>
        <w:numPr>
          <w:ilvl w:val="2"/>
          <w:numId w:val="3"/>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prova de regularidade com o </w:t>
      </w:r>
      <w:r>
        <w:rPr>
          <w:rFonts w:eastAsia="Arial" w:cs="Arial" w:ascii="Arial" w:hAnsi="Arial"/>
          <w:b/>
          <w:bCs/>
          <w:color w:val="000000"/>
          <w:sz w:val="20"/>
          <w:szCs w:val="20"/>
          <w:u w:val="single"/>
        </w:rPr>
        <w:t>Fundo de Garantia do Tempo de Serviço (FGTS);</w:t>
      </w:r>
    </w:p>
    <w:p>
      <w:pPr>
        <w:pStyle w:val="ListParagraph"/>
        <w:numPr>
          <w:ilvl w:val="2"/>
          <w:numId w:val="3"/>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prova de inexistência de débitos inadimplidos perante a </w:t>
      </w:r>
      <w:r>
        <w:rPr>
          <w:rFonts w:eastAsia="Arial" w:cs="Arial" w:ascii="Arial" w:hAnsi="Arial"/>
          <w:b/>
          <w:bCs/>
          <w:sz w:val="20"/>
          <w:szCs w:val="20"/>
          <w:u w:val="single"/>
        </w:rPr>
        <w:t>Justiça do Trabalho</w:t>
      </w:r>
      <w:r>
        <w:rPr>
          <w:rFonts w:eastAsia="Arial" w:cs="Arial" w:ascii="Arial" w:hAnsi="Arial"/>
          <w:sz w:val="20"/>
          <w:szCs w:val="20"/>
        </w:rPr>
        <w:t>, mediante a apresentação de certidão negativa ou positiva com efeito de negativa, nos termos do Título VII-A da Consolidação das Leis do Trabalho, aprovada pelo Decreto-Lei nº 5.452, de 1º de maio de 1943;</w:t>
      </w:r>
    </w:p>
    <w:p>
      <w:pPr>
        <w:pStyle w:val="ListParagraph"/>
        <w:numPr>
          <w:ilvl w:val="2"/>
          <w:numId w:val="3"/>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prova de </w:t>
      </w:r>
      <w:r>
        <w:rPr>
          <w:rFonts w:eastAsia="Arial" w:cs="Arial" w:ascii="Arial" w:hAnsi="Arial"/>
          <w:b/>
          <w:bCs/>
          <w:color w:val="000000"/>
          <w:sz w:val="20"/>
          <w:szCs w:val="20"/>
          <w:u w:val="single"/>
        </w:rPr>
        <w:t>inscrição no cadastro de contribuintes municipal</w:t>
      </w:r>
      <w:r>
        <w:rPr>
          <w:rFonts w:eastAsia="Arial" w:cs="Arial" w:ascii="Arial" w:hAnsi="Arial"/>
          <w:color w:val="000000"/>
          <w:sz w:val="20"/>
          <w:szCs w:val="20"/>
        </w:rPr>
        <w:t>, relativo ao domicílio ou sede do fornecedor, pertinente ao seu ramo de atividade e compatível com o objeto contratual</w:t>
      </w:r>
      <w:r>
        <w:rPr>
          <w:rFonts w:eastAsia="Arial" w:cs="Arial" w:ascii="Arial" w:hAnsi="Arial"/>
          <w:sz w:val="20"/>
          <w:szCs w:val="20"/>
        </w:rPr>
        <w:t xml:space="preserve">; </w:t>
      </w:r>
    </w:p>
    <w:p>
      <w:pPr>
        <w:pStyle w:val="ListParagraph"/>
        <w:numPr>
          <w:ilvl w:val="2"/>
          <w:numId w:val="3"/>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prova de </w:t>
      </w:r>
      <w:r>
        <w:rPr>
          <w:rFonts w:eastAsia="Arial" w:cs="Arial" w:ascii="Arial" w:hAnsi="Arial"/>
          <w:b/>
          <w:bCs/>
          <w:sz w:val="20"/>
          <w:szCs w:val="20"/>
          <w:u w:val="single"/>
        </w:rPr>
        <w:t xml:space="preserve">regularidade com a Fazenda municipal </w:t>
      </w:r>
      <w:r>
        <w:rPr>
          <w:rFonts w:eastAsia="Arial" w:cs="Arial" w:ascii="Arial" w:hAnsi="Arial"/>
          <w:sz w:val="20"/>
          <w:szCs w:val="20"/>
        </w:rPr>
        <w:t xml:space="preserve">do domicílio ou sede do fornecedor, relativa à atividade em cujo exercício contrata ou concorre; </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sz w:val="20"/>
          <w:szCs w:val="20"/>
        </w:rPr>
        <w:t xml:space="preserve">caso o </w:t>
      </w:r>
      <w:r>
        <w:rPr>
          <w:rFonts w:eastAsia="Arial" w:cs="Arial" w:ascii="Arial" w:hAnsi="Arial"/>
          <w:b/>
          <w:bCs/>
          <w:sz w:val="20"/>
          <w:szCs w:val="20"/>
          <w:u w:val="single"/>
        </w:rPr>
        <w:t>fornecedor seja considerado isento dos tributos municipais</w:t>
      </w:r>
      <w:r>
        <w:rPr>
          <w:rFonts w:eastAsia="Arial" w:cs="Arial" w:ascii="Arial" w:hAnsi="Arial"/>
          <w:iCs/>
          <w:sz w:val="20"/>
          <w:szCs w:val="20"/>
        </w:rPr>
        <w:t xml:space="preserve"> </w:t>
      </w:r>
      <w:r>
        <w:rPr>
          <w:rFonts w:eastAsia="Arial" w:cs="Arial" w:ascii="Arial" w:hAnsi="Arial"/>
          <w:sz w:val="20"/>
          <w:szCs w:val="20"/>
        </w:rPr>
        <w:t xml:space="preserve">relacionados ao objeto contratual, deverá </w:t>
      </w:r>
      <w:r>
        <w:rPr>
          <w:rFonts w:eastAsia="Arial" w:cs="Arial" w:ascii="Arial" w:hAnsi="Arial"/>
          <w:b/>
          <w:bCs/>
          <w:sz w:val="20"/>
          <w:szCs w:val="20"/>
          <w:u w:val="single"/>
        </w:rPr>
        <w:t>comprovar tal condição</w:t>
      </w:r>
      <w:r>
        <w:rPr>
          <w:rFonts w:eastAsia="Arial" w:cs="Arial" w:ascii="Arial" w:hAnsi="Arial"/>
          <w:sz w:val="20"/>
          <w:szCs w:val="20"/>
        </w:rPr>
        <w:t xml:space="preserve"> mediante a apresentação de declaração da Fazenda respectiva do seu domicílio ou sede, ou outra equivalente, na forma da lei;</w:t>
      </w:r>
    </w:p>
    <w:p>
      <w:pPr>
        <w:pStyle w:val="ListParagraph"/>
        <w:numPr>
          <w:ilvl w:val="1"/>
          <w:numId w:val="3"/>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3"/>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3"/>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 xml:space="preserve">O fornecedor enquadrado como microempreendedor individual que pretenda auferir os benefícios do tratamento diferenciado previstos na Lei Complementar n. 123, de 2006, </w:t>
      </w:r>
      <w:r>
        <w:rPr>
          <w:rFonts w:eastAsia="Arial" w:cs="Arial" w:ascii="Arial" w:hAnsi="Arial"/>
          <w:b/>
          <w:bCs/>
          <w:sz w:val="20"/>
          <w:szCs w:val="20"/>
          <w:u w:val="single"/>
        </w:rPr>
        <w:t>estará dispensado (a) da prova de inscrição nos cadastros de contribuintes estadual e municipal.</w:t>
      </w:r>
    </w:p>
    <w:p>
      <w:pPr>
        <w:pStyle w:val="ListParagraph"/>
        <w:numPr>
          <w:ilvl w:val="1"/>
          <w:numId w:val="3"/>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Havendo necessidade de analisar minuciosamente os documentos exigidos, a sessão será suspensa, sendo informada a nova data e horário para a sua continuidade.</w:t>
      </w:r>
    </w:p>
    <w:p>
      <w:pPr>
        <w:pStyle w:val="ListParagraph"/>
        <w:numPr>
          <w:ilvl w:val="1"/>
          <w:numId w:val="3"/>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 xml:space="preserve">Será inabilitado o fornecedor que não comprovar sua habilitação, seja por não apresentar </w:t>
      </w:r>
      <w:r>
        <w:rPr>
          <w:rFonts w:eastAsia="Arial" w:cs="Arial" w:ascii="Arial" w:hAnsi="Arial"/>
          <w:sz w:val="20"/>
          <w:szCs w:val="20"/>
        </w:rPr>
        <w:t>quaisquer</w:t>
      </w:r>
      <w:r>
        <w:rPr>
          <w:rFonts w:eastAsia="Arial" w:cs="Arial" w:ascii="Arial" w:hAnsi="Arial"/>
          <w:color w:val="000000"/>
          <w:sz w:val="20"/>
          <w:szCs w:val="20"/>
        </w:rPr>
        <w:t xml:space="preserve"> dos </w:t>
      </w:r>
      <w:r>
        <w:rPr>
          <w:rFonts w:eastAsia="Arial" w:cs="Arial" w:ascii="Arial" w:hAnsi="Arial"/>
          <w:sz w:val="20"/>
          <w:szCs w:val="20"/>
        </w:rPr>
        <w:t>documentos</w:t>
      </w:r>
      <w:r>
        <w:rPr>
          <w:rFonts w:eastAsia="Arial" w:cs="Arial" w:ascii="Arial" w:hAnsi="Arial"/>
          <w:color w:val="000000"/>
          <w:sz w:val="20"/>
          <w:szCs w:val="20"/>
        </w:rPr>
        <w:t xml:space="preserve"> exigidos, ou apresentá-los em desacordo com o estabelecido neste Aviso de Contratação Direta.</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3"/>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Constatado o atendimento às exigências de habilitação, o fornecedor será habilitado</w:t>
      </w:r>
    </w:p>
    <w:p>
      <w:pPr>
        <w:pStyle w:val="Normal"/>
        <w:numPr>
          <w:ilvl w:val="0"/>
          <w:numId w:val="3"/>
        </w:numPr>
        <w:spacing w:lineRule="auto" w:line="276" w:before="480" w:after="120"/>
        <w:ind w:left="357" w:hanging="357"/>
        <w:jc w:val="both"/>
        <w:rPr>
          <w:rFonts w:ascii="Arial" w:hAnsi="Arial" w:eastAsia="Arial" w:cs="Arial"/>
          <w:b/>
          <w:b/>
          <w:sz w:val="20"/>
          <w:szCs w:val="20"/>
        </w:rPr>
      </w:pPr>
      <w:r>
        <w:rPr>
          <w:rFonts w:eastAsia="Arial" w:cs="Arial" w:ascii="Arial" w:hAnsi="Arial"/>
          <w:b/>
          <w:sz w:val="20"/>
          <w:szCs w:val="20"/>
        </w:rPr>
        <w:t>CONTRATAÇÃO</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Após a homologação e adjudicação, caso se conclua pela contratação, será firmado Termo de Contrato ou emitido instrumento equivalente, nota de empenho.</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O adjudicatário terá o prazo de </w:t>
      </w:r>
      <w:r>
        <w:rPr>
          <w:rFonts w:eastAsia="Arial" w:cs="Arial" w:ascii="Arial" w:hAnsi="Arial"/>
          <w:sz w:val="20"/>
          <w:szCs w:val="20"/>
        </w:rPr>
        <w:t>2 (dois) dias úteis, contados a partir da data do recebimento da Nota de Empenho para aceitá-la,</w:t>
      </w:r>
      <w:r>
        <w:rPr>
          <w:rFonts w:eastAsia="Arial" w:cs="Arial" w:ascii="Arial" w:hAnsi="Arial"/>
          <w:color w:val="FF0000"/>
          <w:sz w:val="20"/>
          <w:szCs w:val="20"/>
        </w:rPr>
        <w:t xml:space="preserve"> </w:t>
      </w:r>
      <w:r>
        <w:rPr>
          <w:rFonts w:eastAsia="Arial" w:cs="Arial" w:ascii="Arial" w:hAnsi="Arial"/>
          <w:color w:val="000000"/>
          <w:sz w:val="20"/>
          <w:szCs w:val="20"/>
        </w:rPr>
        <w:t xml:space="preserve">sob pena de decair do direito à contratação, sem prejuízo das sanções previstas neste Aviso de Contratação Direta. </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 xml:space="preserve">Alternativamente à convocação para comparecer perante o órgão ou entidade para o aceite da Nota de Empenho, a Administração poderá encaminhá-lo para aceite, mediante correspondência postal com aviso de recebimento (AR) ou meio eletrônico, para que seja tomado conhecimento no prazo de 2 (dois) dias úteis, a contar da data de seu recebimento. </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O prazo previsto para assinatura do contrato ou aceitação da nota de empenho ou instrumento equivalente poderá ser prorrogado </w:t>
      </w:r>
      <w:r>
        <w:rPr>
          <w:rFonts w:eastAsia="Arial" w:cs="Arial" w:ascii="Arial" w:hAnsi="Arial"/>
          <w:sz w:val="20"/>
          <w:szCs w:val="20"/>
        </w:rPr>
        <w:t xml:space="preserve">1 (uma) vez, </w:t>
      </w:r>
      <w:r>
        <w:rPr>
          <w:rFonts w:eastAsia="Arial" w:cs="Arial" w:ascii="Arial" w:hAnsi="Arial"/>
          <w:color w:val="000000"/>
          <w:sz w:val="20"/>
          <w:szCs w:val="20"/>
        </w:rPr>
        <w:t>por igual período, por solicitação justificada do adjudicatário e aceita pela Administração.</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O Aceite da Nota de Empenho ou do instrumento equivalente, emitida à empresa adjudicada, implica no reconhecimento de que:</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referida Nota está substituindo o contrato, aplicando-se à relação de negócios ali estabelecida as disposições da Lei nº 14.133, de 2021;</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 contratada se vincula à sua proposta e às previsões contidas no Aviso de Contratação Direta e seu anexo;</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 contratada reconhece que as hipóteses de rescisão são aquelas previstas nos artigos 137 e 138 da Lei nº 14.133/21 e reconhece os direitos da Administração previstos nos artigos 137 a 139 da mesma Lei.</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O prazo de vigência da contratação é de </w:t>
      </w:r>
      <w:r>
        <w:rPr>
          <w:rFonts w:eastAsia="Arial" w:cs="Arial" w:ascii="Arial" w:hAnsi="Arial"/>
          <w:sz w:val="20"/>
          <w:szCs w:val="20"/>
        </w:rPr>
        <w:t>180 (cento e oitenta) dias,</w:t>
      </w:r>
      <w:r>
        <w:rPr>
          <w:rFonts w:eastAsia="Arial" w:cs="Arial" w:ascii="Arial" w:hAnsi="Arial"/>
          <w:color w:val="FF0000"/>
          <w:sz w:val="20"/>
          <w:szCs w:val="20"/>
        </w:rPr>
        <w:t xml:space="preserve"> </w:t>
      </w:r>
      <w:r>
        <w:rPr>
          <w:rFonts w:eastAsia="Arial" w:cs="Arial" w:ascii="Arial" w:hAnsi="Arial"/>
          <w:color w:val="000000"/>
          <w:sz w:val="20"/>
          <w:szCs w:val="20"/>
        </w:rPr>
        <w:t xml:space="preserve">prorrogável conforme previsão no anexo a este Aviso de Contratação Direta. </w:t>
      </w:r>
    </w:p>
    <w:p>
      <w:pPr>
        <w:pStyle w:val="ListParagraph"/>
        <w:numPr>
          <w:ilvl w:val="1"/>
          <w:numId w:val="3"/>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Na emissão da Nota de Empenho será exigida a comprovação das condições de habilitação e contratação consignadas neste aviso, que deverão ser mantidas pelo fornecedor durante a vigência do contrato.</w:t>
      </w:r>
    </w:p>
    <w:p>
      <w:pPr>
        <w:pStyle w:val="ListParagraph"/>
        <w:numPr>
          <w:ilvl w:val="0"/>
          <w:numId w:val="3"/>
        </w:numPr>
        <w:spacing w:lineRule="auto" w:line="276" w:before="480" w:after="120"/>
        <w:ind w:left="357" w:hanging="357"/>
        <w:contextualSpacing/>
        <w:jc w:val="both"/>
        <w:rPr>
          <w:rFonts w:ascii="Arial" w:hAnsi="Arial" w:eastAsia="Arial" w:cs="Arial"/>
          <w:b/>
          <w:b/>
          <w:sz w:val="20"/>
          <w:szCs w:val="20"/>
        </w:rPr>
      </w:pPr>
      <w:r>
        <w:rPr>
          <w:rFonts w:eastAsia="Arial" w:cs="Arial" w:ascii="Arial" w:hAnsi="Arial"/>
          <w:b/>
          <w:sz w:val="20"/>
          <w:szCs w:val="20"/>
        </w:rPr>
        <w:t>SANÇÕES</w:t>
      </w:r>
    </w:p>
    <w:p>
      <w:pPr>
        <w:pStyle w:val="ListParagraph"/>
        <w:numPr>
          <w:ilvl w:val="1"/>
          <w:numId w:val="3"/>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 xml:space="preserve">Comete infração administrativa o fornecedor que cometer quaisquer das infrações previstas no art. 155 da Lei nº 14.133, de 2021, quais sejam: </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color w:val="000000"/>
          <w:sz w:val="20"/>
          <w:szCs w:val="20"/>
        </w:rPr>
        <w:t>dar causa à inexecução parcial do contrato</w:t>
      </w:r>
      <w:r>
        <w:rPr>
          <w:rFonts w:eastAsia="Arial" w:cs="Arial" w:ascii="Arial" w:hAnsi="Arial"/>
          <w:sz w:val="20"/>
          <w:szCs w:val="20"/>
        </w:rPr>
        <w:t>;</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dar causa à inexecução parcial do contrato que cause grave dano à Administração, ao funcionamento dos serviços públicos ou ao interesse coletivo;</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dar causa à inexecução total do contrato;</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deixar de entregar a documentação exigida para o certame;</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não manter a proposta, salvo em decorrência de fato superveniente devidamente justificado;</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não celebrar o contrato ou não entregar a documentação exigida para a contratação, quando convocado dentro do prazo de validade de sua proposta;</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ensejar o retardamento da execução ou da entrega do objeto da licitação sem motivo justificado;</w:t>
      </w:r>
    </w:p>
    <w:p>
      <w:pPr>
        <w:pStyle w:val="ListParagraph"/>
        <w:numPr>
          <w:ilvl w:val="2"/>
          <w:numId w:val="3"/>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apresentar declaração ou documentação falsa exigida para o certame ou prestar declaração falsa durante a dispensa eletrônica ou a execução do contrato;</w:t>
      </w:r>
    </w:p>
    <w:p>
      <w:pPr>
        <w:pStyle w:val="ListParagraph"/>
        <w:numPr>
          <w:ilvl w:val="2"/>
          <w:numId w:val="5"/>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fraudar a dispensa eletrônica ou praticar ato fraudulento na execução do contrato;</w:t>
      </w:r>
    </w:p>
    <w:p>
      <w:pPr>
        <w:pStyle w:val="ListParagraph"/>
        <w:numPr>
          <w:ilvl w:val="2"/>
          <w:numId w:val="5"/>
        </w:numPr>
        <w:tabs>
          <w:tab w:val="clear" w:pos="708"/>
          <w:tab w:val="left" w:pos="993"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comportar-se de modo inidôneo ou cometer fraude de qualquer natureza;</w:t>
      </w:r>
    </w:p>
    <w:p>
      <w:pPr>
        <w:pStyle w:val="ListParagraph"/>
        <w:numPr>
          <w:ilvl w:val="3"/>
          <w:numId w:val="5"/>
        </w:numPr>
        <w:spacing w:lineRule="auto" w:line="276" w:before="120" w:after="120"/>
        <w:ind w:left="567" w:hanging="0"/>
        <w:contextualSpacing/>
        <w:jc w:val="both"/>
        <w:rPr>
          <w:rFonts w:ascii="Arial" w:hAnsi="Arial" w:eastAsia="Arial" w:cs="Arial"/>
          <w:sz w:val="20"/>
          <w:szCs w:val="20"/>
        </w:rPr>
      </w:pPr>
      <w:r>
        <w:rPr>
          <w:rFonts w:eastAsia="Arial" w:cs="Arial" w:ascii="Arial" w:hAnsi="Arial"/>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ListParagraph"/>
        <w:numPr>
          <w:ilvl w:val="2"/>
          <w:numId w:val="5"/>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praticar atos ilícitos com vistas a frustrar os objetivos deste certame.</w:t>
      </w:r>
    </w:p>
    <w:p>
      <w:pPr>
        <w:pStyle w:val="ListParagraph"/>
        <w:numPr>
          <w:ilvl w:val="2"/>
          <w:numId w:val="5"/>
        </w:numPr>
        <w:spacing w:lineRule="auto" w:line="276" w:before="120" w:after="120"/>
        <w:contextualSpacing/>
        <w:jc w:val="both"/>
        <w:rPr>
          <w:rFonts w:ascii="Arial" w:hAnsi="Arial" w:eastAsia="Calibri" w:cs="Arial"/>
          <w:sz w:val="20"/>
          <w:szCs w:val="20"/>
        </w:rPr>
      </w:pPr>
      <w:r>
        <w:rPr>
          <w:rFonts w:eastAsia="Arial" w:cs="Arial" w:ascii="Arial" w:hAnsi="Arial"/>
          <w:color w:val="000000"/>
          <w:sz w:val="20"/>
          <w:szCs w:val="20"/>
        </w:rPr>
        <w:t>praticar ato lesivo previsto no </w:t>
      </w:r>
      <w:r>
        <w:fldChar w:fldCharType="begin"/>
      </w:r>
      <w:r>
        <w:rPr>
          <w:sz w:val="20"/>
          <w:szCs w:val="20"/>
          <w:rFonts w:eastAsia="Arial" w:cs="Arial" w:ascii="Arial" w:hAnsi="Arial"/>
          <w:color w:val="000000"/>
        </w:rPr>
        <w:instrText> HYPERLINK "http://www.planalto.gov.br/ccivil_03/_Ato2011-2014/2013/Lei/L12846.htm" \l "art5"</w:instrText>
      </w:r>
      <w:r>
        <w:rPr>
          <w:sz w:val="20"/>
          <w:szCs w:val="20"/>
          <w:rFonts w:eastAsia="Arial" w:cs="Arial" w:ascii="Arial" w:hAnsi="Arial"/>
          <w:color w:val="000000"/>
        </w:rPr>
        <w:fldChar w:fldCharType="separate"/>
      </w:r>
      <w:r>
        <w:rPr>
          <w:rFonts w:eastAsia="Arial" w:cs="Arial" w:ascii="Arial" w:hAnsi="Arial"/>
          <w:color w:val="000000"/>
          <w:sz w:val="20"/>
          <w:szCs w:val="20"/>
        </w:rPr>
        <w:t>art. 5º da Lei nº 12.846, de 1º de agosto de 2013.</w:t>
      </w:r>
      <w:r>
        <w:rPr>
          <w:sz w:val="20"/>
          <w:szCs w:val="20"/>
          <w:rFonts w:eastAsia="Arial" w:cs="Arial" w:ascii="Arial" w:hAnsi="Arial"/>
          <w:color w:val="000000"/>
        </w:rPr>
        <w:fldChar w:fldCharType="end"/>
      </w:r>
    </w:p>
    <w:p>
      <w:pPr>
        <w:pStyle w:val="ListParagraph"/>
        <w:numPr>
          <w:ilvl w:val="1"/>
          <w:numId w:val="5"/>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O fornecedor que cometer qualquer das infrações discriminadas nos subitens anteriores ficará sujeito, sem prejuízo da responsabilidade civil e criminal, às seguintes sanções:</w:t>
      </w:r>
    </w:p>
    <w:p>
      <w:pPr>
        <w:pStyle w:val="ListParagraph"/>
        <w:numPr>
          <w:ilvl w:val="0"/>
          <w:numId w:val="6"/>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Advertência pela falta do subitem 8.1.1 deste Aviso de Contratação Direta, quando não se justificar a imposição de penalidade mais grave;</w:t>
      </w:r>
    </w:p>
    <w:p>
      <w:pPr>
        <w:pStyle w:val="ListParagraph"/>
        <w:numPr>
          <w:ilvl w:val="0"/>
          <w:numId w:val="6"/>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Multa de 15 % (quinze por cento)</w:t>
      </w:r>
      <w:r>
        <w:rPr>
          <w:rFonts w:eastAsia="Arial" w:cs="Arial" w:ascii="Arial" w:hAnsi="Arial"/>
          <w:color w:val="FF0000"/>
          <w:sz w:val="20"/>
          <w:szCs w:val="20"/>
        </w:rPr>
        <w:t xml:space="preserve"> </w:t>
      </w:r>
      <w:r>
        <w:rPr>
          <w:rFonts w:eastAsia="Arial" w:cs="Arial" w:ascii="Arial" w:hAnsi="Arial"/>
          <w:sz w:val="20"/>
          <w:szCs w:val="20"/>
        </w:rPr>
        <w:t>sobre o valor estimado do(s) item(s) prejudicado(s) pela conduta do fornecedor, por qualquer das infrações dos subitens 8.1.1 a 8.1.12;</w:t>
      </w:r>
    </w:p>
    <w:p>
      <w:pPr>
        <w:pStyle w:val="Normal"/>
        <w:numPr>
          <w:ilvl w:val="0"/>
          <w:numId w:val="6"/>
        </w:numPr>
        <w:spacing w:lineRule="auto" w:line="276" w:before="120" w:after="120"/>
        <w:jc w:val="both"/>
        <w:rPr>
          <w:rFonts w:ascii="Arial" w:hAnsi="Arial" w:eastAsia="Arial" w:cs="Arial"/>
          <w:sz w:val="20"/>
          <w:szCs w:val="20"/>
        </w:rPr>
      </w:pPr>
      <w:r>
        <w:rPr>
          <w:rFonts w:eastAsia="Arial" w:cs="Arial" w:ascii="Arial" w:hAnsi="Arial"/>
          <w:color w:val="000000"/>
          <w:sz w:val="20"/>
          <w:szCs w:val="20"/>
        </w:rPr>
        <w:t>Impedimento de licitar e contratar</w:t>
      </w:r>
      <w:r>
        <w:rPr>
          <w:rFonts w:eastAsia="Arial" w:cs="Arial" w:ascii="Arial" w:hAnsi="Arial"/>
          <w:sz w:val="20"/>
          <w:szCs w:val="20"/>
        </w:rPr>
        <w:t xml:space="preserve"> </w:t>
      </w:r>
      <w:r>
        <w:rPr>
          <w:rFonts w:eastAsia="Arial" w:cs="Arial" w:ascii="Arial" w:hAnsi="Arial"/>
          <w:color w:val="000000"/>
          <w:sz w:val="2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eastAsia="Arial" w:cs="Arial" w:ascii="Arial" w:hAnsi="Arial"/>
          <w:sz w:val="20"/>
          <w:szCs w:val="20"/>
        </w:rPr>
        <w:t>;</w:t>
      </w:r>
    </w:p>
    <w:p>
      <w:pPr>
        <w:pStyle w:val="Normal"/>
        <w:numPr>
          <w:ilvl w:val="0"/>
          <w:numId w:val="6"/>
        </w:numPr>
        <w:spacing w:lineRule="auto" w:line="276" w:before="120" w:after="120"/>
        <w:jc w:val="both"/>
        <w:rPr>
          <w:rFonts w:ascii="Arial" w:hAnsi="Arial" w:eastAsia="Arial" w:cs="Arial"/>
          <w:sz w:val="20"/>
          <w:szCs w:val="20"/>
        </w:rPr>
      </w:pPr>
      <w:r>
        <w:rPr>
          <w:rFonts w:eastAsia="Arial" w:cs="Arial" w:ascii="Arial" w:hAnsi="Arial"/>
          <w:color w:val="000000"/>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eastAsia="Arial" w:cs="Arial" w:ascii="Arial" w:hAnsi="Arial"/>
          <w:sz w:val="20"/>
          <w:szCs w:val="20"/>
        </w:rPr>
        <w:t>;</w:t>
      </w:r>
    </w:p>
    <w:p>
      <w:pPr>
        <w:pStyle w:val="ListParagraph"/>
        <w:numPr>
          <w:ilvl w:val="1"/>
          <w:numId w:val="5"/>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Na aplicação das sanções serão considerados:</w:t>
      </w:r>
    </w:p>
    <w:p>
      <w:pPr>
        <w:pStyle w:val="ListParagraph"/>
        <w:numPr>
          <w:ilvl w:val="2"/>
          <w:numId w:val="7"/>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 natureza e a gravidade da infração cometida;</w:t>
      </w:r>
    </w:p>
    <w:p>
      <w:pPr>
        <w:pStyle w:val="Normal"/>
        <w:spacing w:lineRule="auto" w:line="276" w:before="120" w:after="120"/>
        <w:ind w:left="284" w:hanging="0"/>
        <w:jc w:val="both"/>
        <w:rPr>
          <w:rFonts w:ascii="Arial" w:hAnsi="Arial" w:eastAsia="Arial" w:cs="Arial"/>
          <w:sz w:val="20"/>
          <w:szCs w:val="20"/>
        </w:rPr>
      </w:pPr>
      <w:r>
        <w:rPr>
          <w:rFonts w:eastAsia="Arial" w:cs="Arial" w:ascii="Arial" w:hAnsi="Arial"/>
          <w:b/>
          <w:bCs/>
          <w:sz w:val="20"/>
          <w:szCs w:val="20"/>
        </w:rPr>
        <w:t>8.3.2.</w:t>
      </w:r>
      <w:r>
        <w:rPr>
          <w:rFonts w:eastAsia="Arial" w:cs="Arial" w:ascii="Arial" w:hAnsi="Arial"/>
          <w:sz w:val="20"/>
          <w:szCs w:val="20"/>
        </w:rPr>
        <w:t xml:space="preserve"> as peculiaridades do caso concreto;</w:t>
      </w:r>
    </w:p>
    <w:p>
      <w:pPr>
        <w:pStyle w:val="ListParagraph"/>
        <w:numPr>
          <w:ilvl w:val="2"/>
          <w:numId w:val="7"/>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as circunstâncias agravantes ou atenuantes;</w:t>
      </w:r>
    </w:p>
    <w:p>
      <w:pPr>
        <w:pStyle w:val="ListParagraph"/>
        <w:numPr>
          <w:ilvl w:val="2"/>
          <w:numId w:val="8"/>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os danos que dela provierem para a Administração Pública;</w:t>
      </w:r>
    </w:p>
    <w:p>
      <w:pPr>
        <w:pStyle w:val="ListParagraph"/>
        <w:numPr>
          <w:ilvl w:val="2"/>
          <w:numId w:val="8"/>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 implantação ou o aperfeiçoamento de programa de integridade, conforme normas e orientações dos órgãos de controle.</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aplicação das sanções previstas neste Aviso de Contratação Direta, em hipótese alguma, a obrigação de reparação integral do dano causado à Administração Pública.</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penalidade de multa pode ser aplicada cumulativamente com as demais sanções.</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ListParagraph"/>
        <w:numPr>
          <w:ilvl w:val="1"/>
          <w:numId w:val="8"/>
        </w:numPr>
        <w:tabs>
          <w:tab w:val="clear" w:pos="708"/>
          <w:tab w:val="left" w:pos="567"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ListParagraph"/>
        <w:numPr>
          <w:ilvl w:val="1"/>
          <w:numId w:val="8"/>
        </w:numPr>
        <w:tabs>
          <w:tab w:val="clear" w:pos="708"/>
          <w:tab w:val="left" w:pos="567"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As sanções por atos praticados no decorrer da contratação estão previstas nos anexos a este Aviso.</w:t>
      </w:r>
    </w:p>
    <w:p>
      <w:pPr>
        <w:pStyle w:val="ListParagraph"/>
        <w:numPr>
          <w:ilvl w:val="0"/>
          <w:numId w:val="8"/>
        </w:numPr>
        <w:spacing w:lineRule="auto" w:line="276" w:before="480" w:after="120"/>
        <w:ind w:left="505" w:hanging="505"/>
        <w:contextualSpacing/>
        <w:jc w:val="both"/>
        <w:rPr>
          <w:rFonts w:ascii="Arial" w:hAnsi="Arial" w:eastAsia="Arial" w:cs="Arial"/>
          <w:b/>
          <w:b/>
          <w:sz w:val="20"/>
          <w:szCs w:val="20"/>
        </w:rPr>
      </w:pPr>
      <w:r>
        <w:rPr>
          <w:rFonts w:eastAsia="Arial" w:cs="Arial" w:ascii="Arial" w:hAnsi="Arial"/>
          <w:b/>
          <w:sz w:val="20"/>
          <w:szCs w:val="20"/>
        </w:rPr>
        <w:t>DAS DISPOSIÇÕES GERAIS</w:t>
      </w:r>
    </w:p>
    <w:p>
      <w:pPr>
        <w:pStyle w:val="ListParagraph"/>
        <w:numPr>
          <w:ilvl w:val="1"/>
          <w:numId w:val="9"/>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ListParagraph"/>
        <w:numPr>
          <w:ilvl w:val="1"/>
          <w:numId w:val="9"/>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No caso de todos os fornecedores restarem desclassificados ou inabilitados (procedimento fracassado), a Administração poderá:</w:t>
      </w:r>
    </w:p>
    <w:p>
      <w:pPr>
        <w:pStyle w:val="ListParagraph"/>
        <w:numPr>
          <w:ilvl w:val="2"/>
          <w:numId w:val="9"/>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republicar o presente aviso com uma nova data;</w:t>
      </w:r>
    </w:p>
    <w:p>
      <w:pPr>
        <w:pStyle w:val="ListParagraph"/>
        <w:numPr>
          <w:ilvl w:val="2"/>
          <w:numId w:val="9"/>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ListParagraph"/>
        <w:numPr>
          <w:ilvl w:val="3"/>
          <w:numId w:val="9"/>
        </w:numPr>
        <w:tabs>
          <w:tab w:val="clear" w:pos="708"/>
          <w:tab w:val="left" w:pos="1418" w:leader="none"/>
        </w:tabs>
        <w:spacing w:lineRule="auto" w:line="276" w:before="120" w:after="120"/>
        <w:ind w:left="567" w:hanging="0"/>
        <w:contextualSpacing/>
        <w:jc w:val="both"/>
        <w:rPr>
          <w:rFonts w:ascii="Arial" w:hAnsi="Arial" w:eastAsia="Arial" w:cs="Arial"/>
          <w:color w:val="000000"/>
          <w:sz w:val="20"/>
          <w:szCs w:val="20"/>
        </w:rPr>
      </w:pPr>
      <w:r>
        <w:rPr>
          <w:rFonts w:eastAsia="Arial" w:cs="Arial" w:ascii="Arial" w:hAnsi="Arial"/>
          <w:color w:val="000000"/>
          <w:sz w:val="20"/>
          <w:szCs w:val="20"/>
        </w:rPr>
        <w:t>No caso do subitem anterior, a contratação será operacionalizada fora deste procedimento.</w:t>
      </w:r>
    </w:p>
    <w:p>
      <w:pPr>
        <w:pStyle w:val="ListParagraph"/>
        <w:numPr>
          <w:ilvl w:val="2"/>
          <w:numId w:val="9"/>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fixar prazo para que possa haver adequação das propostas ou da documentação de habilitação, conforme o caso.</w:t>
      </w:r>
    </w:p>
    <w:p>
      <w:pPr>
        <w:pStyle w:val="ListParagraph"/>
        <w:numPr>
          <w:ilvl w:val="1"/>
          <w:numId w:val="9"/>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As providências dos subitens 9.2.1 e 9.2.2 acima poderão ser utilizadas se não houver o comparecimento de quaisquer fornecedores interessados (procedimento deserto)</w:t>
      </w:r>
    </w:p>
    <w:p>
      <w:pPr>
        <w:pStyle w:val="ListParagraph"/>
        <w:numPr>
          <w:ilvl w:val="1"/>
          <w:numId w:val="9"/>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ListParagraph"/>
        <w:numPr>
          <w:ilvl w:val="1"/>
          <w:numId w:val="9"/>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Caberá ao fornecedor acompanhar as operações, ficando responsável pelo ônus decorrente da perda do negócio diante da inobservância de quaisquer mensagens emitidas pela Administração ou de sua desconexão.</w:t>
      </w:r>
    </w:p>
    <w:p>
      <w:pPr>
        <w:pStyle w:val="ListParagraph"/>
        <w:numPr>
          <w:ilvl w:val="1"/>
          <w:numId w:val="9"/>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ListParagraph"/>
        <w:numPr>
          <w:ilvl w:val="1"/>
          <w:numId w:val="9"/>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Os horários estabelecidos na divulgação deste procedimento e durante o envio de lances observarão o horário de Brasília-DF, inclusive para contagem de tempo e registro no Sistema e na documentação relativa ao procedimento.</w:t>
      </w:r>
    </w:p>
    <w:p>
      <w:pPr>
        <w:pStyle w:val="ListParagraph"/>
        <w:numPr>
          <w:ilvl w:val="1"/>
          <w:numId w:val="9"/>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ListParagraph"/>
        <w:numPr>
          <w:ilvl w:val="1"/>
          <w:numId w:val="9"/>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ListParagraph"/>
        <w:numPr>
          <w:ilvl w:val="1"/>
          <w:numId w:val="9"/>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ListParagraph"/>
        <w:numPr>
          <w:ilvl w:val="1"/>
          <w:numId w:val="9"/>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Em caso de divergência entre disposições deste Aviso de Contratação Direta e de seu anexo ou demais peças que compõem o processo, prevalecerá as deste Aviso.</w:t>
      </w:r>
    </w:p>
    <w:p>
      <w:pPr>
        <w:pStyle w:val="ListParagraph"/>
        <w:numPr>
          <w:ilvl w:val="1"/>
          <w:numId w:val="10"/>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Da sessão pública será divulgada Ata no sistema eletrônico.</w:t>
      </w:r>
    </w:p>
    <w:p>
      <w:pPr>
        <w:pStyle w:val="ListParagraph"/>
        <w:numPr>
          <w:ilvl w:val="1"/>
          <w:numId w:val="10"/>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Integram este Aviso de Contratação Direta, para todos os fins e efeitos, o seguinte anexo:</w:t>
      </w:r>
    </w:p>
    <w:p>
      <w:pPr>
        <w:pStyle w:val="ListParagraph"/>
        <w:numPr>
          <w:ilvl w:val="2"/>
          <w:numId w:val="10"/>
        </w:numPr>
        <w:tabs>
          <w:tab w:val="clear" w:pos="708"/>
          <w:tab w:val="left" w:pos="1134" w:leader="none"/>
        </w:tabs>
        <w:spacing w:lineRule="auto" w:line="276" w:before="120" w:after="120"/>
        <w:ind w:left="426" w:hanging="0"/>
        <w:contextualSpacing/>
        <w:jc w:val="both"/>
        <w:rPr>
          <w:rFonts w:ascii="Arial" w:hAnsi="Arial" w:eastAsia="Arial" w:cs="Arial"/>
          <w:color w:val="000000"/>
          <w:sz w:val="20"/>
          <w:szCs w:val="20"/>
        </w:rPr>
      </w:pPr>
      <w:r>
        <w:rPr>
          <w:rFonts w:eastAsia="Arial" w:cs="Arial" w:ascii="Arial" w:hAnsi="Arial"/>
          <w:color w:val="000000"/>
          <w:sz w:val="20"/>
          <w:szCs w:val="20"/>
        </w:rPr>
        <w:t>ANEXO I - Termo de Referência;</w:t>
      </w:r>
    </w:p>
    <w:p>
      <w:pPr>
        <w:pStyle w:val="ListParagraph"/>
        <w:tabs>
          <w:tab w:val="clear" w:pos="708"/>
          <w:tab w:val="left" w:pos="1134" w:leader="none"/>
        </w:tabs>
        <w:spacing w:lineRule="auto" w:line="276" w:before="120" w:after="120"/>
        <w:ind w:left="426" w:hanging="0"/>
        <w:contextualSpacing/>
        <w:jc w:val="both"/>
        <w:rPr>
          <w:rFonts w:ascii="Arial" w:hAnsi="Arial" w:eastAsia="Arial" w:cs="Arial"/>
          <w:color w:val="000000"/>
          <w:sz w:val="20"/>
          <w:szCs w:val="20"/>
        </w:rPr>
      </w:pPr>
      <w:r>
        <w:rPr>
          <w:rFonts w:eastAsia="Arial" w:cs="Arial" w:ascii="Arial" w:hAnsi="Arial"/>
          <w:color w:val="000000"/>
          <w:sz w:val="20"/>
          <w:szCs w:val="20"/>
        </w:rPr>
      </w:r>
    </w:p>
    <w:p>
      <w:pPr>
        <w:pStyle w:val="Standard"/>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t xml:space="preserve">Macapá-AP, </w:t>
      </w:r>
      <w:r>
        <w:rPr>
          <w:rFonts w:eastAsia="Times New Roman" w:cs="Times New Roman" w:ascii="Times New Roman" w:hAnsi="Times New Roman"/>
          <w:color w:val="00000A"/>
          <w:kern w:val="2"/>
          <w:sz w:val="22"/>
          <w:szCs w:val="22"/>
          <w:lang w:val="pt-BR" w:eastAsia="zh-CN" w:bidi="hi-IN"/>
        </w:rPr>
        <w:t>21</w:t>
      </w:r>
      <w:r>
        <w:rPr>
          <w:rFonts w:eastAsia="Times New Roman" w:cs="Times New Roman" w:ascii="Times New Roman" w:hAnsi="Times New Roman"/>
          <w:sz w:val="22"/>
          <w:szCs w:val="22"/>
        </w:rPr>
        <w:t xml:space="preserve"> de setembro de 2022.</w:t>
      </w:r>
    </w:p>
    <w:p>
      <w:pPr>
        <w:pStyle w:val="Standard"/>
        <w:tabs>
          <w:tab w:val="clear" w:pos="708"/>
          <w:tab w:val="left" w:pos="426" w:leader="none"/>
          <w:tab w:val="left" w:pos="851" w:leader="none"/>
        </w:tabs>
        <w:spacing w:lineRule="auto" w:line="360"/>
        <w:jc w:val="center"/>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r>
    </w:p>
    <w:p>
      <w:pPr>
        <w:pStyle w:val="Standard"/>
        <w:tabs>
          <w:tab w:val="clear" w:pos="708"/>
          <w:tab w:val="left" w:pos="2705" w:leader="none"/>
          <w:tab w:val="left" w:pos="3272" w:leader="none"/>
        </w:tabs>
        <w:ind w:left="1854" w:hanging="0"/>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2705" w:leader="none"/>
          <w:tab w:val="left" w:pos="3272" w:leader="none"/>
        </w:tabs>
        <w:ind w:left="1854" w:hanging="0"/>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2705" w:leader="none"/>
          <w:tab w:val="left" w:pos="3272" w:leader="none"/>
        </w:tabs>
        <w:ind w:left="1854" w:hanging="0"/>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1830" w:leader="none"/>
        </w:tabs>
        <w:ind w:firstLine="5"/>
        <w:jc w:val="center"/>
        <w:rPr>
          <w:rFonts w:ascii="Times New Roman" w:hAnsi="Times New Roman" w:eastAsia="Times New Roman" w:cs="Times New Roman"/>
          <w:b/>
          <w:b/>
          <w:bCs/>
          <w:sz w:val="22"/>
          <w:szCs w:val="22"/>
        </w:rPr>
      </w:pPr>
      <w:r>
        <w:rPr>
          <w:rFonts w:eastAsia="Times New Roman" w:cs="Times New Roman" w:ascii="Times New Roman" w:hAnsi="Times New Roman"/>
          <w:b/>
          <w:bCs/>
          <w:sz w:val="22"/>
          <w:szCs w:val="22"/>
        </w:rPr>
        <w:t>GABRIEL ROCHA MAZZALI – Cap</w:t>
      </w:r>
    </w:p>
    <w:p>
      <w:pPr>
        <w:pStyle w:val="Standard"/>
        <w:tabs>
          <w:tab w:val="clear" w:pos="708"/>
          <w:tab w:val="left" w:pos="1830" w:leader="none"/>
        </w:tabs>
        <w:spacing w:lineRule="auto" w:line="276" w:before="120" w:after="120"/>
        <w:ind w:firstLine="5"/>
        <w:jc w:val="center"/>
        <w:rPr>
          <w:rFonts w:ascii="Times New Roman" w:hAnsi="Times New Roman" w:eastAsia="Times New Roman" w:cs="Times New Roman"/>
          <w:sz w:val="22"/>
          <w:szCs w:val="22"/>
        </w:rPr>
      </w:pPr>
      <w:r>
        <w:rPr>
          <w:rFonts w:eastAsia="Times New Roman" w:cs="Times New Roman" w:ascii="Times New Roman" w:hAnsi="Times New Roman"/>
          <w:color w:val="000000"/>
          <w:sz w:val="22"/>
          <w:szCs w:val="22"/>
        </w:rPr>
        <w:t>Chefe da SALC da 22ª Bda Inf Sl</w:t>
      </w:r>
    </w:p>
    <w:p>
      <w:pPr>
        <w:pStyle w:val="Standard"/>
        <w:tabs>
          <w:tab w:val="clear" w:pos="708"/>
          <w:tab w:val="left" w:pos="1830" w:leader="none"/>
        </w:tabs>
        <w:spacing w:lineRule="auto" w:line="276" w:before="120" w:after="120"/>
        <w:ind w:firstLine="5"/>
        <w:rPr>
          <w:rFonts w:ascii="Times New Roman" w:hAnsi="Times New Roman" w:eastAsia="Times New Roman" w:cs="Times New Roman"/>
          <w:sz w:val="22"/>
          <w:szCs w:val="22"/>
        </w:rPr>
      </w:pPr>
      <w:r>
        <w:rPr/>
        <w:t>Autorizo:</w:t>
      </w:r>
    </w:p>
    <w:p>
      <w:pPr>
        <w:pStyle w:val="Standard"/>
        <w:tabs>
          <w:tab w:val="clear" w:pos="708"/>
          <w:tab w:val="left" w:pos="1830" w:leader="none"/>
        </w:tabs>
        <w:spacing w:lineRule="auto" w:line="276" w:before="120" w:after="120"/>
        <w:ind w:firstLine="5"/>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t xml:space="preserve">Macapá-AP, </w:t>
      </w:r>
      <w:r>
        <w:rPr>
          <w:rFonts w:eastAsia="Times New Roman" w:cs="Times New Roman" w:ascii="Times New Roman" w:hAnsi="Times New Roman"/>
          <w:color w:val="00000A"/>
          <w:kern w:val="2"/>
          <w:sz w:val="22"/>
          <w:szCs w:val="22"/>
          <w:lang w:val="pt-BR" w:eastAsia="zh-CN" w:bidi="hi-IN"/>
        </w:rPr>
        <w:t>21</w:t>
      </w:r>
      <w:r>
        <w:rPr>
          <w:rFonts w:eastAsia="Times New Roman" w:cs="Times New Roman" w:ascii="Times New Roman" w:hAnsi="Times New Roman"/>
          <w:sz w:val="22"/>
          <w:szCs w:val="22"/>
        </w:rPr>
        <w:t xml:space="preserve"> de setembro de 2022.</w:t>
      </w:r>
    </w:p>
    <w:p>
      <w:pPr>
        <w:pStyle w:val="Standard"/>
        <w:tabs>
          <w:tab w:val="clear" w:pos="708"/>
          <w:tab w:val="left" w:pos="369" w:leader="none"/>
          <w:tab w:val="left" w:pos="794" w:leader="none"/>
        </w:tabs>
        <w:spacing w:lineRule="auto" w:line="360"/>
        <w:ind w:left="-57" w:hanging="0"/>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369" w:leader="none"/>
          <w:tab w:val="left" w:pos="794" w:leader="none"/>
        </w:tabs>
        <w:spacing w:lineRule="auto" w:line="360"/>
        <w:ind w:left="-57" w:hanging="0"/>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369" w:leader="none"/>
          <w:tab w:val="left" w:pos="794" w:leader="none"/>
        </w:tabs>
        <w:spacing w:lineRule="auto" w:line="360"/>
        <w:ind w:left="-57" w:hanging="0"/>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2705" w:leader="none"/>
          <w:tab w:val="left" w:pos="3272" w:leader="none"/>
        </w:tabs>
        <w:ind w:left="1854" w:hanging="0"/>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1830" w:leader="none"/>
        </w:tabs>
        <w:ind w:firstLine="5"/>
        <w:jc w:val="center"/>
        <w:rPr>
          <w:rFonts w:ascii="Times New Roman" w:hAnsi="Times New Roman" w:eastAsia="Times New Roman" w:cs="Times New Roman"/>
          <w:b/>
          <w:b/>
          <w:bCs/>
          <w:sz w:val="22"/>
          <w:szCs w:val="22"/>
        </w:rPr>
      </w:pPr>
      <w:r>
        <w:rPr>
          <w:rFonts w:eastAsia="Times New Roman" w:cs="Times New Roman" w:ascii="Times New Roman" w:hAnsi="Times New Roman"/>
          <w:b/>
          <w:bCs/>
          <w:sz w:val="22"/>
          <w:szCs w:val="22"/>
        </w:rPr>
        <w:t>ÁLISSON FRAUCHES DE ALMEIDA – TC</w:t>
      </w:r>
    </w:p>
    <w:p>
      <w:pPr>
        <w:pStyle w:val="Standard"/>
        <w:tabs>
          <w:tab w:val="clear" w:pos="708"/>
          <w:tab w:val="left" w:pos="1830" w:leader="none"/>
        </w:tabs>
        <w:spacing w:lineRule="auto" w:line="276" w:before="120" w:after="120"/>
        <w:ind w:firstLine="5"/>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t>Ordenador de Despesas da 22ª Bda Inf Sl</w:t>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jc w:val="center"/>
        <w:rPr/>
      </w:pPr>
      <w:r>
        <w:rPr>
          <w:rFonts w:eastAsia="Times New Roman" w:cs="Times New Roman" w:ascii="Times New Roman" w:hAnsi="Times New Roman"/>
          <w:b/>
          <w:bCs/>
          <w:sz w:val="22"/>
          <w:szCs w:val="22"/>
        </w:rPr>
        <w:t>Anexo I - TERMO DE REFERÊNCIA</w:t>
      </w:r>
    </w:p>
    <w:p>
      <w:pPr>
        <w:pStyle w:val="Normal"/>
        <w:jc w:val="center"/>
        <w:rPr/>
      </w:pPr>
      <w:r>
        <w:rPr>
          <w:rStyle w:val="Fontepargpadro1"/>
          <w:rFonts w:eastAsia="Times New Roman" w:cs="Times New Roman" w:ascii="Times New Roman" w:hAnsi="Times New Roman"/>
          <w:b/>
          <w:bCs/>
          <w:sz w:val="22"/>
          <w:szCs w:val="22"/>
          <w:shd w:fill="FFFFFF" w:val="clear"/>
        </w:rPr>
        <w:t xml:space="preserve">NUP: </w:t>
      </w:r>
      <w:r>
        <w:rPr>
          <w:rStyle w:val="Fontepargpadro1"/>
          <w:rFonts w:eastAsia="WenQuanYi Micro Hei;Times New Roman" w:cs="Times New Roman" w:ascii="Times New Roman" w:hAnsi="Times New Roman"/>
          <w:b/>
          <w:bCs/>
          <w:iCs/>
          <w:color w:val="000000"/>
          <w:sz w:val="22"/>
          <w:szCs w:val="22"/>
          <w:shd w:fill="FFFFFF" w:val="clear"/>
          <w:lang w:eastAsia="en-US"/>
        </w:rPr>
        <w:t>65407.021</w:t>
      </w:r>
      <w:r>
        <w:rPr>
          <w:rStyle w:val="Fontepargpadro1"/>
          <w:rFonts w:eastAsia="WenQuanYi Micro Hei;Times New Roman" w:cs="Times New Roman" w:ascii="Times New Roman" w:hAnsi="Times New Roman"/>
          <w:b/>
          <w:bCs/>
          <w:iCs/>
          <w:color w:val="000000"/>
          <w:sz w:val="22"/>
          <w:szCs w:val="22"/>
          <w:shd w:fill="FFFFFF" w:val="clear"/>
          <w:lang w:eastAsia="en-US"/>
        </w:rPr>
        <w:t>611</w:t>
      </w:r>
      <w:r>
        <w:rPr>
          <w:rStyle w:val="Fontepargpadro1"/>
          <w:rFonts w:eastAsia="WenQuanYi Micro Hei;Times New Roman" w:cs="Times New Roman" w:ascii="Times New Roman" w:hAnsi="Times New Roman"/>
          <w:b/>
          <w:bCs/>
          <w:iCs/>
          <w:color w:val="000000"/>
          <w:sz w:val="22"/>
          <w:szCs w:val="22"/>
          <w:shd w:fill="FFFFFF" w:val="clear"/>
          <w:lang w:eastAsia="en-US"/>
        </w:rPr>
        <w:t>/2022-88</w:t>
      </w:r>
    </w:p>
    <w:p>
      <w:pPr>
        <w:pStyle w:val="Normal"/>
        <w:rPr>
          <w:rFonts w:ascii="Times New Roman" w:hAnsi="Times New Roman" w:eastAsia="Times New Roman" w:cs="Times New Roman"/>
          <w:b/>
          <w:b/>
          <w:bCs/>
          <w:color w:val="00000A"/>
          <w:sz w:val="22"/>
          <w:szCs w:val="22"/>
          <w:highlight w:val="white"/>
        </w:rPr>
      </w:pPr>
      <w:r>
        <w:rPr>
          <w:rFonts w:eastAsia="Times New Roman" w:cs="Times New Roman" w:ascii="Times New Roman" w:hAnsi="Times New Roman"/>
          <w:b/>
          <w:bCs/>
          <w:color w:val="00000A"/>
          <w:sz w:val="22"/>
          <w:szCs w:val="22"/>
          <w:highlight w:val="white"/>
        </w:rPr>
      </w:r>
    </w:p>
    <w:p>
      <w:pPr>
        <w:pStyle w:val="Standard"/>
        <w:spacing w:lineRule="auto" w:line="360"/>
        <w:rPr/>
      </w:pPr>
      <w:r>
        <w:rPr>
          <w:rStyle w:val="Fontepargpadro1"/>
          <w:rFonts w:eastAsia="Times New Roman" w:cs="Times New Roman" w:ascii="Times New Roman" w:hAnsi="Times New Roman"/>
          <w:b/>
          <w:bCs/>
          <w:sz w:val="22"/>
          <w:szCs w:val="22"/>
          <w:shd w:fill="FFFFFF" w:val="clear"/>
          <w:lang w:eastAsia="pt-BR"/>
        </w:rPr>
        <w:t xml:space="preserve">OM: </w:t>
      </w:r>
      <w:r>
        <w:rPr>
          <w:rStyle w:val="Fontepargpadro1"/>
          <w:rFonts w:eastAsia="Times New Roman" w:cs="Times New Roman" w:ascii="Times New Roman" w:hAnsi="Times New Roman"/>
          <w:sz w:val="22"/>
          <w:szCs w:val="22"/>
          <w:lang w:eastAsia="pt-BR"/>
        </w:rPr>
        <w:t>Comando 22ª Brigada de Infantaria de Selva</w:t>
      </w:r>
    </w:p>
    <w:p>
      <w:pPr>
        <w:pStyle w:val="Standard"/>
        <w:snapToGrid w:val="false"/>
        <w:spacing w:lineRule="auto" w:line="360"/>
        <w:rPr/>
      </w:pPr>
      <w:r>
        <w:rPr>
          <w:rStyle w:val="Fontepargpadro1"/>
          <w:rFonts w:eastAsia="Times New Roman" w:cs="Times New Roman" w:ascii="Times New Roman" w:hAnsi="Times New Roman"/>
          <w:b/>
          <w:bCs/>
          <w:sz w:val="22"/>
          <w:szCs w:val="22"/>
          <w:shd w:fill="FFFFFF" w:val="clear"/>
          <w:lang w:eastAsia="pt-BR"/>
        </w:rPr>
        <w:t xml:space="preserve">Setor Requisitante: </w:t>
      </w:r>
      <w:r>
        <w:rPr>
          <w:rStyle w:val="Fontepargpadro1"/>
          <w:rFonts w:eastAsia="Times New Roman" w:cs="Times New Roman" w:ascii="Times New Roman" w:hAnsi="Times New Roman"/>
          <w:b w:val="false"/>
          <w:bCs w:val="false"/>
          <w:sz w:val="22"/>
          <w:szCs w:val="22"/>
          <w:shd w:fill="FFFFFF" w:val="clear"/>
          <w:lang w:eastAsia="pt-BR"/>
        </w:rPr>
        <w:t>STI</w:t>
      </w:r>
      <w:r>
        <w:rPr>
          <w:rStyle w:val="Fontepargpadro1"/>
          <w:rFonts w:eastAsia="Times New Roman" w:cs="Times New Roman" w:ascii="Times New Roman" w:hAnsi="Times New Roman"/>
          <w:sz w:val="22"/>
          <w:szCs w:val="22"/>
          <w:shd w:fill="FFFFFF" w:val="clear"/>
          <w:lang w:eastAsia="pt-BR"/>
        </w:rPr>
        <w:t>/ Cmdo 22ª Bda Inf Sl</w:t>
      </w:r>
    </w:p>
    <w:p>
      <w:pPr>
        <w:pStyle w:val="Standard"/>
        <w:snapToGrid w:val="false"/>
        <w:spacing w:lineRule="auto" w:line="360"/>
        <w:rPr/>
      </w:pPr>
      <w:r>
        <w:rPr>
          <w:rStyle w:val="Fontepargpadro1"/>
          <w:rFonts w:eastAsia="Times New Roman" w:cs="Times New Roman" w:ascii="Times New Roman" w:hAnsi="Times New Roman"/>
          <w:b/>
          <w:bCs/>
          <w:sz w:val="22"/>
          <w:szCs w:val="22"/>
          <w:shd w:fill="FFFFFF" w:val="clear"/>
          <w:lang w:eastAsia="pt-BR"/>
        </w:rPr>
        <w:t xml:space="preserve">Responsável pela Demanda: </w:t>
      </w:r>
      <w:r>
        <w:rPr>
          <w:rStyle w:val="Fontepargpadro1"/>
          <w:rFonts w:eastAsia="Times New Roman" w:cs="Times New Roman" w:ascii="Times New Roman" w:hAnsi="Times New Roman"/>
          <w:b w:val="false"/>
          <w:bCs w:val="false"/>
          <w:sz w:val="22"/>
          <w:szCs w:val="22"/>
          <w:shd w:fill="FFFFFF" w:val="clear"/>
          <w:lang w:eastAsia="pt-BR"/>
        </w:rPr>
        <w:t>2º</w:t>
      </w:r>
      <w:r>
        <w:rPr>
          <w:rStyle w:val="Fontepargpadro1"/>
          <w:rFonts w:eastAsia="Times New Roman" w:cs="Times New Roman" w:ascii="Times New Roman" w:hAnsi="Times New Roman"/>
          <w:sz w:val="22"/>
          <w:szCs w:val="22"/>
          <w:shd w:fill="FFFFFF" w:val="clear"/>
          <w:lang w:eastAsia="pt-BR"/>
        </w:rPr>
        <w:t xml:space="preserve"> Tenente </w:t>
      </w:r>
      <w:r>
        <w:rPr>
          <w:rStyle w:val="Fontepargpadro1"/>
          <w:rFonts w:eastAsia="Times New Roman" w:cs="Times New Roman" w:ascii="Times New Roman" w:hAnsi="Times New Roman"/>
          <w:b/>
          <w:bCs/>
          <w:sz w:val="22"/>
          <w:szCs w:val="22"/>
          <w:shd w:fill="FFFFFF" w:val="clear"/>
          <w:lang w:eastAsia="pt-BR"/>
        </w:rPr>
        <w:t>S</w:t>
      </w:r>
      <w:r>
        <w:rPr>
          <w:rStyle w:val="Fontepargpadro1"/>
          <w:rFonts w:eastAsia="Times New Roman" w:cs="Times New Roman" w:ascii="Times New Roman" w:hAnsi="Times New Roman"/>
          <w:sz w:val="22"/>
          <w:szCs w:val="22"/>
          <w:shd w:fill="FFFFFF" w:val="clear"/>
          <w:lang w:eastAsia="pt-BR"/>
        </w:rPr>
        <w:t xml:space="preserve">imara </w:t>
      </w:r>
      <w:r>
        <w:rPr>
          <w:rStyle w:val="Fontepargpadro1"/>
          <w:rFonts w:eastAsia="Times New Roman" w:cs="Times New Roman" w:ascii="Times New Roman" w:hAnsi="Times New Roman"/>
          <w:b/>
          <w:bCs/>
          <w:sz w:val="22"/>
          <w:szCs w:val="22"/>
          <w:shd w:fill="FFFFFF" w:val="clear"/>
          <w:lang w:eastAsia="pt-BR"/>
        </w:rPr>
        <w:t>Rocha</w:t>
      </w:r>
      <w:r>
        <w:rPr>
          <w:rStyle w:val="Fontepargpadro1"/>
          <w:rFonts w:eastAsia="Times New Roman" w:cs="Times New Roman" w:ascii="Times New Roman" w:hAnsi="Times New Roman"/>
          <w:sz w:val="22"/>
          <w:szCs w:val="22"/>
          <w:shd w:fill="FFFFFF" w:val="clear"/>
          <w:lang w:eastAsia="pt-BR"/>
        </w:rPr>
        <w:t xml:space="preserve"> de Castro</w:t>
      </w:r>
    </w:p>
    <w:p>
      <w:pPr>
        <w:pStyle w:val="Standard"/>
        <w:snapToGrid w:val="false"/>
        <w:spacing w:lineRule="auto" w:line="360"/>
        <w:rPr/>
      </w:pPr>
      <w:r>
        <w:rPr>
          <w:rStyle w:val="Fontepargpadro1"/>
          <w:rFonts w:eastAsia="Times New Roman" w:cs="Times New Roman" w:ascii="Times New Roman" w:hAnsi="Times New Roman"/>
          <w:b/>
          <w:bCs/>
          <w:color w:val="000000"/>
          <w:sz w:val="22"/>
          <w:szCs w:val="22"/>
        </w:rPr>
        <w:t>CPF</w:t>
      </w:r>
      <w:r>
        <w:rPr>
          <w:rStyle w:val="Fontepargpadro1"/>
          <w:rFonts w:eastAsia="Times New Roman" w:cs="Times New Roman" w:ascii="Times New Roman" w:hAnsi="Times New Roman"/>
          <w:color w:val="000000"/>
          <w:sz w:val="22"/>
          <w:szCs w:val="22"/>
        </w:rPr>
        <w:t>: 810.218.012-91</w:t>
      </w:r>
    </w:p>
    <w:p>
      <w:pPr>
        <w:pStyle w:val="Standard"/>
        <w:snapToGrid w:val="false"/>
        <w:spacing w:lineRule="auto" w:line="360"/>
        <w:jc w:val="both"/>
        <w:rPr/>
      </w:pPr>
      <w:r>
        <w:rPr>
          <w:rStyle w:val="Fontepargpadro1"/>
          <w:rFonts w:eastAsia="Times New Roman" w:cs="Times New Roman" w:ascii="Times New Roman" w:hAnsi="Times New Roman"/>
          <w:b/>
          <w:bCs/>
          <w:sz w:val="22"/>
          <w:szCs w:val="22"/>
          <w:shd w:fill="FFFFFF" w:val="clear"/>
          <w:lang w:eastAsia="pt-BR"/>
        </w:rPr>
        <w:t xml:space="preserve">E-mail: </w:t>
      </w:r>
      <w:r>
        <w:rPr>
          <w:rStyle w:val="Fontepargpadro1"/>
          <w:rFonts w:eastAsia="Times New Roman" w:cs="Times New Roman" w:ascii="Times New Roman" w:hAnsi="Times New Roman"/>
          <w:b w:val="false"/>
          <w:bCs w:val="false"/>
          <w:sz w:val="22"/>
          <w:szCs w:val="22"/>
          <w:shd w:fill="FFFFFF" w:val="clear"/>
          <w:lang w:eastAsia="pt-BR"/>
        </w:rPr>
        <w:t>sti</w:t>
      </w:r>
      <w:r>
        <w:rPr>
          <w:rStyle w:val="Fontepargpadro1"/>
          <w:rFonts w:eastAsia="Times New Roman" w:cs="Times New Roman" w:ascii="Times New Roman" w:hAnsi="Times New Roman"/>
          <w:sz w:val="22"/>
          <w:szCs w:val="22"/>
          <w:shd w:fill="FFFFFF" w:val="clear"/>
          <w:lang w:eastAsia="pt-BR"/>
        </w:rPr>
        <w:t>22bda@gmail.com.br</w:t>
      </w:r>
    </w:p>
    <w:p>
      <w:pPr>
        <w:pStyle w:val="Standard"/>
        <w:snapToGrid w:val="false"/>
        <w:spacing w:lineRule="auto" w:line="360"/>
        <w:jc w:val="both"/>
        <w:rPr/>
      </w:pPr>
      <w:r>
        <w:rPr>
          <w:rStyle w:val="Fontepargpadro1"/>
          <w:rFonts w:eastAsia="Times New Roman" w:cs="Times New Roman" w:ascii="Times New Roman" w:hAnsi="Times New Roman"/>
          <w:b/>
          <w:bCs/>
          <w:sz w:val="22"/>
          <w:szCs w:val="22"/>
          <w:shd w:fill="FFFFFF" w:val="clear"/>
          <w:lang w:eastAsia="pt-BR"/>
        </w:rPr>
        <w:t>Telefone:</w:t>
      </w:r>
      <w:r>
        <w:rPr>
          <w:rStyle w:val="Fontepargpadro1"/>
          <w:rFonts w:eastAsia="Times New Roman" w:cs="Times New Roman" w:ascii="Times New Roman" w:hAnsi="Times New Roman"/>
          <w:sz w:val="22"/>
          <w:szCs w:val="22"/>
          <w:shd w:fill="FFFFFF" w:val="clear"/>
          <w:lang w:eastAsia="pt-BR"/>
        </w:rPr>
        <w:t xml:space="preserve"> (94) 99267-1001</w:t>
      </w:r>
    </w:p>
    <w:p>
      <w:pPr>
        <w:pStyle w:val="Standard"/>
        <w:snapToGrid w:val="false"/>
        <w:spacing w:lineRule="auto" w:line="360"/>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widowControl/>
        <w:tabs>
          <w:tab w:val="clear" w:pos="708"/>
          <w:tab w:val="left" w:pos="283" w:leader="none"/>
        </w:tabs>
        <w:snapToGrid w:val="false"/>
        <w:spacing w:lineRule="auto" w:line="360"/>
        <w:jc w:val="both"/>
        <w:rPr/>
      </w:pPr>
      <w:r>
        <w:rPr>
          <w:rStyle w:val="Fontepargpadro1"/>
          <w:rFonts w:eastAsia="Times New Roman" w:cs="Times New Roman" w:ascii="Times New Roman" w:hAnsi="Times New Roman"/>
          <w:b/>
          <w:bCs/>
          <w:sz w:val="22"/>
          <w:szCs w:val="22"/>
          <w:shd w:fill="FFFFFF" w:val="clear"/>
          <w:lang w:eastAsia="pt-BR"/>
        </w:rPr>
        <w:t>1. OBJETO:</w:t>
      </w:r>
    </w:p>
    <w:tbl>
      <w:tblPr>
        <w:tblW w:w="9917" w:type="dxa"/>
        <w:jc w:val="left"/>
        <w:tblInd w:w="-209" w:type="dxa"/>
        <w:tblLayout w:type="fixed"/>
        <w:tblCellMar>
          <w:top w:w="0" w:type="dxa"/>
          <w:left w:w="5" w:type="dxa"/>
          <w:bottom w:w="0" w:type="dxa"/>
          <w:right w:w="50" w:type="dxa"/>
        </w:tblCellMar>
        <w:tblLook w:val="0000"/>
      </w:tblPr>
      <w:tblGrid>
        <w:gridCol w:w="619"/>
        <w:gridCol w:w="1130"/>
        <w:gridCol w:w="2692"/>
        <w:gridCol w:w="1284"/>
        <w:gridCol w:w="702"/>
        <w:gridCol w:w="858"/>
        <w:gridCol w:w="1132"/>
        <w:gridCol w:w="1498"/>
      </w:tblGrid>
      <w:tr>
        <w:trPr>
          <w:trHeight w:val="570" w:hRule="atLeast"/>
        </w:trPr>
        <w:tc>
          <w:tcPr>
            <w:tcW w:w="61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jc w:val="center"/>
              <w:rPr>
                <w:rFonts w:ascii="Times New Roman" w:hAnsi="Times New Roman" w:eastAsia="Times New Roman" w:cs="Times New Roman"/>
                <w:b/>
                <w:b/>
                <w:bCs/>
                <w:sz w:val="22"/>
                <w:szCs w:val="22"/>
                <w:lang w:eastAsia="pt-BR"/>
              </w:rPr>
            </w:pPr>
            <w:r>
              <w:rPr>
                <w:rFonts w:eastAsia="Times New Roman" w:cs="Times New Roman" w:ascii="Times New Roman" w:hAnsi="Times New Roman"/>
                <w:b/>
                <w:bCs/>
                <w:sz w:val="22"/>
                <w:szCs w:val="22"/>
                <w:lang w:eastAsia="pt-BR"/>
              </w:rPr>
              <w:t>Item</w:t>
            </w:r>
          </w:p>
        </w:tc>
        <w:tc>
          <w:tcPr>
            <w:tcW w:w="11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jc w:val="center"/>
              <w:rPr>
                <w:rFonts w:ascii="Times New Roman" w:hAnsi="Times New Roman" w:eastAsia="Times New Roman" w:cs="Times New Roman"/>
                <w:b/>
                <w:b/>
                <w:bCs/>
                <w:sz w:val="22"/>
                <w:szCs w:val="22"/>
              </w:rPr>
            </w:pPr>
            <w:r>
              <w:rPr>
                <w:rFonts w:eastAsia="Times New Roman" w:cs="Times New Roman" w:ascii="Times New Roman" w:hAnsi="Times New Roman"/>
                <w:b/>
                <w:bCs/>
                <w:sz w:val="22"/>
                <w:szCs w:val="22"/>
              </w:rPr>
              <w:t>ND/ Subitem</w:t>
            </w:r>
          </w:p>
        </w:tc>
        <w:tc>
          <w:tcPr>
            <w:tcW w:w="269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jc w:val="center"/>
              <w:rPr>
                <w:rFonts w:ascii="Times New Roman" w:hAnsi="Times New Roman" w:eastAsia="Times New Roman" w:cs="Times New Roman"/>
                <w:b/>
                <w:b/>
                <w:bCs/>
                <w:sz w:val="22"/>
                <w:szCs w:val="22"/>
                <w:lang w:eastAsia="pt-BR"/>
              </w:rPr>
            </w:pPr>
            <w:r>
              <w:rPr>
                <w:rFonts w:eastAsia="Times New Roman" w:cs="Times New Roman" w:ascii="Times New Roman" w:hAnsi="Times New Roman"/>
                <w:b/>
                <w:bCs/>
                <w:sz w:val="22"/>
                <w:szCs w:val="22"/>
                <w:lang w:eastAsia="pt-BR"/>
              </w:rPr>
              <w:t>Especificação do Objeto</w:t>
            </w:r>
          </w:p>
        </w:tc>
        <w:tc>
          <w:tcPr>
            <w:tcW w:w="128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jc w:val="center"/>
              <w:rPr>
                <w:rFonts w:ascii="Times New Roman" w:hAnsi="Times New Roman" w:eastAsia="Times New Roman" w:cs="Times New Roman"/>
                <w:b/>
                <w:b/>
                <w:bCs/>
                <w:sz w:val="22"/>
                <w:szCs w:val="22"/>
              </w:rPr>
            </w:pPr>
            <w:r>
              <w:rPr>
                <w:rFonts w:eastAsia="Times New Roman" w:cs="Times New Roman" w:ascii="Times New Roman" w:hAnsi="Times New Roman"/>
                <w:b/>
                <w:bCs/>
                <w:sz w:val="22"/>
                <w:szCs w:val="22"/>
              </w:rPr>
              <w:t>CATSER</w:t>
            </w:r>
          </w:p>
        </w:tc>
        <w:tc>
          <w:tcPr>
            <w:tcW w:w="70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jc w:val="center"/>
              <w:rPr>
                <w:rFonts w:ascii="Times New Roman" w:hAnsi="Times New Roman" w:eastAsia="Times New Roman" w:cs="Times New Roman"/>
                <w:b/>
                <w:b/>
                <w:bCs/>
                <w:sz w:val="22"/>
                <w:szCs w:val="22"/>
                <w:lang w:eastAsia="pt-BR"/>
              </w:rPr>
            </w:pPr>
            <w:r>
              <w:rPr>
                <w:rFonts w:eastAsia="Times New Roman" w:cs="Times New Roman" w:ascii="Times New Roman" w:hAnsi="Times New Roman"/>
                <w:b/>
                <w:bCs/>
                <w:sz w:val="22"/>
                <w:szCs w:val="22"/>
                <w:lang w:eastAsia="pt-BR"/>
              </w:rPr>
              <w:t>Unid</w:t>
            </w:r>
          </w:p>
        </w:tc>
        <w:tc>
          <w:tcPr>
            <w:tcW w:w="858"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jc w:val="center"/>
              <w:rPr>
                <w:rFonts w:ascii="Times New Roman" w:hAnsi="Times New Roman" w:eastAsia="Times New Roman" w:cs="Times New Roman"/>
                <w:b/>
                <w:b/>
                <w:bCs/>
                <w:sz w:val="22"/>
                <w:szCs w:val="22"/>
                <w:lang w:eastAsia="pt-BR"/>
              </w:rPr>
            </w:pPr>
            <w:r>
              <w:rPr>
                <w:rFonts w:eastAsia="Times New Roman" w:cs="Times New Roman" w:ascii="Times New Roman" w:hAnsi="Times New Roman"/>
                <w:b/>
                <w:bCs/>
                <w:sz w:val="22"/>
                <w:szCs w:val="22"/>
                <w:lang w:eastAsia="pt-BR"/>
              </w:rPr>
              <w:t>Qtd</w:t>
            </w:r>
          </w:p>
        </w:tc>
        <w:tc>
          <w:tcPr>
            <w:tcW w:w="113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jc w:val="center"/>
              <w:rPr>
                <w:rFonts w:ascii="Times New Roman" w:hAnsi="Times New Roman" w:eastAsia="Times New Roman" w:cs="Times New Roman"/>
                <w:b/>
                <w:b/>
                <w:bCs/>
                <w:sz w:val="22"/>
                <w:szCs w:val="22"/>
                <w:lang w:eastAsia="pt-BR"/>
              </w:rPr>
            </w:pPr>
            <w:r>
              <w:rPr>
                <w:rFonts w:eastAsia="Times New Roman" w:cs="Times New Roman" w:ascii="Times New Roman" w:hAnsi="Times New Roman"/>
                <w:b/>
                <w:bCs/>
                <w:sz w:val="22"/>
                <w:szCs w:val="22"/>
                <w:lang w:eastAsia="pt-BR"/>
              </w:rPr>
              <w:t>Valor Unitário Máximo</w:t>
            </w:r>
          </w:p>
        </w:tc>
        <w:tc>
          <w:tcPr>
            <w:tcW w:w="1498"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jc w:val="center"/>
              <w:rPr>
                <w:rFonts w:ascii="Times New Roman" w:hAnsi="Times New Roman" w:eastAsia="Times New Roman" w:cs="Times New Roman"/>
                <w:b/>
                <w:b/>
                <w:bCs/>
                <w:sz w:val="22"/>
                <w:szCs w:val="22"/>
                <w:lang w:eastAsia="pt-BR"/>
              </w:rPr>
            </w:pPr>
            <w:r>
              <w:rPr>
                <w:rFonts w:eastAsia="Times New Roman" w:cs="Times New Roman" w:ascii="Times New Roman" w:hAnsi="Times New Roman"/>
                <w:b/>
                <w:bCs/>
                <w:sz w:val="22"/>
                <w:szCs w:val="22"/>
                <w:lang w:eastAsia="pt-BR"/>
              </w:rPr>
              <w:t>Valor Total Máximo (R$)</w:t>
            </w:r>
          </w:p>
        </w:tc>
      </w:tr>
      <w:tr>
        <w:trPr>
          <w:trHeight w:val="2344" w:hRule="atLeast"/>
        </w:trPr>
        <w:tc>
          <w:tcPr>
            <w:tcW w:w="61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snapToGrid w:val="false"/>
              <w:spacing w:lineRule="auto" w:line="360"/>
              <w:jc w:val="center"/>
              <w:rPr/>
            </w:pPr>
            <w:r>
              <w:rPr>
                <w:rStyle w:val="Fontepargpadro1"/>
                <w:rFonts w:eastAsia="Times New Roman" w:cs="Times New Roman" w:ascii="Times New Roman" w:hAnsi="Times New Roman"/>
                <w:sz w:val="24"/>
                <w:szCs w:val="24"/>
                <w:shd w:fill="FFFFFF" w:val="clear"/>
                <w:lang w:eastAsia="pt-BR"/>
              </w:rPr>
              <w:t>01</w:t>
            </w:r>
          </w:p>
        </w:tc>
        <w:tc>
          <w:tcPr>
            <w:tcW w:w="113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snapToGrid w:val="false"/>
              <w:spacing w:lineRule="auto" w:line="360"/>
              <w:jc w:val="center"/>
              <w:rPr/>
            </w:pPr>
            <w:r>
              <w:rPr>
                <w:rStyle w:val="Fontepargpadro1"/>
                <w:rFonts w:eastAsia="Times New Roman" w:cs="Times New Roman" w:ascii="Times New Roman" w:hAnsi="Times New Roman"/>
                <w:sz w:val="24"/>
                <w:szCs w:val="24"/>
                <w:shd w:fill="FFFFFF" w:val="clear"/>
                <w:lang w:eastAsia="pt-BR"/>
              </w:rPr>
              <w:t>339040-</w:t>
            </w:r>
            <w:r>
              <w:rPr>
                <w:rStyle w:val="Fontepargpadro1"/>
                <w:rFonts w:eastAsia="Times New Roman" w:cs="Times New Roman" w:ascii="Times New Roman" w:hAnsi="Times New Roman"/>
                <w:sz w:val="24"/>
                <w:szCs w:val="24"/>
                <w:shd w:fill="FFFFFF" w:val="clear"/>
                <w:lang w:eastAsia="pt-BR"/>
              </w:rPr>
              <w:t>13</w:t>
            </w:r>
          </w:p>
        </w:tc>
        <w:tc>
          <w:tcPr>
            <w:tcW w:w="269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napToGrid w:val="false"/>
              <w:spacing w:lineRule="auto" w:line="360" w:before="0" w:after="0"/>
              <w:jc w:val="both"/>
              <w:rPr>
                <w:rFonts w:ascii="Times New Roman" w:hAnsi="Times New Roman"/>
                <w:sz w:val="24"/>
                <w:szCs w:val="24"/>
              </w:rPr>
            </w:pPr>
            <w:r>
              <w:rPr>
                <w:rFonts w:eastAsia="Calibri" w:cs="Times New Roman" w:ascii="Times New Roman" w:hAnsi="Times New Roman"/>
                <w:color w:val="00000A"/>
                <w:sz w:val="24"/>
                <w:szCs w:val="24"/>
                <w:lang w:val="pt-BR" w:eastAsia="en-US" w:bidi="ar-SA"/>
              </w:rPr>
              <w:t>Serviço de readequação do cabeamento de fibra óptica de aéreo para subterrâneo.</w:t>
            </w:r>
          </w:p>
        </w:tc>
        <w:tc>
          <w:tcPr>
            <w:tcW w:w="128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snapToGrid w:val="false"/>
              <w:spacing w:lineRule="auto" w:line="360"/>
              <w:jc w:val="center"/>
              <w:rPr>
                <w:rFonts w:ascii="Times New Roman" w:hAnsi="Times New Roman"/>
                <w:sz w:val="24"/>
                <w:szCs w:val="24"/>
              </w:rPr>
            </w:pPr>
            <w:r>
              <w:rPr>
                <w:rFonts w:cs="Times New Roman" w:ascii="Times New Roman" w:hAnsi="Times New Roman"/>
                <w:color w:val="000000"/>
                <w:sz w:val="24"/>
                <w:szCs w:val="24"/>
              </w:rPr>
              <w:t>13692</w:t>
            </w:r>
          </w:p>
        </w:tc>
        <w:tc>
          <w:tcPr>
            <w:tcW w:w="70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snapToGrid w:val="false"/>
              <w:spacing w:lineRule="auto" w:line="360"/>
              <w:jc w:val="center"/>
              <w:rPr>
                <w:rFonts w:ascii="Times New Roman" w:hAnsi="Times New Roman"/>
                <w:sz w:val="24"/>
                <w:szCs w:val="24"/>
              </w:rPr>
            </w:pPr>
            <w:r>
              <w:rPr>
                <w:rFonts w:ascii="Times New Roman" w:hAnsi="Times New Roman"/>
                <w:sz w:val="24"/>
                <w:szCs w:val="24"/>
              </w:rPr>
              <w:t>Sv</w:t>
            </w:r>
          </w:p>
        </w:tc>
        <w:tc>
          <w:tcPr>
            <w:tcW w:w="858"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snapToGrid w:val="false"/>
              <w:spacing w:lineRule="auto" w:line="360"/>
              <w:jc w:val="center"/>
              <w:rPr>
                <w:rFonts w:ascii="Times New Roman" w:hAnsi="Times New Roman"/>
                <w:sz w:val="24"/>
                <w:szCs w:val="24"/>
              </w:rPr>
            </w:pPr>
            <w:r>
              <w:rPr>
                <w:rFonts w:ascii="Times New Roman" w:hAnsi="Times New Roman"/>
                <w:sz w:val="24"/>
                <w:szCs w:val="24"/>
              </w:rPr>
              <w:t>01</w:t>
            </w:r>
          </w:p>
        </w:tc>
        <w:tc>
          <w:tcPr>
            <w:tcW w:w="113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napToGrid w:val="false"/>
              <w:spacing w:lineRule="auto" w:line="360" w:before="0" w:after="160"/>
              <w:jc w:val="center"/>
              <w:rPr>
                <w:rFonts w:ascii="Times New Roman" w:hAnsi="Times New Roman"/>
                <w:sz w:val="24"/>
                <w:szCs w:val="24"/>
              </w:rPr>
            </w:pPr>
            <w:r>
              <w:rPr>
                <w:rFonts w:cs="Times New Roman" w:ascii="Times New Roman" w:hAnsi="Times New Roman"/>
                <w:color w:val="000000"/>
                <w:sz w:val="24"/>
                <w:szCs w:val="24"/>
              </w:rPr>
              <w:t>25.000,00</w:t>
            </w:r>
          </w:p>
        </w:tc>
        <w:tc>
          <w:tcPr>
            <w:tcW w:w="1498"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napToGrid w:val="false"/>
              <w:spacing w:lineRule="auto" w:line="360" w:before="0" w:after="160"/>
              <w:jc w:val="center"/>
              <w:rPr>
                <w:rFonts w:ascii="Times New Roman" w:hAnsi="Times New Roman"/>
                <w:sz w:val="24"/>
                <w:szCs w:val="24"/>
              </w:rPr>
            </w:pPr>
            <w:r>
              <w:rPr>
                <w:rFonts w:cs="Times New Roman" w:ascii="Times New Roman" w:hAnsi="Times New Roman"/>
                <w:color w:val="000000"/>
                <w:sz w:val="24"/>
                <w:szCs w:val="24"/>
              </w:rPr>
              <w:t>25.000,00</w:t>
            </w:r>
          </w:p>
        </w:tc>
      </w:tr>
    </w:tbl>
    <w:p>
      <w:pPr>
        <w:pStyle w:val="Standard"/>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widowControl/>
        <w:tabs>
          <w:tab w:val="clear" w:pos="708"/>
          <w:tab w:val="left" w:pos="283" w:leader="none"/>
          <w:tab w:val="left" w:pos="300" w:leader="none"/>
        </w:tabs>
        <w:snapToGrid w:val="false"/>
        <w:spacing w:lineRule="auto" w:line="360"/>
        <w:jc w:val="both"/>
        <w:rPr/>
      </w:pPr>
      <w:r>
        <w:rPr>
          <w:rStyle w:val="Fontepargpadro1"/>
          <w:rFonts w:eastAsia="Times New Roman" w:cs="Times New Roman" w:ascii="Times New Roman" w:hAnsi="Times New Roman"/>
          <w:b/>
          <w:bCs/>
          <w:sz w:val="22"/>
          <w:szCs w:val="22"/>
        </w:rPr>
        <w:t xml:space="preserve">2. JUSTIFICATIVA DA NECESSIDADE E QUANTIDADE: </w:t>
      </w:r>
      <w:r>
        <w:rPr>
          <w:rStyle w:val="Fontepargpadro1"/>
          <w:rFonts w:eastAsia="Times New Roman" w:cs="Times New Roman" w:ascii="Times New Roman" w:hAnsi="Times New Roman"/>
          <w:color w:val="000000"/>
          <w:sz w:val="22"/>
          <w:szCs w:val="22"/>
          <w:lang w:eastAsia="ar-SA"/>
        </w:rPr>
        <w:t>constam do documento de formalização da demanda.</w:t>
      </w:r>
    </w:p>
    <w:p>
      <w:pPr>
        <w:pStyle w:val="Standard"/>
        <w:spacing w:lineRule="auto" w:line="360"/>
        <w:jc w:val="both"/>
        <w:rPr>
          <w:rFonts w:ascii="Times New Roman" w:hAnsi="Times New Roman" w:eastAsia="Times New Roman" w:cs="Times New Roman"/>
          <w:b/>
          <w:b/>
          <w:bCs/>
          <w:color w:val="000000"/>
          <w:sz w:val="22"/>
          <w:szCs w:val="22"/>
        </w:rPr>
      </w:pPr>
      <w:r>
        <w:rPr>
          <w:rFonts w:eastAsia="Times New Roman" w:cs="Times New Roman" w:ascii="Times New Roman" w:hAnsi="Times New Roman"/>
          <w:b/>
          <w:bCs/>
          <w:color w:val="000000"/>
          <w:sz w:val="22"/>
          <w:szCs w:val="22"/>
        </w:rPr>
      </w:r>
    </w:p>
    <w:p>
      <w:pPr>
        <w:pStyle w:val="Standard"/>
        <w:jc w:val="both"/>
        <w:rPr>
          <w:rFonts w:ascii="Times New Roman" w:hAnsi="Times New Roman" w:eastAsia="Times New Roman" w:cs="Times New Roman"/>
          <w:b/>
          <w:b/>
          <w:bCs/>
          <w:color w:val="000000"/>
          <w:sz w:val="22"/>
          <w:szCs w:val="22"/>
        </w:rPr>
      </w:pPr>
      <w:r>
        <w:rPr>
          <w:rFonts w:eastAsia="Times New Roman" w:cs="Times New Roman" w:ascii="Times New Roman" w:hAnsi="Times New Roman"/>
          <w:b/>
          <w:bCs/>
          <w:color w:val="000000"/>
          <w:sz w:val="22"/>
          <w:szCs w:val="22"/>
        </w:rPr>
        <w:t>3. EXECUÇÃO E CRITÉRIOS DE ACEITAÇÃO DO OBJETO.</w:t>
      </w:r>
    </w:p>
    <w:p>
      <w:pPr>
        <w:pStyle w:val="Standard"/>
        <w:jc w:val="both"/>
        <w:rPr>
          <w:rFonts w:ascii="Times New Roman" w:hAnsi="Times New Roman" w:eastAsia="Times New Roman" w:cs="Times New Roman"/>
          <w:b/>
          <w:b/>
          <w:bCs/>
          <w:color w:val="000000"/>
          <w:sz w:val="22"/>
          <w:szCs w:val="22"/>
        </w:rPr>
      </w:pPr>
      <w:r>
        <w:rPr>
          <w:rFonts w:eastAsia="Times New Roman" w:cs="Times New Roman" w:ascii="Times New Roman" w:hAnsi="Times New Roman"/>
          <w:b/>
          <w:bCs/>
          <w:color w:val="000000"/>
          <w:sz w:val="22"/>
          <w:szCs w:val="22"/>
        </w:rPr>
      </w:r>
    </w:p>
    <w:p>
      <w:pPr>
        <w:pStyle w:val="Standard"/>
        <w:spacing w:lineRule="auto" w:line="360"/>
        <w:jc w:val="both"/>
        <w:rPr/>
      </w:pPr>
      <w:r>
        <w:rPr>
          <w:rStyle w:val="Fontepargpadro1"/>
          <w:rFonts w:eastAsia="Times New Roman" w:cs="Times New Roman" w:ascii="Times New Roman" w:hAnsi="Times New Roman"/>
          <w:b/>
          <w:bCs/>
          <w:color w:val="000000"/>
          <w:sz w:val="22"/>
          <w:szCs w:val="22"/>
        </w:rPr>
        <w:t>3.1.</w:t>
      </w:r>
      <w:r>
        <w:rPr>
          <w:rStyle w:val="Fontepargpadro1"/>
          <w:rFonts w:eastAsia="Times New Roman" w:cs="Times New Roman" w:ascii="Times New Roman" w:hAnsi="Times New Roman"/>
          <w:color w:val="000000"/>
          <w:sz w:val="22"/>
          <w:szCs w:val="22"/>
        </w:rPr>
        <w:t xml:space="preserve"> O prazo de execução será de</w:t>
      </w:r>
      <w:r>
        <w:rPr>
          <w:rStyle w:val="Fontepargpadro1"/>
          <w:rFonts w:eastAsia="Times New Roman" w:cs="Times New Roman" w:ascii="Times New Roman" w:hAnsi="Times New Roman"/>
          <w:b w:val="false"/>
          <w:bCs w:val="false"/>
          <w:color w:val="000000"/>
          <w:sz w:val="22"/>
          <w:szCs w:val="22"/>
        </w:rPr>
        <w:t xml:space="preserve"> </w:t>
      </w:r>
      <w:r>
        <w:rPr>
          <w:rStyle w:val="Fontepargpadro1"/>
          <w:rFonts w:eastAsia="Times New Roman" w:cs="Arial" w:ascii="Times New Roman" w:hAnsi="Times New Roman"/>
          <w:b w:val="false"/>
          <w:bCs w:val="false"/>
          <w:color w:val="000000"/>
          <w:sz w:val="22"/>
          <w:szCs w:val="22"/>
        </w:rPr>
        <w:t>1 dia após a emissão da nota de empenho</w:t>
      </w:r>
      <w:r>
        <w:rPr>
          <w:rStyle w:val="Fontepargpadro1"/>
          <w:rFonts w:eastAsia="Times New Roman" w:cs="Times New Roman" w:ascii="Times New Roman" w:hAnsi="Times New Roman"/>
          <w:b w:val="false"/>
          <w:bCs w:val="false"/>
          <w:color w:val="000000"/>
          <w:sz w:val="22"/>
          <w:szCs w:val="22"/>
        </w:rPr>
        <w:t>.</w:t>
      </w:r>
    </w:p>
    <w:p>
      <w:pPr>
        <w:pStyle w:val="Standard"/>
        <w:tabs>
          <w:tab w:val="clear" w:pos="708"/>
          <w:tab w:val="left" w:pos="1700" w:leader="none"/>
        </w:tabs>
        <w:spacing w:lineRule="auto" w:line="360"/>
        <w:jc w:val="both"/>
        <w:rPr/>
      </w:pPr>
      <w:r>
        <w:rPr>
          <w:rStyle w:val="Fontepargpadro1"/>
          <w:rFonts w:eastAsia="Times New Roman" w:cs="Times New Roman" w:ascii="Times New Roman" w:hAnsi="Times New Roman"/>
          <w:b/>
          <w:bCs/>
          <w:color w:val="000000"/>
          <w:sz w:val="22"/>
          <w:szCs w:val="22"/>
        </w:rPr>
        <w:t>31.1.</w:t>
      </w:r>
      <w:r>
        <w:rPr>
          <w:rStyle w:val="Fontepargpadro1"/>
          <w:rFonts w:eastAsia="Times New Roman" w:cs="Times New Roman" w:ascii="Times New Roman" w:hAnsi="Times New Roman"/>
          <w:color w:val="000000"/>
          <w:sz w:val="22"/>
          <w:szCs w:val="22"/>
        </w:rPr>
        <w:t xml:space="preserve"> A </w:t>
      </w:r>
      <w:r>
        <w:rPr>
          <w:rStyle w:val="Fontepargpadro1"/>
          <w:rFonts w:eastAsia="Times New Roman" w:cs="Times New Roman" w:ascii="Times New Roman" w:hAnsi="Times New Roman"/>
          <w:sz w:val="22"/>
          <w:szCs w:val="22"/>
          <w:lang w:eastAsia="ar-SA"/>
        </w:rPr>
        <w:t>Tabela a seguir traz o endereço para execução dos itens:</w:t>
      </w:r>
    </w:p>
    <w:tbl>
      <w:tblPr>
        <w:tblW w:w="9605" w:type="dxa"/>
        <w:jc w:val="right"/>
        <w:tblInd w:w="0" w:type="dxa"/>
        <w:tblLayout w:type="fixed"/>
        <w:tblCellMar>
          <w:top w:w="55" w:type="dxa"/>
          <w:left w:w="40" w:type="dxa"/>
          <w:bottom w:w="55" w:type="dxa"/>
          <w:right w:w="55" w:type="dxa"/>
        </w:tblCellMar>
        <w:tblLook w:val="0000"/>
      </w:tblPr>
      <w:tblGrid>
        <w:gridCol w:w="2212"/>
        <w:gridCol w:w="7392"/>
      </w:tblGrid>
      <w:tr>
        <w:trPr/>
        <w:tc>
          <w:tcPr>
            <w:tcW w:w="2212" w:type="dxa"/>
            <w:tcBorders>
              <w:top w:val="single" w:sz="4" w:space="0" w:color="000001"/>
              <w:left w:val="single" w:sz="4" w:space="0" w:color="000001"/>
              <w:bottom w:val="single" w:sz="4" w:space="0" w:color="000001"/>
            </w:tcBorders>
            <w:shd w:fill="auto" w:val="clear"/>
          </w:tcPr>
          <w:p>
            <w:pPr>
              <w:pStyle w:val="Contedodatabela"/>
              <w:widowControl w:val="false"/>
              <w:spacing w:lineRule="auto" w:line="360"/>
              <w:jc w:val="center"/>
              <w:rPr/>
            </w:pPr>
            <w:r>
              <w:rPr>
                <w:rStyle w:val="Fontepargpadro1"/>
                <w:rFonts w:eastAsia="Times New Roman" w:cs="Times New Roman" w:ascii="Times New Roman" w:hAnsi="Times New Roman"/>
                <w:b/>
                <w:bCs/>
                <w:color w:val="000000"/>
                <w:sz w:val="22"/>
                <w:szCs w:val="22"/>
              </w:rPr>
              <w:t>OM</w:t>
            </w:r>
          </w:p>
        </w:tc>
        <w:tc>
          <w:tcPr>
            <w:tcW w:w="7392" w:type="dxa"/>
            <w:tcBorders>
              <w:top w:val="single" w:sz="4" w:space="0" w:color="000001"/>
              <w:left w:val="single" w:sz="4" w:space="0" w:color="000001"/>
              <w:bottom w:val="single" w:sz="4" w:space="0" w:color="000001"/>
              <w:right w:val="single" w:sz="4" w:space="0" w:color="000001"/>
            </w:tcBorders>
            <w:shd w:fill="auto" w:val="clear"/>
          </w:tcPr>
          <w:p>
            <w:pPr>
              <w:pStyle w:val="Contedodatabela"/>
              <w:widowControl w:val="false"/>
              <w:spacing w:lineRule="auto" w:line="360"/>
              <w:jc w:val="center"/>
              <w:rPr>
                <w:rFonts w:ascii="Times New Roman" w:hAnsi="Times New Roman" w:eastAsia="Times New Roman" w:cs="Times New Roman"/>
                <w:b/>
                <w:b/>
                <w:bCs/>
                <w:sz w:val="22"/>
                <w:szCs w:val="22"/>
                <w:lang w:eastAsia="ar-SA"/>
              </w:rPr>
            </w:pPr>
            <w:r>
              <w:rPr>
                <w:rFonts w:eastAsia="Times New Roman" w:cs="Times New Roman" w:ascii="Times New Roman" w:hAnsi="Times New Roman"/>
                <w:b/>
                <w:bCs/>
                <w:sz w:val="22"/>
                <w:szCs w:val="22"/>
                <w:lang w:eastAsia="ar-SA"/>
              </w:rPr>
              <w:t>ENDEREÇO</w:t>
            </w:r>
          </w:p>
        </w:tc>
      </w:tr>
      <w:tr>
        <w:trPr/>
        <w:tc>
          <w:tcPr>
            <w:tcW w:w="2212" w:type="dxa"/>
            <w:tcBorders>
              <w:top w:val="single" w:sz="4" w:space="0" w:color="000001"/>
              <w:left w:val="single" w:sz="4" w:space="0" w:color="000001"/>
              <w:bottom w:val="single" w:sz="4" w:space="0" w:color="000001"/>
            </w:tcBorders>
            <w:shd w:fill="auto" w:val="clear"/>
          </w:tcPr>
          <w:p>
            <w:pPr>
              <w:pStyle w:val="Standard"/>
              <w:widowControl w:val="false"/>
              <w:jc w:val="center"/>
              <w:rPr/>
            </w:pPr>
            <w:r>
              <w:rPr>
                <w:rStyle w:val="Fontepargpadro1"/>
                <w:rFonts w:eastAsia="Times New Roman" w:cs="Times New Roman" w:ascii="Times New Roman" w:hAnsi="Times New Roman"/>
                <w:strike w:val="false"/>
                <w:dstrike w:val="false"/>
                <w:color w:val="000000"/>
                <w:sz w:val="22"/>
                <w:szCs w:val="22"/>
              </w:rPr>
              <w:t>Quartel General da 22ª Bda Inf SL - Macapá-AP</w:t>
            </w:r>
          </w:p>
        </w:tc>
        <w:tc>
          <w:tcPr>
            <w:tcW w:w="7392" w:type="dxa"/>
            <w:tcBorders>
              <w:top w:val="single" w:sz="4" w:space="0" w:color="000001"/>
              <w:left w:val="single" w:sz="4" w:space="0" w:color="000001"/>
              <w:bottom w:val="single" w:sz="4" w:space="0" w:color="000001"/>
              <w:right w:val="single" w:sz="4" w:space="0" w:color="000001"/>
            </w:tcBorders>
            <w:shd w:fill="auto" w:val="clear"/>
          </w:tcPr>
          <w:p>
            <w:pPr>
              <w:pStyle w:val="Inner"/>
              <w:widowControl w:val="false"/>
              <w:shd w:val="clear" w:color="auto" w:fill="FFFFFF"/>
              <w:spacing w:before="0" w:after="0"/>
              <w:ind w:left="150" w:hanging="0"/>
              <w:jc w:val="center"/>
              <w:rPr/>
            </w:pPr>
            <w:r>
              <w:rPr/>
              <w:t xml:space="preserve"> </w:t>
            </w:r>
            <w:r>
              <w:rPr/>
              <w:t>Rua Mestre Júlio, s/n – Alvorada – CEP 68906-651</w:t>
            </w:r>
          </w:p>
        </w:tc>
      </w:tr>
    </w:tbl>
    <w:p>
      <w:pPr>
        <w:pStyle w:val="Standard"/>
        <w:spacing w:lineRule="auto" w:line="360"/>
        <w:jc w:val="both"/>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r>
    </w:p>
    <w:p>
      <w:pPr>
        <w:pStyle w:val="Standard"/>
        <w:widowControl/>
        <w:tabs>
          <w:tab w:val="clear" w:pos="708"/>
          <w:tab w:val="left" w:pos="283" w:leader="none"/>
        </w:tabs>
        <w:snapToGrid w:val="false"/>
        <w:spacing w:lineRule="auto" w:line="360"/>
        <w:jc w:val="both"/>
        <w:rPr/>
      </w:pPr>
      <w:r>
        <w:rPr>
          <w:rStyle w:val="Fontepargpadro1"/>
          <w:rFonts w:eastAsia="Times New Roman" w:cs="Times New Roman" w:ascii="Times New Roman" w:hAnsi="Times New Roman"/>
          <w:b/>
          <w:bCs/>
          <w:sz w:val="22"/>
          <w:szCs w:val="22"/>
        </w:rPr>
        <w:t>4. JUSTIFICATIVA DA OPÇÃO PELA DISPENSA ELETRÔNICA:</w:t>
      </w:r>
    </w:p>
    <w:p>
      <w:pPr>
        <w:pStyle w:val="Standard"/>
        <w:widowControl/>
        <w:tabs>
          <w:tab w:val="clear" w:pos="708"/>
          <w:tab w:val="left" w:pos="283" w:leader="none"/>
        </w:tabs>
        <w:snapToGrid w:val="false"/>
        <w:spacing w:lineRule="auto" w:line="360"/>
        <w:jc w:val="both"/>
        <w:rPr/>
      </w:pPr>
      <w:r>
        <w:rPr>
          <w:rStyle w:val="Fontepargpadro1"/>
          <w:rFonts w:eastAsia="Times New Roman" w:cs="Times New Roman" w:ascii="Times New Roman" w:hAnsi="Times New Roman"/>
          <w:b/>
          <w:bCs/>
          <w:color w:val="000000"/>
          <w:sz w:val="22"/>
          <w:szCs w:val="22"/>
          <w:shd w:fill="FFFFFF" w:val="clear"/>
          <w:lang w:eastAsia="ar-SA"/>
        </w:rPr>
        <w:t>4.1.</w:t>
      </w:r>
      <w:r>
        <w:rPr>
          <w:rStyle w:val="Fontepargpadro1"/>
          <w:rFonts w:eastAsia="Times New Roman" w:cs="Times New Roman" w:ascii="Times New Roman" w:hAnsi="Times New Roman"/>
          <w:color w:val="000000"/>
          <w:sz w:val="22"/>
          <w:szCs w:val="22"/>
          <w:shd w:fill="FFFFFF" w:val="clear"/>
          <w:lang w:eastAsia="ar-SA"/>
        </w:rPr>
        <w:t xml:space="preserve"> O valor se enquadra no inciso II, alínea a) do artigo 75 da lei 14.133/21, além disso</w:t>
      </w:r>
      <w:r>
        <w:rPr>
          <w:rStyle w:val="Fontepargpadro1"/>
          <w:rFonts w:eastAsia="Times New Roman" w:cs="Times New Roman" w:ascii="Times New Roman" w:hAnsi="Times New Roman"/>
          <w:color w:val="00000A"/>
          <w:sz w:val="22"/>
          <w:szCs w:val="22"/>
          <w:lang w:eastAsia="ar-SA"/>
        </w:rPr>
        <w:t xml:space="preserve"> não há processo licitatório ou registro de preços vigente, e não há previsão de emissão de edital de licitação com essa finalidade.</w:t>
      </w:r>
    </w:p>
    <w:p>
      <w:pPr>
        <w:pStyle w:val="Standard"/>
        <w:widowControl/>
        <w:tabs>
          <w:tab w:val="clear" w:pos="708"/>
          <w:tab w:val="left" w:pos="283" w:leader="none"/>
        </w:tabs>
        <w:suppressAutoHyphens w:val="false"/>
        <w:snapToGrid w:val="false"/>
        <w:spacing w:lineRule="auto" w:line="360" w:before="120" w:after="120"/>
        <w:jc w:val="both"/>
        <w:rPr/>
      </w:pPr>
      <w:r>
        <w:rPr>
          <w:rStyle w:val="Fontepargpadro1"/>
          <w:rFonts w:eastAsia="Times New Roman" w:cs="Times New Roman" w:ascii="Times New Roman" w:hAnsi="Times New Roman"/>
          <w:b/>
          <w:bCs/>
          <w:color w:val="000000"/>
          <w:sz w:val="22"/>
          <w:szCs w:val="22"/>
          <w:shd w:fill="FFFFFF" w:val="clear"/>
          <w:lang w:eastAsia="ar-SA"/>
        </w:rPr>
        <w:t>5. OBRIGAÇÕES DA CONTRATADA:</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sz w:val="22"/>
          <w:szCs w:val="22"/>
        </w:rPr>
        <w:t>5.1.</w:t>
      </w:r>
      <w:r>
        <w:rPr>
          <w:rStyle w:val="Fontepargpadro1"/>
          <w:rFonts w:eastAsia="Times New Roman" w:cs="Times New Roman" w:ascii="Times New Roman" w:hAnsi="Times New Roman"/>
          <w:sz w:val="22"/>
          <w:szCs w:val="22"/>
        </w:rPr>
        <w:t xml:space="preserve"> Assumir com exclusividade seus riscos e despesas decorrentes da boa e perfeita execução do objeto e, ainda:</w:t>
      </w:r>
    </w:p>
    <w:p>
      <w:pPr>
        <w:pStyle w:val="Standard"/>
        <w:widowControl/>
        <w:tabs>
          <w:tab w:val="clear" w:pos="708"/>
          <w:tab w:val="left" w:pos="50" w:leader="none"/>
          <w:tab w:val="left" w:pos="567" w:leader="none"/>
        </w:tabs>
        <w:snapToGrid w:val="false"/>
        <w:spacing w:lineRule="auto" w:line="360"/>
        <w:jc w:val="both"/>
        <w:rPr/>
      </w:pPr>
      <w:r>
        <w:rPr>
          <w:rStyle w:val="Fontepargpadro1"/>
          <w:rFonts w:eastAsia="Times New Roman" w:cs="Times New Roman" w:ascii="Times New Roman" w:hAnsi="Times New Roman"/>
          <w:b/>
          <w:bCs/>
          <w:sz w:val="22"/>
          <w:szCs w:val="22"/>
        </w:rPr>
        <w:t>5.2.</w:t>
      </w:r>
      <w:r>
        <w:rPr>
          <w:rStyle w:val="Fontepargpadro1"/>
          <w:rFonts w:eastAsia="Times New Roman" w:cs="Times New Roman" w:ascii="Times New Roman" w:hAnsi="Times New Roman"/>
          <w:sz w:val="22"/>
          <w:szCs w:val="22"/>
        </w:rPr>
        <w:t xml:space="preserve"> Efetuar a execução do objeto em perfeitas condições, conforme especificações, prazo e local constantes neste termo e seus anexos, acompanhado da respectiva nota fiscal;</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sz w:val="22"/>
          <w:szCs w:val="22"/>
        </w:rPr>
        <w:t>5.3.</w:t>
      </w:r>
      <w:r>
        <w:rPr>
          <w:rStyle w:val="Fontepargpadro1"/>
          <w:rFonts w:eastAsia="Times New Roman" w:cs="Times New Roman" w:ascii="Times New Roman" w:hAnsi="Times New Roman"/>
          <w:sz w:val="22"/>
          <w:szCs w:val="22"/>
        </w:rPr>
        <w:t xml:space="preserve"> Responsabilizar-se pelos vícios e danos decorrentes do </w:t>
      </w:r>
      <w:r>
        <w:rPr>
          <w:rStyle w:val="Fontepargpadro1"/>
          <w:rFonts w:eastAsia="Times New Roman" w:cs="Times New Roman" w:ascii="Times New Roman" w:hAnsi="Times New Roman"/>
          <w:sz w:val="22"/>
          <w:szCs w:val="22"/>
        </w:rPr>
        <w:t>serviço</w:t>
      </w:r>
      <w:r>
        <w:rPr>
          <w:rStyle w:val="Fontepargpadro1"/>
          <w:rFonts w:eastAsia="Times New Roman" w:cs="Times New Roman" w:ascii="Times New Roman" w:hAnsi="Times New Roman"/>
          <w:sz w:val="22"/>
          <w:szCs w:val="22"/>
        </w:rPr>
        <w:t>, de acordo com os artigos 12, 13 e 17 a 27, do Código de Defesa do Consumidor (Lei nº 8.078, de 1990);</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sz w:val="22"/>
          <w:szCs w:val="22"/>
          <w:shd w:fill="FFFFFF" w:val="clear"/>
        </w:rPr>
        <w:t xml:space="preserve">5.4. </w:t>
      </w:r>
      <w:r>
        <w:rPr>
          <w:rStyle w:val="Fontepargpadro1"/>
          <w:rFonts w:eastAsia="Times New Roman" w:cs="Times New Roman" w:ascii="Times New Roman" w:hAnsi="Times New Roman"/>
          <w:sz w:val="22"/>
          <w:szCs w:val="22"/>
          <w:shd w:fill="FFFFFF" w:val="clear"/>
        </w:rPr>
        <w:t>Substituir, reparar ou corrigir, às suas expensas, no prazo máximo de 3 (três) dias corridos, objeto com avarias ou defeitos;</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sz w:val="22"/>
          <w:szCs w:val="22"/>
        </w:rPr>
        <w:t>5.5.</w:t>
      </w:r>
      <w:r>
        <w:rPr>
          <w:rStyle w:val="Fontepargpadro1"/>
          <w:rFonts w:eastAsia="Times New Roman" w:cs="Times New Roman" w:ascii="Times New Roman" w:hAnsi="Times New Roman"/>
          <w:sz w:val="22"/>
          <w:szCs w:val="22"/>
        </w:rPr>
        <w:t xml:space="preserve"> Comunicar à Contratante, no prazo máximo de 24 (vinte e quatro) horas que antecede a data da execução, os motivos que impossibilitem o cumprimento do prazo previsto, com a devida comprovação;</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sz w:val="22"/>
          <w:szCs w:val="22"/>
        </w:rPr>
        <w:t>5.6.</w:t>
      </w:r>
      <w:r>
        <w:rPr>
          <w:rStyle w:val="Fontepargpadro1"/>
          <w:rFonts w:eastAsia="Times New Roman" w:cs="Times New Roman" w:ascii="Times New Roman" w:hAnsi="Times New Roman"/>
          <w:sz w:val="22"/>
          <w:szCs w:val="22"/>
        </w:rPr>
        <w:t xml:space="preserve"> Manter, durante toda a execução do contrato, em compatibilidade com as obrigações estabelecidas, todas as condições de habilitação e qualificação exigidas neste;</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sz w:val="22"/>
          <w:szCs w:val="22"/>
        </w:rPr>
        <w:t xml:space="preserve">5.7. </w:t>
      </w:r>
      <w:r>
        <w:rPr>
          <w:rStyle w:val="Fontepargpadro1"/>
          <w:rFonts w:eastAsia="Times New Roman" w:cs="Times New Roman" w:ascii="Times New Roman" w:hAnsi="Times New Roman"/>
          <w:color w:val="000000"/>
          <w:sz w:val="22"/>
          <w:szCs w:val="22"/>
          <w:shd w:fill="FFFFFF" w:val="clear"/>
          <w:lang w:eastAsia="ar-SA"/>
        </w:rPr>
        <w:t>Indicar preposto para representá-la durante a execução do contrato, e</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color w:val="000000"/>
          <w:sz w:val="22"/>
          <w:szCs w:val="22"/>
          <w:shd w:fill="FFFFFF" w:val="clear"/>
          <w:lang w:eastAsia="ar-SA"/>
        </w:rPr>
        <w:t>5.8.</w:t>
      </w:r>
      <w:r>
        <w:rPr>
          <w:rStyle w:val="Fontepargpadro1"/>
          <w:rFonts w:eastAsia="Times New Roman" w:cs="Times New Roman" w:ascii="Times New Roman" w:hAnsi="Times New Roman"/>
          <w:color w:val="000000"/>
          <w:sz w:val="22"/>
          <w:szCs w:val="22"/>
          <w:shd w:fill="FFFFFF" w:val="clear"/>
          <w:lang w:eastAsia="ar-SA"/>
        </w:rPr>
        <w:t xml:space="preserve"> Fornecer os profissionais que executaram o serviço com identificação visível, uniformizado, e com todas documentações necessárias e obrigatórias.</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color w:val="000000"/>
          <w:sz w:val="22"/>
          <w:szCs w:val="22"/>
          <w:shd w:fill="FFFFFF" w:val="clear"/>
          <w:lang w:eastAsia="ar-SA"/>
        </w:rPr>
        <w:t>5.9</w:t>
      </w:r>
      <w:r>
        <w:rPr>
          <w:rStyle w:val="Fontepargpadro1"/>
          <w:rFonts w:eastAsia="Times New Roman" w:cs="Times New Roman" w:ascii="Times New Roman" w:hAnsi="Times New Roman"/>
          <w:color w:val="000000"/>
          <w:sz w:val="22"/>
          <w:szCs w:val="22"/>
          <w:shd w:fill="FFFFFF" w:val="clear"/>
          <w:lang w:eastAsia="ar-SA"/>
        </w:rPr>
        <w:t>. Fornecer os materiais de acordo com</w:t>
      </w:r>
      <w:r>
        <w:rPr>
          <w:rStyle w:val="Fontepargpadro1"/>
          <w:rFonts w:eastAsia="Times New Roman" w:cs="Times New Roman" w:ascii="Times New Roman" w:hAnsi="Times New Roman"/>
          <w:b w:val="false"/>
          <w:bCs w:val="false"/>
          <w:color w:val="1C1C1C"/>
          <w:sz w:val="22"/>
          <w:szCs w:val="22"/>
          <w:shd w:fill="FFFFFF" w:val="clear"/>
          <w:lang w:eastAsia="ar-SA"/>
        </w:rPr>
        <w:t xml:space="preserve"> as normas padrão para cabeamento estruturado</w:t>
      </w:r>
      <w:r>
        <w:rPr>
          <w:rStyle w:val="Fontepargpadro1"/>
          <w:rFonts w:eastAsia="Times New Roman" w:cs="Times New Roman" w:ascii="Times New Roman" w:hAnsi="Times New Roman"/>
          <w:b w:val="false"/>
          <w:bCs w:val="false"/>
          <w:i w:val="false"/>
          <w:caps w:val="false"/>
          <w:smallCaps w:val="false"/>
          <w:color w:val="1C1C1C"/>
          <w:spacing w:val="0"/>
          <w:sz w:val="22"/>
          <w:szCs w:val="22"/>
          <w:shd w:fill="FFFFFF" w:val="clear"/>
          <w:lang w:eastAsia="ar-SA"/>
        </w:rPr>
        <w:t>.</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i w:val="false"/>
          <w:caps w:val="false"/>
          <w:smallCaps w:val="false"/>
          <w:color w:val="1C1C1C"/>
          <w:spacing w:val="0"/>
          <w:sz w:val="22"/>
          <w:szCs w:val="22"/>
          <w:shd w:fill="FFFFFF" w:val="clear"/>
          <w:lang w:eastAsia="ar-SA"/>
        </w:rPr>
        <w:t>5.10.</w:t>
      </w:r>
      <w:r>
        <w:rPr>
          <w:rStyle w:val="Fontepargpadro1"/>
          <w:rFonts w:eastAsia="Times New Roman" w:cs="Times New Roman" w:ascii="Times New Roman" w:hAnsi="Times New Roman"/>
          <w:b w:val="false"/>
          <w:bCs w:val="false"/>
          <w:i w:val="false"/>
          <w:caps w:val="false"/>
          <w:smallCaps w:val="false"/>
          <w:color w:val="1C1C1C"/>
          <w:spacing w:val="0"/>
          <w:sz w:val="22"/>
          <w:szCs w:val="22"/>
          <w:shd w:fill="FFFFFF" w:val="clear"/>
          <w:lang w:eastAsia="ar-SA"/>
        </w:rPr>
        <w:t xml:space="preserve"> </w:t>
      </w:r>
      <w:r>
        <w:rPr>
          <w:rFonts w:ascii="Times New Roman" w:hAnsi="Times New Roman"/>
          <w:sz w:val="22"/>
          <w:szCs w:val="22"/>
        </w:rPr>
        <w:t>Projetos a serem</w:t>
      </w:r>
      <w:r>
        <w:rPr>
          <w:rFonts w:ascii="Times New Roman" w:hAnsi="Times New Roman"/>
          <w:spacing w:val="-7"/>
          <w:sz w:val="22"/>
          <w:szCs w:val="22"/>
        </w:rPr>
        <w:t xml:space="preserve"> </w:t>
      </w:r>
      <w:r>
        <w:rPr>
          <w:rFonts w:ascii="Times New Roman" w:hAnsi="Times New Roman"/>
          <w:sz w:val="22"/>
          <w:szCs w:val="22"/>
        </w:rPr>
        <w:t>executados:</w:t>
      </w:r>
    </w:p>
    <w:p>
      <w:pPr>
        <w:pStyle w:val="ListParagraph"/>
        <w:numPr>
          <w:ilvl w:val="0"/>
          <w:numId w:val="0"/>
        </w:numPr>
        <w:tabs>
          <w:tab w:val="clear" w:pos="708"/>
          <w:tab w:val="left" w:pos="369" w:leader="none"/>
        </w:tabs>
        <w:spacing w:lineRule="auto" w:line="240" w:before="202" w:after="0"/>
        <w:ind w:left="719" w:right="6307" w:hanging="0"/>
        <w:jc w:val="left"/>
        <w:rPr>
          <w:rFonts w:ascii="Times New Roman" w:hAnsi="Times New Roman"/>
          <w:sz w:val="22"/>
          <w:szCs w:val="22"/>
        </w:rPr>
      </w:pPr>
      <w:r>
        <w:rPr>
          <w:rFonts w:ascii="Times New Roman" w:hAnsi="Times New Roman"/>
          <w:sz w:val="22"/>
          <w:szCs w:val="22"/>
        </w:rPr>
        <w:t xml:space="preserve">– </w:t>
      </w:r>
      <w:r>
        <w:rPr>
          <w:rFonts w:ascii="Times New Roman" w:hAnsi="Times New Roman"/>
          <w:sz w:val="22"/>
          <w:szCs w:val="22"/>
        </w:rPr>
        <w:t>Atendimento do</w:t>
      </w:r>
      <w:r>
        <w:rPr>
          <w:rFonts w:ascii="Times New Roman" w:hAnsi="Times New Roman"/>
          <w:spacing w:val="-13"/>
          <w:sz w:val="22"/>
          <w:szCs w:val="22"/>
        </w:rPr>
        <w:t xml:space="preserve"> </w:t>
      </w:r>
      <w:r>
        <w:rPr>
          <w:rFonts w:ascii="Times New Roman" w:hAnsi="Times New Roman"/>
          <w:sz w:val="22"/>
          <w:szCs w:val="22"/>
        </w:rPr>
        <w:t>Deposito de Material;</w:t>
      </w:r>
    </w:p>
    <w:p>
      <w:pPr>
        <w:pStyle w:val="ListParagraph"/>
        <w:numPr>
          <w:ilvl w:val="0"/>
          <w:numId w:val="0"/>
        </w:numPr>
        <w:tabs>
          <w:tab w:val="clear" w:pos="708"/>
          <w:tab w:val="left" w:pos="369" w:leader="none"/>
        </w:tabs>
        <w:spacing w:lineRule="auto" w:line="240" w:before="200" w:after="0"/>
        <w:ind w:left="719" w:right="6208" w:hanging="0"/>
        <w:jc w:val="left"/>
        <w:rPr/>
      </w:pPr>
      <w:r>
        <w:rPr>
          <w:rFonts w:ascii="Times New Roman" w:hAnsi="Times New Roman"/>
          <w:sz w:val="22"/>
          <w:szCs w:val="22"/>
        </w:rPr>
        <w:t xml:space="preserve">– </w:t>
      </w:r>
      <w:r>
        <w:rPr>
          <w:rFonts w:ascii="Times New Roman" w:hAnsi="Times New Roman"/>
          <w:sz w:val="22"/>
          <w:szCs w:val="22"/>
        </w:rPr>
        <w:t>Atendimento Toca da</w:t>
      </w:r>
      <w:r>
        <w:rPr>
          <w:rFonts w:ascii="Times New Roman" w:hAnsi="Times New Roman"/>
          <w:spacing w:val="-13"/>
          <w:sz w:val="22"/>
          <w:szCs w:val="22"/>
        </w:rPr>
        <w:t xml:space="preserve"> O</w:t>
      </w:r>
      <w:r>
        <w:rPr>
          <w:rFonts w:ascii="Times New Roman" w:hAnsi="Times New Roman"/>
          <w:sz w:val="22"/>
          <w:szCs w:val="22"/>
        </w:rPr>
        <w:t>nça</w:t>
      </w:r>
    </w:p>
    <w:p>
      <w:pPr>
        <w:pStyle w:val="ListParagraph"/>
        <w:widowControl/>
        <w:numPr>
          <w:ilvl w:val="0"/>
          <w:numId w:val="0"/>
        </w:numPr>
        <w:tabs>
          <w:tab w:val="clear" w:pos="708"/>
          <w:tab w:val="left" w:pos="1045" w:leader="none"/>
        </w:tabs>
        <w:suppressAutoHyphens w:val="true"/>
        <w:bidi w:val="0"/>
        <w:spacing w:lineRule="auto" w:line="240" w:before="199" w:after="0"/>
        <w:ind w:left="737" w:right="0" w:hanging="0"/>
        <w:jc w:val="left"/>
        <w:textAlignment w:val="baseline"/>
        <w:rPr/>
      </w:pPr>
      <w:r>
        <w:rPr>
          <w:rFonts w:ascii="Times New Roman" w:hAnsi="Times New Roman"/>
          <w:sz w:val="22"/>
          <w:szCs w:val="22"/>
        </w:rPr>
        <w:t xml:space="preserve">– </w:t>
      </w:r>
      <w:r>
        <w:rPr>
          <w:rFonts w:ascii="Times New Roman" w:hAnsi="Times New Roman"/>
          <w:sz w:val="22"/>
          <w:szCs w:val="22"/>
        </w:rPr>
        <w:t>Atendimento da casa do</w:t>
      </w:r>
      <w:r>
        <w:rPr>
          <w:rFonts w:ascii="Times New Roman" w:hAnsi="Times New Roman"/>
          <w:spacing w:val="-1"/>
          <w:sz w:val="22"/>
          <w:szCs w:val="22"/>
        </w:rPr>
        <w:t xml:space="preserve"> C</w:t>
      </w:r>
      <w:r>
        <w:rPr>
          <w:rFonts w:ascii="Times New Roman" w:hAnsi="Times New Roman"/>
          <w:sz w:val="22"/>
          <w:szCs w:val="22"/>
        </w:rPr>
        <w:t>omandante;</w:t>
      </w:r>
    </w:p>
    <w:p>
      <w:pPr>
        <w:pStyle w:val="ListParagraph"/>
        <w:widowControl/>
        <w:numPr>
          <w:ilvl w:val="0"/>
          <w:numId w:val="0"/>
        </w:numPr>
        <w:tabs>
          <w:tab w:val="clear" w:pos="708"/>
          <w:tab w:val="left" w:pos="1045" w:leader="none"/>
        </w:tabs>
        <w:suppressAutoHyphens w:val="true"/>
        <w:bidi w:val="0"/>
        <w:spacing w:lineRule="auto" w:line="240" w:before="195" w:after="0"/>
        <w:ind w:left="737" w:right="0" w:hanging="0"/>
        <w:jc w:val="left"/>
        <w:textAlignment w:val="baseline"/>
        <w:rPr/>
      </w:pPr>
      <w:r>
        <w:rPr>
          <w:rFonts w:ascii="Times New Roman" w:hAnsi="Times New Roman"/>
          <w:sz w:val="22"/>
          <w:szCs w:val="22"/>
        </w:rPr>
        <w:t xml:space="preserve">– </w:t>
      </w:r>
      <w:r>
        <w:rPr>
          <w:rFonts w:ascii="Times New Roman" w:hAnsi="Times New Roman"/>
          <w:sz w:val="22"/>
          <w:szCs w:val="22"/>
        </w:rPr>
        <w:t>Atendimento da CIA</w:t>
      </w:r>
      <w:r>
        <w:rPr>
          <w:rFonts w:ascii="Times New Roman" w:hAnsi="Times New Roman"/>
          <w:spacing w:val="-1"/>
          <w:sz w:val="22"/>
          <w:szCs w:val="22"/>
        </w:rPr>
        <w:t xml:space="preserve"> </w:t>
      </w:r>
      <w:r>
        <w:rPr>
          <w:rFonts w:ascii="Times New Roman" w:hAnsi="Times New Roman"/>
          <w:sz w:val="22"/>
          <w:szCs w:val="22"/>
        </w:rPr>
        <w:t>C/22ª Bda Inf Sl;</w:t>
      </w:r>
    </w:p>
    <w:p>
      <w:pPr>
        <w:pStyle w:val="ListParagraph"/>
        <w:widowControl/>
        <w:numPr>
          <w:ilvl w:val="0"/>
          <w:numId w:val="0"/>
        </w:numPr>
        <w:tabs>
          <w:tab w:val="clear" w:pos="708"/>
          <w:tab w:val="left" w:pos="1045" w:leader="none"/>
        </w:tabs>
        <w:suppressAutoHyphens w:val="true"/>
        <w:bidi w:val="0"/>
        <w:spacing w:lineRule="auto" w:line="240" w:before="199" w:after="0"/>
        <w:ind w:left="737" w:right="0" w:hanging="0"/>
        <w:jc w:val="left"/>
        <w:textAlignment w:val="baseline"/>
        <w:rPr>
          <w:rFonts w:ascii="Times New Roman" w:hAnsi="Times New Roman"/>
          <w:sz w:val="22"/>
          <w:szCs w:val="22"/>
        </w:rPr>
      </w:pPr>
      <w:r>
        <w:rPr>
          <w:rFonts w:ascii="Times New Roman" w:hAnsi="Times New Roman"/>
          <w:sz w:val="22"/>
          <w:szCs w:val="22"/>
        </w:rPr>
        <w:t xml:space="preserve">– </w:t>
      </w:r>
      <w:r>
        <w:rPr>
          <w:rFonts w:ascii="Times New Roman" w:hAnsi="Times New Roman"/>
          <w:sz w:val="22"/>
          <w:szCs w:val="22"/>
        </w:rPr>
        <w:t>Cabo de atendimento externo da</w:t>
      </w:r>
      <w:r>
        <w:rPr>
          <w:rFonts w:ascii="Times New Roman" w:hAnsi="Times New Roman"/>
          <w:spacing w:val="-6"/>
          <w:sz w:val="22"/>
          <w:szCs w:val="22"/>
        </w:rPr>
        <w:t xml:space="preserve"> </w:t>
      </w:r>
      <w:r>
        <w:rPr>
          <w:rFonts w:ascii="Times New Roman" w:hAnsi="Times New Roman"/>
          <w:sz w:val="22"/>
          <w:szCs w:val="22"/>
        </w:rPr>
        <w:t>T.I;</w:t>
      </w:r>
    </w:p>
    <w:p>
      <w:pPr>
        <w:pStyle w:val="ListParagraph"/>
        <w:widowControl/>
        <w:numPr>
          <w:ilvl w:val="0"/>
          <w:numId w:val="0"/>
        </w:numPr>
        <w:tabs>
          <w:tab w:val="clear" w:pos="708"/>
          <w:tab w:val="left" w:pos="1045" w:leader="none"/>
        </w:tabs>
        <w:suppressAutoHyphens w:val="true"/>
        <w:bidi w:val="0"/>
        <w:spacing w:lineRule="auto" w:line="240" w:before="199" w:after="0"/>
        <w:ind w:left="737" w:right="0" w:hanging="0"/>
        <w:jc w:val="left"/>
        <w:textAlignment w:val="baseline"/>
        <w:rPr>
          <w:rFonts w:ascii="Times New Roman" w:hAnsi="Times New Roman"/>
          <w:sz w:val="22"/>
          <w:szCs w:val="22"/>
        </w:rPr>
      </w:pPr>
      <w:r>
        <w:rPr>
          <w:rFonts w:ascii="Times New Roman" w:hAnsi="Times New Roman"/>
          <w:sz w:val="22"/>
          <w:szCs w:val="22"/>
        </w:rPr>
        <w:t xml:space="preserve">– </w:t>
      </w:r>
      <w:r>
        <w:rPr>
          <w:rFonts w:ascii="Times New Roman" w:hAnsi="Times New Roman"/>
          <w:sz w:val="22"/>
          <w:szCs w:val="22"/>
        </w:rPr>
        <w:t>Cabo de atendimento interno da</w:t>
      </w:r>
      <w:r>
        <w:rPr>
          <w:rFonts w:ascii="Times New Roman" w:hAnsi="Times New Roman"/>
          <w:spacing w:val="-25"/>
          <w:sz w:val="22"/>
          <w:szCs w:val="22"/>
        </w:rPr>
        <w:t xml:space="preserve"> </w:t>
      </w:r>
      <w:r>
        <w:rPr>
          <w:rFonts w:ascii="Times New Roman" w:hAnsi="Times New Roman"/>
          <w:sz w:val="22"/>
          <w:szCs w:val="22"/>
        </w:rPr>
        <w:t>T.I;</w:t>
      </w:r>
    </w:p>
    <w:p>
      <w:pPr>
        <w:pStyle w:val="ListParagraph"/>
        <w:widowControl/>
        <w:numPr>
          <w:ilvl w:val="0"/>
          <w:numId w:val="0"/>
        </w:numPr>
        <w:tabs>
          <w:tab w:val="clear" w:pos="708"/>
          <w:tab w:val="left" w:pos="1045" w:leader="none"/>
        </w:tabs>
        <w:suppressAutoHyphens w:val="true"/>
        <w:bidi w:val="0"/>
        <w:spacing w:lineRule="auto" w:line="240" w:before="196" w:after="0"/>
        <w:ind w:left="737" w:right="0" w:hanging="0"/>
        <w:jc w:val="left"/>
        <w:textAlignment w:val="baseline"/>
        <w:rPr>
          <w:rFonts w:ascii="Times New Roman" w:hAnsi="Times New Roman"/>
          <w:sz w:val="22"/>
          <w:szCs w:val="22"/>
        </w:rPr>
      </w:pPr>
      <w:r>
        <w:rPr>
          <w:rFonts w:ascii="Times New Roman" w:hAnsi="Times New Roman"/>
          <w:sz w:val="22"/>
          <w:szCs w:val="22"/>
        </w:rPr>
        <w:t xml:space="preserve">– </w:t>
      </w:r>
      <w:r>
        <w:rPr>
          <w:rFonts w:ascii="Times New Roman" w:hAnsi="Times New Roman"/>
          <w:sz w:val="22"/>
          <w:szCs w:val="22"/>
        </w:rPr>
        <w:t>Repuxar e Lançar cabos</w:t>
      </w:r>
      <w:r>
        <w:rPr>
          <w:rFonts w:ascii="Times New Roman" w:hAnsi="Times New Roman"/>
          <w:spacing w:val="-13"/>
          <w:sz w:val="22"/>
          <w:szCs w:val="22"/>
        </w:rPr>
        <w:t xml:space="preserve"> </w:t>
      </w:r>
      <w:r>
        <w:rPr>
          <w:rFonts w:ascii="Times New Roman" w:hAnsi="Times New Roman"/>
          <w:sz w:val="22"/>
          <w:szCs w:val="22"/>
        </w:rPr>
        <w:t>existentes;</w:t>
      </w:r>
    </w:p>
    <w:p>
      <w:pPr>
        <w:pStyle w:val="ListParagraph"/>
        <w:widowControl/>
        <w:numPr>
          <w:ilvl w:val="0"/>
          <w:numId w:val="0"/>
        </w:numPr>
        <w:tabs>
          <w:tab w:val="clear" w:pos="708"/>
          <w:tab w:val="left" w:pos="1045" w:leader="none"/>
        </w:tabs>
        <w:suppressAutoHyphens w:val="true"/>
        <w:bidi w:val="0"/>
        <w:snapToGrid w:val="false"/>
        <w:spacing w:lineRule="auto" w:line="240" w:before="199" w:after="0"/>
        <w:ind w:left="737" w:right="0" w:hanging="0"/>
        <w:jc w:val="left"/>
        <w:textAlignment w:val="baseline"/>
        <w:rPr/>
      </w:pPr>
      <w:r>
        <w:rPr>
          <w:rStyle w:val="Fontepargpadro1"/>
          <w:rFonts w:eastAsia="Times New Roman" w:cs="Times New Roman" w:ascii="Times New Roman" w:hAnsi="Times New Roman"/>
          <w:b w:val="false"/>
          <w:bCs w:val="false"/>
          <w:i w:val="false"/>
          <w:caps w:val="false"/>
          <w:smallCaps w:val="false"/>
          <w:color w:val="1C1C1C"/>
          <w:spacing w:val="0"/>
          <w:sz w:val="22"/>
          <w:szCs w:val="22"/>
          <w:shd w:fill="FFFFFF" w:val="clear"/>
          <w:lang w:eastAsia="ar-SA"/>
        </w:rPr>
        <w:t xml:space="preserve">– </w:t>
      </w:r>
      <w:r>
        <w:rPr>
          <w:rStyle w:val="Fontepargpadro1"/>
          <w:rFonts w:eastAsia="Times New Roman" w:cs="Times New Roman" w:ascii="Times New Roman" w:hAnsi="Times New Roman"/>
          <w:b w:val="false"/>
          <w:bCs w:val="false"/>
          <w:i w:val="false"/>
          <w:caps w:val="false"/>
          <w:smallCaps w:val="false"/>
          <w:color w:val="1C1C1C"/>
          <w:spacing w:val="0"/>
          <w:sz w:val="22"/>
          <w:szCs w:val="22"/>
          <w:shd w:fill="FFFFFF" w:val="clear"/>
          <w:lang w:eastAsia="ar-SA"/>
        </w:rPr>
        <w:t>Retirada de cabo</w:t>
      </w:r>
      <w:r>
        <w:rPr>
          <w:rStyle w:val="Fontepargpadro1"/>
          <w:rFonts w:eastAsia="Times New Roman" w:cs="Times New Roman" w:ascii="Times New Roman" w:hAnsi="Times New Roman"/>
          <w:b w:val="false"/>
          <w:bCs w:val="false"/>
          <w:i w:val="false"/>
          <w:caps w:val="false"/>
          <w:smallCaps w:val="false"/>
          <w:color w:val="1C1C1C"/>
          <w:spacing w:val="1"/>
          <w:sz w:val="22"/>
          <w:szCs w:val="22"/>
          <w:shd w:fill="FFFFFF" w:val="clear"/>
          <w:lang w:eastAsia="ar-SA"/>
        </w:rPr>
        <w:t xml:space="preserve"> </w:t>
      </w:r>
      <w:r>
        <w:rPr>
          <w:rStyle w:val="Fontepargpadro1"/>
          <w:rFonts w:eastAsia="Times New Roman" w:cs="Times New Roman" w:ascii="Times New Roman" w:hAnsi="Times New Roman"/>
          <w:b w:val="false"/>
          <w:bCs w:val="false"/>
          <w:i w:val="false"/>
          <w:caps w:val="false"/>
          <w:smallCaps w:val="false"/>
          <w:color w:val="1C1C1C"/>
          <w:spacing w:val="0"/>
          <w:sz w:val="22"/>
          <w:szCs w:val="22"/>
          <w:shd w:fill="FFFFFF" w:val="clear"/>
          <w:lang w:eastAsia="ar-SA"/>
        </w:rPr>
        <w:t>existente;</w:t>
      </w:r>
    </w:p>
    <w:p>
      <w:pPr>
        <w:pStyle w:val="ListParagraph"/>
        <w:widowControl/>
        <w:numPr>
          <w:ilvl w:val="0"/>
          <w:numId w:val="0"/>
        </w:numPr>
        <w:tabs>
          <w:tab w:val="clear" w:pos="708"/>
          <w:tab w:val="left" w:pos="1045" w:leader="none"/>
        </w:tabs>
        <w:suppressAutoHyphens w:val="true"/>
        <w:bidi w:val="0"/>
        <w:snapToGrid w:val="false"/>
        <w:spacing w:lineRule="auto" w:line="240" w:before="199" w:after="0"/>
        <w:ind w:left="737" w:right="0" w:hanging="0"/>
        <w:jc w:val="left"/>
        <w:textAlignment w:val="baseline"/>
        <w:rPr/>
      </w:pPr>
      <w:r>
        <w:rPr>
          <w:rStyle w:val="Fontepargpadro1"/>
          <w:rFonts w:eastAsia="Times New Roman" w:cs="Times New Roman" w:ascii="Times New Roman" w:hAnsi="Times New Roman"/>
          <w:b w:val="false"/>
          <w:bCs w:val="false"/>
          <w:i w:val="false"/>
          <w:caps w:val="false"/>
          <w:smallCaps w:val="false"/>
          <w:color w:val="1C1C1C"/>
          <w:spacing w:val="0"/>
          <w:sz w:val="22"/>
          <w:szCs w:val="22"/>
          <w:shd w:fill="FFFFFF" w:val="clear"/>
          <w:lang w:eastAsia="ar-SA"/>
        </w:rPr>
        <w:t xml:space="preserve">   </w:t>
      </w:r>
    </w:p>
    <w:p>
      <w:pPr>
        <w:pStyle w:val="ListParagraph"/>
        <w:widowControl/>
        <w:tabs>
          <w:tab w:val="clear" w:pos="708"/>
          <w:tab w:val="left" w:pos="1045" w:leader="none"/>
        </w:tabs>
        <w:snapToGrid w:val="false"/>
        <w:spacing w:lineRule="auto" w:line="240" w:before="199" w:after="0"/>
        <w:ind w:left="0" w:right="0" w:hanging="0"/>
        <w:jc w:val="left"/>
        <w:rPr>
          <w:rStyle w:val="Fontepargpadro1"/>
          <w:rFonts w:ascii="Times New Roman" w:hAnsi="Times New Roman" w:eastAsia="Times New Roman" w:cs="Times New Roman"/>
          <w:b w:val="false"/>
          <w:b w:val="false"/>
          <w:bCs w:val="false"/>
          <w:i w:val="false"/>
          <w:i w:val="false"/>
          <w:caps w:val="false"/>
          <w:smallCaps w:val="false"/>
          <w:color w:val="1C1C1C"/>
          <w:spacing w:val="0"/>
          <w:sz w:val="22"/>
          <w:szCs w:val="22"/>
          <w:highlight w:val="white"/>
          <w:lang w:eastAsia="ar-SA"/>
        </w:rPr>
      </w:pPr>
      <w:r>
        <w:rPr>
          <w:rFonts w:eastAsia="Times New Roman" w:cs="Times New Roman" w:ascii="Times New Roman" w:hAnsi="Times New Roman"/>
          <w:b w:val="false"/>
          <w:bCs w:val="false"/>
          <w:i w:val="false"/>
          <w:caps w:val="false"/>
          <w:smallCaps w:val="false"/>
          <w:color w:val="1C1C1C"/>
          <w:spacing w:val="0"/>
          <w:sz w:val="22"/>
          <w:szCs w:val="22"/>
          <w:highlight w:val="white"/>
          <w:lang w:eastAsia="ar-SA"/>
        </w:rPr>
      </w:r>
    </w:p>
    <w:p>
      <w:pPr>
        <w:pStyle w:val="ListParagraph"/>
        <w:widowControl/>
        <w:tabs>
          <w:tab w:val="clear" w:pos="708"/>
          <w:tab w:val="left" w:pos="1045" w:leader="none"/>
        </w:tabs>
        <w:snapToGrid w:val="false"/>
        <w:spacing w:lineRule="auto" w:line="240" w:before="199" w:after="0"/>
        <w:ind w:left="0" w:right="0" w:hanging="0"/>
        <w:jc w:val="left"/>
        <w:rPr>
          <w:rStyle w:val="Fontepargpadro1"/>
          <w:rFonts w:ascii="Times New Roman" w:hAnsi="Times New Roman" w:eastAsia="Times New Roman" w:cs="Times New Roman"/>
          <w:b w:val="false"/>
          <w:b w:val="false"/>
          <w:bCs w:val="false"/>
          <w:i w:val="false"/>
          <w:i w:val="false"/>
          <w:caps w:val="false"/>
          <w:smallCaps w:val="false"/>
          <w:color w:val="1C1C1C"/>
          <w:spacing w:val="0"/>
          <w:sz w:val="22"/>
          <w:szCs w:val="22"/>
          <w:highlight w:val="white"/>
          <w:lang w:eastAsia="ar-SA"/>
        </w:rPr>
      </w:pPr>
      <w:r>
        <w:rPr>
          <w:rFonts w:eastAsia="Times New Roman" w:cs="Times New Roman" w:ascii="Times New Roman" w:hAnsi="Times New Roman"/>
          <w:b w:val="false"/>
          <w:bCs w:val="false"/>
          <w:i w:val="false"/>
          <w:caps w:val="false"/>
          <w:smallCaps w:val="false"/>
          <w:color w:val="1C1C1C"/>
          <w:spacing w:val="0"/>
          <w:sz w:val="22"/>
          <w:szCs w:val="22"/>
          <w:highlight w:val="white"/>
          <w:lang w:eastAsia="ar-SA"/>
        </w:rPr>
      </w:r>
    </w:p>
    <w:p>
      <w:pPr>
        <w:pStyle w:val="ListParagraph"/>
        <w:widowControl/>
        <w:tabs>
          <w:tab w:val="clear" w:pos="708"/>
          <w:tab w:val="left" w:pos="1045" w:leader="none"/>
        </w:tabs>
        <w:snapToGrid w:val="false"/>
        <w:spacing w:lineRule="auto" w:line="240" w:before="199" w:after="0"/>
        <w:ind w:left="0" w:right="0" w:hanging="0"/>
        <w:jc w:val="left"/>
        <w:rPr>
          <w:rStyle w:val="Fontepargpadro1"/>
          <w:rFonts w:ascii="Times New Roman" w:hAnsi="Times New Roman" w:eastAsia="Times New Roman" w:cs="Times New Roman"/>
          <w:b w:val="false"/>
          <w:b w:val="false"/>
          <w:bCs w:val="false"/>
          <w:i w:val="false"/>
          <w:i w:val="false"/>
          <w:caps w:val="false"/>
          <w:smallCaps w:val="false"/>
          <w:color w:val="1C1C1C"/>
          <w:spacing w:val="0"/>
          <w:sz w:val="22"/>
          <w:szCs w:val="22"/>
          <w:highlight w:val="white"/>
          <w:lang w:eastAsia="ar-SA"/>
        </w:rPr>
      </w:pPr>
      <w:r>
        <w:rPr>
          <w:rFonts w:eastAsia="Times New Roman" w:cs="Times New Roman" w:ascii="Times New Roman" w:hAnsi="Times New Roman"/>
          <w:b w:val="false"/>
          <w:bCs w:val="false"/>
          <w:i w:val="false"/>
          <w:caps w:val="false"/>
          <w:smallCaps w:val="false"/>
          <w:color w:val="1C1C1C"/>
          <w:spacing w:val="0"/>
          <w:sz w:val="22"/>
          <w:szCs w:val="22"/>
          <w:highlight w:val="white"/>
          <w:lang w:eastAsia="ar-SA"/>
        </w:rPr>
      </w:r>
    </w:p>
    <w:p>
      <w:pPr>
        <w:pStyle w:val="ListParagraph"/>
        <w:widowControl/>
        <w:tabs>
          <w:tab w:val="clear" w:pos="708"/>
          <w:tab w:val="left" w:pos="1045" w:leader="none"/>
        </w:tabs>
        <w:snapToGrid w:val="false"/>
        <w:spacing w:lineRule="auto" w:line="240" w:before="199" w:after="0"/>
        <w:ind w:left="0" w:right="0" w:hanging="0"/>
        <w:jc w:val="left"/>
        <w:rPr/>
      </w:pPr>
      <w:r>
        <w:rPr>
          <w:rStyle w:val="Fontepargpadro1"/>
          <w:rFonts w:eastAsia="Times New Roman" w:cs="Times New Roman" w:ascii="Times New Roman" w:hAnsi="Times New Roman"/>
          <w:b/>
          <w:bCs/>
          <w:i w:val="false"/>
          <w:caps w:val="false"/>
          <w:smallCaps w:val="false"/>
          <w:color w:val="1C1C1C"/>
          <w:spacing w:val="0"/>
          <w:sz w:val="22"/>
          <w:szCs w:val="22"/>
          <w:shd w:fill="FFFFFF" w:val="clear"/>
          <w:lang w:eastAsia="ar-SA"/>
        </w:rPr>
        <w:t xml:space="preserve">5.11. </w:t>
      </w:r>
      <w:r>
        <w:rPr>
          <w:rStyle w:val="Fontepargpadro1"/>
          <w:rFonts w:eastAsia="Times New Roman" w:cs="Times New Roman" w:ascii="Times New Roman" w:hAnsi="Times New Roman"/>
          <w:b w:val="false"/>
          <w:bCs w:val="false"/>
          <w:i w:val="false"/>
          <w:caps w:val="false"/>
          <w:smallCaps w:val="false"/>
          <w:color w:val="1C1C1C"/>
          <w:spacing w:val="0"/>
          <w:sz w:val="22"/>
          <w:szCs w:val="22"/>
          <w:shd w:fill="FFFFFF" w:val="clear"/>
          <w:lang w:eastAsia="ar-SA"/>
        </w:rPr>
        <w:t>– Descrição da</w:t>
      </w:r>
      <w:r>
        <w:rPr>
          <w:rStyle w:val="Fontepargpadro1"/>
          <w:rFonts w:eastAsia="Times New Roman" w:cs="Times New Roman" w:ascii="Times New Roman" w:hAnsi="Times New Roman"/>
          <w:b w:val="false"/>
          <w:bCs w:val="false"/>
          <w:i w:val="false"/>
          <w:caps w:val="false"/>
          <w:smallCaps w:val="false"/>
          <w:color w:val="1C1C1C"/>
          <w:spacing w:val="-5"/>
          <w:sz w:val="22"/>
          <w:szCs w:val="22"/>
          <w:shd w:fill="FFFFFF" w:val="clear"/>
          <w:lang w:eastAsia="ar-SA"/>
        </w:rPr>
        <w:t xml:space="preserve"> </w:t>
      </w:r>
      <w:r>
        <w:rPr>
          <w:rStyle w:val="Fontepargpadro1"/>
          <w:rFonts w:eastAsia="Times New Roman" w:cs="Times New Roman" w:ascii="Times New Roman" w:hAnsi="Times New Roman"/>
          <w:b w:val="false"/>
          <w:bCs w:val="false"/>
          <w:i w:val="false"/>
          <w:caps w:val="false"/>
          <w:smallCaps w:val="false"/>
          <w:color w:val="1C1C1C"/>
          <w:spacing w:val="0"/>
          <w:sz w:val="22"/>
          <w:szCs w:val="22"/>
          <w:shd w:fill="FFFFFF" w:val="clear"/>
          <w:lang w:eastAsia="ar-SA"/>
        </w:rPr>
        <w:t>atividade:</w:t>
      </w:r>
    </w:p>
    <w:p>
      <w:pPr>
        <w:pStyle w:val="ListParagraph"/>
        <w:numPr>
          <w:ilvl w:val="0"/>
          <w:numId w:val="0"/>
        </w:numPr>
        <w:tabs>
          <w:tab w:val="clear" w:pos="708"/>
          <w:tab w:val="left" w:pos="1045" w:leader="none"/>
        </w:tabs>
        <w:spacing w:lineRule="auto" w:line="240" w:before="203" w:after="0"/>
        <w:ind w:left="3249" w:right="0" w:hanging="0"/>
        <w:jc w:val="left"/>
        <w:rPr/>
      </w:pPr>
      <w:r>
        <w:rPr>
          <w:rFonts w:ascii="Times New Roman" w:hAnsi="Times New Roman"/>
          <w:sz w:val="22"/>
          <w:szCs w:val="22"/>
        </w:rPr>
        <w:t xml:space="preserve">– </w:t>
      </w:r>
      <w:r>
        <w:rPr>
          <w:rFonts w:ascii="Times New Roman" w:hAnsi="Times New Roman"/>
          <w:sz w:val="22"/>
          <w:szCs w:val="22"/>
        </w:rPr>
        <w:t>Atendimento do Deposito e Toca da</w:t>
      </w:r>
      <w:r>
        <w:rPr>
          <w:rFonts w:ascii="Times New Roman" w:hAnsi="Times New Roman"/>
          <w:spacing w:val="-4"/>
          <w:sz w:val="22"/>
          <w:szCs w:val="22"/>
        </w:rPr>
        <w:t xml:space="preserve"> O</w:t>
      </w:r>
      <w:r>
        <w:rPr>
          <w:rFonts w:ascii="Times New Roman" w:hAnsi="Times New Roman"/>
          <w:sz w:val="22"/>
          <w:szCs w:val="22"/>
        </w:rPr>
        <w:t>nça;</w:t>
      </w:r>
    </w:p>
    <w:p>
      <w:pPr>
        <w:pStyle w:val="Corpodotexto"/>
        <w:numPr>
          <w:ilvl w:val="0"/>
          <w:numId w:val="2"/>
        </w:numPr>
        <w:spacing w:lineRule="auto" w:line="276" w:before="195" w:after="0"/>
        <w:jc w:val="left"/>
        <w:rPr>
          <w:rFonts w:ascii="Times New Roman" w:hAnsi="Times New Roman"/>
          <w:sz w:val="22"/>
          <w:szCs w:val="22"/>
        </w:rPr>
      </w:pPr>
      <w:r>
        <w:rPr>
          <w:rFonts w:ascii="Times New Roman" w:hAnsi="Times New Roman"/>
          <w:sz w:val="22"/>
          <w:szCs w:val="22"/>
        </w:rPr>
        <w:t>Instalação de ferragem e lançamento de 930 metros de cabo óptico 06 fo aéreo da caixa de emenda existente até o rack do deposito e será instalado uma nova caixa de emenda na frente da toca da onça para atendimento do mesmo, na qual será feito 4 fusões na caixa de emenda existente e 2 fusões no mini DIO do deposito e 2 fusões no mini DIO da toca da</w:t>
      </w:r>
      <w:r>
        <w:rPr>
          <w:rFonts w:ascii="Times New Roman" w:hAnsi="Times New Roman"/>
          <w:spacing w:val="-27"/>
          <w:sz w:val="22"/>
          <w:szCs w:val="22"/>
        </w:rPr>
        <w:t xml:space="preserve"> </w:t>
      </w:r>
      <w:r>
        <w:rPr>
          <w:rFonts w:ascii="Times New Roman" w:hAnsi="Times New Roman"/>
          <w:sz w:val="22"/>
          <w:szCs w:val="22"/>
        </w:rPr>
        <w:t>onça.</w:t>
      </w:r>
    </w:p>
    <w:p>
      <w:pPr>
        <w:pStyle w:val="ListParagraph"/>
        <w:numPr>
          <w:ilvl w:val="0"/>
          <w:numId w:val="0"/>
        </w:numPr>
        <w:tabs>
          <w:tab w:val="clear" w:pos="708"/>
          <w:tab w:val="left" w:pos="1045" w:leader="none"/>
        </w:tabs>
        <w:spacing w:lineRule="auto" w:line="240" w:before="93" w:after="0"/>
        <w:ind w:left="3249" w:right="0" w:hanging="0"/>
        <w:jc w:val="left"/>
        <w:rPr/>
      </w:pPr>
      <w:r>
        <w:rPr>
          <w:rFonts w:ascii="Times New Roman" w:hAnsi="Times New Roman"/>
          <w:sz w:val="22"/>
          <w:szCs w:val="22"/>
        </w:rPr>
        <w:t xml:space="preserve"> </w:t>
      </w:r>
      <w:r>
        <w:rPr>
          <w:rFonts w:ascii="Times New Roman" w:hAnsi="Times New Roman"/>
          <w:sz w:val="22"/>
          <w:szCs w:val="22"/>
        </w:rPr>
        <w:t>Atendimento da casa do</w:t>
      </w:r>
      <w:r>
        <w:rPr>
          <w:rFonts w:ascii="Times New Roman" w:hAnsi="Times New Roman"/>
          <w:spacing w:val="-1"/>
          <w:sz w:val="22"/>
          <w:szCs w:val="22"/>
        </w:rPr>
        <w:t xml:space="preserve"> C</w:t>
      </w:r>
      <w:r>
        <w:rPr>
          <w:rFonts w:ascii="Times New Roman" w:hAnsi="Times New Roman"/>
          <w:sz w:val="22"/>
          <w:szCs w:val="22"/>
        </w:rPr>
        <w:t>omandante;</w:t>
      </w:r>
    </w:p>
    <w:p>
      <w:pPr>
        <w:pStyle w:val="Corpodotexto"/>
        <w:numPr>
          <w:ilvl w:val="0"/>
          <w:numId w:val="2"/>
        </w:numPr>
        <w:spacing w:lineRule="auto" w:line="276" w:before="195" w:after="0"/>
        <w:jc w:val="left"/>
        <w:rPr>
          <w:rFonts w:ascii="Times New Roman" w:hAnsi="Times New Roman"/>
          <w:sz w:val="22"/>
          <w:szCs w:val="22"/>
        </w:rPr>
      </w:pPr>
      <w:r>
        <w:rPr>
          <w:rFonts w:ascii="Times New Roman" w:hAnsi="Times New Roman"/>
          <w:sz w:val="22"/>
          <w:szCs w:val="22"/>
        </w:rPr>
        <w:t>Lançamento de 330 metros de cabo óptico 06 fo aéreo da caixa de emenda que será implantado até a casa do comandante, onde será feito também a instalação de uma caixa de emenda e fusionado as fibras na mesma e 2 fibras no mini DIO na casa do comandante.</w:t>
      </w:r>
    </w:p>
    <w:p>
      <w:pPr>
        <w:pStyle w:val="Corpodotexto"/>
        <w:jc w:val="left"/>
        <w:rPr>
          <w:rFonts w:ascii="Times New Roman" w:hAnsi="Times New Roman"/>
          <w:sz w:val="22"/>
          <w:szCs w:val="22"/>
        </w:rPr>
      </w:pPr>
      <w:r>
        <w:rPr>
          <w:rFonts w:ascii="Times New Roman" w:hAnsi="Times New Roman"/>
          <w:sz w:val="22"/>
          <w:szCs w:val="22"/>
        </w:rPr>
      </w:r>
    </w:p>
    <w:p>
      <w:pPr>
        <w:pStyle w:val="ListParagraph"/>
        <w:numPr>
          <w:ilvl w:val="0"/>
          <w:numId w:val="0"/>
        </w:numPr>
        <w:tabs>
          <w:tab w:val="clear" w:pos="708"/>
          <w:tab w:val="left" w:pos="1045" w:leader="none"/>
        </w:tabs>
        <w:spacing w:lineRule="auto" w:line="240" w:before="156" w:after="0"/>
        <w:ind w:left="3249" w:right="0" w:hanging="0"/>
        <w:jc w:val="left"/>
        <w:rPr>
          <w:rFonts w:ascii="Times New Roman" w:hAnsi="Times New Roman"/>
          <w:sz w:val="22"/>
          <w:szCs w:val="22"/>
        </w:rPr>
      </w:pPr>
      <w:r>
        <w:rPr>
          <w:rFonts w:ascii="Times New Roman" w:hAnsi="Times New Roman"/>
          <w:sz w:val="22"/>
          <w:szCs w:val="22"/>
        </w:rPr>
        <w:t xml:space="preserve"> </w:t>
      </w:r>
      <w:r>
        <w:rPr>
          <w:rFonts w:ascii="Times New Roman" w:hAnsi="Times New Roman"/>
          <w:sz w:val="22"/>
          <w:szCs w:val="22"/>
        </w:rPr>
        <w:t>Atendimento da CIA</w:t>
      </w:r>
      <w:r>
        <w:rPr>
          <w:rFonts w:ascii="Times New Roman" w:hAnsi="Times New Roman"/>
          <w:spacing w:val="-1"/>
          <w:sz w:val="22"/>
          <w:szCs w:val="22"/>
        </w:rPr>
        <w:t xml:space="preserve"> </w:t>
      </w:r>
      <w:r>
        <w:rPr>
          <w:rFonts w:ascii="Times New Roman" w:hAnsi="Times New Roman"/>
          <w:sz w:val="22"/>
          <w:szCs w:val="22"/>
        </w:rPr>
        <w:t>C/22ª Bda Inf Sl;</w:t>
      </w:r>
    </w:p>
    <w:p>
      <w:pPr>
        <w:pStyle w:val="Corpodotexto"/>
        <w:numPr>
          <w:ilvl w:val="0"/>
          <w:numId w:val="2"/>
        </w:numPr>
        <w:spacing w:before="199" w:after="0"/>
        <w:jc w:val="left"/>
        <w:rPr>
          <w:rFonts w:ascii="Times New Roman" w:hAnsi="Times New Roman"/>
          <w:sz w:val="22"/>
          <w:szCs w:val="22"/>
        </w:rPr>
      </w:pPr>
      <w:r>
        <w:rPr>
          <w:rFonts w:ascii="Times New Roman" w:hAnsi="Times New Roman"/>
          <w:sz w:val="22"/>
          <w:szCs w:val="22"/>
        </w:rPr>
        <w:t>Lançamento de 350 metros do cabo óptico 06 fo subterrâneo da sala da T.I para a sala de T.I da cia c na qual será feito também 4 fusões no mini DIO na sala de T.I da CIA C e na caixa de emenda que será</w:t>
      </w:r>
      <w:r>
        <w:rPr>
          <w:rFonts w:ascii="Times New Roman" w:hAnsi="Times New Roman"/>
          <w:spacing w:val="-1"/>
          <w:sz w:val="22"/>
          <w:szCs w:val="22"/>
        </w:rPr>
        <w:t xml:space="preserve"> </w:t>
      </w:r>
      <w:r>
        <w:rPr>
          <w:rFonts w:ascii="Times New Roman" w:hAnsi="Times New Roman"/>
          <w:sz w:val="22"/>
          <w:szCs w:val="22"/>
        </w:rPr>
        <w:t>implantado.</w:t>
      </w:r>
    </w:p>
    <w:p>
      <w:pPr>
        <w:pStyle w:val="Corpodotexto"/>
        <w:numPr>
          <w:ilvl w:val="0"/>
          <w:numId w:val="0"/>
        </w:numPr>
        <w:spacing w:before="11" w:after="0"/>
        <w:ind w:left="1854" w:hanging="0"/>
        <w:jc w:val="left"/>
        <w:rPr>
          <w:rFonts w:ascii="Times New Roman" w:hAnsi="Times New Roman"/>
          <w:sz w:val="22"/>
          <w:szCs w:val="22"/>
        </w:rPr>
      </w:pPr>
      <w:r>
        <w:rPr>
          <w:rFonts w:ascii="Times New Roman" w:hAnsi="Times New Roman"/>
          <w:sz w:val="22"/>
          <w:szCs w:val="22"/>
        </w:rPr>
      </w:r>
    </w:p>
    <w:p>
      <w:pPr>
        <w:pStyle w:val="ListParagraph"/>
        <w:numPr>
          <w:ilvl w:val="0"/>
          <w:numId w:val="0"/>
        </w:numPr>
        <w:tabs>
          <w:tab w:val="clear" w:pos="708"/>
          <w:tab w:val="left" w:pos="1045" w:leader="none"/>
        </w:tabs>
        <w:spacing w:lineRule="auto" w:line="240" w:before="170" w:after="0"/>
        <w:ind w:left="3249" w:right="0" w:hanging="0"/>
        <w:jc w:val="left"/>
        <w:rPr>
          <w:rFonts w:ascii="Times New Roman" w:hAnsi="Times New Roman"/>
          <w:sz w:val="22"/>
          <w:szCs w:val="22"/>
        </w:rPr>
      </w:pPr>
      <w:r>
        <w:rPr>
          <w:rFonts w:ascii="Times New Roman" w:hAnsi="Times New Roman"/>
          <w:sz w:val="22"/>
          <w:szCs w:val="22"/>
        </w:rPr>
        <w:t>Cabo de atendimento externo da</w:t>
      </w:r>
      <w:r>
        <w:rPr>
          <w:rFonts w:ascii="Times New Roman" w:hAnsi="Times New Roman"/>
          <w:spacing w:val="-9"/>
          <w:sz w:val="22"/>
          <w:szCs w:val="22"/>
        </w:rPr>
        <w:t xml:space="preserve"> </w:t>
      </w:r>
      <w:r>
        <w:rPr>
          <w:rFonts w:ascii="Times New Roman" w:hAnsi="Times New Roman"/>
          <w:sz w:val="22"/>
          <w:szCs w:val="22"/>
        </w:rPr>
        <w:t>T.I;</w:t>
      </w:r>
    </w:p>
    <w:p>
      <w:pPr>
        <w:pStyle w:val="Corpodotexto"/>
        <w:numPr>
          <w:ilvl w:val="0"/>
          <w:numId w:val="2"/>
        </w:numPr>
        <w:spacing w:lineRule="auto" w:line="276" w:before="198" w:after="0"/>
        <w:jc w:val="left"/>
        <w:rPr>
          <w:rFonts w:ascii="Times New Roman" w:hAnsi="Times New Roman"/>
          <w:sz w:val="22"/>
          <w:szCs w:val="22"/>
        </w:rPr>
      </w:pPr>
      <w:r>
        <w:rPr>
          <w:rFonts w:ascii="Times New Roman" w:hAnsi="Times New Roman"/>
          <w:sz w:val="22"/>
          <w:szCs w:val="22"/>
        </w:rPr>
        <w:t>Lançamento de 300 metros de um cabo óptico 24 fo subterrâneo da caixa de emenda nova que será instalado na caixa de passagem próximo a sala de T.I ( ceo_02) até a caixa de emenda nova na entrada do quartel ( ceo_01) para unificar os quatros cabos aéreo e em seguida fazer 20 fusões na ceo_01 e 24 fusões na ceo_02 que ficará na caixa de passagem.</w:t>
      </w:r>
    </w:p>
    <w:p>
      <w:pPr>
        <w:pStyle w:val="Corpodotexto"/>
        <w:numPr>
          <w:ilvl w:val="0"/>
          <w:numId w:val="2"/>
        </w:numPr>
        <w:spacing w:before="4" w:after="0"/>
        <w:jc w:val="left"/>
        <w:rPr>
          <w:rFonts w:ascii="Times New Roman" w:hAnsi="Times New Roman"/>
          <w:sz w:val="22"/>
          <w:szCs w:val="22"/>
        </w:rPr>
      </w:pPr>
      <w:r>
        <w:rPr>
          <w:rFonts w:ascii="Times New Roman" w:hAnsi="Times New Roman"/>
          <w:sz w:val="22"/>
          <w:szCs w:val="22"/>
        </w:rPr>
      </w:r>
    </w:p>
    <w:p>
      <w:pPr>
        <w:pStyle w:val="ListParagraph"/>
        <w:numPr>
          <w:ilvl w:val="0"/>
          <w:numId w:val="0"/>
        </w:numPr>
        <w:tabs>
          <w:tab w:val="clear" w:pos="708"/>
          <w:tab w:val="left" w:pos="1045" w:leader="none"/>
        </w:tabs>
        <w:spacing w:lineRule="auto" w:line="240" w:before="93" w:after="0"/>
        <w:ind w:left="3249" w:right="0" w:hanging="0"/>
        <w:jc w:val="left"/>
        <w:rPr>
          <w:rFonts w:ascii="Times New Roman" w:hAnsi="Times New Roman"/>
          <w:sz w:val="22"/>
          <w:szCs w:val="22"/>
        </w:rPr>
      </w:pPr>
      <w:r>
        <w:rPr>
          <w:rFonts w:ascii="Times New Roman" w:hAnsi="Times New Roman"/>
          <w:sz w:val="22"/>
          <w:szCs w:val="22"/>
        </w:rPr>
        <w:t>Cabo de atendimento interno da</w:t>
      </w:r>
      <w:r>
        <w:rPr>
          <w:rFonts w:ascii="Times New Roman" w:hAnsi="Times New Roman"/>
          <w:spacing w:val="-6"/>
          <w:sz w:val="22"/>
          <w:szCs w:val="22"/>
        </w:rPr>
        <w:t xml:space="preserve"> </w:t>
      </w:r>
      <w:r>
        <w:rPr>
          <w:rFonts w:ascii="Times New Roman" w:hAnsi="Times New Roman"/>
          <w:sz w:val="22"/>
          <w:szCs w:val="22"/>
        </w:rPr>
        <w:t>T.I;</w:t>
      </w:r>
    </w:p>
    <w:p>
      <w:pPr>
        <w:pStyle w:val="Corpodotexto"/>
        <w:numPr>
          <w:ilvl w:val="0"/>
          <w:numId w:val="2"/>
        </w:numPr>
        <w:spacing w:lineRule="auto" w:line="276" w:before="199" w:after="0"/>
        <w:jc w:val="left"/>
        <w:rPr>
          <w:rFonts w:ascii="Times New Roman" w:hAnsi="Times New Roman"/>
          <w:sz w:val="22"/>
          <w:szCs w:val="22"/>
        </w:rPr>
      </w:pPr>
      <w:r>
        <w:rPr>
          <w:rFonts w:ascii="Times New Roman" w:hAnsi="Times New Roman"/>
          <w:sz w:val="22"/>
          <w:szCs w:val="22"/>
        </w:rPr>
        <w:t>Lançamento de 80 metros de um cabo óptico 36 fo subterrâneo da caixa de passagem até a sala de T.I para futuros atendimento interno dos outros setores para que seja evitada a entrada de vários cabos na sala de T.I, desta forma será feito emenda na ceo_02 de acordo com a informação na atividade 2.4 em seguida instalar o novo DIO 36f e fazer as 36 fusões, tendo 12 fibras de backup e 24 fibras em uso.</w:t>
      </w:r>
    </w:p>
    <w:p>
      <w:pPr>
        <w:pStyle w:val="Corpodotexto"/>
        <w:numPr>
          <w:ilvl w:val="0"/>
          <w:numId w:val="0"/>
        </w:numPr>
        <w:spacing w:before="4" w:after="0"/>
        <w:ind w:left="1854" w:hanging="0"/>
        <w:jc w:val="left"/>
        <w:rPr>
          <w:rFonts w:ascii="Times New Roman" w:hAnsi="Times New Roman"/>
          <w:sz w:val="22"/>
          <w:szCs w:val="22"/>
        </w:rPr>
      </w:pPr>
      <w:r>
        <w:rPr>
          <w:rFonts w:ascii="Times New Roman" w:hAnsi="Times New Roman"/>
          <w:sz w:val="22"/>
          <w:szCs w:val="22"/>
        </w:rPr>
      </w:r>
    </w:p>
    <w:p>
      <w:pPr>
        <w:pStyle w:val="Corpodotexto"/>
        <w:spacing w:before="9" w:after="0"/>
        <w:jc w:val="left"/>
        <w:rPr>
          <w:rFonts w:ascii="Times New Roman" w:hAnsi="Times New Roman"/>
          <w:sz w:val="22"/>
          <w:szCs w:val="22"/>
        </w:rPr>
      </w:pPr>
      <w:r>
        <w:rPr>
          <w:rFonts w:ascii="Times New Roman" w:hAnsi="Times New Roman"/>
          <w:sz w:val="22"/>
          <w:szCs w:val="22"/>
        </w:rPr>
      </w:r>
    </w:p>
    <w:p>
      <w:pPr>
        <w:pStyle w:val="ListParagraph"/>
        <w:numPr>
          <w:ilvl w:val="0"/>
          <w:numId w:val="0"/>
        </w:numPr>
        <w:tabs>
          <w:tab w:val="clear" w:pos="708"/>
          <w:tab w:val="left" w:pos="1045" w:leader="none"/>
        </w:tabs>
        <w:spacing w:lineRule="auto" w:line="240" w:before="1" w:after="0"/>
        <w:ind w:left="3249" w:right="0" w:hanging="0"/>
        <w:jc w:val="left"/>
        <w:rPr>
          <w:rFonts w:ascii="Times New Roman" w:hAnsi="Times New Roman"/>
          <w:sz w:val="22"/>
          <w:szCs w:val="22"/>
        </w:rPr>
      </w:pPr>
      <w:r>
        <w:rPr>
          <w:rFonts w:ascii="Times New Roman" w:hAnsi="Times New Roman"/>
          <w:sz w:val="22"/>
          <w:szCs w:val="22"/>
        </w:rPr>
        <w:t>Repuxar e</w:t>
      </w:r>
      <w:r>
        <w:rPr>
          <w:rFonts w:ascii="Times New Roman" w:hAnsi="Times New Roman"/>
          <w:spacing w:val="-4"/>
          <w:sz w:val="22"/>
          <w:szCs w:val="22"/>
        </w:rPr>
        <w:t xml:space="preserve"> </w:t>
      </w:r>
      <w:r>
        <w:rPr>
          <w:rFonts w:ascii="Times New Roman" w:hAnsi="Times New Roman"/>
          <w:sz w:val="22"/>
          <w:szCs w:val="22"/>
        </w:rPr>
        <w:t>Lançar;</w:t>
      </w:r>
    </w:p>
    <w:p>
      <w:pPr>
        <w:pStyle w:val="Corpodotexto"/>
        <w:numPr>
          <w:ilvl w:val="0"/>
          <w:numId w:val="2"/>
        </w:numPr>
        <w:spacing w:lineRule="auto" w:line="259" w:before="199" w:after="0"/>
        <w:jc w:val="left"/>
        <w:rPr>
          <w:rFonts w:ascii="Times New Roman" w:hAnsi="Times New Roman"/>
          <w:sz w:val="22"/>
          <w:szCs w:val="22"/>
        </w:rPr>
      </w:pPr>
      <w:r>
        <w:rPr>
          <w:rFonts w:ascii="Times New Roman" w:hAnsi="Times New Roman"/>
          <w:sz w:val="22"/>
          <w:szCs w:val="22"/>
        </w:rPr>
        <w:t>Nessa atividade consiste em repuxar os cabos do Prodap, Subestação e 34 BIS da sala de T.I cerca de 350 metros cada cabo, em seguida relançar até a caixa de emenda cerca de 150 metros os três cabos.</w:t>
      </w:r>
    </w:p>
    <w:p>
      <w:pPr>
        <w:pStyle w:val="ListParagraph"/>
        <w:numPr>
          <w:ilvl w:val="0"/>
          <w:numId w:val="0"/>
        </w:numPr>
        <w:tabs>
          <w:tab w:val="clear" w:pos="708"/>
          <w:tab w:val="left" w:pos="1045" w:leader="none"/>
        </w:tabs>
        <w:spacing w:lineRule="auto" w:line="240" w:before="93" w:after="0"/>
        <w:ind w:left="3249" w:right="0" w:hanging="0"/>
        <w:jc w:val="left"/>
        <w:rPr>
          <w:rFonts w:ascii="Times New Roman" w:hAnsi="Times New Roman"/>
          <w:sz w:val="22"/>
          <w:szCs w:val="22"/>
        </w:rPr>
      </w:pPr>
      <w:r>
        <w:rPr>
          <w:rFonts w:ascii="Times New Roman" w:hAnsi="Times New Roman"/>
          <w:sz w:val="22"/>
          <w:szCs w:val="22"/>
        </w:rPr>
      </w:r>
    </w:p>
    <w:p>
      <w:pPr>
        <w:pStyle w:val="ListParagraph"/>
        <w:numPr>
          <w:ilvl w:val="0"/>
          <w:numId w:val="0"/>
        </w:numPr>
        <w:tabs>
          <w:tab w:val="clear" w:pos="708"/>
          <w:tab w:val="left" w:pos="1045" w:leader="none"/>
        </w:tabs>
        <w:spacing w:lineRule="auto" w:line="240" w:before="93" w:after="0"/>
        <w:ind w:left="3249" w:right="0" w:hanging="0"/>
        <w:jc w:val="left"/>
        <w:rPr/>
      </w:pPr>
      <w:r>
        <w:rPr>
          <w:rFonts w:ascii="Times New Roman" w:hAnsi="Times New Roman"/>
          <w:sz w:val="22"/>
          <w:szCs w:val="22"/>
        </w:rPr>
        <w:t>Retirada de</w:t>
      </w:r>
      <w:r>
        <w:rPr>
          <w:rFonts w:ascii="Times New Roman" w:hAnsi="Times New Roman"/>
          <w:spacing w:val="-1"/>
          <w:sz w:val="22"/>
          <w:szCs w:val="22"/>
        </w:rPr>
        <w:t xml:space="preserve"> </w:t>
      </w:r>
      <w:r>
        <w:rPr>
          <w:rFonts w:ascii="Times New Roman" w:hAnsi="Times New Roman"/>
          <w:sz w:val="22"/>
          <w:szCs w:val="22"/>
        </w:rPr>
        <w:t>cabo;</w:t>
      </w:r>
    </w:p>
    <w:p>
      <w:pPr>
        <w:pStyle w:val="ListParagraph"/>
        <w:numPr>
          <w:ilvl w:val="0"/>
          <w:numId w:val="0"/>
        </w:numPr>
        <w:tabs>
          <w:tab w:val="clear" w:pos="708"/>
          <w:tab w:val="left" w:pos="1045" w:leader="none"/>
        </w:tabs>
        <w:spacing w:lineRule="auto" w:line="240" w:before="93" w:after="0"/>
        <w:ind w:left="3249" w:right="0" w:hanging="0"/>
        <w:jc w:val="left"/>
        <w:rPr/>
      </w:pPr>
      <w:r>
        <w:rPr>
          <w:rStyle w:val="Fontepargpadro1"/>
          <w:rFonts w:eastAsia="Times New Roman" w:cs="Times New Roman" w:ascii="Times New Roman" w:hAnsi="Times New Roman"/>
          <w:b w:val="false"/>
          <w:bCs w:val="false"/>
          <w:i w:val="false"/>
          <w:caps w:val="false"/>
          <w:smallCaps w:val="false"/>
          <w:color w:val="1C1C1C"/>
          <w:spacing w:val="0"/>
          <w:sz w:val="22"/>
          <w:szCs w:val="22"/>
          <w:shd w:fill="FFFFFF" w:val="clear"/>
          <w:lang w:eastAsia="ar-SA"/>
        </w:rPr>
        <w:t xml:space="preserve">             </w:t>
      </w:r>
    </w:p>
    <w:p>
      <w:pPr>
        <w:pStyle w:val="ListParagraph"/>
        <w:widowControl/>
        <w:numPr>
          <w:ilvl w:val="0"/>
          <w:numId w:val="0"/>
        </w:numPr>
        <w:tabs>
          <w:tab w:val="clear" w:pos="708"/>
          <w:tab w:val="left" w:pos="1045" w:leader="none"/>
        </w:tabs>
        <w:suppressAutoHyphens w:val="true"/>
        <w:bidi w:val="0"/>
        <w:spacing w:lineRule="auto" w:line="240" w:before="93" w:after="0"/>
        <w:ind w:left="1474" w:right="0" w:hanging="0"/>
        <w:jc w:val="left"/>
        <w:textAlignment w:val="baseline"/>
        <w:rPr/>
      </w:pPr>
      <w:r>
        <w:rPr>
          <w:rStyle w:val="Fontepargpadro1"/>
          <w:rFonts w:eastAsia="Times New Roman" w:cs="Times New Roman" w:ascii="Times New Roman" w:hAnsi="Times New Roman"/>
          <w:b w:val="false"/>
          <w:bCs w:val="false"/>
          <w:i w:val="false"/>
          <w:caps w:val="false"/>
          <w:smallCaps w:val="false"/>
          <w:color w:val="1C1C1C"/>
          <w:spacing w:val="0"/>
          <w:sz w:val="22"/>
          <w:szCs w:val="22"/>
          <w:shd w:fill="FFFFFF" w:val="clear"/>
          <w:lang w:eastAsia="ar-SA"/>
        </w:rPr>
        <w:t>-       Essa atividade consiste em retirar o cabo existente da Cia c e da casa do comandante, totalizando 650 metros.</w:t>
      </w:r>
    </w:p>
    <w:p>
      <w:pPr>
        <w:pStyle w:val="ListParagraph"/>
        <w:widowControl/>
        <w:tabs>
          <w:tab w:val="clear" w:pos="708"/>
          <w:tab w:val="left" w:pos="1045" w:leader="none"/>
        </w:tabs>
        <w:snapToGrid w:val="false"/>
        <w:spacing w:lineRule="auto" w:line="240" w:before="199" w:after="0"/>
        <w:ind w:left="0" w:right="0" w:hanging="0"/>
        <w:jc w:val="left"/>
        <w:rPr>
          <w:rStyle w:val="Fontepargpadro1"/>
          <w:rFonts w:ascii="Times New Roman" w:hAnsi="Times New Roman" w:eastAsia="Times New Roman" w:cs="Times New Roman"/>
          <w:b w:val="false"/>
          <w:b w:val="false"/>
          <w:bCs w:val="false"/>
          <w:i w:val="false"/>
          <w:i w:val="false"/>
          <w:caps w:val="false"/>
          <w:smallCaps w:val="false"/>
          <w:color w:val="1C1C1C"/>
          <w:spacing w:val="0"/>
          <w:sz w:val="24"/>
          <w:szCs w:val="24"/>
          <w:highlight w:val="white"/>
          <w:lang w:eastAsia="ar-SA"/>
        </w:rPr>
      </w:pPr>
      <w:r>
        <w:rPr>
          <w:rFonts w:eastAsia="Times New Roman" w:cs="Times New Roman" w:ascii="Times New Roman" w:hAnsi="Times New Roman"/>
          <w:b w:val="false"/>
          <w:bCs w:val="false"/>
          <w:i w:val="false"/>
          <w:caps w:val="false"/>
          <w:smallCaps w:val="false"/>
          <w:color w:val="1C1C1C"/>
          <w:spacing w:val="0"/>
          <w:sz w:val="24"/>
          <w:szCs w:val="24"/>
          <w:highlight w:val="white"/>
          <w:lang w:eastAsia="ar-SA"/>
        </w:rPr>
      </w:r>
    </w:p>
    <w:p>
      <w:pPr>
        <w:pStyle w:val="Standard"/>
        <w:widowControl/>
        <w:numPr>
          <w:ilvl w:val="0"/>
          <w:numId w:val="1"/>
        </w:numPr>
        <w:tabs>
          <w:tab w:val="clear" w:pos="708"/>
          <w:tab w:val="left" w:pos="283" w:leader="none"/>
        </w:tabs>
        <w:suppressAutoHyphens w:val="false"/>
        <w:snapToGrid w:val="false"/>
        <w:spacing w:lineRule="auto" w:line="360" w:before="120" w:after="120"/>
        <w:ind w:left="0" w:hanging="0"/>
        <w:jc w:val="both"/>
        <w:rPr/>
      </w:pPr>
      <w:r>
        <w:rPr>
          <w:rFonts w:eastAsia="Times New Roman" w:cs="Times New Roman" w:ascii="Times New Roman" w:hAnsi="Times New Roman"/>
          <w:b/>
          <w:bCs/>
          <w:sz w:val="22"/>
          <w:szCs w:val="22"/>
        </w:rPr>
        <w:t>OBRIGAÇÕES DA CONTRATANTE:</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sz w:val="22"/>
          <w:szCs w:val="22"/>
          <w:lang w:eastAsia="en-US"/>
        </w:rPr>
        <w:t xml:space="preserve">6.1. </w:t>
      </w:r>
      <w:r>
        <w:rPr>
          <w:rStyle w:val="Fontepargpadro1"/>
          <w:rFonts w:eastAsia="Times New Roman" w:cs="Times New Roman" w:ascii="Times New Roman" w:hAnsi="Times New Roman"/>
          <w:sz w:val="22"/>
          <w:szCs w:val="22"/>
          <w:lang w:eastAsia="en-US"/>
        </w:rPr>
        <w:t>Acompanhar e fiscalizar o cumprimento das obrigações da Contratada, através de comissão/servidor especialmente designado;</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sz w:val="22"/>
          <w:szCs w:val="22"/>
          <w:lang w:eastAsia="en-US"/>
        </w:rPr>
        <w:t xml:space="preserve">6.2. </w:t>
      </w:r>
      <w:r>
        <w:rPr>
          <w:rStyle w:val="Fontepargpadro1"/>
          <w:rFonts w:eastAsia="Times New Roman" w:cs="Times New Roman" w:ascii="Times New Roman" w:hAnsi="Times New Roman"/>
          <w:sz w:val="22"/>
          <w:szCs w:val="22"/>
          <w:lang w:eastAsia="en-US"/>
        </w:rPr>
        <w:t>Efetuar o pagamento à Contratada no valor correspondente ao fornecimento do objeto, no prazo e forma estabelecidos;</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sz w:val="22"/>
          <w:szCs w:val="22"/>
          <w:lang w:eastAsia="en-US"/>
        </w:rPr>
        <w:t>6.3.</w:t>
      </w:r>
      <w:r>
        <w:rPr>
          <w:rStyle w:val="Fontepargpadro1"/>
          <w:rFonts w:eastAsia="Times New Roman" w:cs="Times New Roman" w:ascii="Times New Roman" w:hAnsi="Times New Roman"/>
          <w:sz w:val="22"/>
          <w:szCs w:val="22"/>
          <w:lang w:eastAsia="en-US"/>
        </w:rPr>
        <w:t xml:space="preserve">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pPr>
        <w:pStyle w:val="Standard"/>
        <w:widowControl/>
        <w:tabs>
          <w:tab w:val="clear" w:pos="708"/>
          <w:tab w:val="left" w:pos="283" w:leader="none"/>
        </w:tabs>
        <w:suppressAutoHyphens w:val="false"/>
        <w:snapToGrid w:val="false"/>
        <w:spacing w:lineRule="auto" w:line="360" w:before="120" w:after="120"/>
        <w:jc w:val="both"/>
        <w:rPr>
          <w:rFonts w:ascii="Times New Roman" w:hAnsi="Times New Roman" w:eastAsia="Times New Roman" w:cs="Times New Roman"/>
          <w:b/>
          <w:b/>
          <w:bCs/>
          <w:sz w:val="22"/>
          <w:szCs w:val="22"/>
        </w:rPr>
      </w:pPr>
      <w:r>
        <w:rPr>
          <w:rFonts w:eastAsia="Times New Roman" w:cs="Times New Roman" w:ascii="Times New Roman" w:hAnsi="Times New Roman"/>
          <w:b/>
          <w:bCs/>
          <w:sz w:val="22"/>
          <w:szCs w:val="22"/>
        </w:rPr>
      </w:r>
    </w:p>
    <w:p>
      <w:pPr>
        <w:pStyle w:val="Standard"/>
        <w:widowControl/>
        <w:tabs>
          <w:tab w:val="clear" w:pos="708"/>
          <w:tab w:val="left" w:pos="283" w:leader="none"/>
        </w:tabs>
        <w:suppressAutoHyphens w:val="false"/>
        <w:snapToGrid w:val="false"/>
        <w:spacing w:lineRule="auto" w:line="360" w:before="120" w:after="120"/>
        <w:jc w:val="both"/>
        <w:rPr/>
      </w:pPr>
      <w:r>
        <w:rPr>
          <w:rStyle w:val="Fontepargpadro1"/>
          <w:rFonts w:eastAsia="Times New Roman" w:cs="Times New Roman" w:ascii="Times New Roman" w:hAnsi="Times New Roman"/>
          <w:b/>
          <w:bCs/>
          <w:sz w:val="22"/>
          <w:szCs w:val="22"/>
        </w:rPr>
        <w:t>7. RESPONSÁVEL PELO PLANEJAMENTO DA CONTRATAÇÃO E FISCALIZAÇÃO DAS CONDIÇÕES DE ENTREGA: 2</w:t>
      </w:r>
      <w:r>
        <w:rPr>
          <w:rStyle w:val="Fontepargpadro1"/>
          <w:rFonts w:eastAsia="Times New Roman" w:cs="Times New Roman" w:ascii="Times New Roman" w:hAnsi="Times New Roman"/>
          <w:sz w:val="22"/>
          <w:szCs w:val="22"/>
        </w:rPr>
        <w:t>° Ten S Rocha</w:t>
      </w:r>
    </w:p>
    <w:p>
      <w:pPr>
        <w:pStyle w:val="Standard"/>
        <w:tabs>
          <w:tab w:val="clear" w:pos="708"/>
          <w:tab w:val="left" w:pos="788" w:leader="none"/>
        </w:tabs>
        <w:spacing w:lineRule="auto" w:line="360"/>
        <w:jc w:val="both"/>
        <w:rPr>
          <w:rFonts w:ascii="Times New Roman" w:hAnsi="Times New Roman" w:eastAsia="Times New Roman" w:cs="Times New Roman"/>
          <w:b/>
          <w:b/>
          <w:bCs/>
          <w:color w:val="000000"/>
          <w:sz w:val="22"/>
          <w:szCs w:val="22"/>
        </w:rPr>
      </w:pPr>
      <w:r>
        <w:rPr>
          <w:rFonts w:eastAsia="Times New Roman" w:cs="Times New Roman" w:ascii="Times New Roman" w:hAnsi="Times New Roman"/>
          <w:b/>
          <w:bCs/>
          <w:color w:val="000000"/>
          <w:sz w:val="22"/>
          <w:szCs w:val="22"/>
        </w:rPr>
      </w:r>
    </w:p>
    <w:p>
      <w:pPr>
        <w:pStyle w:val="Standard"/>
        <w:tabs>
          <w:tab w:val="clear" w:pos="708"/>
          <w:tab w:val="left" w:pos="788" w:leader="none"/>
        </w:tabs>
        <w:spacing w:lineRule="auto" w:line="360"/>
        <w:jc w:val="both"/>
        <w:rPr/>
      </w:pPr>
      <w:r>
        <w:rPr>
          <w:rStyle w:val="Fontepargpadro1"/>
          <w:rFonts w:eastAsia="Times New Roman" w:cs="Times New Roman" w:ascii="Times New Roman" w:hAnsi="Times New Roman"/>
          <w:b/>
          <w:bCs/>
          <w:color w:val="000000"/>
          <w:sz w:val="22"/>
          <w:szCs w:val="22"/>
        </w:rPr>
        <w:t>8. DO PAGAMENTO</w:t>
      </w:r>
    </w:p>
    <w:p>
      <w:pPr>
        <w:pStyle w:val="Standard"/>
        <w:tabs>
          <w:tab w:val="clear" w:pos="708"/>
          <w:tab w:val="left" w:pos="788" w:leader="none"/>
        </w:tabs>
        <w:snapToGrid w:val="false"/>
        <w:spacing w:lineRule="auto" w:line="360" w:before="120" w:after="120"/>
        <w:jc w:val="both"/>
        <w:rPr/>
      </w:pPr>
      <w:r>
        <w:rPr>
          <w:rStyle w:val="Fontepargpadro1"/>
          <w:rFonts w:eastAsia="Times New Roman" w:cs="Times New Roman" w:ascii="Times New Roman" w:hAnsi="Times New Roman"/>
          <w:b/>
          <w:bCs/>
          <w:sz w:val="22"/>
          <w:szCs w:val="22"/>
          <w:lang w:eastAsia="en-US"/>
        </w:rPr>
        <w:t xml:space="preserve">8.1. </w:t>
      </w:r>
      <w:r>
        <w:rPr>
          <w:rStyle w:val="Fontepargpadro1"/>
          <w:rFonts w:eastAsia="Times New Roman" w:cs="Times New Roman" w:ascii="Times New Roman" w:hAnsi="Times New Roman"/>
          <w:sz w:val="22"/>
          <w:szCs w:val="22"/>
          <w:lang w:eastAsia="en-US"/>
        </w:rPr>
        <w:t>O pagamento será realizado no prazo máximo de até 30 (trinta) dias, contados a partir do recebimento da Nota Fiscal ou Fatura, através de ordem bancária, para crédito em banco, agência e conta correntes indicadas pelo contratado.</w:t>
      </w:r>
    </w:p>
    <w:p>
      <w:pPr>
        <w:pStyle w:val="Standard"/>
        <w:tabs>
          <w:tab w:val="clear" w:pos="708"/>
          <w:tab w:val="left" w:pos="788" w:leader="none"/>
        </w:tabs>
        <w:spacing w:lineRule="auto" w:line="360"/>
        <w:jc w:val="both"/>
        <w:rPr/>
      </w:pPr>
      <w:r>
        <w:rPr>
          <w:rStyle w:val="Fontepargpadro1"/>
          <w:rFonts w:eastAsia="Times New Roman" w:cs="Times New Roman" w:ascii="Times New Roman" w:hAnsi="Times New Roman"/>
          <w:b/>
          <w:bCs/>
          <w:color w:val="000000"/>
          <w:sz w:val="22"/>
          <w:szCs w:val="22"/>
        </w:rPr>
        <w:t>9. DO CONTRATO</w:t>
      </w:r>
    </w:p>
    <w:p>
      <w:pPr>
        <w:pStyle w:val="Standard"/>
        <w:tabs>
          <w:tab w:val="clear" w:pos="708"/>
          <w:tab w:val="left" w:pos="788" w:leader="none"/>
        </w:tabs>
        <w:snapToGrid w:val="false"/>
        <w:spacing w:lineRule="auto" w:line="360" w:before="120" w:after="120"/>
        <w:jc w:val="both"/>
        <w:rPr/>
      </w:pPr>
      <w:r>
        <w:rPr>
          <w:rStyle w:val="Fontepargpadro1"/>
          <w:rFonts w:eastAsia="Times New Roman" w:cs="Times New Roman" w:ascii="Times New Roman" w:hAnsi="Times New Roman"/>
          <w:b/>
          <w:bCs/>
          <w:sz w:val="22"/>
          <w:szCs w:val="22"/>
          <w:lang w:eastAsia="en-US"/>
        </w:rPr>
        <w:t>9.1.</w:t>
      </w:r>
      <w:r>
        <w:rPr>
          <w:rStyle w:val="Fontepargpadro1"/>
          <w:rFonts w:eastAsia="Times New Roman" w:cs="Times New Roman" w:ascii="Times New Roman" w:hAnsi="Times New Roman"/>
          <w:sz w:val="22"/>
          <w:szCs w:val="22"/>
          <w:lang w:eastAsia="en-US"/>
        </w:rPr>
        <w:t xml:space="preserve"> Para fins dessa contratação, a Nota de Empenho consubstanciará o vínculo contratual.</w:t>
      </w:r>
    </w:p>
    <w:p>
      <w:pPr>
        <w:pStyle w:val="Standard"/>
        <w:tabs>
          <w:tab w:val="clear" w:pos="708"/>
          <w:tab w:val="left" w:pos="788" w:leader="none"/>
        </w:tabs>
        <w:snapToGrid w:val="false"/>
        <w:spacing w:lineRule="auto" w:line="360" w:before="120" w:after="120"/>
        <w:jc w:val="both"/>
        <w:rPr/>
      </w:pPr>
      <w:r>
        <w:rPr>
          <w:rFonts w:eastAsia="Times New Roman" w:cs="Times New Roman" w:ascii="Times New Roman" w:hAnsi="Times New Roman"/>
          <w:b/>
          <w:bCs/>
          <w:sz w:val="22"/>
          <w:szCs w:val="22"/>
          <w:lang w:eastAsia="en-US"/>
        </w:rPr>
        <w:t>10. COMPROVAÇÃO DE SUPORTE ORÇAMENTÁRIO</w:t>
      </w:r>
    </w:p>
    <w:p>
      <w:pPr>
        <w:pStyle w:val="Standard"/>
        <w:tabs>
          <w:tab w:val="clear" w:pos="708"/>
          <w:tab w:val="left" w:pos="788" w:leader="none"/>
        </w:tabs>
        <w:snapToGrid w:val="false"/>
        <w:spacing w:lineRule="auto" w:line="360" w:before="120" w:after="120"/>
        <w:jc w:val="both"/>
        <w:rPr/>
      </w:pPr>
      <w:r>
        <w:rPr>
          <w:rStyle w:val="Fontepargpadro1"/>
          <w:rFonts w:eastAsia="Times New Roman" w:cs="Times New Roman" w:ascii="Times New Roman" w:hAnsi="Times New Roman"/>
          <w:b/>
          <w:bCs/>
          <w:sz w:val="22"/>
          <w:szCs w:val="22"/>
          <w:lang w:eastAsia="en-US"/>
        </w:rPr>
        <w:t>10.1.</w:t>
      </w:r>
      <w:r>
        <w:rPr>
          <w:rStyle w:val="Fontepargpadro1"/>
          <w:rFonts w:eastAsia="Times New Roman" w:cs="Times New Roman" w:ascii="Times New Roman" w:hAnsi="Times New Roman"/>
          <w:sz w:val="22"/>
          <w:szCs w:val="22"/>
          <w:lang w:eastAsia="en-US"/>
        </w:rPr>
        <w:t xml:space="preserve">  A provisão orçamentária a suportar a presente aquisição é a seguinte:</w:t>
      </w:r>
    </w:p>
    <w:tbl>
      <w:tblPr>
        <w:tblW w:w="9555" w:type="dxa"/>
        <w:jc w:val="left"/>
        <w:tblInd w:w="-41" w:type="dxa"/>
        <w:tblLayout w:type="fixed"/>
        <w:tblCellMar>
          <w:top w:w="0" w:type="dxa"/>
          <w:left w:w="5" w:type="dxa"/>
          <w:bottom w:w="0" w:type="dxa"/>
          <w:right w:w="88" w:type="dxa"/>
        </w:tblCellMar>
        <w:tblLook w:val="0000"/>
      </w:tblPr>
      <w:tblGrid>
        <w:gridCol w:w="1524"/>
        <w:gridCol w:w="1536"/>
        <w:gridCol w:w="1140"/>
        <w:gridCol w:w="1919"/>
        <w:gridCol w:w="847"/>
        <w:gridCol w:w="804"/>
        <w:gridCol w:w="1784"/>
      </w:tblGrid>
      <w:tr>
        <w:trPr>
          <w:trHeight w:val="245" w:hRule="atLeast"/>
        </w:trPr>
        <w:tc>
          <w:tcPr>
            <w:tcW w:w="152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Default"/>
              <w:widowControl w:val="false"/>
              <w:jc w:val="center"/>
              <w:rPr>
                <w:b/>
                <w:b/>
                <w:bCs/>
                <w:color w:val="00000A"/>
                <w:sz w:val="22"/>
                <w:szCs w:val="22"/>
              </w:rPr>
            </w:pPr>
            <w:r>
              <w:rPr>
                <w:b/>
                <w:bCs/>
                <w:color w:val="00000A"/>
                <w:sz w:val="22"/>
                <w:szCs w:val="22"/>
              </w:rPr>
              <w:t>UG Favorecida</w:t>
            </w:r>
          </w:p>
        </w:tc>
        <w:tc>
          <w:tcPr>
            <w:tcW w:w="1536"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Default"/>
              <w:widowControl w:val="false"/>
              <w:jc w:val="center"/>
              <w:rPr>
                <w:b/>
                <w:b/>
                <w:bCs/>
                <w:color w:val="00000A"/>
                <w:sz w:val="22"/>
                <w:szCs w:val="22"/>
              </w:rPr>
            </w:pPr>
            <w:r>
              <w:rPr>
                <w:b/>
                <w:bCs/>
                <w:color w:val="00000A"/>
                <w:sz w:val="22"/>
                <w:szCs w:val="22"/>
              </w:rPr>
              <w:t>NC</w:t>
            </w:r>
          </w:p>
        </w:tc>
        <w:tc>
          <w:tcPr>
            <w:tcW w:w="1140"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Default"/>
              <w:widowControl w:val="false"/>
              <w:jc w:val="center"/>
              <w:rPr>
                <w:b/>
                <w:b/>
                <w:bCs/>
                <w:color w:val="00000A"/>
                <w:sz w:val="22"/>
                <w:szCs w:val="22"/>
              </w:rPr>
            </w:pPr>
            <w:r>
              <w:rPr>
                <w:b/>
                <w:bCs/>
                <w:color w:val="00000A"/>
                <w:sz w:val="22"/>
                <w:szCs w:val="22"/>
              </w:rPr>
              <w:t>PTRes</w:t>
            </w:r>
          </w:p>
        </w:tc>
        <w:tc>
          <w:tcPr>
            <w:tcW w:w="191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Default"/>
              <w:widowControl w:val="false"/>
              <w:jc w:val="center"/>
              <w:rPr>
                <w:b/>
                <w:b/>
                <w:bCs/>
                <w:color w:val="00000A"/>
                <w:sz w:val="22"/>
                <w:szCs w:val="22"/>
              </w:rPr>
            </w:pPr>
            <w:r>
              <w:rPr>
                <w:b/>
                <w:bCs/>
                <w:color w:val="00000A"/>
                <w:sz w:val="22"/>
                <w:szCs w:val="22"/>
              </w:rPr>
              <w:t>PI</w:t>
            </w:r>
          </w:p>
        </w:tc>
        <w:tc>
          <w:tcPr>
            <w:tcW w:w="84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Default"/>
              <w:widowControl w:val="false"/>
              <w:jc w:val="center"/>
              <w:rPr>
                <w:b/>
                <w:b/>
                <w:bCs/>
                <w:color w:val="00000A"/>
                <w:sz w:val="22"/>
                <w:szCs w:val="22"/>
              </w:rPr>
            </w:pPr>
            <w:r>
              <w:rPr>
                <w:b/>
                <w:bCs/>
                <w:color w:val="00000A"/>
                <w:sz w:val="22"/>
                <w:szCs w:val="22"/>
              </w:rPr>
              <w:t>ND</w:t>
            </w:r>
          </w:p>
        </w:tc>
        <w:tc>
          <w:tcPr>
            <w:tcW w:w="80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Default"/>
              <w:widowControl w:val="false"/>
              <w:jc w:val="center"/>
              <w:rPr>
                <w:b/>
                <w:b/>
                <w:bCs/>
                <w:color w:val="00000A"/>
                <w:sz w:val="22"/>
                <w:szCs w:val="22"/>
              </w:rPr>
            </w:pPr>
            <w:r>
              <w:rPr>
                <w:b/>
                <w:bCs/>
                <w:color w:val="00000A"/>
                <w:sz w:val="22"/>
                <w:szCs w:val="22"/>
              </w:rPr>
              <w:t>UGR</w:t>
            </w:r>
          </w:p>
        </w:tc>
        <w:tc>
          <w:tcPr>
            <w:tcW w:w="178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Default"/>
              <w:widowControl w:val="false"/>
              <w:jc w:val="center"/>
              <w:rPr>
                <w:b/>
                <w:b/>
                <w:bCs/>
                <w:color w:val="00000A"/>
                <w:sz w:val="22"/>
                <w:szCs w:val="22"/>
              </w:rPr>
            </w:pPr>
            <w:r>
              <w:rPr>
                <w:b/>
                <w:bCs/>
                <w:color w:val="00000A"/>
                <w:sz w:val="22"/>
                <w:szCs w:val="22"/>
              </w:rPr>
              <w:t>Fonte Pagadora</w:t>
            </w:r>
          </w:p>
        </w:tc>
      </w:tr>
      <w:tr>
        <w:trPr>
          <w:trHeight w:val="430" w:hRule="atLeast"/>
        </w:trPr>
        <w:tc>
          <w:tcPr>
            <w:tcW w:w="1524" w:type="dxa"/>
            <w:tcBorders>
              <w:top w:val="single" w:sz="4" w:space="0" w:color="00000A"/>
              <w:left w:val="single" w:sz="4" w:space="0" w:color="00000A"/>
              <w:bottom w:val="single" w:sz="4" w:space="0" w:color="00000A"/>
              <w:right w:val="single" w:sz="4" w:space="0" w:color="00000A"/>
            </w:tcBorders>
            <w:shd w:fill="auto" w:val="clear"/>
            <w:vAlign w:val="center"/>
          </w:tcPr>
          <w:p>
            <w:pPr>
              <w:pStyle w:val="Default"/>
              <w:widowControl w:val="false"/>
              <w:jc w:val="center"/>
              <w:rPr>
                <w:color w:val="00000A"/>
                <w:sz w:val="22"/>
                <w:szCs w:val="22"/>
              </w:rPr>
            </w:pPr>
            <w:r>
              <w:rPr>
                <w:rFonts w:ascii="Liberation Serif" w:hAnsi="Liberation Serif"/>
                <w:color w:val="00000A"/>
                <w:sz w:val="22"/>
                <w:szCs w:val="22"/>
              </w:rPr>
              <w:t>160026</w:t>
            </w:r>
          </w:p>
        </w:tc>
        <w:tc>
          <w:tcPr>
            <w:tcW w:w="1536" w:type="dxa"/>
            <w:tcBorders>
              <w:top w:val="single" w:sz="4" w:space="0" w:color="00000A"/>
              <w:left w:val="single" w:sz="4" w:space="0" w:color="00000A"/>
              <w:bottom w:val="single" w:sz="4" w:space="0" w:color="00000A"/>
              <w:right w:val="single" w:sz="4" w:space="0" w:color="00000A"/>
            </w:tcBorders>
            <w:shd w:fill="auto" w:val="clear"/>
            <w:vAlign w:val="center"/>
          </w:tcPr>
          <w:p>
            <w:pPr>
              <w:pStyle w:val="Standard"/>
              <w:widowControl w:val="false"/>
              <w:jc w:val="center"/>
              <w:rPr>
                <w:rFonts w:ascii="Liberation Serif" w:hAnsi="Liberation Serif"/>
                <w:sz w:val="22"/>
                <w:szCs w:val="22"/>
              </w:rPr>
            </w:pPr>
            <w:r>
              <w:rPr>
                <w:sz w:val="22"/>
                <w:szCs w:val="22"/>
              </w:rPr>
              <w:t>22NC000548</w:t>
            </w:r>
          </w:p>
        </w:tc>
        <w:tc>
          <w:tcPr>
            <w:tcW w:w="1140" w:type="dxa"/>
            <w:tcBorders>
              <w:top w:val="single" w:sz="4" w:space="0" w:color="00000A"/>
              <w:left w:val="single" w:sz="4" w:space="0" w:color="00000A"/>
              <w:bottom w:val="single" w:sz="4" w:space="0" w:color="00000A"/>
              <w:right w:val="single" w:sz="4" w:space="0" w:color="00000A"/>
            </w:tcBorders>
            <w:shd w:fill="auto" w:val="clear"/>
            <w:vAlign w:val="center"/>
          </w:tcPr>
          <w:p>
            <w:pPr>
              <w:pStyle w:val="Default"/>
              <w:widowControl w:val="false"/>
              <w:jc w:val="center"/>
              <w:rPr>
                <w:rStyle w:val="LinkdaInternet"/>
                <w:color w:val="00000A"/>
              </w:rPr>
            </w:pPr>
            <w:r>
              <w:rPr>
                <w:color w:val="00000A"/>
              </w:rPr>
            </w:r>
          </w:p>
        </w:tc>
        <w:tc>
          <w:tcPr>
            <w:tcW w:w="1919" w:type="dxa"/>
            <w:tcBorders>
              <w:top w:val="single" w:sz="4" w:space="0" w:color="00000A"/>
              <w:left w:val="single" w:sz="4" w:space="0" w:color="00000A"/>
              <w:bottom w:val="single" w:sz="4" w:space="0" w:color="00000A"/>
              <w:right w:val="single" w:sz="4" w:space="0" w:color="00000A"/>
            </w:tcBorders>
            <w:shd w:fill="auto" w:val="clear"/>
            <w:vAlign w:val="center"/>
          </w:tcPr>
          <w:p>
            <w:pPr>
              <w:pStyle w:val="Standard"/>
              <w:widowControl w:val="false"/>
              <w:spacing w:before="0" w:after="120"/>
              <w:jc w:val="both"/>
              <w:rPr/>
            </w:pPr>
            <w:r>
              <w:rPr>
                <w:rStyle w:val="LinkdaInternet"/>
                <w:rFonts w:cs="Times New Roman"/>
                <w:b/>
                <w:bCs/>
                <w:color w:val="000000"/>
                <w:sz w:val="22"/>
                <w:szCs w:val="22"/>
                <w:u w:val="none"/>
              </w:rPr>
              <w:t xml:space="preserve">   </w:t>
            </w:r>
            <w:r>
              <w:rPr>
                <w:rStyle w:val="LinkdaInternet"/>
                <w:rFonts w:cs="Times New Roman"/>
                <w:b/>
                <w:bCs/>
                <w:color w:val="000000"/>
                <w:sz w:val="22"/>
                <w:szCs w:val="22"/>
                <w:u w:val="none"/>
              </w:rPr>
              <w:t>F1DTDEFOUTR</w:t>
            </w:r>
          </w:p>
        </w:tc>
        <w:tc>
          <w:tcPr>
            <w:tcW w:w="847" w:type="dxa"/>
            <w:tcBorders>
              <w:top w:val="single" w:sz="4" w:space="0" w:color="00000A"/>
              <w:left w:val="single" w:sz="4" w:space="0" w:color="00000A"/>
              <w:bottom w:val="single" w:sz="4" w:space="0" w:color="00000A"/>
              <w:right w:val="single" w:sz="4" w:space="0" w:color="00000A"/>
            </w:tcBorders>
            <w:shd w:fill="auto" w:val="clear"/>
            <w:vAlign w:val="center"/>
          </w:tcPr>
          <w:p>
            <w:pPr>
              <w:pStyle w:val="Default"/>
              <w:widowControl w:val="false"/>
              <w:jc w:val="center"/>
              <w:rPr>
                <w:color w:val="00000A"/>
              </w:rPr>
            </w:pPr>
            <w:r>
              <w:rPr>
                <w:rStyle w:val="Fontepargpadro1"/>
                <w:rFonts w:ascii="Liberation Serif" w:hAnsi="Liberation Serif"/>
                <w:color w:val="000000"/>
                <w:sz w:val="22"/>
                <w:szCs w:val="22"/>
                <w:shd w:fill="FFFFFF" w:val="clear"/>
              </w:rPr>
              <w:t>339033</w:t>
            </w:r>
          </w:p>
        </w:tc>
        <w:tc>
          <w:tcPr>
            <w:tcW w:w="804" w:type="dxa"/>
            <w:tcBorders>
              <w:top w:val="single" w:sz="4" w:space="0" w:color="00000A"/>
              <w:left w:val="single" w:sz="4" w:space="0" w:color="00000A"/>
              <w:bottom w:val="single" w:sz="4" w:space="0" w:color="00000A"/>
              <w:right w:val="single" w:sz="4" w:space="0" w:color="00000A"/>
            </w:tcBorders>
            <w:shd w:fill="auto" w:val="clear"/>
            <w:vAlign w:val="center"/>
          </w:tcPr>
          <w:p>
            <w:pPr>
              <w:pStyle w:val="Default"/>
              <w:widowControl w:val="false"/>
              <w:jc w:val="center"/>
              <w:rPr>
                <w:color w:val="00000A"/>
              </w:rPr>
            </w:pPr>
            <w:r>
              <w:rPr>
                <w:rStyle w:val="Fontepargpadro1"/>
                <w:rFonts w:ascii="Liberation Serif" w:hAnsi="Liberation Serif"/>
                <w:color w:val="000000"/>
                <w:sz w:val="22"/>
                <w:szCs w:val="22"/>
                <w:shd w:fill="FFFFFF" w:val="clear"/>
              </w:rPr>
              <w:t>110407</w:t>
            </w:r>
          </w:p>
        </w:tc>
        <w:tc>
          <w:tcPr>
            <w:tcW w:w="1784" w:type="dxa"/>
            <w:tcBorders>
              <w:top w:val="single" w:sz="4" w:space="0" w:color="00000A"/>
              <w:left w:val="single" w:sz="4" w:space="0" w:color="00000A"/>
              <w:bottom w:val="single" w:sz="4" w:space="0" w:color="00000A"/>
              <w:right w:val="single" w:sz="4" w:space="0" w:color="00000A"/>
            </w:tcBorders>
            <w:shd w:fill="auto" w:val="clear"/>
            <w:vAlign w:val="center"/>
          </w:tcPr>
          <w:p>
            <w:pPr>
              <w:pStyle w:val="Default"/>
              <w:widowControl w:val="false"/>
              <w:jc w:val="center"/>
              <w:rPr>
                <w:color w:val="00000A"/>
              </w:rPr>
            </w:pPr>
            <w:r>
              <w:rPr>
                <w:rStyle w:val="Fontepargpadro1"/>
                <w:rFonts w:ascii="Liberation Serif" w:hAnsi="Liberation Serif"/>
                <w:color w:val="000000"/>
                <w:sz w:val="22"/>
                <w:szCs w:val="22"/>
                <w:shd w:fill="FFFFFF" w:val="clear"/>
              </w:rPr>
              <w:t>0100000000</w:t>
            </w:r>
          </w:p>
        </w:tc>
      </w:tr>
    </w:tbl>
    <w:p>
      <w:pPr>
        <w:pStyle w:val="Standard"/>
        <w:spacing w:lineRule="auto" w:line="360"/>
        <w:ind w:left="170" w:hanging="0"/>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r>
    </w:p>
    <w:sectPr>
      <w:type w:val="nextPage"/>
      <w:pgSz w:w="11906" w:h="16838"/>
      <w:pgMar w:left="1276" w:right="1416" w:header="0" w:top="1135" w:footer="0" w:bottom="993" w:gutter="0"/>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imes-Roman">
    <w:altName w:val="Times New Roman"/>
    <w:charset w:val="00"/>
    <w:family w:val="roman"/>
    <w:pitch w:val="variable"/>
  </w:font>
  <w:font w:name="Liberation Sans">
    <w:altName w:val="Arial"/>
    <w:charset w:val="00"/>
    <w:family w:val="roman"/>
    <w:pitch w:val="variable"/>
  </w:font>
  <w:font w:name="Arial">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decimal"/>
      <w:lvlText w:val="%1."/>
      <w:lvlJc w:val="left"/>
      <w:pPr>
        <w:tabs>
          <w:tab w:val="num" w:pos="0"/>
        </w:tabs>
        <w:ind w:left="0" w:hanging="0"/>
      </w:pPr>
      <w:rPr>
        <w:rFonts w:ascii="Arial" w:hAnsi="Arial" w:eastAsia="Arial" w:cs="Arial"/>
      </w:rPr>
    </w:lvl>
    <w:lvl w:ilvl="1">
      <w:start w:val="0"/>
      <w:numFmt w:val="decimal"/>
      <w:lvlText w:val=""/>
      <w:lvlJc w:val="left"/>
      <w:pPr>
        <w:tabs>
          <w:tab w:val="num" w:pos="0"/>
        </w:tabs>
        <w:ind w:left="0" w:hanging="0"/>
      </w:pPr>
    </w:lvl>
    <w:lvl w:ilvl="2">
      <w:start w:val="0"/>
      <w:numFmt w:val="decimal"/>
      <w:lvlText w:val=""/>
      <w:lvlJc w:val="left"/>
      <w:pPr>
        <w:tabs>
          <w:tab w:val="num" w:pos="0"/>
        </w:tabs>
        <w:ind w:left="0" w:hanging="0"/>
      </w:pPr>
    </w:lvl>
    <w:lvl w:ilvl="3">
      <w:start w:val="0"/>
      <w:numFmt w:val="decimal"/>
      <w:lvlText w:val=""/>
      <w:lvlJc w:val="left"/>
      <w:pPr>
        <w:tabs>
          <w:tab w:val="num" w:pos="0"/>
        </w:tabs>
        <w:ind w:left="0" w:hanging="0"/>
      </w:pPr>
    </w:lvl>
    <w:lvl w:ilvl="4">
      <w:start w:val="0"/>
      <w:numFmt w:val="decimal"/>
      <w:lvlText w:val=""/>
      <w:lvlJc w:val="left"/>
      <w:pPr>
        <w:tabs>
          <w:tab w:val="num" w:pos="0"/>
        </w:tabs>
        <w:ind w:left="0" w:hanging="0"/>
      </w:pPr>
    </w:lvl>
    <w:lvl w:ilvl="5">
      <w:start w:val="0"/>
      <w:numFmt w:val="decimal"/>
      <w:lvlText w:val=""/>
      <w:lvlJc w:val="left"/>
      <w:pPr>
        <w:tabs>
          <w:tab w:val="num" w:pos="0"/>
        </w:tabs>
        <w:ind w:left="0" w:hanging="0"/>
      </w:pPr>
    </w:lvl>
    <w:lvl w:ilvl="6">
      <w:start w:val="0"/>
      <w:numFmt w:val="decimal"/>
      <w:lvlText w:val=""/>
      <w:lvlJc w:val="left"/>
      <w:pPr>
        <w:tabs>
          <w:tab w:val="num" w:pos="0"/>
        </w:tabs>
        <w:ind w:left="0" w:hanging="0"/>
      </w:pPr>
    </w:lvl>
    <w:lvl w:ilvl="7">
      <w:start w:val="0"/>
      <w:numFmt w:val="decimal"/>
      <w:lvlText w:val=""/>
      <w:lvlJc w:val="left"/>
      <w:pPr>
        <w:tabs>
          <w:tab w:val="num" w:pos="0"/>
        </w:tabs>
        <w:ind w:left="0" w:hanging="0"/>
      </w:pPr>
    </w:lvl>
    <w:lvl w:ilvl="8">
      <w:start w:val="0"/>
      <w:numFmt w:val="decimal"/>
      <w:lvlText w:val=""/>
      <w:lvlJc w:val="left"/>
      <w:pPr>
        <w:tabs>
          <w:tab w:val="num" w:pos="0"/>
        </w:tabs>
        <w:ind w:left="0" w:hanging="0"/>
      </w:pPr>
    </w:lvl>
  </w:abstractNum>
  <w:abstractNum w:abstractNumId="3">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rPr>
        <w:b/>
        <w:bCs/>
      </w:rPr>
    </w:lvl>
    <w:lvl w:ilvl="3">
      <w:start w:val="1"/>
      <w:numFmt w:val="decimal"/>
      <w:lvlText w:val="%1.%2.%3.%4."/>
      <w:lvlJc w:val="left"/>
      <w:pPr>
        <w:tabs>
          <w:tab w:val="num" w:pos="0"/>
        </w:tabs>
        <w:ind w:left="720" w:hanging="720"/>
      </w:pPr>
      <w:rPr>
        <w:b/>
        <w:bCs/>
      </w:rPr>
    </w:lvl>
    <w:lvl w:ilvl="4">
      <w:start w:val="1"/>
      <w:numFmt w:val="decimal"/>
      <w:lvlText w:val="%1.%2.%3.%4.%5."/>
      <w:lvlJc w:val="left"/>
      <w:pPr>
        <w:tabs>
          <w:tab w:val="num" w:pos="0"/>
        </w:tabs>
        <w:ind w:left="1080" w:hanging="1080"/>
      </w:pPr>
      <w:rPr>
        <w:b/>
        <w:bCs/>
      </w:r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lvl w:ilvl="0">
      <w:start w:val="1"/>
      <w:numFmt w:val="lowerLetter"/>
      <w:lvlText w:val="%1)"/>
      <w:lvlJc w:val="left"/>
      <w:pPr>
        <w:tabs>
          <w:tab w:val="num" w:pos="0"/>
        </w:tabs>
        <w:ind w:left="1713" w:hanging="360"/>
      </w:pPr>
      <w:rPr>
        <w:b/>
        <w:bCs/>
      </w:rPr>
    </w:lvl>
    <w:lvl w:ilvl="1">
      <w:start w:val="1"/>
      <w:numFmt w:val="lowerLetter"/>
      <w:lvlText w:val="%2."/>
      <w:lvlJc w:val="left"/>
      <w:pPr>
        <w:tabs>
          <w:tab w:val="num" w:pos="0"/>
        </w:tabs>
        <w:ind w:left="2433" w:hanging="360"/>
      </w:pPr>
    </w:lvl>
    <w:lvl w:ilvl="2">
      <w:start w:val="1"/>
      <w:numFmt w:val="lowerRoman"/>
      <w:lvlText w:val="%3."/>
      <w:lvlJc w:val="right"/>
      <w:pPr>
        <w:tabs>
          <w:tab w:val="num" w:pos="0"/>
        </w:tabs>
        <w:ind w:left="3153" w:hanging="180"/>
      </w:pPr>
    </w:lvl>
    <w:lvl w:ilvl="3">
      <w:start w:val="1"/>
      <w:numFmt w:val="decimal"/>
      <w:lvlText w:val="%4."/>
      <w:lvlJc w:val="left"/>
      <w:pPr>
        <w:tabs>
          <w:tab w:val="num" w:pos="0"/>
        </w:tabs>
        <w:ind w:left="3873" w:hanging="360"/>
      </w:pPr>
    </w:lvl>
    <w:lvl w:ilvl="4">
      <w:start w:val="1"/>
      <w:numFmt w:val="lowerLetter"/>
      <w:lvlText w:val="%5."/>
      <w:lvlJc w:val="left"/>
      <w:pPr>
        <w:tabs>
          <w:tab w:val="num" w:pos="0"/>
        </w:tabs>
        <w:ind w:left="4593" w:hanging="360"/>
      </w:pPr>
    </w:lvl>
    <w:lvl w:ilvl="5">
      <w:start w:val="1"/>
      <w:numFmt w:val="lowerRoman"/>
      <w:lvlText w:val="%6."/>
      <w:lvlJc w:val="right"/>
      <w:pPr>
        <w:tabs>
          <w:tab w:val="num" w:pos="0"/>
        </w:tabs>
        <w:ind w:left="5313" w:hanging="180"/>
      </w:pPr>
    </w:lvl>
    <w:lvl w:ilvl="6">
      <w:start w:val="1"/>
      <w:numFmt w:val="decimal"/>
      <w:lvlText w:val="%7."/>
      <w:lvlJc w:val="left"/>
      <w:pPr>
        <w:tabs>
          <w:tab w:val="num" w:pos="0"/>
        </w:tabs>
        <w:ind w:left="6033" w:hanging="360"/>
      </w:pPr>
    </w:lvl>
    <w:lvl w:ilvl="7">
      <w:start w:val="1"/>
      <w:numFmt w:val="lowerLetter"/>
      <w:lvlText w:val="%8."/>
      <w:lvlJc w:val="left"/>
      <w:pPr>
        <w:tabs>
          <w:tab w:val="num" w:pos="0"/>
        </w:tabs>
        <w:ind w:left="6753" w:hanging="360"/>
      </w:pPr>
    </w:lvl>
    <w:lvl w:ilvl="8">
      <w:start w:val="1"/>
      <w:numFmt w:val="lowerRoman"/>
      <w:lvlText w:val="%9."/>
      <w:lvlJc w:val="right"/>
      <w:pPr>
        <w:tabs>
          <w:tab w:val="num" w:pos="0"/>
        </w:tabs>
        <w:ind w:left="7473" w:hanging="180"/>
      </w:pPr>
    </w:lvl>
  </w:abstractNum>
  <w:abstractNum w:abstractNumId="5">
    <w:lvl w:ilvl="0">
      <w:start w:val="8"/>
      <w:numFmt w:val="decimal"/>
      <w:lvlText w:val="%1."/>
      <w:lvlJc w:val="left"/>
      <w:pPr>
        <w:tabs>
          <w:tab w:val="num" w:pos="0"/>
        </w:tabs>
        <w:ind w:left="612" w:hanging="612"/>
      </w:pPr>
    </w:lvl>
    <w:lvl w:ilvl="1">
      <w:start w:val="1"/>
      <w:numFmt w:val="decimal"/>
      <w:lvlText w:val="%1.%2."/>
      <w:lvlJc w:val="left"/>
      <w:pPr>
        <w:tabs>
          <w:tab w:val="num" w:pos="0"/>
        </w:tabs>
        <w:ind w:left="792" w:hanging="612"/>
      </w:pPr>
      <w:rPr>
        <w:b/>
        <w:bCs/>
      </w:rPr>
    </w:lvl>
    <w:lvl w:ilvl="2">
      <w:start w:val="9"/>
      <w:numFmt w:val="decimal"/>
      <w:lvlText w:val="%1.%2.%3."/>
      <w:lvlJc w:val="left"/>
      <w:pPr>
        <w:tabs>
          <w:tab w:val="num" w:pos="0"/>
        </w:tabs>
        <w:ind w:left="1080" w:hanging="720"/>
      </w:pPr>
      <w:rPr>
        <w:b/>
        <w:bCs/>
      </w:rPr>
    </w:lvl>
    <w:lvl w:ilvl="3">
      <w:start w:val="1"/>
      <w:numFmt w:val="decimal"/>
      <w:lvlText w:val="%1.%2.%3.%4."/>
      <w:lvlJc w:val="left"/>
      <w:pPr>
        <w:tabs>
          <w:tab w:val="num" w:pos="0"/>
        </w:tabs>
        <w:ind w:left="1260" w:hanging="720"/>
      </w:pPr>
      <w:rPr>
        <w:b/>
        <w:bCs/>
      </w:r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980" w:hanging="1080"/>
      </w:pPr>
    </w:lvl>
    <w:lvl w:ilvl="6">
      <w:start w:val="1"/>
      <w:numFmt w:val="decimal"/>
      <w:lvlText w:val="%1.%2.%3.%4.%5.%6.%7."/>
      <w:lvlJc w:val="left"/>
      <w:pPr>
        <w:tabs>
          <w:tab w:val="num" w:pos="0"/>
        </w:tabs>
        <w:ind w:left="2520" w:hanging="1440"/>
      </w:pPr>
    </w:lvl>
    <w:lvl w:ilvl="7">
      <w:start w:val="1"/>
      <w:numFmt w:val="decimal"/>
      <w:lvlText w:val="%1.%2.%3.%4.%5.%6.%7.%8."/>
      <w:lvlJc w:val="left"/>
      <w:pPr>
        <w:tabs>
          <w:tab w:val="num" w:pos="0"/>
        </w:tabs>
        <w:ind w:left="2700" w:hanging="1440"/>
      </w:pPr>
    </w:lvl>
    <w:lvl w:ilvl="8">
      <w:start w:val="1"/>
      <w:numFmt w:val="decimal"/>
      <w:lvlText w:val="%1.%2.%3.%4.%5.%6.%7.%8.%9."/>
      <w:lvlJc w:val="left"/>
      <w:pPr>
        <w:tabs>
          <w:tab w:val="num" w:pos="0"/>
        </w:tabs>
        <w:ind w:left="3240" w:hanging="1800"/>
      </w:pPr>
    </w:lvl>
  </w:abstractNum>
  <w:abstractNum w:abstractNumId="6">
    <w:lvl w:ilvl="0">
      <w:start w:val="1"/>
      <w:numFmt w:val="lowerLetter"/>
      <w:lvlText w:val="%1)"/>
      <w:lvlJc w:val="left"/>
      <w:pPr>
        <w:tabs>
          <w:tab w:val="num" w:pos="0"/>
        </w:tabs>
        <w:ind w:left="972" w:hanging="360"/>
      </w:pPr>
      <w:rPr>
        <w:b/>
        <w:bCs/>
      </w:rPr>
    </w:lvl>
    <w:lvl w:ilvl="1">
      <w:start w:val="1"/>
      <w:numFmt w:val="lowerLetter"/>
      <w:lvlText w:val="%2."/>
      <w:lvlJc w:val="left"/>
      <w:pPr>
        <w:tabs>
          <w:tab w:val="num" w:pos="0"/>
        </w:tabs>
        <w:ind w:left="1692" w:hanging="360"/>
      </w:pPr>
    </w:lvl>
    <w:lvl w:ilvl="2">
      <w:start w:val="1"/>
      <w:numFmt w:val="lowerRoman"/>
      <w:lvlText w:val="%3."/>
      <w:lvlJc w:val="right"/>
      <w:pPr>
        <w:tabs>
          <w:tab w:val="num" w:pos="0"/>
        </w:tabs>
        <w:ind w:left="2412" w:hanging="180"/>
      </w:pPr>
    </w:lvl>
    <w:lvl w:ilvl="3">
      <w:start w:val="1"/>
      <w:numFmt w:val="decimal"/>
      <w:lvlText w:val="%4."/>
      <w:lvlJc w:val="left"/>
      <w:pPr>
        <w:tabs>
          <w:tab w:val="num" w:pos="0"/>
        </w:tabs>
        <w:ind w:left="3132" w:hanging="360"/>
      </w:pPr>
    </w:lvl>
    <w:lvl w:ilvl="4">
      <w:start w:val="1"/>
      <w:numFmt w:val="lowerLetter"/>
      <w:lvlText w:val="%5."/>
      <w:lvlJc w:val="left"/>
      <w:pPr>
        <w:tabs>
          <w:tab w:val="num" w:pos="0"/>
        </w:tabs>
        <w:ind w:left="3852" w:hanging="360"/>
      </w:pPr>
    </w:lvl>
    <w:lvl w:ilvl="5">
      <w:start w:val="1"/>
      <w:numFmt w:val="lowerRoman"/>
      <w:lvlText w:val="%6."/>
      <w:lvlJc w:val="right"/>
      <w:pPr>
        <w:tabs>
          <w:tab w:val="num" w:pos="0"/>
        </w:tabs>
        <w:ind w:left="4572" w:hanging="180"/>
      </w:pPr>
    </w:lvl>
    <w:lvl w:ilvl="6">
      <w:start w:val="1"/>
      <w:numFmt w:val="decimal"/>
      <w:lvlText w:val="%7."/>
      <w:lvlJc w:val="left"/>
      <w:pPr>
        <w:tabs>
          <w:tab w:val="num" w:pos="0"/>
        </w:tabs>
        <w:ind w:left="5292" w:hanging="360"/>
      </w:pPr>
    </w:lvl>
    <w:lvl w:ilvl="7">
      <w:start w:val="1"/>
      <w:numFmt w:val="lowerLetter"/>
      <w:lvlText w:val="%8."/>
      <w:lvlJc w:val="left"/>
      <w:pPr>
        <w:tabs>
          <w:tab w:val="num" w:pos="0"/>
        </w:tabs>
        <w:ind w:left="6012" w:hanging="360"/>
      </w:pPr>
    </w:lvl>
    <w:lvl w:ilvl="8">
      <w:start w:val="1"/>
      <w:numFmt w:val="lowerRoman"/>
      <w:lvlText w:val="%9."/>
      <w:lvlJc w:val="right"/>
      <w:pPr>
        <w:tabs>
          <w:tab w:val="num" w:pos="0"/>
        </w:tabs>
        <w:ind w:left="6732" w:hanging="180"/>
      </w:pPr>
    </w:lvl>
  </w:abstractNum>
  <w:abstractNum w:abstractNumId="7">
    <w:lvl w:ilvl="0">
      <w:start w:val="8"/>
      <w:numFmt w:val="decimal"/>
      <w:lvlText w:val="%1."/>
      <w:lvlJc w:val="left"/>
      <w:pPr>
        <w:tabs>
          <w:tab w:val="num" w:pos="0"/>
        </w:tabs>
        <w:ind w:left="504" w:hanging="504"/>
      </w:pPr>
    </w:lvl>
    <w:lvl w:ilvl="1">
      <w:start w:val="3"/>
      <w:numFmt w:val="decimal"/>
      <w:lvlText w:val="%1.%2."/>
      <w:lvlJc w:val="left"/>
      <w:pPr>
        <w:tabs>
          <w:tab w:val="num" w:pos="0"/>
        </w:tabs>
        <w:ind w:left="990" w:hanging="504"/>
      </w:pPr>
    </w:lvl>
    <w:lvl w:ilvl="2">
      <w:start w:val="1"/>
      <w:numFmt w:val="decimal"/>
      <w:lvlText w:val="%1.%2.%3."/>
      <w:lvlJc w:val="left"/>
      <w:pPr>
        <w:tabs>
          <w:tab w:val="num" w:pos="0"/>
        </w:tabs>
        <w:ind w:left="1692" w:hanging="720"/>
      </w:pPr>
      <w:rPr>
        <w:b/>
        <w:bCs/>
      </w:rPr>
    </w:lvl>
    <w:lvl w:ilvl="3">
      <w:start w:val="1"/>
      <w:numFmt w:val="decimal"/>
      <w:lvlText w:val="%1.%2.%3.%4."/>
      <w:lvlJc w:val="left"/>
      <w:pPr>
        <w:tabs>
          <w:tab w:val="num" w:pos="0"/>
        </w:tabs>
        <w:ind w:left="2178" w:hanging="720"/>
      </w:pPr>
    </w:lvl>
    <w:lvl w:ilvl="4">
      <w:start w:val="1"/>
      <w:numFmt w:val="decimal"/>
      <w:lvlText w:val="%1.%2.%3.%4.%5."/>
      <w:lvlJc w:val="left"/>
      <w:pPr>
        <w:tabs>
          <w:tab w:val="num" w:pos="0"/>
        </w:tabs>
        <w:ind w:left="3024" w:hanging="1080"/>
      </w:pPr>
    </w:lvl>
    <w:lvl w:ilvl="5">
      <w:start w:val="1"/>
      <w:numFmt w:val="decimal"/>
      <w:lvlText w:val="%1.%2.%3.%4.%5.%6."/>
      <w:lvlJc w:val="left"/>
      <w:pPr>
        <w:tabs>
          <w:tab w:val="num" w:pos="0"/>
        </w:tabs>
        <w:ind w:left="3510" w:hanging="1080"/>
      </w:pPr>
    </w:lvl>
    <w:lvl w:ilvl="6">
      <w:start w:val="1"/>
      <w:numFmt w:val="decimal"/>
      <w:lvlText w:val="%1.%2.%3.%4.%5.%6.%7."/>
      <w:lvlJc w:val="left"/>
      <w:pPr>
        <w:tabs>
          <w:tab w:val="num" w:pos="0"/>
        </w:tabs>
        <w:ind w:left="4356" w:hanging="1440"/>
      </w:pPr>
    </w:lvl>
    <w:lvl w:ilvl="7">
      <w:start w:val="1"/>
      <w:numFmt w:val="decimal"/>
      <w:lvlText w:val="%1.%2.%3.%4.%5.%6.%7.%8."/>
      <w:lvlJc w:val="left"/>
      <w:pPr>
        <w:tabs>
          <w:tab w:val="num" w:pos="0"/>
        </w:tabs>
        <w:ind w:left="4842" w:hanging="1440"/>
      </w:pPr>
    </w:lvl>
    <w:lvl w:ilvl="8">
      <w:start w:val="1"/>
      <w:numFmt w:val="decimal"/>
      <w:lvlText w:val="%1.%2.%3.%4.%5.%6.%7.%8.%9."/>
      <w:lvlJc w:val="left"/>
      <w:pPr>
        <w:tabs>
          <w:tab w:val="num" w:pos="0"/>
        </w:tabs>
        <w:ind w:left="5688" w:hanging="1800"/>
      </w:pPr>
    </w:lvl>
  </w:abstractNum>
  <w:abstractNum w:abstractNumId="8">
    <w:lvl w:ilvl="0">
      <w:start w:val="8"/>
      <w:numFmt w:val="decimal"/>
      <w:lvlText w:val="%1."/>
      <w:lvlJc w:val="left"/>
      <w:pPr>
        <w:tabs>
          <w:tab w:val="num" w:pos="0"/>
        </w:tabs>
        <w:ind w:left="504" w:hanging="504"/>
      </w:pPr>
    </w:lvl>
    <w:lvl w:ilvl="1">
      <w:start w:val="3"/>
      <w:numFmt w:val="decimal"/>
      <w:lvlText w:val="%1.%2."/>
      <w:lvlJc w:val="left"/>
      <w:pPr>
        <w:tabs>
          <w:tab w:val="num" w:pos="0"/>
        </w:tabs>
        <w:ind w:left="756" w:hanging="504"/>
      </w:pPr>
      <w:rPr>
        <w:b/>
        <w:bCs/>
      </w:rPr>
    </w:lvl>
    <w:lvl w:ilvl="2">
      <w:start w:val="4"/>
      <w:numFmt w:val="decimal"/>
      <w:lvlText w:val="%1.%2.%3."/>
      <w:lvlJc w:val="left"/>
      <w:pPr>
        <w:tabs>
          <w:tab w:val="num" w:pos="0"/>
        </w:tabs>
        <w:ind w:left="1224" w:hanging="720"/>
      </w:pPr>
      <w:rPr>
        <w:b/>
        <w:bCs/>
      </w:rPr>
    </w:lvl>
    <w:lvl w:ilvl="3">
      <w:start w:val="1"/>
      <w:numFmt w:val="decimal"/>
      <w:lvlText w:val="%1.%2.%3.%4."/>
      <w:lvlJc w:val="left"/>
      <w:pPr>
        <w:tabs>
          <w:tab w:val="num" w:pos="0"/>
        </w:tabs>
        <w:ind w:left="1476" w:hanging="720"/>
      </w:pPr>
    </w:lvl>
    <w:lvl w:ilvl="4">
      <w:start w:val="1"/>
      <w:numFmt w:val="decimal"/>
      <w:lvlText w:val="%1.%2.%3.%4.%5."/>
      <w:lvlJc w:val="left"/>
      <w:pPr>
        <w:tabs>
          <w:tab w:val="num" w:pos="0"/>
        </w:tabs>
        <w:ind w:left="2088" w:hanging="1080"/>
      </w:pPr>
    </w:lvl>
    <w:lvl w:ilvl="5">
      <w:start w:val="1"/>
      <w:numFmt w:val="decimal"/>
      <w:lvlText w:val="%1.%2.%3.%4.%5.%6."/>
      <w:lvlJc w:val="left"/>
      <w:pPr>
        <w:tabs>
          <w:tab w:val="num" w:pos="0"/>
        </w:tabs>
        <w:ind w:left="2340" w:hanging="1080"/>
      </w:pPr>
    </w:lvl>
    <w:lvl w:ilvl="6">
      <w:start w:val="1"/>
      <w:numFmt w:val="decimal"/>
      <w:lvlText w:val="%1.%2.%3.%4.%5.%6.%7."/>
      <w:lvlJc w:val="left"/>
      <w:pPr>
        <w:tabs>
          <w:tab w:val="num" w:pos="0"/>
        </w:tabs>
        <w:ind w:left="2952" w:hanging="1440"/>
      </w:pPr>
    </w:lvl>
    <w:lvl w:ilvl="7">
      <w:start w:val="1"/>
      <w:numFmt w:val="decimal"/>
      <w:lvlText w:val="%1.%2.%3.%4.%5.%6.%7.%8."/>
      <w:lvlJc w:val="left"/>
      <w:pPr>
        <w:tabs>
          <w:tab w:val="num" w:pos="0"/>
        </w:tabs>
        <w:ind w:left="3204" w:hanging="1440"/>
      </w:pPr>
    </w:lvl>
    <w:lvl w:ilvl="8">
      <w:start w:val="1"/>
      <w:numFmt w:val="decimal"/>
      <w:lvlText w:val="%1.%2.%3.%4.%5.%6.%7.%8.%9."/>
      <w:lvlJc w:val="left"/>
      <w:pPr>
        <w:tabs>
          <w:tab w:val="num" w:pos="0"/>
        </w:tabs>
        <w:ind w:left="3816" w:hanging="1800"/>
      </w:pPr>
    </w:lvl>
  </w:abstractNum>
  <w:abstractNum w:abstractNumId="9">
    <w:lvl w:ilvl="0">
      <w:start w:val="9"/>
      <w:numFmt w:val="decimal"/>
      <w:lvlText w:val="%1."/>
      <w:lvlJc w:val="left"/>
      <w:pPr>
        <w:tabs>
          <w:tab w:val="num" w:pos="0"/>
        </w:tabs>
        <w:ind w:left="360" w:hanging="360"/>
      </w:pPr>
    </w:lvl>
    <w:lvl w:ilvl="1">
      <w:start w:val="1"/>
      <w:numFmt w:val="decimal"/>
      <w:lvlText w:val="%1.%2."/>
      <w:lvlJc w:val="left"/>
      <w:pPr>
        <w:tabs>
          <w:tab w:val="num" w:pos="0"/>
        </w:tabs>
        <w:ind w:left="864" w:hanging="360"/>
      </w:pPr>
      <w:rPr>
        <w:b/>
        <w:bCs/>
      </w:rPr>
    </w:lvl>
    <w:lvl w:ilvl="2">
      <w:start w:val="1"/>
      <w:numFmt w:val="decimal"/>
      <w:lvlText w:val="%1.%2.%3."/>
      <w:lvlJc w:val="left"/>
      <w:pPr>
        <w:tabs>
          <w:tab w:val="num" w:pos="0"/>
        </w:tabs>
        <w:ind w:left="1728" w:hanging="720"/>
      </w:pPr>
      <w:rPr>
        <w:b/>
        <w:bCs/>
      </w:rPr>
    </w:lvl>
    <w:lvl w:ilvl="3">
      <w:start w:val="1"/>
      <w:numFmt w:val="decimal"/>
      <w:lvlText w:val="%1.%2.%3.%4."/>
      <w:lvlJc w:val="left"/>
      <w:pPr>
        <w:tabs>
          <w:tab w:val="num" w:pos="0"/>
        </w:tabs>
        <w:ind w:left="2232" w:hanging="720"/>
      </w:pPr>
      <w:rPr>
        <w:b/>
        <w:bCs/>
      </w:rPr>
    </w:lvl>
    <w:lvl w:ilvl="4">
      <w:start w:val="1"/>
      <w:numFmt w:val="decimal"/>
      <w:lvlText w:val="%1.%2.%3.%4.%5."/>
      <w:lvlJc w:val="left"/>
      <w:pPr>
        <w:tabs>
          <w:tab w:val="num" w:pos="0"/>
        </w:tabs>
        <w:ind w:left="3096" w:hanging="1080"/>
      </w:pPr>
    </w:lvl>
    <w:lvl w:ilvl="5">
      <w:start w:val="1"/>
      <w:numFmt w:val="decimal"/>
      <w:lvlText w:val="%1.%2.%3.%4.%5.%6."/>
      <w:lvlJc w:val="left"/>
      <w:pPr>
        <w:tabs>
          <w:tab w:val="num" w:pos="0"/>
        </w:tabs>
        <w:ind w:left="3600" w:hanging="1080"/>
      </w:pPr>
    </w:lvl>
    <w:lvl w:ilvl="6">
      <w:start w:val="1"/>
      <w:numFmt w:val="decimal"/>
      <w:lvlText w:val="%1.%2.%3.%4.%5.%6.%7."/>
      <w:lvlJc w:val="left"/>
      <w:pPr>
        <w:tabs>
          <w:tab w:val="num" w:pos="0"/>
        </w:tabs>
        <w:ind w:left="4464" w:hanging="1440"/>
      </w:pPr>
    </w:lvl>
    <w:lvl w:ilvl="7">
      <w:start w:val="1"/>
      <w:numFmt w:val="decimal"/>
      <w:lvlText w:val="%1.%2.%3.%4.%5.%6.%7.%8."/>
      <w:lvlJc w:val="left"/>
      <w:pPr>
        <w:tabs>
          <w:tab w:val="num" w:pos="0"/>
        </w:tabs>
        <w:ind w:left="4968" w:hanging="1440"/>
      </w:pPr>
    </w:lvl>
    <w:lvl w:ilvl="8">
      <w:start w:val="1"/>
      <w:numFmt w:val="decimal"/>
      <w:lvlText w:val="%1.%2.%3.%4.%5.%6.%7.%8.%9."/>
      <w:lvlJc w:val="left"/>
      <w:pPr>
        <w:tabs>
          <w:tab w:val="num" w:pos="0"/>
        </w:tabs>
        <w:ind w:left="5832" w:hanging="1800"/>
      </w:pPr>
    </w:lvl>
  </w:abstractNum>
  <w:abstractNum w:abstractNumId="10">
    <w:lvl w:ilvl="0">
      <w:start w:val="9"/>
      <w:numFmt w:val="decimal"/>
      <w:lvlText w:val="%1."/>
      <w:lvlJc w:val="left"/>
      <w:pPr>
        <w:tabs>
          <w:tab w:val="num" w:pos="0"/>
        </w:tabs>
        <w:ind w:left="444" w:hanging="444"/>
      </w:pPr>
    </w:lvl>
    <w:lvl w:ilvl="1">
      <w:start w:val="12"/>
      <w:numFmt w:val="decimal"/>
      <w:lvlText w:val="%1.%2."/>
      <w:lvlJc w:val="left"/>
      <w:pPr>
        <w:tabs>
          <w:tab w:val="num" w:pos="0"/>
        </w:tabs>
        <w:ind w:left="804" w:hanging="444"/>
      </w:pPr>
      <w:rPr>
        <w:b/>
        <w:bCs/>
      </w:rPr>
    </w:lvl>
    <w:lvl w:ilvl="2">
      <w:start w:val="1"/>
      <w:numFmt w:val="decimal"/>
      <w:lvlText w:val="%1.%2.%3."/>
      <w:lvlJc w:val="left"/>
      <w:pPr>
        <w:tabs>
          <w:tab w:val="num" w:pos="0"/>
        </w:tabs>
        <w:ind w:left="1440" w:hanging="720"/>
      </w:pPr>
      <w:rPr>
        <w:b/>
        <w:bCs/>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1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pt-BR" w:eastAsia="pt-BR"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 w:cs="" w:asciiTheme="minorHAnsi" w:cstheme="minorBidi" w:eastAsiaTheme="minorEastAsia" w:hAnsiTheme="minorHAnsi"/>
      <w:color w:val="auto"/>
      <w:kern w:val="0"/>
      <w:sz w:val="22"/>
      <w:szCs w:val="22"/>
      <w:lang w:val="pt-BR" w:eastAsia="pt-BR" w:bidi="ar-SA"/>
    </w:rPr>
  </w:style>
  <w:style w:type="character" w:styleId="DefaultParagraphFont" w:default="1">
    <w:name w:val="Default Paragraph Font"/>
    <w:uiPriority w:val="1"/>
    <w:semiHidden/>
    <w:unhideWhenUsed/>
    <w:qFormat/>
    <w:rPr/>
  </w:style>
  <w:style w:type="character" w:styleId="Fontstyle01" w:customStyle="1">
    <w:name w:val="fontstyle01"/>
    <w:basedOn w:val="DefaultParagraphFont"/>
    <w:qFormat/>
    <w:rsid w:val="00fd371c"/>
    <w:rPr>
      <w:rFonts w:ascii="Times-Roman" w:hAnsi="Times-Roman"/>
      <w:b w:val="false"/>
      <w:bCs w:val="false"/>
      <w:i w:val="false"/>
      <w:iCs w:val="false"/>
      <w:color w:val="000000"/>
      <w:sz w:val="24"/>
      <w:szCs w:val="24"/>
    </w:rPr>
  </w:style>
  <w:style w:type="character" w:styleId="LinkdaInternet" w:customStyle="1">
    <w:name w:val="Link da Internet"/>
    <w:rPr>
      <w:color w:val="000080"/>
      <w:u w:val="single"/>
    </w:rPr>
  </w:style>
  <w:style w:type="character" w:styleId="Smbolosdenumerao" w:customStyle="1">
    <w:name w:val="Símbolos de numeração"/>
    <w:qFormat/>
    <w:rPr/>
  </w:style>
  <w:style w:type="character" w:styleId="Fontepargpadro1" w:customStyle="1">
    <w:name w:val="Fonte parág. padrão1"/>
    <w:qFormat/>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tulododocumento">
    <w:name w:val="Title"/>
    <w:basedOn w:val="Normal"/>
    <w:next w:val="Corpodotexto"/>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szCs w:val="24"/>
    </w:rPr>
  </w:style>
  <w:style w:type="paragraph" w:styleId="ListParagraph">
    <w:name w:val="List Paragraph"/>
    <w:basedOn w:val="Normal"/>
    <w:qFormat/>
    <w:rsid w:val="008c25d7"/>
    <w:pPr>
      <w:spacing w:before="0" w:after="160"/>
      <w:ind w:left="720" w:hanging="0"/>
      <w:contextualSpacing/>
    </w:pPr>
    <w:rPr/>
  </w:style>
  <w:style w:type="paragraph" w:styleId="WWPadro" w:customStyle="1">
    <w:name w:val="WW-Padrão"/>
    <w:qFormat/>
    <w:rsid w:val="005e20ce"/>
    <w:pPr>
      <w:widowControl w:val="false"/>
      <w:suppressAutoHyphens w:val="true"/>
      <w:bidi w:val="0"/>
      <w:spacing w:before="0" w:after="0"/>
      <w:jc w:val="left"/>
    </w:pPr>
    <w:rPr>
      <w:rFonts w:ascii="Times New Roman" w:hAnsi="Times New Roman" w:eastAsia="Arial" w:cs="Times New Roman"/>
      <w:color w:val="auto"/>
      <w:kern w:val="0"/>
      <w:sz w:val="24"/>
      <w:szCs w:val="24"/>
      <w:lang w:val="pt-BR" w:eastAsia="zh-CN" w:bidi="ar-SA"/>
    </w:rPr>
  </w:style>
  <w:style w:type="paragraph" w:styleId="Standard" w:customStyle="1">
    <w:name w:val="Standard"/>
    <w:qFormat/>
    <w:rsid w:val="00fd371c"/>
    <w:pPr>
      <w:widowControl w:val="false"/>
      <w:suppressAutoHyphens w:val="true"/>
      <w:bidi w:val="0"/>
      <w:spacing w:before="0" w:after="0"/>
      <w:jc w:val="left"/>
      <w:textAlignment w:val="baseline"/>
    </w:pPr>
    <w:rPr>
      <w:rFonts w:ascii="Liberation Serif" w:hAnsi="Liberation Serif" w:eastAsia="DejaVu Sans" w:cs="Lohit Hindi"/>
      <w:color w:val="00000A"/>
      <w:kern w:val="2"/>
      <w:sz w:val="24"/>
      <w:szCs w:val="24"/>
      <w:lang w:val="pt-BR" w:eastAsia="zh-CN" w:bidi="hi-IN"/>
    </w:rPr>
  </w:style>
  <w:style w:type="paragraph" w:styleId="Texto" w:customStyle="1">
    <w:name w:val="texto"/>
    <w:qFormat/>
    <w:rsid w:val="00fd371c"/>
    <w:pPr>
      <w:widowControl w:val="false"/>
      <w:tabs>
        <w:tab w:val="clear" w:pos="708"/>
        <w:tab w:val="left" w:pos="1048" w:leader="none"/>
        <w:tab w:val="left" w:pos="1756" w:leader="none"/>
        <w:tab w:val="left" w:pos="2464" w:leader="none"/>
        <w:tab w:val="left" w:pos="3172" w:leader="none"/>
        <w:tab w:val="left" w:pos="3880" w:leader="none"/>
        <w:tab w:val="left" w:pos="4588" w:leader="none"/>
        <w:tab w:val="left" w:pos="5296" w:leader="none"/>
        <w:tab w:val="left" w:pos="6004" w:leader="none"/>
        <w:tab w:val="left" w:pos="6712" w:leader="none"/>
        <w:tab w:val="left" w:pos="7420" w:leader="none"/>
        <w:tab w:val="left" w:pos="8128" w:leader="none"/>
        <w:tab w:val="left" w:pos="8836" w:leader="none"/>
        <w:tab w:val="left" w:pos="9544" w:leader="none"/>
        <w:tab w:val="left" w:pos="10252" w:leader="none"/>
        <w:tab w:val="left" w:pos="10960" w:leader="none"/>
        <w:tab w:val="left" w:pos="11668" w:leader="none"/>
        <w:tab w:val="left" w:pos="12376" w:leader="none"/>
        <w:tab w:val="left" w:pos="13084" w:leader="none"/>
        <w:tab w:val="left" w:pos="13792" w:leader="none"/>
        <w:tab w:val="left" w:pos="14500" w:leader="none"/>
        <w:tab w:val="left" w:pos="15208" w:leader="none"/>
        <w:tab w:val="left" w:pos="15916" w:leader="none"/>
        <w:tab w:val="left" w:pos="16624" w:leader="none"/>
        <w:tab w:val="left" w:pos="17332" w:leader="none"/>
        <w:tab w:val="left" w:pos="18040" w:leader="none"/>
        <w:tab w:val="left" w:pos="18748" w:leader="none"/>
        <w:tab w:val="left" w:pos="19456" w:leader="none"/>
        <w:tab w:val="left" w:pos="20164" w:leader="none"/>
        <w:tab w:val="left" w:pos="20872" w:leader="none"/>
        <w:tab w:val="left" w:pos="21580" w:leader="none"/>
        <w:tab w:val="left" w:pos="22288" w:leader="none"/>
        <w:tab w:val="left" w:pos="22996" w:leader="none"/>
        <w:tab w:val="left" w:pos="23704" w:leader="none"/>
        <w:tab w:val="left" w:pos="24412" w:leader="none"/>
        <w:tab w:val="left" w:pos="25120" w:leader="none"/>
        <w:tab w:val="left" w:pos="25828" w:leader="none"/>
        <w:tab w:val="left" w:pos="26536" w:leader="none"/>
        <w:tab w:val="left" w:pos="27244" w:leader="none"/>
        <w:tab w:val="left" w:pos="27952" w:leader="none"/>
        <w:tab w:val="left" w:pos="28660" w:leader="none"/>
      </w:tabs>
      <w:suppressAutoHyphens w:val="true"/>
      <w:bidi w:val="0"/>
      <w:spacing w:lineRule="atLeast" w:line="240" w:before="0" w:after="0"/>
      <w:ind w:left="170" w:hanging="170"/>
      <w:jc w:val="both"/>
      <w:textAlignment w:val="baseline"/>
    </w:pPr>
    <w:rPr>
      <w:rFonts w:ascii="Liberation Serif" w:hAnsi="Liberation Serif" w:eastAsia="Droid Sans Fallback" w:cs="FreeSans"/>
      <w:color w:val="00000A"/>
      <w:kern w:val="2"/>
      <w:sz w:val="24"/>
      <w:szCs w:val="24"/>
      <w:lang w:val="pt-BR" w:eastAsia="zh-CN" w:bidi="hi-IN"/>
    </w:rPr>
  </w:style>
  <w:style w:type="paragraph" w:styleId="Textbody" w:customStyle="1">
    <w:name w:val="Text body"/>
    <w:basedOn w:val="Standard"/>
    <w:qFormat/>
    <w:rsid w:val="00fd371c"/>
    <w:pPr>
      <w:widowControl/>
      <w:spacing w:lineRule="auto" w:line="288" w:before="0" w:after="140"/>
    </w:pPr>
    <w:rPr>
      <w:rFonts w:eastAsia="SimSun" w:cs="Arial"/>
    </w:rPr>
  </w:style>
  <w:style w:type="paragraph" w:styleId="Recuodecorpodetexto31" w:customStyle="1">
    <w:name w:val="Recuo de corpo de texto 31"/>
    <w:basedOn w:val="Standard"/>
    <w:qFormat/>
    <w:rsid w:val="00fd371c"/>
    <w:pPr>
      <w:ind w:left="1134" w:hanging="1134"/>
    </w:pPr>
    <w:rPr>
      <w:rFonts w:eastAsia="Droid Sans Fallback" w:cs="FreeSans"/>
    </w:rPr>
  </w:style>
  <w:style w:type="paragraph" w:styleId="Default" w:customStyle="1">
    <w:name w:val="Default"/>
    <w:qFormat/>
    <w:rsid w:val="00fd371c"/>
    <w:pPr>
      <w:widowControl/>
      <w:suppressAutoHyphens w:val="true"/>
      <w:bidi w:val="0"/>
      <w:spacing w:before="0" w:after="0"/>
      <w:jc w:val="left"/>
      <w:textAlignment w:val="baseline"/>
    </w:pPr>
    <w:rPr>
      <w:rFonts w:ascii="Times New Roman" w:hAnsi="Times New Roman" w:eastAsia="Times New Roman" w:cs="Times New Roman"/>
      <w:color w:val="000000"/>
      <w:kern w:val="2"/>
      <w:sz w:val="24"/>
      <w:szCs w:val="24"/>
      <w:lang w:val="pt-BR" w:eastAsia="pt-BR" w:bidi="ar-SA"/>
    </w:rPr>
  </w:style>
  <w:style w:type="paragraph" w:styleId="Contedodatabela" w:customStyle="1">
    <w:name w:val="Conteúdo da tabela"/>
    <w:basedOn w:val="Standard"/>
    <w:qFormat/>
    <w:pPr/>
    <w:rPr/>
  </w:style>
  <w:style w:type="paragraph" w:styleId="Inner" w:customStyle="1">
    <w:name w:val="inner"/>
    <w:basedOn w:val="Normal"/>
    <w:qFormat/>
    <w:pPr>
      <w:suppressAutoHyphens w:val="false"/>
      <w:spacing w:before="100" w:after="100"/>
    </w:pPr>
    <w:rPr>
      <w:rFonts w:ascii="Times New Roman" w:hAnsi="Times New Roman" w:eastAsia="Times New Roman" w:cs="Times New Roman"/>
    </w:rPr>
  </w:style>
  <w:style w:type="paragraph" w:styleId="PargrafodaLista1">
    <w:name w:val="Parágrafo da Lista1"/>
    <w:basedOn w:val="Standard"/>
    <w:qFormat/>
    <w:pPr>
      <w:suppressAutoHyphens w:val="false"/>
      <w:ind w:left="720" w:hanging="0"/>
    </w:pPr>
    <w:rPr>
      <w:sz w:val="20"/>
      <w:lang w:eastAsia="pt-BR"/>
    </w:rPr>
  </w:style>
  <w:style w:type="paragraph" w:styleId="Ttulodetabela">
    <w:name w:val="Título de tabela"/>
    <w:basedOn w:val="Contedodatabela"/>
    <w:qFormat/>
    <w:pPr>
      <w:suppressLineNumbers/>
      <w:jc w:val="center"/>
    </w:pPr>
    <w:rPr>
      <w:b/>
      <w:bCs/>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lanalto.gov.br/ccivil_03/LEIS/L6404consol.htm" TargetMode="External"/><Relationship Id="rId4" Type="http://schemas.openxmlformats.org/officeDocument/2006/relationships/hyperlink" Target="http://www.portaldatransparencia.gov.br/ceis" TargetMode="External"/><Relationship Id="rId5" Type="http://schemas.openxmlformats.org/officeDocument/2006/relationships/hyperlink" Target="http://www.cnj.jus.br/improbidade_adm/consultar_requerido.php" TargetMode="External"/><Relationship Id="rId6" Type="http://schemas.openxmlformats.org/officeDocument/2006/relationships/hyperlink" Target="https://certidoesapf.apps.tcu.gov.br/" TargetMode="Externa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Application>LibreOffice/7.0.0.3$Windows_X86_64 LibreOffice_project/8061b3e9204bef6b321a21033174034a5e2ea88e</Application>
  <Pages>13</Pages>
  <Words>5596</Words>
  <Characters>31341</Characters>
  <CharactersWithSpaces>36551</CharactersWithSpaces>
  <Paragraphs>286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2022-07-19T19:33:00Z</dcterms:created>
  <dc:creator>SALC_EMPENHO</dc:creator>
  <dc:description/>
  <dc:language>pt-BR</dc:language>
  <cp:lastModifiedBy/>
  <cp:lastPrinted>2022-02-16T17:08:00Z</cp:lastPrinted>
  <dcterms:modified xsi:type="dcterms:W3CDTF">2022-09-21T16:08:14Z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