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1.jpeg" ContentType="image/jpeg"/>
  <Override PartName="/word/media/image2.jpeg" ContentType="image/jpe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ption"/>
        <w:keepNext/>
        <w:pageBreakBefore w:val="false"/>
        <w:widowControl w:val="false"/>
        <w:spacing w:before="0" w:after="0"/>
        <w:jc w:val="center"/>
        <w:rPr/>
      </w:pPr>
      <w:r>
        <w:rPr/>
        <w:drawing>
          <wp:inline distT="0" distB="0" distL="0" distR="0">
            <wp:extent cx="628650" cy="49530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2"/>
                    <a:stretch>
                      <a:fillRect/>
                    </a:stretch>
                  </pic:blipFill>
                  <pic:spPr bwMode="auto">
                    <a:xfrm>
                      <a:off x="0" y="0"/>
                      <a:ext cx="628650" cy="495300"/>
                    </a:xfrm>
                    <a:prstGeom prst="rect">
                      <a:avLst/>
                    </a:prstGeom>
                  </pic:spPr>
                </pic:pic>
              </a:graphicData>
            </a:graphic>
          </wp:inline>
        </w:drawing>
      </w:r>
    </w:p>
    <w:p>
      <w:pPr>
        <w:pStyle w:val="Caption"/>
        <w:keepNext/>
        <w:pageBreakBefore w:val="false"/>
        <w:widowControl w:val="false"/>
        <w:spacing w:before="0" w:after="0"/>
        <w:contextualSpacing/>
        <w:jc w:val="center"/>
        <w:rPr/>
      </w:pPr>
      <w:r>
        <w:rPr>
          <w:rFonts w:cs="Times New Roman" w:ascii="Times New Roman" w:hAnsi="Times New Roman"/>
          <w:b/>
          <w:i w:val="false"/>
          <w:szCs w:val="20"/>
        </w:rPr>
        <w:t>MINISTÉRIO DA DEFESA</w:t>
      </w:r>
    </w:p>
    <w:p>
      <w:pPr>
        <w:pStyle w:val="Normal"/>
        <w:keepNext/>
        <w:pageBreakBefore w:val="false"/>
        <w:widowControl w:val="false"/>
        <w:spacing w:before="0" w:after="0"/>
        <w:contextualSpacing/>
        <w:jc w:val="center"/>
        <w:rPr/>
      </w:pPr>
      <w:r>
        <w:rPr>
          <w:rFonts w:cs="Times New Roman" w:ascii="Times New Roman" w:hAnsi="Times New Roman"/>
          <w:b/>
          <w:bCs/>
          <w:szCs w:val="20"/>
          <w:lang w:eastAsia="ar-SA"/>
        </w:rPr>
        <w:t>EXÉRCITO BRASILEIRO</w:t>
      </w:r>
    </w:p>
    <w:p>
      <w:pPr>
        <w:pStyle w:val="Normal"/>
        <w:keepNext/>
        <w:pageBreakBefore w:val="false"/>
        <w:widowControl w:val="false"/>
        <w:spacing w:lineRule="auto" w:line="276" w:before="0" w:after="0"/>
        <w:contextualSpacing/>
        <w:jc w:val="center"/>
        <w:rPr/>
      </w:pPr>
      <w:r>
        <w:rPr>
          <w:rFonts w:cs="Times New Roman" w:ascii="Times New Roman" w:hAnsi="Times New Roman"/>
          <w:b/>
          <w:bCs/>
          <w:i/>
          <w:iCs/>
          <w:szCs w:val="20"/>
          <w:u w:val="single"/>
        </w:rPr>
        <w:t>HOSPITAL DE GUARNIÇÃO DE PORTO VELHO</w:t>
      </w:r>
    </w:p>
    <w:p>
      <w:pPr>
        <w:pStyle w:val="Normal"/>
        <w:keepNext/>
        <w:pageBreakBefore w:val="false"/>
        <w:widowControl w:val="false"/>
        <w:spacing w:lineRule="auto" w:line="276" w:before="0" w:after="0"/>
        <w:contextualSpacing/>
        <w:jc w:val="center"/>
        <w:rPr>
          <w:rFonts w:ascii="Times New Roman" w:hAnsi="Times New Roman" w:cs="Times New Roman"/>
          <w:b/>
          <w:b/>
          <w:bCs/>
          <w:i/>
          <w:i/>
          <w:iCs/>
          <w:szCs w:val="20"/>
          <w:u w:val="single"/>
        </w:rPr>
      </w:pPr>
      <w:r>
        <w:rPr>
          <w:rFonts w:cs="Times New Roman" w:ascii="Times New Roman" w:hAnsi="Times New Roman"/>
          <w:b/>
          <w:bCs/>
          <w:i/>
          <w:iCs/>
          <w:szCs w:val="20"/>
          <w:u w:val="single"/>
        </w:rPr>
      </w:r>
    </w:p>
    <w:p>
      <w:pPr>
        <w:pStyle w:val="Normal"/>
        <w:keepNext/>
        <w:pageBreakBefore w:val="false"/>
        <w:widowControl w:val="false"/>
        <w:jc w:val="center"/>
        <w:rPr/>
      </w:pPr>
      <w:r>
        <w:rPr>
          <w:rFonts w:cs="Arial"/>
          <w:b/>
          <w:bCs/>
          <w:szCs w:val="20"/>
        </w:rPr>
        <w:t>AVISO DE DISPENSA ELETRÔNICA Nº 23/2022</w:t>
      </w:r>
    </w:p>
    <w:p>
      <w:pPr>
        <w:pStyle w:val="Normal"/>
        <w:keepNext/>
        <w:pageBreakBefore w:val="false"/>
        <w:widowControl w:val="false"/>
        <w:spacing w:before="0" w:after="120"/>
        <w:jc w:val="center"/>
        <w:rPr/>
      </w:pPr>
      <w:r>
        <w:rPr>
          <w:rFonts w:cs="Arial"/>
          <w:b/>
          <w:bCs/>
          <w:szCs w:val="20"/>
        </w:rPr>
        <w:t>(Processo Administrativo n.°64593.006987/2022-40)</w:t>
      </w:r>
    </w:p>
    <w:p>
      <w:pPr>
        <w:pStyle w:val="Normal"/>
        <w:keepNext/>
        <w:pageBreakBefore w:val="false"/>
        <w:widowControl w:val="false"/>
        <w:rPr>
          <w:rFonts w:cs="Arial"/>
        </w:rPr>
      </w:pPr>
      <w:r>
        <w:rPr>
          <w:rFonts w:cs="Arial"/>
        </w:rPr>
      </w:r>
    </w:p>
    <w:p>
      <w:pPr>
        <w:pStyle w:val="Normal"/>
        <w:keepNext/>
        <w:pageBreakBefore w:val="false"/>
        <w:widowControl w:val="false"/>
        <w:snapToGrid w:val="false"/>
        <w:spacing w:before="0" w:after="120"/>
        <w:jc w:val="both"/>
        <w:rPr/>
      </w:pPr>
      <w:r>
        <w:rPr>
          <w:rFonts w:cs="Arial"/>
          <w:szCs w:val="20"/>
        </w:rPr>
        <w:t xml:space="preserve">Torna-se público que o </w:t>
      </w:r>
      <w:r>
        <w:rPr>
          <w:rFonts w:eastAsia="Arial" w:cs="Arial"/>
          <w:szCs w:val="20"/>
        </w:rPr>
        <w:t>Hospital de Guarnição de Porto Velho</w:t>
      </w:r>
      <w:r>
        <w:rPr>
          <w:rFonts w:cs="Arial"/>
          <w:szCs w:val="20"/>
        </w:rPr>
        <w:t>, por meio da</w:t>
      </w:r>
      <w:r>
        <w:rPr>
          <w:rFonts w:eastAsia="Arial" w:cs="Arial"/>
          <w:szCs w:val="20"/>
        </w:rPr>
        <w:t xml:space="preserve"> Seção de Aquisição, Licitações e contratos</w:t>
      </w:r>
      <w:r>
        <w:rPr>
          <w:rFonts w:cs="Arial"/>
          <w:szCs w:val="20"/>
        </w:rPr>
        <w:t xml:space="preserve">, realizará Dispensa Eletrônica, </w:t>
      </w:r>
      <w:r>
        <w:rPr>
          <w:rFonts w:cs="Arial"/>
          <w:bCs/>
          <w:szCs w:val="20"/>
        </w:rPr>
        <w:t>com critério de julgamento</w:t>
      </w:r>
      <w:r>
        <w:rPr>
          <w:rFonts w:cs="Arial"/>
          <w:i/>
          <w:szCs w:val="20"/>
        </w:rPr>
        <w:t>(menor preço)</w:t>
      </w:r>
      <w:r>
        <w:rPr>
          <w:rFonts w:cs="Arial"/>
          <w:b/>
          <w:bCs/>
          <w:i/>
          <w:szCs w:val="20"/>
        </w:rPr>
        <w:t xml:space="preserve">, </w:t>
      </w:r>
      <w:r>
        <w:rPr>
          <w:rFonts w:cs="Arial"/>
          <w:szCs w:val="20"/>
        </w:rPr>
        <w:t>na hipótese do art. 75</w:t>
      </w:r>
      <w:r>
        <w:rPr>
          <w:rFonts w:cs="Arial"/>
          <w:i/>
          <w:iCs/>
          <w:szCs w:val="20"/>
        </w:rPr>
        <w:t xml:space="preserve">, </w:t>
      </w:r>
      <w:r>
        <w:rPr>
          <w:rFonts w:cs="Arial"/>
          <w:b/>
          <w:i/>
          <w:iCs/>
          <w:szCs w:val="20"/>
        </w:rPr>
        <w:t>II</w:t>
      </w:r>
      <w:r>
        <w:rPr>
          <w:rFonts w:cs="Arial"/>
          <w:i/>
          <w:iCs/>
          <w:szCs w:val="20"/>
        </w:rPr>
        <w:t xml:space="preserve">, </w:t>
      </w:r>
      <w:r>
        <w:rPr>
          <w:rFonts w:cs="Arial"/>
          <w:bCs/>
          <w:szCs w:val="20"/>
        </w:rPr>
        <w:t>nos termos da Lei nº 14.133, de 1º de abril de 2021, da Instrução Normativa SEGES/ME nº 67/2021 e demais legislação aplicável</w:t>
      </w:r>
      <w:r>
        <w:rPr>
          <w:rFonts w:cs="Arial"/>
          <w:szCs w:val="20"/>
        </w:rPr>
        <w:t>.</w:t>
      </w:r>
    </w:p>
    <w:p>
      <w:pPr>
        <w:pStyle w:val="Normal"/>
        <w:keepNext/>
        <w:pageBreakBefore w:val="false"/>
        <w:widowControl w:val="false"/>
        <w:jc w:val="both"/>
        <w:rPr>
          <w:rFonts w:cs="Arial"/>
          <w:szCs w:val="20"/>
        </w:rPr>
      </w:pPr>
      <w:r>
        <w:rPr>
          <w:rFonts w:cs="Arial"/>
          <w:szCs w:val="20"/>
        </w:rPr>
      </w:r>
    </w:p>
    <w:p>
      <w:pPr>
        <w:pStyle w:val="Normal"/>
        <w:keepNext/>
        <w:pageBreakBefore w:val="false"/>
        <w:widowControl w:val="false"/>
        <w:jc w:val="both"/>
        <w:rPr/>
      </w:pPr>
      <w:r>
        <w:rPr>
          <w:rFonts w:cs="Arial"/>
          <w:szCs w:val="20"/>
        </w:rPr>
        <w:t xml:space="preserve">Data da sessão: </w:t>
      </w:r>
      <w:r>
        <w:rPr>
          <w:rFonts w:cs="Arial"/>
          <w:szCs w:val="20"/>
        </w:rPr>
        <w:t>03</w:t>
      </w:r>
      <w:r>
        <w:rPr>
          <w:rFonts w:cs="Arial"/>
          <w:szCs w:val="20"/>
        </w:rPr>
        <w:t xml:space="preserve"> de </w:t>
      </w:r>
      <w:r>
        <w:rPr>
          <w:rFonts w:cs="Arial"/>
          <w:szCs w:val="20"/>
        </w:rPr>
        <w:t>outubro</w:t>
      </w:r>
      <w:r>
        <w:rPr>
          <w:rFonts w:cs="Arial"/>
          <w:szCs w:val="20"/>
        </w:rPr>
        <w:t xml:space="preserve"> de 2022.</w:t>
      </w:r>
    </w:p>
    <w:p>
      <w:pPr>
        <w:pStyle w:val="Normal"/>
        <w:keepNext/>
        <w:pageBreakBefore w:val="false"/>
        <w:widowControl w:val="false"/>
        <w:rPr/>
      </w:pPr>
      <w:r>
        <w:rPr>
          <w:rFonts w:cs="Arial"/>
          <w:szCs w:val="20"/>
        </w:rPr>
        <w:t xml:space="preserve">Link: Portal de Compras do Governo Federal – www.comprasgovernamentais.gov.br </w:t>
      </w:r>
    </w:p>
    <w:p>
      <w:pPr>
        <w:pStyle w:val="Normal"/>
        <w:keepNext/>
        <w:pageBreakBefore w:val="false"/>
        <w:widowControl w:val="false"/>
        <w:rPr/>
      </w:pPr>
      <w:r>
        <w:rPr>
          <w:rFonts w:cs="Arial"/>
          <w:szCs w:val="20"/>
        </w:rPr>
        <w:t>Horário da Fase de Lances: 09:00 às 15:00 horas (horário Brasília)</w:t>
      </w:r>
    </w:p>
    <w:p>
      <w:pPr>
        <w:pStyle w:val="PADRO"/>
        <w:keepNext/>
        <w:pageBreakBefore w:val="false"/>
        <w:widowControl w:val="false"/>
        <w:shd w:val="clear" w:color="auto" w:fill="auto"/>
        <w:spacing w:lineRule="auto" w:line="240" w:before="120" w:after="120"/>
        <w:ind w:left="360" w:hanging="0"/>
        <w:rPr>
          <w:rFonts w:ascii="Arial" w:hAnsi="Arial" w:cs="Arial"/>
          <w:b/>
          <w:b/>
        </w:rPr>
      </w:pPr>
      <w:r>
        <w:rPr>
          <w:rFonts w:cs="Arial" w:ascii="Arial" w:hAnsi="Arial"/>
          <w:b/>
        </w:rPr>
      </w:r>
    </w:p>
    <w:p>
      <w:pPr>
        <w:pStyle w:val="PADRO"/>
        <w:keepNext/>
        <w:pageBreakBefore w:val="false"/>
        <w:widowControl w:val="false"/>
        <w:numPr>
          <w:ilvl w:val="0"/>
          <w:numId w:val="1"/>
        </w:numPr>
        <w:shd w:val="clear" w:color="auto" w:fill="auto"/>
        <w:snapToGrid w:val="false"/>
        <w:spacing w:lineRule="auto" w:line="240" w:before="120" w:after="120"/>
        <w:rPr>
          <w:rFonts w:ascii="Arial" w:hAnsi="Arial" w:cs="Arial"/>
          <w:b/>
          <w:b/>
        </w:rPr>
      </w:pPr>
      <w:bookmarkStart w:id="0" w:name="_GoBack"/>
      <w:bookmarkEnd w:id="0"/>
      <w:r>
        <w:rPr>
          <w:rFonts w:cs="Arial" w:ascii="Arial" w:hAnsi="Arial"/>
          <w:b/>
        </w:rPr>
        <w:t>OBJETO DA CONTRATAÇÃO DIRETA</w:t>
      </w:r>
    </w:p>
    <w:p>
      <w:pPr>
        <w:pStyle w:val="PADRO"/>
        <w:keepNext/>
        <w:pageBreakBefore w:val="false"/>
        <w:widowControl w:val="false"/>
        <w:numPr>
          <w:ilvl w:val="1"/>
          <w:numId w:val="1"/>
        </w:numPr>
        <w:shd w:val="clear" w:color="auto" w:fill="auto"/>
        <w:snapToGrid w:val="false"/>
        <w:spacing w:lineRule="auto" w:line="240" w:before="120" w:after="120"/>
        <w:rPr/>
      </w:pPr>
      <w:r>
        <w:rPr>
          <w:rFonts w:cs="Arial" w:ascii="Arial" w:hAnsi="Arial"/>
          <w:szCs w:val="20"/>
        </w:rPr>
        <w:t xml:space="preserve">O objeto da presente dispensa é a escolha da proposta mais vantajosa para a contratação por dispensa de licitação de </w:t>
      </w:r>
      <w:bookmarkStart w:id="1" w:name="__DdeLink__1254_114419063"/>
      <w:r>
        <w:rPr>
          <w:rFonts w:cs="Arial" w:ascii="Arial" w:hAnsi="Arial"/>
          <w:szCs w:val="20"/>
        </w:rPr>
        <w:t>Aquisição de Tintas para Corredores e Consultórios do HGuPV</w:t>
      </w:r>
      <w:bookmarkEnd w:id="1"/>
      <w:r>
        <w:rPr>
          <w:rFonts w:cs="Arial" w:ascii="Arial" w:hAnsi="Arial"/>
          <w:b/>
          <w:bCs/>
          <w:szCs w:val="20"/>
        </w:rPr>
        <w:t>,</w:t>
      </w:r>
      <w:r>
        <w:rPr>
          <w:rFonts w:cs="Arial" w:ascii="Arial" w:hAnsi="Arial"/>
          <w:szCs w:val="20"/>
        </w:rPr>
        <w:t xml:space="preserve"> conforme condições, quantidades e exigências estabelecidas neste Aviso de Contratação Direta e seus anexos.</w:t>
      </w:r>
    </w:p>
    <w:p>
      <w:pPr>
        <w:pStyle w:val="PADRO"/>
        <w:keepNext/>
        <w:pageBreakBefore w:val="false"/>
        <w:widowControl w:val="false"/>
        <w:numPr>
          <w:ilvl w:val="1"/>
          <w:numId w:val="1"/>
        </w:numPr>
        <w:shd w:val="clear" w:color="auto" w:fill="auto"/>
        <w:snapToGrid w:val="false"/>
        <w:spacing w:lineRule="auto" w:line="240" w:before="120" w:after="120"/>
        <w:rPr/>
      </w:pPr>
      <w:r>
        <w:rPr>
          <w:rFonts w:cs="Arial" w:ascii="Arial" w:hAnsi="Arial"/>
          <w:i/>
          <w:iCs/>
          <w:szCs w:val="20"/>
        </w:rPr>
        <w:t>A contratação será ocorrerá em item único</w:t>
      </w:r>
      <w:r>
        <w:rPr>
          <w:rFonts w:cs="Arial" w:ascii="Arial" w:hAnsi="Arial"/>
          <w:b/>
          <w:bCs/>
          <w:i/>
          <w:iCs/>
          <w:szCs w:val="20"/>
        </w:rPr>
        <w:t>,</w:t>
      </w:r>
      <w:r>
        <w:rPr>
          <w:rFonts w:cs="Arial" w:ascii="Arial" w:hAnsi="Arial"/>
          <w:i/>
          <w:iCs/>
          <w:szCs w:val="20"/>
        </w:rPr>
        <w:t xml:space="preserve"> conforme tabela constante abaixo.</w:t>
      </w:r>
    </w:p>
    <w:tbl>
      <w:tblPr>
        <w:tblW w:w="5000" w:type="pct"/>
        <w:jc w:val="left"/>
        <w:tblInd w:w="-4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5" w:type="dxa"/>
          <w:bottom w:w="0" w:type="dxa"/>
          <w:right w:w="108" w:type="dxa"/>
        </w:tblCellMar>
        <w:tblLook w:val="04a0"/>
      </w:tblPr>
      <w:tblGrid>
        <w:gridCol w:w="720"/>
        <w:gridCol w:w="2979"/>
        <w:gridCol w:w="901"/>
        <w:gridCol w:w="989"/>
        <w:gridCol w:w="835"/>
        <w:gridCol w:w="1159"/>
        <w:gridCol w:w="2"/>
        <w:gridCol w:w="1485"/>
      </w:tblGrid>
      <w:tr>
        <w:trPr/>
        <w:tc>
          <w:tcPr>
            <w:tcW w:w="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cs="Arial"/>
                <w:b/>
                <w:b/>
                <w:bCs/>
                <w:color w:val="000000"/>
                <w:sz w:val="14"/>
                <w:szCs w:val="14"/>
              </w:rPr>
            </w:pPr>
            <w:r>
              <w:rPr>
                <w:rFonts w:cs="Arial"/>
                <w:b/>
                <w:bCs/>
                <w:sz w:val="14"/>
                <w:szCs w:val="14"/>
              </w:rPr>
              <w:t>ITEM</w:t>
            </w:r>
          </w:p>
          <w:p>
            <w:pPr>
              <w:pStyle w:val="Normal"/>
              <w:keepNext/>
              <w:widowControl w:val="false"/>
              <w:jc w:val="center"/>
              <w:rPr>
                <w:rFonts w:cs="Arial"/>
                <w:b/>
                <w:b/>
                <w:sz w:val="14"/>
                <w:szCs w:val="14"/>
              </w:rPr>
            </w:pPr>
            <w:r>
              <w:rPr>
                <w:rFonts w:cs="Arial"/>
                <w:b/>
                <w:sz w:val="14"/>
                <w:szCs w:val="14"/>
              </w:rPr>
            </w:r>
          </w:p>
        </w:tc>
        <w:tc>
          <w:tcPr>
            <w:tcW w:w="29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cs="Arial"/>
                <w:b/>
                <w:b/>
                <w:bCs/>
                <w:color w:val="000000"/>
                <w:sz w:val="14"/>
                <w:szCs w:val="14"/>
              </w:rPr>
            </w:pPr>
            <w:r>
              <w:rPr>
                <w:rFonts w:cs="Arial"/>
                <w:b/>
                <w:bCs/>
                <w:sz w:val="14"/>
                <w:szCs w:val="14"/>
              </w:rPr>
              <w:t>DESCRIÇÃO/</w:t>
            </w:r>
          </w:p>
          <w:p>
            <w:pPr>
              <w:pStyle w:val="Normal"/>
              <w:keepNext/>
              <w:widowControl w:val="false"/>
              <w:jc w:val="center"/>
              <w:rPr>
                <w:rFonts w:cs="Arial"/>
                <w:color w:val="000000"/>
                <w:sz w:val="14"/>
                <w:szCs w:val="14"/>
              </w:rPr>
            </w:pPr>
            <w:r>
              <w:rPr>
                <w:rFonts w:cs="Arial"/>
                <w:b/>
                <w:bCs/>
                <w:sz w:val="14"/>
                <w:szCs w:val="14"/>
              </w:rPr>
              <w:t>ESPECIFICAÇÃO</w:t>
            </w:r>
          </w:p>
        </w:tc>
        <w:tc>
          <w:tcPr>
            <w:tcW w:w="9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cs="Arial"/>
                <w:b/>
                <w:b/>
                <w:bCs/>
                <w:color w:val="000000"/>
                <w:sz w:val="14"/>
                <w:szCs w:val="14"/>
              </w:rPr>
            </w:pPr>
            <w:r>
              <w:rPr>
                <w:rFonts w:cs="Arial"/>
                <w:b/>
                <w:bCs/>
                <w:sz w:val="14"/>
                <w:szCs w:val="14"/>
              </w:rPr>
              <w:t>CATSER/</w:t>
            </w:r>
          </w:p>
          <w:p>
            <w:pPr>
              <w:pStyle w:val="Normal"/>
              <w:keepNext/>
              <w:widowControl w:val="false"/>
              <w:jc w:val="center"/>
              <w:rPr>
                <w:rFonts w:cs="Arial"/>
                <w:b/>
                <w:b/>
                <w:bCs/>
                <w:color w:val="000000"/>
                <w:sz w:val="14"/>
                <w:szCs w:val="14"/>
              </w:rPr>
            </w:pPr>
            <w:r>
              <w:rPr>
                <w:rFonts w:cs="Arial"/>
                <w:b/>
                <w:bCs/>
                <w:sz w:val="14"/>
                <w:szCs w:val="14"/>
              </w:rPr>
              <w:t>CATMAT</w:t>
            </w:r>
          </w:p>
        </w:tc>
        <w:tc>
          <w:tcPr>
            <w:tcW w:w="9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cs="Arial"/>
                <w:color w:val="000000"/>
                <w:sz w:val="14"/>
                <w:szCs w:val="14"/>
              </w:rPr>
            </w:pPr>
            <w:r>
              <w:rPr>
                <w:rFonts w:cs="Arial"/>
                <w:b/>
                <w:bCs/>
                <w:sz w:val="14"/>
                <w:szCs w:val="14"/>
              </w:rPr>
              <w:t>UNIDADE DE MEDIDA</w:t>
            </w:r>
          </w:p>
        </w:tc>
        <w:tc>
          <w:tcPr>
            <w:tcW w:w="83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cs="Arial"/>
                <w:color w:val="000000"/>
                <w:sz w:val="14"/>
                <w:szCs w:val="14"/>
              </w:rPr>
            </w:pPr>
            <w:r>
              <w:rPr>
                <w:rFonts w:cs="Arial"/>
                <w:b/>
                <w:bCs/>
                <w:sz w:val="14"/>
                <w:szCs w:val="14"/>
              </w:rPr>
              <w:t>QUANT.</w:t>
            </w:r>
          </w:p>
        </w:tc>
        <w:tc>
          <w:tcPr>
            <w:tcW w:w="11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pPr>
            <w:r>
              <w:rPr>
                <w:rFonts w:cs="Arial"/>
                <w:b/>
                <w:bCs/>
                <w:sz w:val="14"/>
                <w:szCs w:val="14"/>
              </w:rPr>
              <w:t>PREÇO UNITÁRIO</w:t>
            </w:r>
          </w:p>
        </w:tc>
        <w:tc>
          <w:tcPr>
            <w:tcW w:w="14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pPr>
            <w:r>
              <w:rPr>
                <w:rFonts w:cs="Arial"/>
                <w:b/>
                <w:bCs/>
                <w:sz w:val="14"/>
                <w:szCs w:val="14"/>
              </w:rPr>
              <w:t>PREÇO ESTIMADO</w:t>
            </w:r>
          </w:p>
        </w:tc>
      </w:tr>
      <w:tr>
        <w:trPr>
          <w:trHeight w:val="568" w:hRule="atLeast"/>
        </w:trPr>
        <w:tc>
          <w:tcPr>
            <w:tcW w:w="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pPr>
            <w:r>
              <w:rPr>
                <w:rFonts w:cs="Arial"/>
                <w:sz w:val="16"/>
                <w:szCs w:val="16"/>
              </w:rPr>
              <w:t>1</w:t>
            </w:r>
          </w:p>
        </w:tc>
        <w:tc>
          <w:tcPr>
            <w:tcW w:w="29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both"/>
              <w:rPr/>
            </w:pPr>
            <w:r>
              <w:rPr>
                <w:rFonts w:cs="Arial"/>
                <w:sz w:val="16"/>
                <w:szCs w:val="16"/>
              </w:rPr>
              <w:t>Tinta Epoxi Branco</w:t>
            </w:r>
          </w:p>
        </w:tc>
        <w:tc>
          <w:tcPr>
            <w:tcW w:w="9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cs="Arial"/>
                <w:sz w:val="16"/>
                <w:szCs w:val="16"/>
              </w:rPr>
            </w:pPr>
            <w:r>
              <w:rPr>
                <w:rFonts w:cs="Arial"/>
                <w:sz w:val="16"/>
                <w:szCs w:val="16"/>
              </w:rPr>
            </w:r>
          </w:p>
        </w:tc>
        <w:tc>
          <w:tcPr>
            <w:tcW w:w="9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pPr>
            <w:r>
              <w:rPr>
                <w:rFonts w:cs="Arial"/>
                <w:sz w:val="16"/>
                <w:szCs w:val="16"/>
              </w:rPr>
              <w:t>Galão 3,6L</w:t>
            </w:r>
          </w:p>
        </w:tc>
        <w:tc>
          <w:tcPr>
            <w:tcW w:w="83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pPr>
            <w:r>
              <w:rPr>
                <w:rFonts w:cs="Arial"/>
                <w:sz w:val="16"/>
                <w:szCs w:val="16"/>
              </w:rPr>
              <w:t>75</w:t>
            </w:r>
          </w:p>
        </w:tc>
        <w:tc>
          <w:tcPr>
            <w:tcW w:w="11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pPr>
            <w:r>
              <w:rPr>
                <w:rFonts w:cs="Arial"/>
                <w:sz w:val="16"/>
                <w:szCs w:val="16"/>
              </w:rPr>
              <w:t>R$ 274,72</w:t>
            </w:r>
          </w:p>
        </w:tc>
        <w:tc>
          <w:tcPr>
            <w:tcW w:w="14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pPr>
            <w:r>
              <w:rPr>
                <w:rFonts w:cs="Arial"/>
                <w:sz w:val="16"/>
                <w:szCs w:val="16"/>
              </w:rPr>
              <w:t>R$ 20.604,00</w:t>
            </w:r>
          </w:p>
        </w:tc>
      </w:tr>
      <w:tr>
        <w:trPr>
          <w:trHeight w:val="568" w:hRule="atLeast"/>
        </w:trPr>
        <w:tc>
          <w:tcPr>
            <w:tcW w:w="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2</w:t>
            </w:r>
          </w:p>
        </w:tc>
        <w:tc>
          <w:tcPr>
            <w:tcW w:w="29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both"/>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Tinta Epoxi Algodão Egípcio</w:t>
            </w:r>
          </w:p>
        </w:tc>
        <w:tc>
          <w:tcPr>
            <w:tcW w:w="9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r>
          </w:p>
        </w:tc>
        <w:tc>
          <w:tcPr>
            <w:tcW w:w="9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pPr>
            <w:r>
              <w:rPr>
                <w:rFonts w:eastAsia="Times New Roman" w:cs="Arial"/>
                <w:color w:val="00000A"/>
                <w:sz w:val="16"/>
                <w:szCs w:val="16"/>
                <w:lang w:val="pt-BR" w:eastAsia="pt-BR" w:bidi="ar-SA"/>
              </w:rPr>
              <w:t>Galão 3,2L</w:t>
            </w:r>
          </w:p>
        </w:tc>
        <w:tc>
          <w:tcPr>
            <w:tcW w:w="83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30</w:t>
            </w:r>
          </w:p>
        </w:tc>
        <w:tc>
          <w:tcPr>
            <w:tcW w:w="11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R$ 262,04</w:t>
            </w:r>
          </w:p>
        </w:tc>
        <w:tc>
          <w:tcPr>
            <w:tcW w:w="14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R$ 7.861,20</w:t>
            </w:r>
          </w:p>
        </w:tc>
      </w:tr>
      <w:tr>
        <w:trPr>
          <w:trHeight w:val="568" w:hRule="atLeast"/>
        </w:trPr>
        <w:tc>
          <w:tcPr>
            <w:tcW w:w="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3</w:t>
            </w:r>
          </w:p>
        </w:tc>
        <w:tc>
          <w:tcPr>
            <w:tcW w:w="29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both"/>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Esmalte Sintético Algodão Egípcio</w:t>
            </w:r>
          </w:p>
        </w:tc>
        <w:tc>
          <w:tcPr>
            <w:tcW w:w="9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r>
          </w:p>
        </w:tc>
        <w:tc>
          <w:tcPr>
            <w:tcW w:w="9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pPr>
            <w:r>
              <w:rPr>
                <w:rFonts w:eastAsia="Times New Roman" w:cs="Arial"/>
                <w:color w:val="00000A"/>
                <w:sz w:val="16"/>
                <w:szCs w:val="16"/>
                <w:lang w:val="pt-BR" w:eastAsia="pt-BR" w:bidi="ar-SA"/>
              </w:rPr>
              <w:t>Galão 3,2L</w:t>
            </w:r>
          </w:p>
        </w:tc>
        <w:tc>
          <w:tcPr>
            <w:tcW w:w="83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4</w:t>
            </w:r>
          </w:p>
        </w:tc>
        <w:tc>
          <w:tcPr>
            <w:tcW w:w="11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R$ 127,38</w:t>
            </w:r>
          </w:p>
        </w:tc>
        <w:tc>
          <w:tcPr>
            <w:tcW w:w="14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ascii="Arial" w:hAnsi="Arial" w:eastAsia="Times New Roman" w:cs="Arial"/>
                <w:color w:val="00000A"/>
                <w:sz w:val="16"/>
                <w:szCs w:val="16"/>
                <w:lang w:val="pt-BR" w:eastAsia="pt-BR" w:bidi="ar-SA"/>
              </w:rPr>
            </w:pPr>
            <w:r>
              <w:rPr>
                <w:rFonts w:eastAsia="Times New Roman" w:cs="Arial"/>
                <w:color w:val="00000A"/>
                <w:sz w:val="16"/>
                <w:szCs w:val="16"/>
                <w:lang w:val="pt-BR" w:eastAsia="pt-BR" w:bidi="ar-SA"/>
              </w:rPr>
              <w:t>R$ 509,52</w:t>
            </w:r>
          </w:p>
        </w:tc>
      </w:tr>
      <w:tr>
        <w:trPr>
          <w:trHeight w:val="568" w:hRule="atLeast"/>
        </w:trPr>
        <w:tc>
          <w:tcPr>
            <w:tcW w:w="7583"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rFonts w:cs="Arial"/>
                <w:sz w:val="16"/>
                <w:szCs w:val="16"/>
              </w:rPr>
            </w:pPr>
            <w:r>
              <w:rPr>
                <w:rFonts w:cs="Arial"/>
                <w:sz w:val="16"/>
                <w:szCs w:val="16"/>
              </w:rPr>
              <w:t xml:space="preserve">Total </w:t>
            </w:r>
          </w:p>
        </w:tc>
        <w:tc>
          <w:tcPr>
            <w:tcW w:w="148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 w:type="dxa"/>
            </w:tcMar>
            <w:vAlign w:val="center"/>
          </w:tcPr>
          <w:p>
            <w:pPr>
              <w:pStyle w:val="Normal"/>
              <w:keepNext/>
              <w:widowControl w:val="false"/>
              <w:jc w:val="center"/>
              <w:rPr/>
            </w:pPr>
            <w:r>
              <w:rPr>
                <w:rFonts w:cs="Arial"/>
                <w:sz w:val="16"/>
                <w:szCs w:val="16"/>
              </w:rPr>
              <w:t>R$ 28.974,72</w:t>
            </w:r>
          </w:p>
        </w:tc>
      </w:tr>
    </w:tbl>
    <w:p>
      <w:pPr>
        <w:pStyle w:val="PADRO"/>
        <w:keepNext/>
        <w:pageBreakBefore w:val="false"/>
        <w:widowControl w:val="false"/>
        <w:numPr>
          <w:ilvl w:val="2"/>
          <w:numId w:val="1"/>
        </w:numPr>
        <w:shd w:val="clear" w:color="auto" w:fill="auto"/>
        <w:spacing w:lineRule="auto" w:line="240" w:before="120" w:after="120"/>
        <w:rPr/>
      </w:pPr>
      <w:r>
        <w:rPr>
          <w:rFonts w:cs="Arial" w:ascii="Arial" w:hAnsi="Arial"/>
          <w:szCs w:val="20"/>
        </w:rPr>
        <w:t>Havendo mais de item ou lote faculta-se ao fornecedor a participação em quantos forem de seu interesse. Entretanto, optando-se por participar de um lote, deve o fornecedor enviar proposta para todos os itens que o compõem.</w:t>
      </w:r>
    </w:p>
    <w:p>
      <w:pPr>
        <w:pStyle w:val="PADRO"/>
        <w:keepNext/>
        <w:pageBreakBefore w:val="false"/>
        <w:widowControl w:val="false"/>
        <w:numPr>
          <w:ilvl w:val="1"/>
          <w:numId w:val="1"/>
        </w:numPr>
        <w:shd w:val="clear" w:color="auto" w:fill="auto"/>
        <w:spacing w:lineRule="auto" w:line="240" w:before="120" w:after="120"/>
        <w:rPr/>
      </w:pPr>
      <w:r>
        <w:rPr>
          <w:rFonts w:cs="Arial" w:ascii="Arial" w:hAnsi="Arial"/>
          <w:szCs w:val="20"/>
        </w:rPr>
        <w:t>O critério de julgamento adotado será o</w:t>
      </w:r>
      <w:r>
        <w:rPr>
          <w:rFonts w:cs="Arial" w:ascii="Arial" w:hAnsi="Arial"/>
          <w:i/>
          <w:iCs/>
          <w:szCs w:val="20"/>
        </w:rPr>
        <w:t xml:space="preserve"> menor preço,</w:t>
      </w:r>
      <w:r>
        <w:rPr>
          <w:rFonts w:cs="Arial" w:ascii="Arial" w:hAnsi="Arial"/>
          <w:szCs w:val="20"/>
        </w:rPr>
        <w:t xml:space="preserve"> observadas as exigências contidas neste Aviso de Contratação Direta e seus Anexos quanto às especificações do objeto.</w:t>
      </w:r>
    </w:p>
    <w:p>
      <w:pPr>
        <w:pStyle w:val="PADRO"/>
        <w:keepNext/>
        <w:pageBreakBefore w:val="false"/>
        <w:widowControl w:val="false"/>
        <w:numPr>
          <w:ilvl w:val="0"/>
          <w:numId w:val="1"/>
        </w:numPr>
        <w:shd w:val="clear" w:color="auto" w:fill="auto"/>
        <w:spacing w:lineRule="auto" w:line="240" w:before="120" w:after="120"/>
        <w:rPr>
          <w:rFonts w:ascii="Arial" w:hAnsi="Arial" w:cs="Arial"/>
          <w:b/>
          <w:b/>
        </w:rPr>
      </w:pPr>
      <w:r>
        <w:rPr>
          <w:rFonts w:cs="Arial" w:ascii="Arial" w:hAnsi="Arial"/>
          <w:b/>
        </w:rPr>
        <w:t>PARTICIPAÇÃO NA DISPENSA ELETRÔNICA.</w:t>
      </w:r>
    </w:p>
    <w:p>
      <w:pPr>
        <w:pStyle w:val="Normal"/>
        <w:keepNext/>
        <w:pageBreakBefore w:val="false"/>
        <w:widowControl w:val="false"/>
        <w:numPr>
          <w:ilvl w:val="1"/>
          <w:numId w:val="1"/>
        </w:numPr>
        <w:snapToGrid w:val="false"/>
        <w:spacing w:before="120" w:after="120"/>
        <w:jc w:val="both"/>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endereço eletrônico www.comprasgovernamentais.gov.br.</w:t>
      </w:r>
    </w:p>
    <w:p>
      <w:pPr>
        <w:pStyle w:val="Normal"/>
        <w:keepNext/>
        <w:pageBreakBefore w:val="false"/>
        <w:widowControl w:val="false"/>
        <w:numPr>
          <w:ilvl w:val="2"/>
          <w:numId w:val="1"/>
        </w:numPr>
        <w:snapToGrid w:val="false"/>
        <w:spacing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keepNext/>
        <w:pageBreakBefore w:val="false"/>
        <w:widowControl w:val="false"/>
        <w:numPr>
          <w:ilvl w:val="2"/>
          <w:numId w:val="1"/>
        </w:numPr>
        <w:snapToGrid w:val="false"/>
        <w:spacing w:before="120" w:after="120"/>
        <w:jc w:val="both"/>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keepNext/>
        <w:widowControl w:val="false"/>
        <w:numPr>
          <w:ilvl w:val="2"/>
          <w:numId w:val="1"/>
        </w:numPr>
        <w:snapToGrid w:val="false"/>
        <w:spacing w:before="120" w:after="120"/>
        <w:jc w:val="both"/>
        <w:rPr/>
      </w:pPr>
      <w:r>
        <w:rPr>
          <w:rFonts w:cs="Arial"/>
          <w:szCs w:val="20"/>
        </w:rPr>
        <w:t>Não poderão participar desta dispensa os fornecedores:</w:t>
      </w:r>
    </w:p>
    <w:p>
      <w:pPr>
        <w:pStyle w:val="Normal"/>
        <w:keepNext/>
        <w:pageBreakBefore w:val="false"/>
        <w:widowControl w:val="false"/>
        <w:numPr>
          <w:ilvl w:val="2"/>
          <w:numId w:val="1"/>
        </w:numPr>
        <w:spacing w:before="120" w:after="120"/>
        <w:jc w:val="both"/>
        <w:rPr>
          <w:rFonts w:cs="Arial"/>
          <w:color w:val="000000" w:themeColor="text1"/>
          <w:szCs w:val="20"/>
        </w:rPr>
      </w:pPr>
      <w:r>
        <w:rPr>
          <w:rFonts w:cs="Arial"/>
          <w:szCs w:val="20"/>
        </w:rPr>
        <w:t>que não atendam às condições deste Aviso de Contratação Direta e seu(s) anexo(s);</w:t>
      </w:r>
    </w:p>
    <w:p>
      <w:pPr>
        <w:pStyle w:val="Normal"/>
        <w:keepNext/>
        <w:pageBreakBefore w:val="false"/>
        <w:widowControl w:val="false"/>
        <w:numPr>
          <w:ilvl w:val="2"/>
          <w:numId w:val="1"/>
        </w:numPr>
        <w:spacing w:before="120" w:after="120"/>
        <w:jc w:val="both"/>
        <w:rPr>
          <w:rFonts w:cs="Arial"/>
          <w:color w:val="000000" w:themeColor="text1"/>
          <w:szCs w:val="20"/>
        </w:rPr>
      </w:pPr>
      <w:r>
        <w:rPr>
          <w:rFonts w:cs="Arial"/>
          <w:szCs w:val="20"/>
        </w:rPr>
        <w:t>estrangeiros que não tenham representação legal no Brasil com poderes expressos para receber citação e responder administrativa ou judicialmente;</w:t>
      </w:r>
    </w:p>
    <w:p>
      <w:pPr>
        <w:pStyle w:val="Normal"/>
        <w:keepNext/>
        <w:pageBreakBefore w:val="false"/>
        <w:widowControl w:val="false"/>
        <w:numPr>
          <w:ilvl w:val="2"/>
          <w:numId w:val="1"/>
        </w:numPr>
        <w:spacing w:before="120" w:after="120"/>
        <w:jc w:val="both"/>
        <w:rPr>
          <w:rFonts w:cs="Arial"/>
          <w:color w:val="000000" w:themeColor="text1"/>
          <w:szCs w:val="20"/>
        </w:rPr>
      </w:pPr>
      <w:r>
        <w:rPr>
          <w:rFonts w:cs="Arial"/>
          <w:szCs w:val="20"/>
        </w:rPr>
        <w:t>que se enquadrem nas seguintes vedações:</w:t>
      </w:r>
    </w:p>
    <w:p>
      <w:pPr>
        <w:pStyle w:val="Normal"/>
        <w:keepNext/>
        <w:pageBreakBefore w:val="false"/>
        <w:widowControl w:val="false"/>
        <w:numPr>
          <w:ilvl w:val="3"/>
          <w:numId w:val="4"/>
        </w:numPr>
        <w:spacing w:before="120" w:after="120"/>
        <w:jc w:val="both"/>
        <w:rPr>
          <w:rFonts w:cs="Arial"/>
          <w:color w:val="000000" w:themeColor="text1"/>
          <w:szCs w:val="20"/>
        </w:rPr>
      </w:pPr>
      <w:r>
        <w:rPr>
          <w:rFonts w:cs="Arial"/>
          <w:szCs w:val="20"/>
        </w:rPr>
        <w:t>autor do anteprojeto, do projeto básico ou do projeto executivo, pessoa física ou jurídica, quando a contratação versar sobre obra, serviços ou fornecimento de bens a ele relacionados;</w:t>
      </w:r>
    </w:p>
    <w:p>
      <w:pPr>
        <w:pStyle w:val="Normal"/>
        <w:keepNext/>
        <w:pageBreakBefore w:val="false"/>
        <w:widowControl w:val="false"/>
        <w:numPr>
          <w:ilvl w:val="3"/>
          <w:numId w:val="4"/>
        </w:numPr>
        <w:spacing w:before="120" w:after="120"/>
        <w:jc w:val="both"/>
        <w:rPr>
          <w:rFonts w:cs="Arial"/>
          <w:color w:val="000000" w:themeColor="text1"/>
          <w:szCs w:val="20"/>
        </w:rPr>
      </w:pPr>
      <w:r>
        <w:rPr>
          <w:rFonts w:cs="Arial"/>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keepNext/>
        <w:pageBreakBefore w:val="false"/>
        <w:widowControl w:val="false"/>
        <w:numPr>
          <w:ilvl w:val="3"/>
          <w:numId w:val="4"/>
        </w:numPr>
        <w:spacing w:before="120" w:after="120"/>
        <w:jc w:val="both"/>
        <w:rPr>
          <w:rFonts w:cs="Arial"/>
          <w:color w:val="000000" w:themeColor="text1"/>
          <w:szCs w:val="20"/>
        </w:rPr>
      </w:pPr>
      <w:r>
        <w:rPr>
          <w:rFonts w:cs="Arial"/>
          <w:szCs w:val="20"/>
        </w:rPr>
        <w:t>pessoa física ou jurídica que se encontre, ao tempo da contratação, impossibilitada de contratar em decorrência de sanção que lhe foi imposta;</w:t>
      </w:r>
    </w:p>
    <w:p>
      <w:pPr>
        <w:pStyle w:val="Normal"/>
        <w:keepNext/>
        <w:pageBreakBefore w:val="false"/>
        <w:widowControl w:val="false"/>
        <w:numPr>
          <w:ilvl w:val="3"/>
          <w:numId w:val="4"/>
        </w:numPr>
        <w:spacing w:before="120" w:after="120"/>
        <w:jc w:val="both"/>
        <w:rPr>
          <w:rFonts w:cs="Arial"/>
          <w:color w:val="000000" w:themeColor="text1"/>
          <w:szCs w:val="20"/>
        </w:rPr>
      </w:pPr>
      <w:r>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keepNext/>
        <w:pageBreakBefore w:val="false"/>
        <w:widowControl w:val="false"/>
        <w:numPr>
          <w:ilvl w:val="3"/>
          <w:numId w:val="4"/>
        </w:numPr>
        <w:spacing w:before="120" w:after="120"/>
        <w:jc w:val="both"/>
        <w:rPr/>
      </w:pPr>
      <w:r>
        <w:rPr>
          <w:rFonts w:cs="Arial"/>
          <w:szCs w:val="20"/>
        </w:rPr>
        <w:t>empresas controladoras, controladas ou coligadas, nos termos da </w:t>
      </w:r>
      <w:hyperlink r:id="rId3">
        <w:r>
          <w:rPr>
            <w:rStyle w:val="LinkdaInternet"/>
            <w:rFonts w:eastAsia="Calibri" w:cs="Arial"/>
            <w:color w:val="00000A"/>
            <w:szCs w:val="20"/>
          </w:rPr>
          <w:t>Lei nº 6.404, de 15 de dezembro de 1976</w:t>
        </w:r>
      </w:hyperlink>
      <w:r>
        <w:rPr>
          <w:rFonts w:cs="Arial"/>
          <w:szCs w:val="20"/>
        </w:rPr>
        <w:t>, concorrendo entre si;</w:t>
      </w:r>
    </w:p>
    <w:p>
      <w:pPr>
        <w:pStyle w:val="Normal"/>
        <w:keepNext/>
        <w:pageBreakBefore w:val="false"/>
        <w:widowControl w:val="false"/>
        <w:numPr>
          <w:ilvl w:val="3"/>
          <w:numId w:val="4"/>
        </w:numPr>
        <w:spacing w:before="120" w:after="120"/>
        <w:jc w:val="both"/>
        <w:rPr>
          <w:rFonts w:cs="Arial"/>
          <w:color w:val="000000" w:themeColor="text1"/>
          <w:szCs w:val="20"/>
        </w:rPr>
      </w:pPr>
      <w:r>
        <w:rPr>
          <w:rFonts w:cs="Arial"/>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keepNext/>
        <w:pageBreakBefore w:val="false"/>
        <w:widowControl w:val="false"/>
        <w:numPr>
          <w:ilvl w:val="3"/>
          <w:numId w:val="1"/>
        </w:numPr>
        <w:spacing w:before="120" w:after="120"/>
        <w:jc w:val="both"/>
        <w:rPr>
          <w:rFonts w:cs="Arial"/>
          <w:color w:val="000000" w:themeColor="text1"/>
          <w:szCs w:val="20"/>
        </w:rPr>
      </w:pPr>
      <w:r>
        <w:rPr>
          <w:rFonts w:cs="Arial"/>
          <w:szCs w:val="20"/>
        </w:rPr>
        <w:t>Equiparam-se aos autores do projeto as empresas integrantes do mesmo grupo econômico;</w:t>
      </w:r>
    </w:p>
    <w:p>
      <w:pPr>
        <w:pStyle w:val="Normal"/>
        <w:keepNext/>
        <w:pageBreakBefore w:val="false"/>
        <w:widowControl w:val="false"/>
        <w:numPr>
          <w:ilvl w:val="3"/>
          <w:numId w:val="1"/>
        </w:numPr>
        <w:spacing w:before="120" w:after="120"/>
        <w:jc w:val="both"/>
        <w:rPr>
          <w:rFonts w:cs="Arial"/>
          <w:color w:val="000000" w:themeColor="text1"/>
          <w:szCs w:val="20"/>
        </w:rPr>
      </w:pPr>
      <w:r>
        <w:rPr>
          <w:rFonts w:cs="Arial"/>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keepNext/>
        <w:pageBreakBefore w:val="false"/>
        <w:widowControl w:val="false"/>
        <w:numPr>
          <w:ilvl w:val="2"/>
          <w:numId w:val="1"/>
        </w:numPr>
        <w:spacing w:before="120" w:after="120"/>
        <w:jc w:val="both"/>
        <w:rPr>
          <w:rFonts w:cs="Arial"/>
          <w:color w:val="000000" w:themeColor="text1"/>
          <w:szCs w:val="20"/>
        </w:rPr>
      </w:pPr>
      <w:r>
        <w:rPr>
          <w:rFonts w:cs="Arial"/>
          <w:szCs w:val="20"/>
        </w:rPr>
        <w:t>organizações da Sociedade Civil de Interesse Público - OSCIP, atuando nessa condição (Acórdão nº 746/2014-TCU-Plenário); e</w:t>
      </w:r>
    </w:p>
    <w:p>
      <w:pPr>
        <w:pStyle w:val="Normal"/>
        <w:keepNext/>
        <w:pageBreakBefore w:val="false"/>
        <w:widowControl w:val="false"/>
        <w:numPr>
          <w:ilvl w:val="2"/>
          <w:numId w:val="1"/>
        </w:numPr>
        <w:spacing w:before="120" w:after="120"/>
        <w:jc w:val="both"/>
        <w:rPr>
          <w:rFonts w:cs="Arial"/>
          <w:i/>
          <w:i/>
          <w:color w:val="FF0000"/>
          <w:szCs w:val="20"/>
        </w:rPr>
      </w:pPr>
      <w:bookmarkStart w:id="2" w:name="_Hlk519667815"/>
      <w:bookmarkEnd w:id="2"/>
      <w:r>
        <w:rPr>
          <w:rFonts w:cs="Arial"/>
          <w:i/>
          <w:szCs w:val="20"/>
        </w:rPr>
        <w:t>sociedades cooperativas.</w:t>
      </w:r>
    </w:p>
    <w:p>
      <w:pPr>
        <w:pStyle w:val="PADRO"/>
        <w:keepNext/>
        <w:pageBreakBefore w:val="false"/>
        <w:widowControl w:val="false"/>
        <w:numPr>
          <w:ilvl w:val="0"/>
          <w:numId w:val="1"/>
        </w:numPr>
        <w:shd w:val="clear" w:color="auto" w:fill="auto"/>
        <w:spacing w:lineRule="auto" w:line="240" w:before="120" w:after="120"/>
        <w:rPr/>
      </w:pPr>
      <w:r>
        <w:rPr>
          <w:rFonts w:cs="Arial" w:ascii="Arial" w:hAnsi="Arial"/>
          <w:b/>
        </w:rPr>
        <w:t>INGRESSO NA DISPENSA ELETRÔNICA E CADASTRAMENTO DA PROPOSTA INICIAL</w:t>
      </w:r>
    </w:p>
    <w:p>
      <w:pPr>
        <w:pStyle w:val="Normal"/>
        <w:keepNext/>
        <w:pageBreakBefore w:val="false"/>
        <w:widowControl w:val="false"/>
        <w:numPr>
          <w:ilvl w:val="1"/>
          <w:numId w:val="1"/>
        </w:numPr>
        <w:snapToGrid w:val="false"/>
        <w:spacing w:before="120" w:after="120"/>
        <w:ind w:left="425" w:hanging="0"/>
        <w:jc w:val="both"/>
        <w:rPr>
          <w:rFonts w:cs="Arial"/>
        </w:rPr>
      </w:pPr>
      <w:r>
        <w:rPr>
          <w:rFonts w:cs="Arial"/>
          <w:szCs w:val="20"/>
        </w:rPr>
        <w:t>O ingresso do fornecedor na disputa da dispensa eletrônica se dará com o cadastramento de sua proposta inicial, na forma deste item.</w:t>
      </w:r>
    </w:p>
    <w:p>
      <w:pPr>
        <w:pStyle w:val="Normal"/>
        <w:keepNext/>
        <w:pageBreakBefore w:val="false"/>
        <w:widowControl w:val="false"/>
        <w:numPr>
          <w:ilvl w:val="1"/>
          <w:numId w:val="1"/>
        </w:numPr>
        <w:snapToGrid w:val="false"/>
        <w:spacing w:before="120" w:after="120"/>
        <w:ind w:left="425" w:hanging="0"/>
        <w:jc w:val="both"/>
        <w:rPr>
          <w:rFonts w:cs="Arial"/>
          <w:color w:val="000000" w:themeColor="text1"/>
          <w:szCs w:val="20"/>
        </w:rPr>
      </w:pPr>
      <w:r>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keepNext/>
        <w:pageBreakBefore w:val="false"/>
        <w:widowControl w:val="false"/>
        <w:numPr>
          <w:ilvl w:val="2"/>
          <w:numId w:val="1"/>
        </w:numPr>
        <w:spacing w:before="120" w:after="120"/>
        <w:jc w:val="both"/>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keepNext/>
        <w:pageBreakBefore w:val="false"/>
        <w:widowControl w:val="false"/>
        <w:numPr>
          <w:ilvl w:val="1"/>
          <w:numId w:val="1"/>
        </w:numPr>
        <w:spacing w:before="120" w:after="120"/>
        <w:ind w:left="425" w:hanging="0"/>
        <w:jc w:val="both"/>
        <w:rPr>
          <w:rFonts w:cs="Arial"/>
          <w:szCs w:val="20"/>
        </w:rPr>
      </w:pPr>
      <w:r>
        <w:rPr>
          <w:rFonts w:cs="Arial"/>
          <w:szCs w:val="20"/>
        </w:rPr>
        <w:t>Todas as especificações do objeto contidas na proposta, em especial o preço, vinculam a Contratada.</w:t>
      </w:r>
    </w:p>
    <w:p>
      <w:pPr>
        <w:pStyle w:val="Normal"/>
        <w:keepNext/>
        <w:pageBreakBefore w:val="false"/>
        <w:widowControl w:val="false"/>
        <w:numPr>
          <w:ilvl w:val="1"/>
          <w:numId w:val="1"/>
        </w:numPr>
        <w:spacing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keepNext/>
        <w:pageBreakBefore w:val="false"/>
        <w:widowControl w:val="false"/>
        <w:numPr>
          <w:ilvl w:val="2"/>
          <w:numId w:val="1"/>
        </w:numPr>
        <w:spacing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keepNext/>
        <w:pageBreakBefore w:val="false"/>
        <w:widowControl w:val="false"/>
        <w:numPr>
          <w:ilvl w:val="1"/>
          <w:numId w:val="1"/>
        </w:numPr>
        <w:spacing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keepNext/>
        <w:pageBreakBefore w:val="false"/>
        <w:widowControl w:val="false"/>
        <w:numPr>
          <w:ilvl w:val="1"/>
          <w:numId w:val="1"/>
        </w:numPr>
        <w:spacing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keepNext/>
        <w:pageBreakBefore w:val="false"/>
        <w:widowControl w:val="false"/>
        <w:numPr>
          <w:ilvl w:val="1"/>
          <w:numId w:val="1"/>
        </w:numPr>
        <w:spacing w:before="120" w:after="120"/>
        <w:ind w:left="425" w:hanging="0"/>
        <w:jc w:val="both"/>
        <w:rPr/>
      </w:pPr>
      <w:r>
        <w:rPr>
          <w:rFonts w:cs="Arial"/>
          <w:szCs w:val="20"/>
        </w:rPr>
        <w:t xml:space="preserve">A apresentação das propostas implica obrigatoriedade do cumprimento das disposições nelas contidas, em conformidade com o que dispõe o </w:t>
      </w:r>
      <w:r>
        <w:rPr>
          <w:rFonts w:cs="Arial"/>
          <w:i/>
          <w:szCs w:val="20"/>
        </w:rPr>
        <w:t>Termo de Referência</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keepNext/>
        <w:pageBreakBefore w:val="false"/>
        <w:widowControl w:val="false"/>
        <w:numPr>
          <w:ilvl w:val="1"/>
          <w:numId w:val="1"/>
        </w:numPr>
        <w:spacing w:before="120" w:after="120"/>
        <w:ind w:left="425" w:hanging="0"/>
        <w:jc w:val="both"/>
        <w:rPr>
          <w:rFonts w:cs="Arial"/>
          <w:color w:val="000000" w:themeColor="text1"/>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p>
    <w:p>
      <w:pPr>
        <w:pStyle w:val="Normal"/>
        <w:keepNext/>
        <w:pageBreakBefore w:val="false"/>
        <w:widowControl w:val="false"/>
        <w:numPr>
          <w:ilvl w:val="1"/>
          <w:numId w:val="1"/>
        </w:numPr>
        <w:spacing w:before="120" w:after="120"/>
        <w:ind w:left="425" w:hanging="0"/>
        <w:jc w:val="both"/>
        <w:rPr/>
      </w:pPr>
      <w:r>
        <w:rPr>
          <w:rFonts w:cs="Arial"/>
          <w:szCs w:val="20"/>
        </w:rPr>
        <w:t>No cadastramento da proposta inicial, o fornecedor deverá, também, assinalar “sim” ou “não” em campo próprio do sistema eletrônico, às seguintes declarações:</w:t>
      </w:r>
    </w:p>
    <w:p>
      <w:pPr>
        <w:pStyle w:val="ListParagraph"/>
        <w:keepNext/>
        <w:pageBreakBefore w:val="false"/>
        <w:widowControl w:val="false"/>
        <w:numPr>
          <w:ilvl w:val="0"/>
          <w:numId w:val="2"/>
        </w:numPr>
        <w:tabs>
          <w:tab w:val="left" w:pos="1440" w:leader="none"/>
        </w:tabs>
        <w:snapToGrid w:val="false"/>
        <w:spacing w:before="120" w:after="120"/>
        <w:contextualSpacing/>
        <w:jc w:val="both"/>
        <w:rPr>
          <w:rFonts w:cs="Arial"/>
          <w:bCs/>
          <w:vanish/>
          <w:szCs w:val="20"/>
        </w:rPr>
      </w:pPr>
      <w:r>
        <w:rPr>
          <w:rFonts w:cs="Arial"/>
          <w:bCs/>
          <w:vanish/>
          <w:szCs w:val="20"/>
        </w:rPr>
      </w:r>
    </w:p>
    <w:p>
      <w:pPr>
        <w:pStyle w:val="ListParagraph"/>
        <w:keepNext/>
        <w:pageBreakBefore w:val="false"/>
        <w:widowControl w:val="false"/>
        <w:numPr>
          <w:ilvl w:val="1"/>
          <w:numId w:val="2"/>
        </w:numPr>
        <w:tabs>
          <w:tab w:val="left" w:pos="1440" w:leader="none"/>
        </w:tabs>
        <w:snapToGrid w:val="false"/>
        <w:spacing w:before="120" w:after="120"/>
        <w:contextualSpacing/>
        <w:jc w:val="both"/>
        <w:rPr>
          <w:rFonts w:cs="Arial"/>
          <w:bCs/>
          <w:vanish/>
          <w:szCs w:val="20"/>
        </w:rPr>
      </w:pPr>
      <w:r>
        <w:rPr>
          <w:rFonts w:cs="Arial"/>
          <w:bCs/>
          <w:vanish/>
          <w:szCs w:val="20"/>
        </w:rPr>
      </w:r>
    </w:p>
    <w:p>
      <w:pPr>
        <w:pStyle w:val="ListParagraph"/>
        <w:keepNext/>
        <w:pageBreakBefore w:val="false"/>
        <w:widowControl w:val="false"/>
        <w:numPr>
          <w:ilvl w:val="1"/>
          <w:numId w:val="2"/>
        </w:numPr>
        <w:tabs>
          <w:tab w:val="left" w:pos="1440" w:leader="none"/>
        </w:tabs>
        <w:snapToGrid w:val="false"/>
        <w:spacing w:before="120" w:after="120"/>
        <w:contextualSpacing/>
        <w:jc w:val="both"/>
        <w:rPr>
          <w:rFonts w:cs="Arial"/>
          <w:bCs/>
          <w:vanish/>
          <w:szCs w:val="20"/>
        </w:rPr>
      </w:pPr>
      <w:r>
        <w:rPr>
          <w:rFonts w:cs="Arial"/>
          <w:bCs/>
          <w:vanish/>
          <w:szCs w:val="20"/>
        </w:rPr>
      </w:r>
    </w:p>
    <w:p>
      <w:pPr>
        <w:pStyle w:val="ListParagraph"/>
        <w:keepNext/>
        <w:pageBreakBefore w:val="false"/>
        <w:widowControl w:val="false"/>
        <w:numPr>
          <w:ilvl w:val="1"/>
          <w:numId w:val="2"/>
        </w:numPr>
        <w:tabs>
          <w:tab w:val="left" w:pos="1440" w:leader="none"/>
        </w:tabs>
        <w:snapToGrid w:val="false"/>
        <w:spacing w:before="120" w:after="120"/>
        <w:contextualSpacing/>
        <w:jc w:val="both"/>
        <w:rPr>
          <w:rFonts w:cs="Arial"/>
          <w:bCs/>
          <w:vanish/>
          <w:szCs w:val="20"/>
        </w:rPr>
      </w:pPr>
      <w:r>
        <w:rPr>
          <w:rFonts w:cs="Arial"/>
          <w:bCs/>
          <w:vanish/>
          <w:szCs w:val="20"/>
        </w:rPr>
      </w:r>
    </w:p>
    <w:p>
      <w:pPr>
        <w:pStyle w:val="Normal"/>
        <w:keepNext/>
        <w:pageBreakBefore w:val="false"/>
        <w:widowControl w:val="false"/>
        <w:numPr>
          <w:ilvl w:val="2"/>
          <w:numId w:val="1"/>
        </w:numPr>
        <w:spacing w:before="120" w:after="120"/>
        <w:jc w:val="both"/>
        <w:rPr>
          <w:rFonts w:cs="Arial"/>
          <w:color w:val="000000" w:themeColor="text1"/>
          <w:szCs w:val="20"/>
        </w:rPr>
      </w:pPr>
      <w:r>
        <w:rPr>
          <w:rFonts w:cs="Arial"/>
          <w:szCs w:val="20"/>
        </w:rPr>
        <w:t>que inexistem fatos impeditivos para sua habilitação no certame, ciente da obrigatoriedade de declarar ocorrências posteriores;</w:t>
      </w:r>
    </w:p>
    <w:p>
      <w:pPr>
        <w:pStyle w:val="Normal"/>
        <w:keepNext/>
        <w:pageBreakBefore w:val="false"/>
        <w:widowControl w:val="false"/>
        <w:numPr>
          <w:ilvl w:val="2"/>
          <w:numId w:val="1"/>
        </w:numPr>
        <w:spacing w:before="120" w:after="120"/>
        <w:jc w:val="both"/>
        <w:rPr>
          <w:rFonts w:cs="Arial"/>
          <w:color w:val="000000" w:themeColor="text1"/>
          <w:szCs w:val="20"/>
        </w:rPr>
      </w:pPr>
      <w:r>
        <w:rPr>
          <w:rFonts w:cs="Arial"/>
          <w:szCs w:val="20"/>
        </w:rPr>
        <w:t>que cumpre os requisitos estabelecidos no artigo 3° da Lei Complementar nº 123, de 2006, estando apto a usufruir do tratamento favorecido estabelecido em seus arts. 42 a 49.</w:t>
      </w:r>
    </w:p>
    <w:p>
      <w:pPr>
        <w:pStyle w:val="Normal"/>
        <w:keepNext/>
        <w:pageBreakBefore w:val="false"/>
        <w:widowControl w:val="false"/>
        <w:numPr>
          <w:ilvl w:val="2"/>
          <w:numId w:val="1"/>
        </w:numPr>
        <w:spacing w:before="120" w:after="120"/>
        <w:jc w:val="both"/>
        <w:rPr/>
      </w:pPr>
      <w:r>
        <w:rPr>
          <w:rFonts w:cs="Arial"/>
          <w:szCs w:val="20"/>
        </w:rPr>
        <w:t>que está ciente e concorda com as condições contidas no Aviso de Contratação Direta e seus anexos;</w:t>
      </w:r>
    </w:p>
    <w:p>
      <w:pPr>
        <w:pStyle w:val="Normal"/>
        <w:keepNext/>
        <w:pageBreakBefore w:val="false"/>
        <w:widowControl w:val="false"/>
        <w:numPr>
          <w:ilvl w:val="2"/>
          <w:numId w:val="1"/>
        </w:numPr>
        <w:spacing w:before="120" w:after="120"/>
        <w:jc w:val="both"/>
        <w:rPr>
          <w:rFonts w:cs="Arial"/>
          <w:color w:val="000000" w:themeColor="text1"/>
          <w:szCs w:val="20"/>
        </w:rPr>
      </w:pPr>
      <w:r>
        <w:rPr>
          <w:rFonts w:cs="Arial"/>
          <w:szCs w:val="20"/>
        </w:rPr>
        <w:t>que assume a responsabilidade pelas transações que forem efetuadas no sistema, assumindo como firmes e verdadeiras;</w:t>
      </w:r>
    </w:p>
    <w:p>
      <w:pPr>
        <w:pStyle w:val="Normal"/>
        <w:keepNext/>
        <w:pageBreakBefore w:val="false"/>
        <w:widowControl w:val="false"/>
        <w:numPr>
          <w:ilvl w:val="2"/>
          <w:numId w:val="1"/>
        </w:numPr>
        <w:spacing w:before="120" w:after="120"/>
        <w:jc w:val="both"/>
        <w:rPr>
          <w:rFonts w:cs="Arial"/>
          <w:color w:val="000000" w:themeColor="text1"/>
          <w:szCs w:val="20"/>
        </w:rPr>
      </w:pPr>
      <w:r>
        <w:rPr>
          <w:rFonts w:cs="Arial"/>
          <w:szCs w:val="20"/>
        </w:rPr>
        <w:t>que cumpre as exigências de reserva de cargos para pessoa com deficiência e para reabilitado da Previdência Social, de que trata o art. 93 da Lei nº 8.213/91.</w:t>
      </w:r>
    </w:p>
    <w:p>
      <w:pPr>
        <w:pStyle w:val="Normal"/>
        <w:keepNext/>
        <w:pageBreakBefore w:val="false"/>
        <w:widowControl w:val="false"/>
        <w:numPr>
          <w:ilvl w:val="2"/>
          <w:numId w:val="1"/>
        </w:numPr>
        <w:spacing w:before="120" w:after="120"/>
        <w:jc w:val="both"/>
        <w:rPr>
          <w:rFonts w:cs="Arial"/>
          <w:color w:val="000000" w:themeColor="text1"/>
          <w:szCs w:val="20"/>
        </w:rPr>
      </w:pPr>
      <w:r>
        <w:rPr>
          <w:rFonts w:cs="Arial"/>
          <w:szCs w:val="20"/>
        </w:rPr>
        <w:t>que não emprega menor de 18 anos em trabalho noturno, perigoso ou insalubre e não emprega menor de 16 anos, salvo menor, a partir de 14 anos, na condição de aprendiz, nos termos do artigo 7°, XXXIII, da Constituição;</w:t>
      </w:r>
    </w:p>
    <w:p>
      <w:pPr>
        <w:pStyle w:val="Normal"/>
        <w:keepNext/>
        <w:pageBreakBefore w:val="false"/>
        <w:widowControl w:val="false"/>
        <w:numPr>
          <w:ilvl w:val="1"/>
          <w:numId w:val="1"/>
        </w:numPr>
        <w:spacing w:before="120" w:after="120"/>
        <w:jc w:val="both"/>
        <w:rPr/>
      </w:pPr>
      <w:r>
        <w:rPr>
          <w:rFonts w:cs="Arial"/>
          <w:i/>
          <w:szCs w:val="20"/>
        </w:rPr>
        <w:t>Fica facultado ao fornecedor, ao cadastrar sua proposta inicial, a parametrização de valor final mínimo, com o registro do seu lance final aceitável (menor preço, conforme o caso).</w:t>
      </w:r>
    </w:p>
    <w:p>
      <w:pPr>
        <w:pStyle w:val="Normal"/>
        <w:keepNext/>
        <w:pageBreakBefore w:val="false"/>
        <w:widowControl w:val="false"/>
        <w:numPr>
          <w:ilvl w:val="2"/>
          <w:numId w:val="1"/>
        </w:numPr>
        <w:spacing w:before="120" w:after="120"/>
        <w:jc w:val="both"/>
        <w:rPr>
          <w:rFonts w:cs="Arial"/>
          <w:i/>
          <w:i/>
          <w:color w:val="FF0000"/>
          <w:szCs w:val="20"/>
        </w:rPr>
      </w:pPr>
      <w:r>
        <w:rPr>
          <w:rFonts w:cs="Arial"/>
          <w:i/>
          <w:szCs w:val="20"/>
        </w:rPr>
        <w:t xml:space="preserve">Feita essa opção os lances serão enviados automaticamente pelo sistema, respeitados os limites cadastrados pelo fornecedor e o intervalo mínimo entre lances previsto neste aviso. </w:t>
      </w:r>
    </w:p>
    <w:p>
      <w:pPr>
        <w:pStyle w:val="Normal"/>
        <w:keepNext/>
        <w:pageBreakBefore w:val="false"/>
        <w:widowControl w:val="false"/>
        <w:numPr>
          <w:ilvl w:val="3"/>
          <w:numId w:val="1"/>
        </w:numPr>
        <w:spacing w:before="120" w:after="120"/>
        <w:jc w:val="both"/>
        <w:rPr>
          <w:rFonts w:cs="Arial"/>
          <w:i/>
          <w:i/>
          <w:color w:val="FF0000"/>
          <w:szCs w:val="20"/>
        </w:rPr>
      </w:pPr>
      <w:r>
        <w:rPr>
          <w:rFonts w:cs="Arial"/>
          <w:i/>
          <w:szCs w:val="20"/>
        </w:rPr>
        <w:t>Sem prejuízo do disposto acima, os lances poderão ser enviados manualmente, na forma da seção respectiva deste Aviso de Contratação Direta;</w:t>
      </w:r>
    </w:p>
    <w:p>
      <w:pPr>
        <w:pStyle w:val="Normal"/>
        <w:keepNext/>
        <w:pageBreakBefore w:val="false"/>
        <w:widowControl w:val="false"/>
        <w:numPr>
          <w:ilvl w:val="2"/>
          <w:numId w:val="1"/>
        </w:numPr>
        <w:spacing w:before="120" w:after="120"/>
        <w:jc w:val="both"/>
        <w:rPr>
          <w:rFonts w:cs="Arial"/>
          <w:i/>
          <w:i/>
          <w:color w:val="FF0000"/>
          <w:szCs w:val="20"/>
        </w:rPr>
      </w:pPr>
      <w:r>
        <w:rPr>
          <w:rFonts w:cs="Arial"/>
          <w:i/>
          <w:szCs w:val="20"/>
        </w:rPr>
        <w:t>O valor final mínimo poderá ser alterado pelo fornecedor durante a fase de disputa, desde que não assuma valor superior a lance já registrado por ele no sistema.</w:t>
      </w:r>
    </w:p>
    <w:p>
      <w:pPr>
        <w:pStyle w:val="Normal"/>
        <w:keepNext/>
        <w:pageBreakBefore w:val="false"/>
        <w:widowControl w:val="false"/>
        <w:numPr>
          <w:ilvl w:val="2"/>
          <w:numId w:val="1"/>
        </w:numPr>
        <w:spacing w:before="120" w:after="120"/>
        <w:jc w:val="both"/>
        <w:rPr>
          <w:rFonts w:cs="Arial"/>
          <w:i/>
          <w:i/>
          <w:color w:val="FF0000"/>
          <w:szCs w:val="20"/>
        </w:rPr>
      </w:pPr>
      <w:r>
        <w:rPr>
          <w:rFonts w:cs="Arial"/>
          <w:i/>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pageBreakBefore w:val="false"/>
        <w:widowControl w:val="false"/>
        <w:numPr>
          <w:ilvl w:val="0"/>
          <w:numId w:val="1"/>
        </w:numPr>
        <w:shd w:val="clear" w:color="auto" w:fill="auto"/>
        <w:spacing w:lineRule="auto" w:line="240" w:before="120" w:after="120"/>
        <w:rPr/>
      </w:pPr>
      <w:r>
        <w:rPr>
          <w:rFonts w:cs="Arial" w:ascii="Arial" w:hAnsi="Arial"/>
          <w:b/>
        </w:rPr>
        <w:t>FASE DE LANCES</w:t>
      </w:r>
    </w:p>
    <w:p>
      <w:pPr>
        <w:pStyle w:val="ListParagraph"/>
        <w:keepNext/>
        <w:pageBreakBefore w:val="false"/>
        <w:widowControl w:val="false"/>
        <w:numPr>
          <w:ilvl w:val="1"/>
          <w:numId w:val="1"/>
        </w:numPr>
        <w:spacing w:before="120" w:after="120"/>
        <w:contextualSpacing/>
        <w:jc w:val="both"/>
        <w:rPr/>
      </w:pPr>
      <w:r>
        <w:rPr>
          <w:rFonts w:cs="Arial"/>
          <w:szCs w:val="20"/>
          <w:lang w:eastAsia="en-US"/>
        </w:rPr>
        <w:t xml:space="preserve">A partir das 09:00h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sendo encerrado no horário de finalização de lances também já previsto neste aviso.</w:t>
      </w:r>
    </w:p>
    <w:p>
      <w:pPr>
        <w:pStyle w:val="ListParagraph"/>
        <w:keepNext/>
        <w:pageBreakBefore w:val="false"/>
        <w:widowControl w:val="false"/>
        <w:numPr>
          <w:ilvl w:val="1"/>
          <w:numId w:val="1"/>
        </w:numPr>
        <w:spacing w:before="120" w:after="120"/>
        <w:contextualSpacing/>
        <w:jc w:val="both"/>
        <w:rPr>
          <w:rFonts w:cs="Arial"/>
          <w:color w:val="000000" w:themeColor="text1"/>
          <w:szCs w:val="20"/>
          <w:lang w:eastAsia="en-US"/>
        </w:rPr>
      </w:pPr>
      <w:r>
        <w:rPr>
          <w:rFonts w:cs="Arial"/>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keepNext/>
        <w:pageBreakBefore w:val="false"/>
        <w:widowControl w:val="false"/>
        <w:numPr>
          <w:ilvl w:val="2"/>
          <w:numId w:val="1"/>
        </w:numPr>
        <w:spacing w:before="120" w:after="120"/>
        <w:contextualSpacing/>
        <w:jc w:val="both"/>
        <w:rPr/>
      </w:pPr>
      <w:r>
        <w:rPr>
          <w:rFonts w:cs="Arial"/>
          <w:i/>
          <w:iCs/>
          <w:szCs w:val="20"/>
        </w:rPr>
        <w:t>O lance deverá ser ofertado pelo valor unitário do item.</w:t>
      </w:r>
    </w:p>
    <w:p>
      <w:pPr>
        <w:pStyle w:val="ListParagraph"/>
        <w:keepNext/>
        <w:pageBreakBefore w:val="false"/>
        <w:widowControl w:val="false"/>
        <w:numPr>
          <w:ilvl w:val="1"/>
          <w:numId w:val="1"/>
        </w:numPr>
        <w:spacing w:before="120" w:after="120"/>
        <w:contextualSpacing/>
        <w:jc w:val="both"/>
        <w:rPr/>
      </w:pPr>
      <w:r>
        <w:rPr>
          <w:rFonts w:cs="Arial"/>
          <w:szCs w:val="20"/>
          <w:lang w:eastAsia="en-US"/>
        </w:rPr>
        <w:t>O fornecedor somente poderá oferecer valor inferior ou maior percentual de desconto em relação ao último lance por ele ofertado e registrado pelo sistema.</w:t>
      </w:r>
    </w:p>
    <w:p>
      <w:pPr>
        <w:pStyle w:val="ListParagraph"/>
        <w:keepNext/>
        <w:pageBreakBefore w:val="false"/>
        <w:widowControl w:val="false"/>
        <w:numPr>
          <w:ilvl w:val="2"/>
          <w:numId w:val="1"/>
        </w:numPr>
        <w:spacing w:before="120" w:after="120"/>
        <w:contextualSpacing/>
        <w:jc w:val="both"/>
        <w:rPr>
          <w:rFonts w:cs="Arial"/>
          <w:color w:val="000000" w:themeColor="text1"/>
          <w:szCs w:val="20"/>
          <w:lang w:eastAsia="en-US"/>
        </w:rPr>
      </w:pPr>
      <w:r>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keepNext/>
        <w:pageBreakBefore w:val="false"/>
        <w:widowControl w:val="false"/>
        <w:numPr>
          <w:ilvl w:val="2"/>
          <w:numId w:val="1"/>
        </w:numPr>
        <w:spacing w:before="120" w:after="120"/>
        <w:contextualSpacing/>
        <w:jc w:val="both"/>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R$ 0,01 (um centavo de real).</w:t>
      </w:r>
    </w:p>
    <w:p>
      <w:pPr>
        <w:pStyle w:val="ListParagraph"/>
        <w:keepNext/>
        <w:pageBreakBefore w:val="false"/>
        <w:widowControl w:val="false"/>
        <w:numPr>
          <w:ilvl w:val="1"/>
          <w:numId w:val="1"/>
        </w:numPr>
        <w:spacing w:before="120" w:after="120"/>
        <w:contextualSpacing/>
        <w:jc w:val="both"/>
        <w:rPr>
          <w:rFonts w:cs="Arial"/>
          <w:color w:val="000000" w:themeColor="text1"/>
          <w:szCs w:val="20"/>
          <w:lang w:eastAsia="en-US"/>
        </w:rPr>
      </w:pPr>
      <w:r>
        <w:rPr>
          <w:rFonts w:cs="Arial"/>
          <w:szCs w:val="20"/>
          <w:lang w:eastAsia="en-US"/>
        </w:rPr>
        <w:t>Havendo lances iguais ao menor já ofertado, prevalecerá aquele que for recebido e registrado primeiro no sistema.</w:t>
      </w:r>
    </w:p>
    <w:p>
      <w:pPr>
        <w:pStyle w:val="ListParagraph"/>
        <w:keepNext/>
        <w:pageBreakBefore w:val="false"/>
        <w:widowControl w:val="false"/>
        <w:numPr>
          <w:ilvl w:val="1"/>
          <w:numId w:val="1"/>
        </w:numPr>
        <w:spacing w:before="120" w:after="120"/>
        <w:contextualSpacing/>
        <w:jc w:val="both"/>
        <w:rPr>
          <w:rFonts w:cs="Arial"/>
          <w:color w:val="000000" w:themeColor="text1"/>
          <w:szCs w:val="20"/>
          <w:lang w:eastAsia="en-US"/>
        </w:rPr>
      </w:pPr>
      <w:r>
        <w:rPr>
          <w:rFonts w:cs="Arial"/>
          <w:szCs w:val="20"/>
          <w:lang w:eastAsia="en-US"/>
        </w:rPr>
        <w:t>Caso o fornecedor não apresente lances, concorrerá com o valor de sua proposta.</w:t>
      </w:r>
    </w:p>
    <w:p>
      <w:pPr>
        <w:pStyle w:val="ListParagraph"/>
        <w:keepNext/>
        <w:pageBreakBefore w:val="false"/>
        <w:widowControl w:val="false"/>
        <w:numPr>
          <w:ilvl w:val="1"/>
          <w:numId w:val="1"/>
        </w:numPr>
        <w:spacing w:before="120" w:after="120"/>
        <w:contextualSpacing/>
        <w:jc w:val="both"/>
        <w:rPr>
          <w:rFonts w:cs="Arial"/>
          <w:color w:val="000000" w:themeColor="text1"/>
          <w:szCs w:val="20"/>
          <w:lang w:eastAsia="en-US"/>
        </w:rPr>
      </w:pPr>
      <w:r>
        <w:rPr>
          <w:rFonts w:cs="Arial"/>
          <w:szCs w:val="20"/>
          <w:lang w:eastAsia="en-US"/>
        </w:rPr>
        <w:t>Durante o procedimento, os fornecedores serão informados, em tempo real, do valor do menor lance registrado, vedada a identificação do fornecedor.</w:t>
      </w:r>
    </w:p>
    <w:p>
      <w:pPr>
        <w:pStyle w:val="ListParagraph"/>
        <w:keepNext/>
        <w:pageBreakBefore w:val="false"/>
        <w:widowControl w:val="false"/>
        <w:numPr>
          <w:ilvl w:val="1"/>
          <w:numId w:val="1"/>
        </w:numPr>
        <w:spacing w:before="120" w:after="120"/>
        <w:contextualSpacing/>
        <w:jc w:val="both"/>
        <w:rPr>
          <w:rFonts w:cs="Arial"/>
          <w:color w:val="000000" w:themeColor="text1"/>
          <w:szCs w:val="20"/>
          <w:lang w:eastAsia="en-US"/>
        </w:rPr>
      </w:pPr>
      <w:r>
        <w:rPr>
          <w:rFonts w:cs="Arial"/>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keepNext/>
        <w:pageBreakBefore w:val="false"/>
        <w:widowControl w:val="false"/>
        <w:numPr>
          <w:ilvl w:val="2"/>
          <w:numId w:val="1"/>
        </w:numPr>
        <w:spacing w:before="120" w:after="120"/>
        <w:contextualSpacing/>
        <w:jc w:val="both"/>
        <w:rPr>
          <w:rFonts w:cs="Arial"/>
        </w:rPr>
      </w:pPr>
      <w:r>
        <w:rPr>
          <w:rFonts w:cs="Arial"/>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pageBreakBefore w:val="false"/>
        <w:widowControl w:val="false"/>
        <w:numPr>
          <w:ilvl w:val="0"/>
          <w:numId w:val="1"/>
        </w:numPr>
        <w:shd w:val="clear" w:color="auto" w:fill="auto"/>
        <w:spacing w:lineRule="auto" w:line="240" w:before="120" w:after="120"/>
        <w:rPr>
          <w:rFonts w:ascii="Arial" w:hAnsi="Arial" w:cs="Arial"/>
          <w:b/>
          <w:b/>
        </w:rPr>
      </w:pPr>
      <w:r>
        <w:rPr>
          <w:rFonts w:cs="Arial" w:ascii="Arial" w:hAnsi="Arial"/>
          <w:b/>
        </w:rPr>
        <w:t>JULGAMENTO DAS PROPOSTAS DE PREÇO</w:t>
      </w:r>
    </w:p>
    <w:p>
      <w:pPr>
        <w:pStyle w:val="ListParagraph"/>
        <w:keepNext/>
        <w:pageBreakBefore w:val="false"/>
        <w:widowControl w:val="false"/>
        <w:numPr>
          <w:ilvl w:val="1"/>
          <w:numId w:val="1"/>
        </w:numPr>
        <w:spacing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keepNext/>
        <w:pageBreakBefore w:val="false"/>
        <w:widowControl w:val="false"/>
        <w:numPr>
          <w:ilvl w:val="1"/>
          <w:numId w:val="1"/>
        </w:numPr>
        <w:spacing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keepNext/>
        <w:pageBreakBefore w:val="false"/>
        <w:widowControl w:val="false"/>
        <w:numPr>
          <w:ilvl w:val="2"/>
          <w:numId w:val="1"/>
        </w:numPr>
        <w:spacing w:before="120" w:after="120"/>
        <w:contextualSpacing/>
        <w:jc w:val="both"/>
        <w:rPr>
          <w:rFonts w:cs="Arial"/>
        </w:rPr>
      </w:pPr>
      <w:r>
        <w:rPr>
          <w:rFonts w:cs="Arial"/>
          <w:szCs w:val="20"/>
        </w:rPr>
        <w:t>Neste caso, será encaminhada contraproposta ao fornecedor que tenha apresentado o melhor preço, para que seja obtida melhor proposta com preço compatível ao estimado pela Administração.</w:t>
      </w:r>
    </w:p>
    <w:p>
      <w:pPr>
        <w:pStyle w:val="ListParagraph"/>
        <w:keepNext/>
        <w:pageBreakBefore w:val="false"/>
        <w:widowControl w:val="false"/>
        <w:numPr>
          <w:ilvl w:val="2"/>
          <w:numId w:val="1"/>
        </w:numPr>
        <w:spacing w:before="120" w:after="120"/>
        <w:contextualSpacing/>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keepNext/>
        <w:pageBreakBefore w:val="false"/>
        <w:widowControl w:val="false"/>
        <w:numPr>
          <w:ilvl w:val="2"/>
          <w:numId w:val="1"/>
        </w:numPr>
        <w:spacing w:before="120" w:after="120"/>
        <w:contextualSpacing/>
        <w:jc w:val="both"/>
        <w:rPr>
          <w:rFonts w:cs="Arial"/>
        </w:rPr>
      </w:pPr>
      <w:r>
        <w:rPr>
          <w:rFonts w:cs="Arial"/>
        </w:rPr>
        <w:t>Em qualquer caso, concluída a negociação, o resultado será registrado na ata do procedimento da dispensa eletrônica.</w:t>
      </w:r>
    </w:p>
    <w:p>
      <w:pPr>
        <w:pStyle w:val="ListParagraph"/>
        <w:keepNext/>
        <w:pageBreakBefore w:val="false"/>
        <w:widowControl w:val="false"/>
        <w:numPr>
          <w:ilvl w:val="1"/>
          <w:numId w:val="1"/>
        </w:numPr>
        <w:spacing w:before="120" w:after="120"/>
        <w:contextualSpacing/>
        <w:jc w:val="both"/>
        <w:rPr>
          <w:rFonts w:cs="Arial"/>
        </w:rPr>
      </w:pPr>
      <w:r>
        <w:rPr>
          <w:rFonts w:cs="Arial"/>
        </w:rPr>
        <w:t>Estando o preço compatível, será solicitado o envio da proposta e, se necessário, de documentos complementares, adequada ao último lance.</w:t>
      </w:r>
    </w:p>
    <w:p>
      <w:pPr>
        <w:pStyle w:val="ListParagraph"/>
        <w:keepNext/>
        <w:pageBreakBefore w:val="false"/>
        <w:widowControl w:val="false"/>
        <w:numPr>
          <w:ilvl w:val="2"/>
          <w:numId w:val="1"/>
        </w:numPr>
        <w:spacing w:before="120" w:after="120"/>
        <w:contextualSpacing/>
        <w:jc w:val="both"/>
        <w:rPr>
          <w:rFonts w:cs="Arial"/>
          <w:i/>
          <w:i/>
          <w:iCs/>
          <w:color w:val="FF0000"/>
        </w:rPr>
      </w:pPr>
      <w:r>
        <w:rPr>
          <w:rFonts w:cs="Arial"/>
          <w:i/>
          <w:iCs/>
        </w:rPr>
        <w:t>Além da documentação supracitada, o fornecedor com a melhor proposta deverá encaminhar planilha com indicação de custos unitários e formação de preços, conforme modelo anexo, com os valores adequados à proposta vencedora.</w:t>
      </w:r>
    </w:p>
    <w:p>
      <w:pPr>
        <w:pStyle w:val="Normal"/>
        <w:keepNext/>
        <w:pageBreakBefore w:val="false"/>
        <w:widowControl w:val="false"/>
        <w:numPr>
          <w:ilvl w:val="1"/>
          <w:numId w:val="1"/>
        </w:numPr>
        <w:spacing w:before="120" w:after="120"/>
        <w:jc w:val="both"/>
        <w:rPr/>
      </w:pPr>
      <w:r>
        <w:rPr>
          <w:rFonts w:cs="Arial"/>
          <w:szCs w:val="20"/>
        </w:rPr>
        <w:t>O prazo de validade da proposta não será inferior a 30 (trinta) dias</w:t>
      </w:r>
      <w:r>
        <w:rPr>
          <w:rFonts w:cs="Arial"/>
          <w:b/>
          <w:bCs/>
          <w:szCs w:val="20"/>
        </w:rPr>
        <w:t>,</w:t>
      </w:r>
      <w:r>
        <w:rPr>
          <w:rFonts w:cs="Arial"/>
          <w:szCs w:val="20"/>
        </w:rPr>
        <w:t xml:space="preserve"> a contar da data de sua apresentação.</w:t>
      </w:r>
    </w:p>
    <w:p>
      <w:pPr>
        <w:pStyle w:val="ListParagraph"/>
        <w:keepNext/>
        <w:pageBreakBefore w:val="false"/>
        <w:widowControl w:val="false"/>
        <w:numPr>
          <w:ilvl w:val="1"/>
          <w:numId w:val="1"/>
        </w:numPr>
        <w:spacing w:before="120" w:after="120"/>
        <w:contextualSpacing/>
        <w:jc w:val="both"/>
        <w:rPr/>
      </w:pPr>
      <w:r>
        <w:rPr>
          <w:rFonts w:cs="Arial"/>
          <w:szCs w:val="20"/>
          <w:lang w:eastAsia="en-US"/>
        </w:rPr>
        <w:t xml:space="preserve">Será desclassificada a proposta vencedora que: </w:t>
      </w:r>
    </w:p>
    <w:p>
      <w:pPr>
        <w:pStyle w:val="ListParagraph"/>
        <w:keepNext/>
        <w:pageBreakBefore w:val="false"/>
        <w:widowControl w:val="false"/>
        <w:numPr>
          <w:ilvl w:val="2"/>
          <w:numId w:val="1"/>
        </w:numPr>
        <w:spacing w:before="120" w:after="120"/>
        <w:contextualSpacing/>
        <w:jc w:val="both"/>
        <w:rPr>
          <w:rFonts w:cs="Arial"/>
          <w:i/>
          <w:i/>
          <w:color w:val="000000" w:themeColor="text1"/>
          <w:szCs w:val="20"/>
        </w:rPr>
      </w:pPr>
      <w:r>
        <w:rPr>
          <w:rFonts w:cs="Arial"/>
          <w:szCs w:val="20"/>
        </w:rPr>
        <w:t>contiver vícios insanáveis</w:t>
      </w:r>
      <w:r>
        <w:rPr>
          <w:rFonts w:cs="Arial"/>
          <w:iCs/>
          <w:szCs w:val="20"/>
        </w:rPr>
        <w:t>;</w:t>
      </w:r>
    </w:p>
    <w:p>
      <w:pPr>
        <w:pStyle w:val="ListParagraph"/>
        <w:keepNext/>
        <w:pageBreakBefore w:val="false"/>
        <w:widowControl w:val="false"/>
        <w:numPr>
          <w:ilvl w:val="2"/>
          <w:numId w:val="1"/>
        </w:numPr>
        <w:spacing w:before="120" w:after="120"/>
        <w:contextualSpacing/>
        <w:jc w:val="both"/>
        <w:rPr>
          <w:rFonts w:cs="Arial"/>
          <w:i/>
          <w:i/>
          <w:color w:val="000000" w:themeColor="text1"/>
          <w:szCs w:val="20"/>
        </w:rPr>
      </w:pPr>
      <w:r>
        <w:rPr>
          <w:rFonts w:cs="Arial"/>
          <w:szCs w:val="20"/>
        </w:rPr>
        <w:t>não obedecer às especificações técnicas pormenorizadas neste aviso ou em seus anexos</w:t>
      </w:r>
      <w:r>
        <w:rPr>
          <w:rFonts w:cs="Arial"/>
          <w:iCs/>
          <w:szCs w:val="20"/>
        </w:rPr>
        <w:t>;</w:t>
      </w:r>
    </w:p>
    <w:p>
      <w:pPr>
        <w:pStyle w:val="ListParagraph"/>
        <w:keepNext/>
        <w:pageBreakBefore w:val="false"/>
        <w:widowControl w:val="false"/>
        <w:numPr>
          <w:ilvl w:val="2"/>
          <w:numId w:val="1"/>
        </w:numPr>
        <w:spacing w:before="120" w:after="120"/>
        <w:contextualSpacing/>
        <w:jc w:val="both"/>
        <w:rPr>
          <w:rFonts w:cs="Arial"/>
          <w:i/>
          <w:i/>
          <w:color w:val="000000" w:themeColor="text1"/>
          <w:szCs w:val="20"/>
        </w:rPr>
      </w:pPr>
      <w:r>
        <w:rPr>
          <w:rFonts w:cs="Arial"/>
          <w:szCs w:val="20"/>
        </w:rPr>
        <w:t>apresentar preços inexequíveis ou permanecerem acima do preço máximo definido para a contratação;</w:t>
      </w:r>
    </w:p>
    <w:p>
      <w:pPr>
        <w:pStyle w:val="ListParagraph"/>
        <w:keepNext/>
        <w:pageBreakBefore w:val="false"/>
        <w:widowControl w:val="false"/>
        <w:numPr>
          <w:ilvl w:val="2"/>
          <w:numId w:val="1"/>
        </w:numPr>
        <w:spacing w:before="120" w:after="120"/>
        <w:contextualSpacing/>
        <w:jc w:val="both"/>
        <w:rPr>
          <w:rFonts w:cs="Arial"/>
          <w:i/>
          <w:i/>
          <w:color w:val="000000" w:themeColor="text1"/>
          <w:szCs w:val="20"/>
        </w:rPr>
      </w:pPr>
      <w:r>
        <w:rPr>
          <w:rFonts w:cs="Arial"/>
          <w:szCs w:val="20"/>
        </w:rPr>
        <w:t>não tiverem sua exequibilidade demonstrada, quando exigido pela Administração</w:t>
      </w:r>
      <w:r>
        <w:rPr>
          <w:rFonts w:cs="Arial"/>
          <w:iCs/>
          <w:szCs w:val="20"/>
        </w:rPr>
        <w:t>;</w:t>
      </w:r>
    </w:p>
    <w:p>
      <w:pPr>
        <w:pStyle w:val="ListParagraph"/>
        <w:keepNext/>
        <w:pageBreakBefore w:val="false"/>
        <w:widowControl w:val="false"/>
        <w:numPr>
          <w:ilvl w:val="2"/>
          <w:numId w:val="1"/>
        </w:numPr>
        <w:spacing w:before="120" w:after="120"/>
        <w:contextualSpacing/>
        <w:jc w:val="both"/>
        <w:rPr>
          <w:rFonts w:cs="Arial"/>
          <w:i/>
          <w:i/>
          <w:color w:val="000000" w:themeColor="text1"/>
          <w:szCs w:val="20"/>
        </w:rPr>
      </w:pPr>
      <w:r>
        <w:rPr>
          <w:rFonts w:cs="Arial"/>
          <w:szCs w:val="20"/>
        </w:rPr>
        <w:t>apresentar desconformidade com quaisquer outras exigências deste aviso ou seus anexos, desde que insanável.</w:t>
      </w:r>
    </w:p>
    <w:p>
      <w:pPr>
        <w:pStyle w:val="ListParagraph"/>
        <w:keepNext/>
        <w:pageBreakBefore w:val="false"/>
        <w:widowControl w:val="false"/>
        <w:numPr>
          <w:ilvl w:val="1"/>
          <w:numId w:val="1"/>
        </w:numPr>
        <w:spacing w:before="120" w:after="120"/>
        <w:contextualSpacing/>
        <w:jc w:val="both"/>
        <w:rPr>
          <w:rFonts w:cs="Arial"/>
          <w:i/>
          <w:i/>
          <w:color w:val="000000" w:themeColor="text1"/>
          <w:szCs w:val="20"/>
        </w:rPr>
      </w:pPr>
      <w:r>
        <w:rPr>
          <w:rFonts w:cs="Arial"/>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keepNext/>
        <w:pageBreakBefore w:val="false"/>
        <w:widowControl w:val="false"/>
        <w:numPr>
          <w:ilvl w:val="2"/>
          <w:numId w:val="1"/>
        </w:numPr>
        <w:spacing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keepNext/>
        <w:pageBreakBefore w:val="false"/>
        <w:widowControl w:val="false"/>
        <w:numPr>
          <w:ilvl w:val="2"/>
          <w:numId w:val="1"/>
        </w:numPr>
        <w:spacing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keepNext/>
        <w:pageBreakBefore w:val="false"/>
        <w:widowControl w:val="false"/>
        <w:numPr>
          <w:ilvl w:val="1"/>
          <w:numId w:val="1"/>
        </w:numPr>
        <w:spacing w:before="120" w:after="120"/>
        <w:contextualSpacing/>
        <w:jc w:val="both"/>
        <w:rPr/>
      </w:pPr>
      <w:r>
        <w:rPr>
          <w:rFonts w:cs="Arial"/>
          <w:szCs w:val="20"/>
          <w:lang w:eastAsia="en-US"/>
        </w:rPr>
        <w:t xml:space="preserve">Se houver indícios de inexequibilidade da proposta de preço, ou em caso da necessidade de esclarecimentos </w:t>
      </w:r>
      <w:r>
        <w:rPr>
          <w:rFonts w:cs="Arial"/>
          <w:szCs w:val="20"/>
        </w:rPr>
        <w:t>complementares</w:t>
      </w:r>
      <w:r>
        <w:rPr>
          <w:rFonts w:cs="Arial"/>
          <w:szCs w:val="20"/>
          <w:lang w:eastAsia="en-US"/>
        </w:rPr>
        <w:t xml:space="preserve">, poderão ser efetuadas diligências, para que a empresa comprove a exequibilidade da proposta.  </w:t>
      </w:r>
    </w:p>
    <w:p>
      <w:pPr>
        <w:pStyle w:val="ListParagraph"/>
        <w:keepNext/>
        <w:pageBreakBefore w:val="false"/>
        <w:widowControl w:val="false"/>
        <w:numPr>
          <w:ilvl w:val="1"/>
          <w:numId w:val="1"/>
        </w:numPr>
        <w:spacing w:before="120" w:after="120"/>
        <w:contextualSpacing/>
        <w:jc w:val="both"/>
        <w:rPr>
          <w:rFonts w:cs="Arial"/>
          <w:color w:val="000000" w:themeColor="text1"/>
          <w:szCs w:val="20"/>
          <w:lang w:eastAsia="en-US"/>
        </w:rPr>
      </w:pPr>
      <w:r>
        <w:rPr>
          <w:rFonts w:cs="Arial"/>
          <w:szCs w:val="20"/>
          <w:lang w:eastAsia="en-US"/>
        </w:rPr>
        <w:t xml:space="preserve">Erros no preenchimento da planilha não constituem motivo para a desclassificação da proposta. A planilha </w:t>
      </w:r>
      <w:r>
        <w:rPr>
          <w:rFonts w:cs="Arial"/>
          <w:szCs w:val="20"/>
        </w:rPr>
        <w:t>poderá</w:t>
      </w:r>
      <w:r>
        <w:rPr>
          <w:rFonts w:cs="Arial"/>
          <w:szCs w:val="20"/>
          <w:lang w:eastAsia="en-US"/>
        </w:rPr>
        <w:t xml:space="preserve"> ser ajustada pelo fornecedor, no prazo indicado pelo sistema, desde que não haja majoração do preço.</w:t>
      </w:r>
    </w:p>
    <w:p>
      <w:pPr>
        <w:pStyle w:val="ListParagraph"/>
        <w:keepNext/>
        <w:pageBreakBefore w:val="false"/>
        <w:widowControl w:val="false"/>
        <w:numPr>
          <w:ilvl w:val="2"/>
          <w:numId w:val="1"/>
        </w:numPr>
        <w:spacing w:before="120" w:after="120"/>
        <w:contextualSpacing/>
        <w:jc w:val="both"/>
        <w:rPr>
          <w:rFonts w:cs="Arial"/>
          <w:color w:val="000000" w:themeColor="text1"/>
          <w:szCs w:val="20"/>
          <w:lang w:eastAsia="en-US"/>
        </w:rPr>
      </w:pPr>
      <w:r>
        <w:rPr>
          <w:rFonts w:cs="Arial"/>
          <w:szCs w:val="20"/>
          <w:lang w:eastAsia="en-US"/>
        </w:rPr>
        <w:t>O ajuste de que trata este dispositivo se limita a sanar erros ou falhas que não alterem a substância das propostas;</w:t>
      </w:r>
    </w:p>
    <w:p>
      <w:pPr>
        <w:pStyle w:val="ListParagraph"/>
        <w:keepNext/>
        <w:pageBreakBefore w:val="false"/>
        <w:widowControl w:val="false"/>
        <w:numPr>
          <w:ilvl w:val="2"/>
          <w:numId w:val="1"/>
        </w:numPr>
        <w:spacing w:before="120" w:after="120"/>
        <w:contextualSpacing/>
        <w:jc w:val="both"/>
        <w:rPr>
          <w:rFonts w:cs="Arial"/>
          <w:color w:val="000000" w:themeColor="text1"/>
          <w:szCs w:val="20"/>
          <w:lang w:eastAsia="en-US"/>
        </w:rPr>
      </w:pPr>
      <w:r>
        <w:rPr>
          <w:rFonts w:cs="Arial"/>
          <w:szCs w:val="20"/>
          <w:lang w:eastAsia="en-US"/>
        </w:rPr>
        <w:t>Considera-se erro no preenchimento da planilha passível de correção a indicação de recolhimento de impostos e contribuições na forma do Simples Nacional, quando não cabível esse regime.</w:t>
      </w:r>
    </w:p>
    <w:p>
      <w:pPr>
        <w:pStyle w:val="ListParagraph"/>
        <w:keepNext/>
        <w:pageBreakBefore w:val="false"/>
        <w:widowControl w:val="false"/>
        <w:numPr>
          <w:ilvl w:val="1"/>
          <w:numId w:val="1"/>
        </w:numPr>
        <w:spacing w:before="120" w:after="120"/>
        <w:contextualSpacing/>
        <w:jc w:val="both"/>
        <w:rPr>
          <w:rFonts w:cs="Arial"/>
          <w:color w:val="000000" w:themeColor="text1"/>
          <w:szCs w:val="20"/>
          <w:lang w:eastAsia="en-US"/>
        </w:rPr>
      </w:pPr>
      <w:r>
        <w:rPr>
          <w:rFonts w:cs="Arial"/>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keepNext/>
        <w:pageBreakBefore w:val="false"/>
        <w:widowControl w:val="false"/>
        <w:numPr>
          <w:ilvl w:val="1"/>
          <w:numId w:val="1"/>
        </w:numPr>
        <w:spacing w:before="120" w:after="120"/>
        <w:contextualSpacing/>
        <w:jc w:val="both"/>
        <w:rPr>
          <w:rFonts w:cs="Arial"/>
          <w:color w:val="000000" w:themeColor="text1"/>
          <w:szCs w:val="20"/>
          <w:lang w:eastAsia="en-US"/>
        </w:rPr>
      </w:pPr>
      <w:r>
        <w:rPr>
          <w:rFonts w:cs="Arial"/>
          <w:szCs w:val="20"/>
          <w:lang w:eastAsia="en-US"/>
        </w:rPr>
        <w:t>Se a proposta ou lance vencedor for desclassificado, será examinada a proposta ou lance subsequente, e, assim sucessivamente, na ordem de classificação.</w:t>
      </w:r>
    </w:p>
    <w:p>
      <w:pPr>
        <w:pStyle w:val="ListParagraph"/>
        <w:keepNext/>
        <w:pageBreakBefore w:val="false"/>
        <w:widowControl w:val="false"/>
        <w:numPr>
          <w:ilvl w:val="1"/>
          <w:numId w:val="1"/>
        </w:numPr>
        <w:spacing w:before="120" w:after="120"/>
        <w:contextualSpacing/>
        <w:jc w:val="both"/>
        <w:rPr>
          <w:rFonts w:cs="Arial"/>
          <w:color w:val="000000" w:themeColor="text1"/>
          <w:szCs w:val="20"/>
          <w:lang w:eastAsia="en-US"/>
        </w:rPr>
      </w:pPr>
      <w:r>
        <w:rPr>
          <w:rFonts w:cs="Arial"/>
          <w:szCs w:val="20"/>
          <w:lang w:eastAsia="en-US"/>
        </w:rPr>
        <w:t>Havendo necessidade, a sessão será suspensa, informando-se no “chat” a nova data e horário para a sua continuidade.</w:t>
      </w:r>
    </w:p>
    <w:p>
      <w:pPr>
        <w:pStyle w:val="ListParagraph"/>
        <w:keepNext/>
        <w:pageBreakBefore w:val="false"/>
        <w:widowControl w:val="false"/>
        <w:numPr>
          <w:ilvl w:val="1"/>
          <w:numId w:val="1"/>
        </w:numPr>
        <w:spacing w:before="120" w:after="120"/>
        <w:contextualSpacing/>
        <w:jc w:val="both"/>
        <w:rPr>
          <w:rFonts w:cs="Arial"/>
          <w:color w:val="000000" w:themeColor="text1"/>
          <w:szCs w:val="20"/>
          <w:lang w:eastAsia="en-US"/>
        </w:rPr>
      </w:pPr>
      <w:r>
        <w:rPr>
          <w:rFonts w:cs="Arial"/>
          <w:szCs w:val="20"/>
          <w:lang w:eastAsia="en-US"/>
        </w:rPr>
        <w:t>Encerrada a análise quanto à aceitação da proposta, se iniciará a fase de habilitação, observado o disposto neste Aviso de Contratação Direta. </w:t>
      </w:r>
    </w:p>
    <w:p>
      <w:pPr>
        <w:pStyle w:val="PADRO"/>
        <w:keepNext/>
        <w:pageBreakBefore w:val="false"/>
        <w:widowControl w:val="false"/>
        <w:numPr>
          <w:ilvl w:val="0"/>
          <w:numId w:val="1"/>
        </w:numPr>
        <w:shd w:val="clear" w:color="auto" w:fill="auto"/>
        <w:spacing w:lineRule="auto" w:line="240" w:before="120" w:after="120"/>
        <w:rPr>
          <w:rFonts w:ascii="Arial" w:hAnsi="Arial" w:cs="Arial"/>
          <w:b/>
          <w:b/>
        </w:rPr>
      </w:pPr>
      <w:r>
        <w:rPr>
          <w:rFonts w:cs="Arial" w:ascii="Arial" w:hAnsi="Arial"/>
          <w:b/>
        </w:rPr>
        <w:t>HABILITAÇÃO</w:t>
      </w:r>
    </w:p>
    <w:p>
      <w:pPr>
        <w:pStyle w:val="ListParagraph"/>
        <w:keepNext/>
        <w:pageBreakBefore w:val="false"/>
        <w:widowControl w:val="false"/>
        <w:numPr>
          <w:ilvl w:val="1"/>
          <w:numId w:val="1"/>
        </w:numPr>
        <w:spacing w:before="120" w:after="120"/>
        <w:ind w:left="792" w:hanging="574"/>
        <w:contextualSpacing/>
        <w:jc w:val="both"/>
        <w:rPr>
          <w:rFonts w:cs="Arial"/>
          <w:b/>
          <w:b/>
          <w:szCs w:val="20"/>
          <w:lang w:eastAsia="ar-SA"/>
        </w:rPr>
      </w:pPr>
      <w:r>
        <w:rPr>
          <w:rFonts w:cs="Arial"/>
          <w:szCs w:val="20"/>
          <w:lang w:eastAsia="ar-SA"/>
        </w:rPr>
        <w:t xml:space="preserve">Os </w:t>
      </w:r>
      <w:r>
        <w:rPr>
          <w:rFonts w:cs="Arial"/>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keepNext/>
        <w:pageBreakBefore w:val="false"/>
        <w:widowControl w:val="false"/>
        <w:numPr>
          <w:ilvl w:val="1"/>
          <w:numId w:val="1"/>
        </w:numPr>
        <w:spacing w:before="120" w:after="120"/>
        <w:ind w:left="792" w:hanging="574"/>
        <w:contextualSpacing/>
        <w:jc w:val="both"/>
        <w:rPr>
          <w:rFonts w:cs="Arial"/>
          <w:b/>
          <w:b/>
          <w:szCs w:val="20"/>
          <w:lang w:eastAsia="ar-SA"/>
        </w:rPr>
      </w:pPr>
      <w:r>
        <w:rPr>
          <w:rFonts w:cs="Arial"/>
          <w:szCs w:val="20"/>
          <w:lang w:eastAsia="ar-SA"/>
        </w:rPr>
        <w:t xml:space="preserve">Como </w:t>
      </w:r>
      <w:r>
        <w:rPr>
          <w:rFonts w:cs="Arial"/>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keepNext/>
        <w:pageBreakBefore w:val="false"/>
        <w:widowControl w:val="false"/>
        <w:spacing w:before="120" w:after="120"/>
        <w:ind w:left="1134" w:hanging="0"/>
        <w:contextualSpacing/>
        <w:jc w:val="both"/>
        <w:rPr>
          <w:rFonts w:cs="Arial"/>
          <w:szCs w:val="20"/>
          <w:lang w:eastAsia="ar-SA"/>
        </w:rPr>
      </w:pPr>
      <w:r>
        <w:rPr>
          <w:rFonts w:cs="Arial"/>
          <w:szCs w:val="20"/>
          <w:lang w:eastAsia="ar-SA"/>
        </w:rPr>
        <w:t xml:space="preserve">a) SICAF;  </w:t>
      </w:r>
    </w:p>
    <w:p>
      <w:pPr>
        <w:pStyle w:val="ListParagraph"/>
        <w:keepNext/>
        <w:pageBreakBefore w:val="false"/>
        <w:widowControl w:val="false"/>
        <w:spacing w:before="120" w:after="120"/>
        <w:ind w:left="1134" w:hanging="0"/>
        <w:contextualSpacing/>
        <w:jc w:val="both"/>
        <w:rPr/>
      </w:pPr>
      <w:r>
        <w:rPr>
          <w:rFonts w:cs="Arial"/>
          <w:szCs w:val="20"/>
          <w:lang w:eastAsia="ar-SA"/>
        </w:rPr>
        <w:t>b) Cadastro Nacional de Empresas Inidôneas e Suspensas - CEIS, mantido pela Controladoria-Geral da União (</w:t>
      </w:r>
      <w:hyperlink r:id="rId4">
        <w:r>
          <w:rPr>
            <w:rStyle w:val="LinkdaInternet"/>
            <w:rFonts w:eastAsia="Calibri" w:cs="Arial"/>
            <w:color w:val="00000A"/>
            <w:lang w:eastAsia="ar-SA"/>
          </w:rPr>
          <w:t>www.portaldatransparencia.gov.br/ceis</w:t>
        </w:r>
      </w:hyperlink>
      <w:r>
        <w:rPr>
          <w:rFonts w:cs="Arial"/>
          <w:szCs w:val="20"/>
          <w:lang w:eastAsia="ar-SA"/>
        </w:rPr>
        <w:t xml:space="preserve">);  </w:t>
      </w:r>
    </w:p>
    <w:p>
      <w:pPr>
        <w:pStyle w:val="ListParagraph"/>
        <w:keepNext/>
        <w:pageBreakBefore w:val="false"/>
        <w:widowControl w:val="false"/>
        <w:spacing w:before="120" w:after="120"/>
        <w:ind w:left="1134" w:hanging="0"/>
        <w:contextualSpacing/>
        <w:jc w:val="both"/>
        <w:rPr/>
      </w:pPr>
      <w:r>
        <w:rPr>
          <w:rFonts w:cs="Arial"/>
          <w:szCs w:val="20"/>
          <w:lang w:eastAsia="ar-SA"/>
        </w:rPr>
        <w:t>c) Cadastro Nacional de Condenações Cíveis por Atos de Improbidade Administrativa, mantido pelo Conselho Nacional de Justiça (</w:t>
      </w:r>
      <w:hyperlink r:id="rId5">
        <w:r>
          <w:rPr>
            <w:rStyle w:val="LinkdaInternet"/>
            <w:rFonts w:eastAsia="Calibri" w:cs="Arial"/>
            <w:color w:val="00000A"/>
            <w:lang w:eastAsia="ar-SA"/>
          </w:rPr>
          <w:t>www.cnj.jus.br/improbidade_adm/consultar_requerido.php</w:t>
        </w:r>
      </w:hyperlink>
      <w:r>
        <w:rPr>
          <w:rFonts w:cs="Arial"/>
          <w:szCs w:val="20"/>
          <w:lang w:eastAsia="ar-SA"/>
        </w:rPr>
        <w:t xml:space="preserve">).  </w:t>
      </w:r>
    </w:p>
    <w:p>
      <w:pPr>
        <w:pStyle w:val="ListParagraph"/>
        <w:keepNext/>
        <w:pageBreakBefore w:val="false"/>
        <w:widowControl w:val="false"/>
        <w:spacing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keepNext/>
        <w:pageBreakBefore w:val="false"/>
        <w:widowControl w:val="false"/>
        <w:numPr>
          <w:ilvl w:val="2"/>
          <w:numId w:val="1"/>
        </w:numPr>
        <w:spacing w:before="120" w:after="120"/>
        <w:contextualSpacing/>
        <w:jc w:val="both"/>
        <w:rPr>
          <w:rFonts w:cs="Arial"/>
          <w:b/>
          <w:b/>
          <w:szCs w:val="20"/>
        </w:rPr>
      </w:pPr>
      <w:r>
        <w:rPr>
          <w:rFonts w:cs="Arial"/>
          <w:szCs w:val="20"/>
          <w:lang w:eastAsia="ar-SA"/>
        </w:rPr>
        <w:t xml:space="preserve">Para a consulta de </w:t>
      </w:r>
      <w:r>
        <w:rPr>
          <w:rFonts w:cs="Arial"/>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keepNext/>
        <w:pageBreakBefore w:val="false"/>
        <w:widowControl w:val="false"/>
        <w:numPr>
          <w:ilvl w:val="2"/>
          <w:numId w:val="1"/>
        </w:numPr>
        <w:spacing w:before="120" w:after="120"/>
        <w:contextualSpacing/>
        <w:jc w:val="both"/>
        <w:rPr/>
      </w:pPr>
      <w:r>
        <w:rPr>
          <w:rFonts w:cs="Arial"/>
          <w:szCs w:val="20"/>
        </w:rPr>
        <w:t xml:space="preserve">A consulta aos </w:t>
      </w:r>
      <w:r>
        <w:rPr>
          <w:rFonts w:cs="Arial"/>
          <w:szCs w:val="20"/>
          <w:lang w:eastAsia="ar-SA"/>
        </w:rPr>
        <w:t>cadastros</w:t>
      </w:r>
      <w:r>
        <w:rPr>
          <w:rFonts w:cs="Arial"/>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keepNext/>
        <w:pageBreakBefore w:val="false"/>
        <w:widowControl w:val="false"/>
        <w:numPr>
          <w:ilvl w:val="3"/>
          <w:numId w:val="1"/>
        </w:numPr>
        <w:spacing w:before="120" w:after="120"/>
        <w:contextualSpacing/>
        <w:jc w:val="both"/>
        <w:rPr>
          <w:rFonts w:cs="Arial"/>
          <w:szCs w:val="20"/>
        </w:rPr>
      </w:pPr>
      <w:r>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keepNext/>
        <w:pageBreakBefore w:val="false"/>
        <w:widowControl w:val="false"/>
        <w:numPr>
          <w:ilvl w:val="4"/>
          <w:numId w:val="1"/>
        </w:numPr>
        <w:spacing w:before="120" w:after="120"/>
        <w:contextualSpacing/>
        <w:jc w:val="both"/>
        <w:rPr>
          <w:rFonts w:cs="Arial"/>
          <w:color w:val="000000" w:themeColor="text1"/>
          <w:szCs w:val="20"/>
        </w:rPr>
      </w:pPr>
      <w:r>
        <w:rPr>
          <w:rFonts w:cs="Arial"/>
          <w:szCs w:val="20"/>
        </w:rPr>
        <w:t>A tentativa de burla será verificada por meio dos vínculos societários, linhas de fornecimento similares, dentre outros.</w:t>
      </w:r>
    </w:p>
    <w:p>
      <w:pPr>
        <w:pStyle w:val="ListParagraph"/>
        <w:keepNext/>
        <w:pageBreakBefore w:val="false"/>
        <w:widowControl w:val="false"/>
        <w:numPr>
          <w:ilvl w:val="4"/>
          <w:numId w:val="1"/>
        </w:numPr>
        <w:spacing w:before="120" w:after="120"/>
        <w:contextualSpacing/>
        <w:jc w:val="both"/>
        <w:rPr>
          <w:rFonts w:cs="Arial"/>
          <w:szCs w:val="20"/>
        </w:rPr>
      </w:pPr>
      <w:r>
        <w:rPr>
          <w:rFonts w:cs="Arial"/>
          <w:szCs w:val="20"/>
        </w:rPr>
        <w:t>O fornecedor será convocado para manifestação previamente à sua desclassificação</w:t>
      </w:r>
    </w:p>
    <w:p>
      <w:pPr>
        <w:pStyle w:val="ListParagraph"/>
        <w:keepNext/>
        <w:pageBreakBefore w:val="false"/>
        <w:widowControl w:val="false"/>
        <w:numPr>
          <w:ilvl w:val="2"/>
          <w:numId w:val="1"/>
        </w:numPr>
        <w:spacing w:before="120" w:after="120"/>
        <w:contextualSpacing/>
        <w:jc w:val="both"/>
        <w:rPr>
          <w:rFonts w:cs="Arial"/>
          <w:szCs w:val="20"/>
        </w:rPr>
      </w:pPr>
      <w:r>
        <w:rPr>
          <w:rFonts w:cs="Arial"/>
          <w:szCs w:val="20"/>
        </w:rPr>
        <w:t>Constatada a existência de sanção, o fornecedor será reputado inabilitado, por falta de condição de participação.</w:t>
      </w:r>
    </w:p>
    <w:p>
      <w:pPr>
        <w:pStyle w:val="ListParagraph"/>
        <w:keepNext/>
        <w:pageBreakBefore w:val="false"/>
        <w:widowControl w:val="false"/>
        <w:numPr>
          <w:ilvl w:val="1"/>
          <w:numId w:val="1"/>
        </w:numPr>
        <w:spacing w:before="120" w:after="120"/>
        <w:ind w:left="792" w:hanging="574"/>
        <w:contextualSpacing/>
        <w:jc w:val="both"/>
        <w:rPr>
          <w:rFonts w:cs="Arial"/>
          <w:szCs w:val="20"/>
        </w:rPr>
      </w:pPr>
      <w:r>
        <w:rPr>
          <w:rFonts w:cs="Arial"/>
          <w:szCs w:val="20"/>
        </w:rPr>
        <w:t>Caso atendidas as condições de participação, a habilitação dos fornecedores será verificada por meio do SICAF, nos documentos por ele abrangidos.</w:t>
      </w:r>
    </w:p>
    <w:p>
      <w:pPr>
        <w:pStyle w:val="ListParagraph"/>
        <w:keepNext/>
        <w:pageBreakBefore w:val="false"/>
        <w:widowControl w:val="false"/>
        <w:numPr>
          <w:ilvl w:val="2"/>
          <w:numId w:val="1"/>
        </w:numPr>
        <w:spacing w:before="120" w:after="120"/>
        <w:contextualSpacing/>
        <w:jc w:val="both"/>
        <w:rPr>
          <w:rFonts w:cs="Arial"/>
          <w:color w:val="000000" w:themeColor="text1"/>
          <w:szCs w:val="20"/>
        </w:rPr>
      </w:pPr>
      <w:r>
        <w:rPr>
          <w:rFonts w:cs="Arial"/>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keepNext/>
        <w:pageBreakBefore w:val="false"/>
        <w:widowControl w:val="false"/>
        <w:numPr>
          <w:ilvl w:val="2"/>
          <w:numId w:val="1"/>
        </w:numPr>
        <w:spacing w:before="120" w:after="120"/>
        <w:contextualSpacing/>
        <w:jc w:val="both"/>
        <w:rPr>
          <w:rFonts w:cs="Arial"/>
          <w:color w:val="000000" w:themeColor="text1"/>
          <w:szCs w:val="20"/>
        </w:rPr>
      </w:pPr>
      <w:r>
        <w:rPr>
          <w:rFonts w:cs="Arial"/>
          <w:szCs w:val="20"/>
        </w:rPr>
        <w:t>O descumprimento do subitem acima implicará a inabilitação do fornecedor, exceto se a consulta aos sítios eletrônicos oficiais emissores de certidões lograr êxito em encontrar a(s) certidão(ões) válida(s).</w:t>
      </w:r>
    </w:p>
    <w:p>
      <w:pPr>
        <w:pStyle w:val="ListParagraph"/>
        <w:keepNext/>
        <w:pageBreakBefore w:val="false"/>
        <w:widowControl w:val="false"/>
        <w:numPr>
          <w:ilvl w:val="1"/>
          <w:numId w:val="1"/>
        </w:numPr>
        <w:spacing w:before="120" w:after="120"/>
        <w:ind w:left="792" w:hanging="574"/>
        <w:contextualSpacing/>
        <w:jc w:val="both"/>
        <w:rPr>
          <w:rFonts w:cs="Arial"/>
          <w:color w:val="000000" w:themeColor="text1"/>
          <w:szCs w:val="20"/>
        </w:rPr>
      </w:pPr>
      <w:r>
        <w:rPr>
          <w:rFonts w:cs="Arial"/>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keepNext/>
        <w:pageBreakBefore w:val="false"/>
        <w:widowControl w:val="false"/>
        <w:numPr>
          <w:ilvl w:val="1"/>
          <w:numId w:val="1"/>
        </w:numPr>
        <w:spacing w:before="120" w:after="120"/>
        <w:ind w:left="792" w:hanging="574"/>
        <w:contextualSpacing/>
        <w:jc w:val="both"/>
        <w:rPr>
          <w:rFonts w:cs="Arial"/>
          <w:color w:val="000000" w:themeColor="text1"/>
          <w:szCs w:val="20"/>
        </w:rPr>
      </w:pPr>
      <w:r>
        <w:rPr>
          <w:rFonts w:cs="Arial"/>
          <w:szCs w:val="20"/>
        </w:rPr>
        <w:t>Somente haverá a necessidade de comprovação do preenchimento de requisitos mediante apresentação dos documentos originais não-digitais quando houver dúvida em relação à integridade do documento digital.</w:t>
      </w:r>
    </w:p>
    <w:p>
      <w:pPr>
        <w:pStyle w:val="ListParagraph"/>
        <w:keepNext/>
        <w:pageBreakBefore w:val="false"/>
        <w:widowControl w:val="false"/>
        <w:numPr>
          <w:ilvl w:val="1"/>
          <w:numId w:val="1"/>
        </w:numPr>
        <w:spacing w:before="120" w:after="120"/>
        <w:ind w:left="792" w:hanging="574"/>
        <w:contextualSpacing/>
        <w:jc w:val="both"/>
        <w:rPr>
          <w:rFonts w:cs="Arial"/>
          <w:b/>
          <w:b/>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keepNext/>
        <w:pageBreakBefore w:val="false"/>
        <w:widowControl w:val="false"/>
        <w:numPr>
          <w:ilvl w:val="1"/>
          <w:numId w:val="1"/>
        </w:numPr>
        <w:spacing w:before="120" w:after="120"/>
        <w:ind w:left="792" w:hanging="574"/>
        <w:contextualSpacing/>
        <w:jc w:val="both"/>
        <w:rPr/>
      </w:pPr>
      <w:r>
        <w:rPr>
          <w:rFonts w:cs="Arial"/>
          <w:i/>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keepNext/>
        <w:pageBreakBefore w:val="false"/>
        <w:widowControl w:val="false"/>
        <w:numPr>
          <w:ilvl w:val="2"/>
          <w:numId w:val="1"/>
        </w:numPr>
        <w:spacing w:before="120" w:after="120"/>
        <w:contextualSpacing/>
        <w:jc w:val="both"/>
        <w:rPr>
          <w:rFonts w:cs="Arial"/>
          <w:i/>
          <w:i/>
          <w:color w:val="FF0000"/>
          <w:szCs w:val="20"/>
        </w:rPr>
      </w:pPr>
      <w:r>
        <w:rPr>
          <w:rFonts w:cs="Arial"/>
          <w:i/>
          <w:szCs w:val="20"/>
        </w:rPr>
        <w:t>Não havendo a comprovação cumulativa dos requisitos de habilitação, a inabilitação recairá sobre o(s) item(ns) de menor(es) valor(es) cuja retirada(s) seja(m) suficiente(s) para a habilitação do fornecedor nos remanescentes.</w:t>
      </w:r>
    </w:p>
    <w:p>
      <w:pPr>
        <w:pStyle w:val="ListParagraph"/>
        <w:keepNext/>
        <w:pageBreakBefore w:val="false"/>
        <w:widowControl w:val="false"/>
        <w:numPr>
          <w:ilvl w:val="1"/>
          <w:numId w:val="1"/>
        </w:numPr>
        <w:spacing w:before="120" w:after="120"/>
        <w:ind w:left="792" w:hanging="574"/>
        <w:contextualSpacing/>
        <w:jc w:val="both"/>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keepNext/>
        <w:pageBreakBefore w:val="false"/>
        <w:widowControl w:val="false"/>
        <w:numPr>
          <w:ilvl w:val="1"/>
          <w:numId w:val="1"/>
        </w:numPr>
        <w:spacing w:before="120" w:after="120"/>
        <w:ind w:left="792" w:hanging="574"/>
        <w:contextualSpacing/>
        <w:jc w:val="both"/>
        <w:rPr>
          <w:rFonts w:cs="Arial"/>
          <w:color w:val="000000"/>
          <w:szCs w:val="20"/>
        </w:rPr>
      </w:pPr>
      <w:r>
        <w:rPr>
          <w:rFonts w:cs="Arial"/>
          <w:szCs w:val="20"/>
        </w:rPr>
        <w:t xml:space="preserve">Será inabilitado o fornecedor que não comprovar sua habilitação, seja por não apresentar </w:t>
      </w:r>
      <w:r>
        <w:rPr>
          <w:rFonts w:cs="Arial"/>
          <w:iCs/>
          <w:lang w:eastAsia="en-US"/>
        </w:rPr>
        <w:t>quaisquer</w:t>
      </w:r>
      <w:r>
        <w:rPr>
          <w:rFonts w:cs="Arial"/>
          <w:szCs w:val="20"/>
        </w:rPr>
        <w:t xml:space="preserve"> dos </w:t>
      </w:r>
      <w:r>
        <w:rPr>
          <w:rFonts w:cs="Arial"/>
          <w:bCs/>
          <w:szCs w:val="20"/>
        </w:rPr>
        <w:t>documentos</w:t>
      </w:r>
      <w:r>
        <w:rPr>
          <w:rFonts w:cs="Arial"/>
          <w:szCs w:val="20"/>
        </w:rPr>
        <w:t xml:space="preserve"> exigidos, ou apresentá-los em desacordo com o estabelecido neste Aviso de Contratação Direta.</w:t>
      </w:r>
    </w:p>
    <w:p>
      <w:pPr>
        <w:pStyle w:val="ListParagraph"/>
        <w:keepNext/>
        <w:pageBreakBefore w:val="false"/>
        <w:widowControl w:val="false"/>
        <w:numPr>
          <w:ilvl w:val="2"/>
          <w:numId w:val="1"/>
        </w:numPr>
        <w:spacing w:before="120" w:after="120"/>
        <w:contextualSpacing/>
        <w:jc w:val="both"/>
        <w:rPr>
          <w:rFonts w:cs="Arial"/>
          <w:color w:val="000000"/>
          <w:szCs w:val="20"/>
        </w:rPr>
      </w:pPr>
      <w:r>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keepNext/>
        <w:pageBreakBefore w:val="false"/>
        <w:widowControl w:val="false"/>
        <w:numPr>
          <w:ilvl w:val="1"/>
          <w:numId w:val="1"/>
        </w:numPr>
        <w:spacing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PADRO"/>
        <w:keepNext/>
        <w:pageBreakBefore w:val="false"/>
        <w:widowControl w:val="false"/>
        <w:numPr>
          <w:ilvl w:val="0"/>
          <w:numId w:val="1"/>
        </w:numPr>
        <w:shd w:val="clear" w:color="auto" w:fill="auto"/>
        <w:spacing w:lineRule="auto" w:line="240" w:before="120" w:after="120"/>
        <w:rPr>
          <w:rFonts w:ascii="Arial" w:hAnsi="Arial" w:cs="Arial"/>
          <w:b/>
          <w:b/>
        </w:rPr>
      </w:pPr>
      <w:r>
        <w:rPr>
          <w:rFonts w:cs="Arial" w:ascii="Arial" w:hAnsi="Arial"/>
          <w:b/>
        </w:rPr>
        <w:t>CONTRATAÇÃO</w:t>
      </w:r>
    </w:p>
    <w:p>
      <w:pPr>
        <w:pStyle w:val="Normal"/>
        <w:keepNext/>
        <w:pageBreakBefore w:val="false"/>
        <w:widowControl w:val="false"/>
        <w:numPr>
          <w:ilvl w:val="1"/>
          <w:numId w:val="1"/>
        </w:numPr>
        <w:spacing w:before="120" w:after="120"/>
        <w:ind w:left="425" w:hanging="0"/>
        <w:jc w:val="both"/>
        <w:rPr>
          <w:rFonts w:eastAsia="Arial" w:cs="Arial"/>
          <w:color w:val="000000"/>
          <w:szCs w:val="20"/>
        </w:rPr>
      </w:pPr>
      <w:r>
        <w:rPr>
          <w:rFonts w:eastAsia="Arial" w:cs="Arial"/>
          <w:szCs w:val="20"/>
        </w:rPr>
        <w:t>Após a homologação e adjudicação, caso se conclua pela contratação, será firmado Termo de Contrato ou emitido instrumento equivalente.</w:t>
      </w:r>
    </w:p>
    <w:p>
      <w:pPr>
        <w:pStyle w:val="Normal"/>
        <w:keepNext/>
        <w:pageBreakBefore w:val="false"/>
        <w:widowControl w:val="false"/>
        <w:numPr>
          <w:ilvl w:val="1"/>
          <w:numId w:val="1"/>
        </w:numPr>
        <w:spacing w:before="120" w:after="120"/>
        <w:ind w:left="425" w:hanging="0"/>
        <w:jc w:val="both"/>
        <w:rPr/>
      </w:pPr>
      <w:r>
        <w:rPr>
          <w:rFonts w:eastAsia="Arial" w:cs="Arial"/>
          <w:szCs w:val="20"/>
        </w:rPr>
        <w:t xml:space="preserve">O adjudicatário terá o prazo de 05(cinco) dias úteis, contados a partir da data de sua convocação, para assinar o Termo de Contrato ou aceitar instrumento equivalente, conforme o caso (Nota de Empenho), sob pena de decair do direito à contratação, sem prejuízo das sanções previstas neste Aviso de Contratação Direta. </w:t>
      </w:r>
    </w:p>
    <w:p>
      <w:pPr>
        <w:pStyle w:val="Normal"/>
        <w:keepNext/>
        <w:pageBreakBefore w:val="false"/>
        <w:widowControl w:val="false"/>
        <w:numPr>
          <w:ilvl w:val="2"/>
          <w:numId w:val="1"/>
        </w:numPr>
        <w:spacing w:before="120" w:after="120"/>
        <w:jc w:val="both"/>
        <w:rPr/>
      </w:pPr>
      <w:r>
        <w:rPr>
          <w:rFonts w:eastAsia="Arial" w:cs="Arial"/>
          <w:i/>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 </w:t>
      </w:r>
    </w:p>
    <w:p>
      <w:pPr>
        <w:pStyle w:val="Normal"/>
        <w:keepNext/>
        <w:pageBreakBefore w:val="false"/>
        <w:widowControl w:val="false"/>
        <w:numPr>
          <w:ilvl w:val="2"/>
          <w:numId w:val="1"/>
        </w:numPr>
        <w:spacing w:before="120" w:after="120"/>
        <w:jc w:val="both"/>
        <w:rPr>
          <w:rFonts w:eastAsia="Arial" w:cs="Arial"/>
          <w:color w:val="000000"/>
          <w:szCs w:val="20"/>
        </w:rPr>
      </w:pPr>
      <w:r>
        <w:rPr>
          <w:rFonts w:eastAsia="Arial" w:cs="Arial"/>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por igual período, por solicitação justificada do adjudicatário e aceita pela Administração.</w:t>
      </w:r>
    </w:p>
    <w:p>
      <w:pPr>
        <w:pStyle w:val="Normal"/>
        <w:keepNext/>
        <w:pageBreakBefore w:val="false"/>
        <w:widowControl w:val="false"/>
        <w:numPr>
          <w:ilvl w:val="1"/>
          <w:numId w:val="1"/>
        </w:numPr>
        <w:spacing w:before="120" w:after="120"/>
        <w:ind w:left="425" w:hanging="0"/>
        <w:jc w:val="both"/>
        <w:rPr>
          <w:rFonts w:eastAsia="Arial" w:cs="Arial"/>
          <w:i/>
          <w:i/>
          <w:color w:val="FF0000"/>
          <w:szCs w:val="20"/>
        </w:rPr>
      </w:pPr>
      <w:r>
        <w:rPr>
          <w:rFonts w:eastAsia="Arial" w:cs="Arial"/>
          <w:i/>
          <w:szCs w:val="20"/>
        </w:rPr>
        <w:t>O Aceite da Nota de Empenho ou do instrumento equivalente, emitida à empresa adjudicada, implica no reconhecimento de que:</w:t>
      </w:r>
    </w:p>
    <w:p>
      <w:pPr>
        <w:pStyle w:val="Normal"/>
        <w:keepNext/>
        <w:pageBreakBefore w:val="false"/>
        <w:widowControl w:val="false"/>
        <w:numPr>
          <w:ilvl w:val="2"/>
          <w:numId w:val="1"/>
        </w:numPr>
        <w:spacing w:before="120" w:after="120"/>
        <w:jc w:val="both"/>
        <w:rPr>
          <w:rFonts w:eastAsia="Arial" w:cs="Arial"/>
          <w:i/>
          <w:i/>
          <w:color w:val="FF0000"/>
          <w:szCs w:val="20"/>
        </w:rPr>
      </w:pPr>
      <w:r>
        <w:rPr>
          <w:rFonts w:eastAsia="Arial" w:cs="Arial"/>
          <w:i/>
          <w:szCs w:val="20"/>
        </w:rPr>
        <w:t>referida Nota está substituindo o contrato, aplicando-se à relação de negócios ali estabelecida as disposições da Lei nº 14.133, de 2021;</w:t>
      </w:r>
    </w:p>
    <w:p>
      <w:pPr>
        <w:pStyle w:val="Normal"/>
        <w:keepNext/>
        <w:pageBreakBefore w:val="false"/>
        <w:widowControl w:val="false"/>
        <w:numPr>
          <w:ilvl w:val="2"/>
          <w:numId w:val="1"/>
        </w:numPr>
        <w:spacing w:before="120" w:after="120"/>
        <w:jc w:val="both"/>
        <w:rPr>
          <w:rFonts w:eastAsia="Arial" w:cs="Arial"/>
          <w:i/>
          <w:i/>
          <w:color w:val="FF0000"/>
          <w:szCs w:val="20"/>
        </w:rPr>
      </w:pPr>
      <w:r>
        <w:rPr>
          <w:rFonts w:eastAsia="Arial" w:cs="Arial"/>
          <w:i/>
          <w:szCs w:val="20"/>
        </w:rPr>
        <w:t>a contratada se vincula à sua proposta e às previsões contidas no Aviso de Contratação Direta e seus anexos;</w:t>
      </w:r>
    </w:p>
    <w:p>
      <w:pPr>
        <w:pStyle w:val="Normal"/>
        <w:keepNext/>
        <w:pageBreakBefore w:val="false"/>
        <w:widowControl w:val="false"/>
        <w:numPr>
          <w:ilvl w:val="2"/>
          <w:numId w:val="1"/>
        </w:numPr>
        <w:spacing w:before="120" w:after="120"/>
        <w:jc w:val="both"/>
        <w:rPr>
          <w:rFonts w:eastAsia="Arial" w:cs="Arial"/>
          <w:i/>
          <w:i/>
          <w:color w:val="FF0000"/>
          <w:szCs w:val="20"/>
        </w:rPr>
      </w:pPr>
      <w:r>
        <w:rPr>
          <w:rFonts w:eastAsia="Arial" w:cs="Arial"/>
          <w:i/>
          <w:szCs w:val="20"/>
        </w:rPr>
        <w:t>a contratada reconhece que as hipóteses de rescisão são aquelas previstas nos artigos 137 e 138 da Lei nº 14.133/21 e reconhece os direitos da Administração previstos nos artigos 137 a 139 da mesma Lei.</w:t>
      </w:r>
    </w:p>
    <w:p>
      <w:pPr>
        <w:pStyle w:val="Normal"/>
        <w:keepNext/>
        <w:pageBreakBefore w:val="false"/>
        <w:widowControl w:val="false"/>
        <w:numPr>
          <w:ilvl w:val="1"/>
          <w:numId w:val="1"/>
        </w:numPr>
        <w:spacing w:before="120" w:after="120"/>
        <w:ind w:left="425" w:hanging="0"/>
        <w:jc w:val="both"/>
        <w:rPr/>
      </w:pPr>
      <w:r>
        <w:rPr>
          <w:rFonts w:eastAsia="Arial" w:cs="Arial"/>
          <w:szCs w:val="20"/>
        </w:rPr>
        <w:t xml:space="preserve">O prazo de vigência da contratação é de 12 meses prorrogável conforme previsão nos anexos a este Aviso de Contratação Direta. </w:t>
      </w:r>
    </w:p>
    <w:p>
      <w:pPr>
        <w:pStyle w:val="Normal"/>
        <w:keepNext/>
        <w:pageBreakBefore w:val="false"/>
        <w:widowControl w:val="false"/>
        <w:numPr>
          <w:ilvl w:val="1"/>
          <w:numId w:val="1"/>
        </w:numPr>
        <w:spacing w:before="120" w:after="120"/>
        <w:ind w:left="425" w:hanging="0"/>
        <w:jc w:val="both"/>
        <w:rPr>
          <w:rFonts w:eastAsia="Arial" w:cs="Arial"/>
          <w:color w:val="000000"/>
          <w:szCs w:val="20"/>
        </w:rPr>
      </w:pPr>
      <w:r>
        <w:rPr>
          <w:rFonts w:cs="Arial"/>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keepNext/>
        <w:pageBreakBefore w:val="false"/>
        <w:widowControl w:val="false"/>
        <w:numPr>
          <w:ilvl w:val="0"/>
          <w:numId w:val="1"/>
        </w:numPr>
        <w:shd w:val="clear" w:color="auto" w:fill="auto"/>
        <w:spacing w:lineRule="auto" w:line="240" w:before="120" w:after="120"/>
        <w:rPr/>
      </w:pPr>
      <w:r>
        <w:rPr>
          <w:rFonts w:cs="Arial" w:ascii="Arial" w:hAnsi="Arial"/>
          <w:b/>
        </w:rPr>
        <w:t>SANÇÕES</w:t>
      </w:r>
    </w:p>
    <w:p>
      <w:pPr>
        <w:pStyle w:val="Normal"/>
        <w:keepNext/>
        <w:pageBreakBefore w:val="false"/>
        <w:widowControl w:val="false"/>
        <w:numPr>
          <w:ilvl w:val="1"/>
          <w:numId w:val="1"/>
        </w:numPr>
        <w:spacing w:before="120" w:after="120"/>
        <w:ind w:left="425" w:hanging="0"/>
        <w:jc w:val="both"/>
        <w:rPr>
          <w:rFonts w:cs="Arial"/>
          <w:b/>
          <w:b/>
        </w:rPr>
      </w:pPr>
      <w:r>
        <w:rPr>
          <w:rFonts w:cs="Arial"/>
        </w:rPr>
        <w:t xml:space="preserve">Comete infração administrativa o fornecedor que cometer quaisquer das infrações previstas no art. 155 da Lei nº 14.133, de 2021, quais sejam: </w:t>
      </w:r>
    </w:p>
    <w:p>
      <w:pPr>
        <w:pStyle w:val="Normal"/>
        <w:keepNext/>
        <w:pageBreakBefore w:val="false"/>
        <w:widowControl w:val="false"/>
        <w:numPr>
          <w:ilvl w:val="2"/>
          <w:numId w:val="1"/>
        </w:numPr>
        <w:spacing w:before="120" w:after="120"/>
        <w:jc w:val="both"/>
        <w:rPr>
          <w:rFonts w:cs="Arial"/>
        </w:rPr>
      </w:pPr>
      <w:r>
        <w:rPr>
          <w:rFonts w:cs="Arial"/>
          <w:szCs w:val="20"/>
        </w:rPr>
        <w:t>dar causa à inexecução parcial do contrato</w:t>
      </w:r>
      <w:r>
        <w:rPr>
          <w:rFonts w:cs="Arial"/>
        </w:rPr>
        <w:t>;</w:t>
      </w:r>
    </w:p>
    <w:p>
      <w:pPr>
        <w:pStyle w:val="Normal"/>
        <w:keepNext/>
        <w:pageBreakBefore w:val="false"/>
        <w:widowControl w:val="false"/>
        <w:numPr>
          <w:ilvl w:val="2"/>
          <w:numId w:val="1"/>
        </w:numPr>
        <w:spacing w:before="120" w:after="120"/>
        <w:jc w:val="both"/>
        <w:rPr>
          <w:rFonts w:cs="Arial"/>
        </w:rPr>
      </w:pPr>
      <w:r>
        <w:rPr>
          <w:rFonts w:cs="Arial"/>
          <w:szCs w:val="20"/>
        </w:rPr>
        <w:t>dar causa à inexecução parcial do contrato que cause grave dano à Administração, ao funcionamento dos serviços públicos ou ao interesse coletivo;</w:t>
      </w:r>
    </w:p>
    <w:p>
      <w:pPr>
        <w:pStyle w:val="Normal"/>
        <w:keepNext/>
        <w:pageBreakBefore w:val="false"/>
        <w:widowControl w:val="false"/>
        <w:numPr>
          <w:ilvl w:val="2"/>
          <w:numId w:val="1"/>
        </w:numPr>
        <w:spacing w:before="120" w:after="120"/>
        <w:jc w:val="both"/>
        <w:rPr>
          <w:rFonts w:cs="Arial"/>
        </w:rPr>
      </w:pPr>
      <w:r>
        <w:rPr>
          <w:rFonts w:cs="Arial"/>
          <w:szCs w:val="20"/>
        </w:rPr>
        <w:t>dar causa à inexecução total do contrato;</w:t>
      </w:r>
    </w:p>
    <w:p>
      <w:pPr>
        <w:pStyle w:val="Normal"/>
        <w:keepNext/>
        <w:pageBreakBefore w:val="false"/>
        <w:widowControl w:val="false"/>
        <w:numPr>
          <w:ilvl w:val="2"/>
          <w:numId w:val="1"/>
        </w:numPr>
        <w:spacing w:before="120" w:after="120"/>
        <w:jc w:val="both"/>
        <w:rPr>
          <w:rFonts w:cs="Arial"/>
        </w:rPr>
      </w:pPr>
      <w:r>
        <w:rPr>
          <w:rFonts w:cs="Arial"/>
          <w:szCs w:val="20"/>
        </w:rPr>
        <w:t>deixar de entregar a documentação exigida para o certame;</w:t>
      </w:r>
    </w:p>
    <w:p>
      <w:pPr>
        <w:pStyle w:val="Normal"/>
        <w:keepNext/>
        <w:pageBreakBefore w:val="false"/>
        <w:widowControl w:val="false"/>
        <w:numPr>
          <w:ilvl w:val="2"/>
          <w:numId w:val="1"/>
        </w:numPr>
        <w:spacing w:before="120" w:after="120"/>
        <w:jc w:val="both"/>
        <w:rPr>
          <w:rFonts w:cs="Arial"/>
        </w:rPr>
      </w:pPr>
      <w:r>
        <w:rPr>
          <w:rFonts w:cs="Arial"/>
          <w:szCs w:val="20"/>
        </w:rPr>
        <w:t>não manter a proposta, salvo em decorrência de fato superveniente devidamente justificado;</w:t>
      </w:r>
    </w:p>
    <w:p>
      <w:pPr>
        <w:pStyle w:val="Normal"/>
        <w:keepNext/>
        <w:pageBreakBefore w:val="false"/>
        <w:widowControl w:val="false"/>
        <w:numPr>
          <w:ilvl w:val="2"/>
          <w:numId w:val="1"/>
        </w:numPr>
        <w:spacing w:before="120" w:after="120"/>
        <w:jc w:val="both"/>
        <w:rPr>
          <w:rFonts w:cs="Arial"/>
        </w:rPr>
      </w:pPr>
      <w:r>
        <w:rPr>
          <w:rFonts w:cs="Arial"/>
          <w:szCs w:val="20"/>
        </w:rPr>
        <w:t>não celebrar o contrato ou não entregar a documentação exigida para a contratação, quando convocado dentro do prazo de validade de sua proposta;</w:t>
      </w:r>
    </w:p>
    <w:p>
      <w:pPr>
        <w:pStyle w:val="Normal"/>
        <w:keepNext/>
        <w:pageBreakBefore w:val="false"/>
        <w:widowControl w:val="false"/>
        <w:numPr>
          <w:ilvl w:val="2"/>
          <w:numId w:val="1"/>
        </w:numPr>
        <w:spacing w:before="120" w:after="120"/>
        <w:jc w:val="both"/>
        <w:rPr>
          <w:rFonts w:cs="Arial"/>
        </w:rPr>
      </w:pPr>
      <w:r>
        <w:rPr>
          <w:rFonts w:cs="Arial"/>
          <w:szCs w:val="20"/>
        </w:rPr>
        <w:t> </w:t>
      </w:r>
      <w:r>
        <w:rPr>
          <w:rFonts w:cs="Arial"/>
          <w:szCs w:val="20"/>
        </w:rPr>
        <w:t>ensejar o retardamento da execução ou da entrega do objeto da licitação sem motivo justificado;</w:t>
      </w:r>
    </w:p>
    <w:p>
      <w:pPr>
        <w:pStyle w:val="Normal"/>
        <w:keepNext/>
        <w:pageBreakBefore w:val="false"/>
        <w:widowControl w:val="false"/>
        <w:numPr>
          <w:ilvl w:val="2"/>
          <w:numId w:val="1"/>
        </w:numPr>
        <w:spacing w:before="120" w:after="120"/>
        <w:jc w:val="both"/>
        <w:rPr>
          <w:rFonts w:cs="Arial"/>
        </w:rPr>
      </w:pPr>
      <w:r>
        <w:rPr>
          <w:rFonts w:cs="Arial"/>
          <w:szCs w:val="20"/>
        </w:rPr>
        <w:t>apresentar declaração ou documentação falsa exigida para o certame ou prestar declaração falsa durante a dispensa eletrônica ou a execução do contrato;</w:t>
      </w:r>
    </w:p>
    <w:p>
      <w:pPr>
        <w:pStyle w:val="Normal"/>
        <w:keepNext/>
        <w:pageBreakBefore w:val="false"/>
        <w:widowControl w:val="false"/>
        <w:numPr>
          <w:ilvl w:val="2"/>
          <w:numId w:val="1"/>
        </w:numPr>
        <w:spacing w:before="120" w:after="120"/>
        <w:jc w:val="both"/>
        <w:rPr>
          <w:rFonts w:cs="Arial"/>
        </w:rPr>
      </w:pPr>
      <w:r>
        <w:rPr>
          <w:rFonts w:cs="Arial"/>
          <w:szCs w:val="20"/>
        </w:rPr>
        <w:t>fraudar a dispensa eletrônica ou praticar ato fraudulento na execução do contrato;</w:t>
      </w:r>
    </w:p>
    <w:p>
      <w:pPr>
        <w:pStyle w:val="Normal"/>
        <w:keepNext/>
        <w:pageBreakBefore w:val="false"/>
        <w:widowControl w:val="false"/>
        <w:numPr>
          <w:ilvl w:val="2"/>
          <w:numId w:val="1"/>
        </w:numPr>
        <w:spacing w:before="120" w:after="120"/>
        <w:jc w:val="both"/>
        <w:rPr>
          <w:rFonts w:cs="Arial"/>
        </w:rPr>
      </w:pPr>
      <w:r>
        <w:rPr>
          <w:rFonts w:cs="Arial"/>
          <w:szCs w:val="20"/>
        </w:rPr>
        <w:t> </w:t>
      </w:r>
      <w:r>
        <w:rPr>
          <w:rFonts w:cs="Arial"/>
          <w:szCs w:val="20"/>
        </w:rPr>
        <w:t>comportar-se de modo inidôneo ou cometer fraude de qualquer natureza;</w:t>
      </w:r>
    </w:p>
    <w:p>
      <w:pPr>
        <w:pStyle w:val="ListParagraph"/>
        <w:keepNext/>
        <w:pageBreakBefore w:val="false"/>
        <w:widowControl w:val="false"/>
        <w:numPr>
          <w:ilvl w:val="3"/>
          <w:numId w:val="1"/>
        </w:numPr>
        <w:spacing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keepNext/>
        <w:pageBreakBefore w:val="false"/>
        <w:widowControl w:val="false"/>
        <w:numPr>
          <w:ilvl w:val="2"/>
          <w:numId w:val="1"/>
        </w:numPr>
        <w:spacing w:before="120" w:after="120"/>
        <w:jc w:val="both"/>
        <w:rPr>
          <w:rFonts w:cs="Arial"/>
        </w:rPr>
      </w:pPr>
      <w:r>
        <w:rPr>
          <w:rFonts w:cs="Arial"/>
          <w:szCs w:val="20"/>
        </w:rPr>
        <w:t> </w:t>
      </w:r>
      <w:r>
        <w:rPr>
          <w:rFonts w:cs="Arial"/>
          <w:szCs w:val="20"/>
        </w:rPr>
        <w:t>praticar atos ilícitos com vistas a frustrar os objetivos deste certame.</w:t>
      </w:r>
    </w:p>
    <w:p>
      <w:pPr>
        <w:pStyle w:val="Normal"/>
        <w:keepNext/>
        <w:pageBreakBefore w:val="false"/>
        <w:widowControl w:val="false"/>
        <w:numPr>
          <w:ilvl w:val="2"/>
          <w:numId w:val="1"/>
        </w:numPr>
        <w:spacing w:before="120" w:after="120"/>
        <w:jc w:val="both"/>
        <w:rPr/>
      </w:pPr>
      <w:r>
        <w:rPr>
          <w:rFonts w:cs="Arial"/>
          <w:szCs w:val="20"/>
        </w:rPr>
        <w:t>praticar ato lesivo previsto no </w:t>
      </w:r>
      <w:r>
        <w:fldChar w:fldCharType="begin"/>
      </w:r>
      <w:r>
        <w:instrText> HYPERLINK "http://www.planalto.gov.br/ccivil_03/_Ato2011-2014/2013/Lei/L12846.htm" \l "art5"</w:instrText>
      </w:r>
      <w:r>
        <w:fldChar w:fldCharType="separate"/>
      </w:r>
      <w:r>
        <w:rPr>
          <w:rStyle w:val="LinkdaInternet"/>
          <w:color w:val="00000A"/>
        </w:rPr>
        <w:t>art. 5º da Lei nº 12.846, de 1º de agosto de 2013.</w:t>
      </w:r>
      <w:r>
        <w:fldChar w:fldCharType="end"/>
      </w:r>
    </w:p>
    <w:p>
      <w:pPr>
        <w:pStyle w:val="Normal"/>
        <w:keepNext/>
        <w:pageBreakBefore w:val="false"/>
        <w:widowControl w:val="false"/>
        <w:numPr>
          <w:ilvl w:val="1"/>
          <w:numId w:val="1"/>
        </w:numPr>
        <w:spacing w:before="120" w:after="120"/>
        <w:ind w:left="425" w:hanging="0"/>
        <w:jc w:val="both"/>
        <w:rPr>
          <w:rFonts w:cs="Arial"/>
          <w:b/>
          <w:b/>
        </w:rPr>
      </w:pPr>
      <w:r>
        <w:rPr>
          <w:rFonts w:cs="Arial"/>
        </w:rPr>
        <w:t>O fornecedor que cometer qualquer das infrações discriminadas nos subitens anteriores ficará sujeito, sem prejuízo da responsabilidade civil e criminal, às seguintes sanções:</w:t>
      </w:r>
    </w:p>
    <w:p>
      <w:pPr>
        <w:pStyle w:val="Normal"/>
        <w:keepNext/>
        <w:pageBreakBefore w:val="false"/>
        <w:widowControl w:val="false"/>
        <w:numPr>
          <w:ilvl w:val="2"/>
          <w:numId w:val="5"/>
        </w:numPr>
        <w:spacing w:before="120" w:after="120"/>
        <w:jc w:val="both"/>
        <w:rPr>
          <w:rFonts w:cs="Arial"/>
        </w:rPr>
      </w:pPr>
      <w:r>
        <w:rPr>
          <w:rFonts w:cs="Arial"/>
        </w:rPr>
        <w:t>Advertência pela falta do subitem 8.1.1 deste Aviso de Contratação Direta,quando não se justificar a imposição de penalidade mais grave;</w:t>
      </w:r>
    </w:p>
    <w:p>
      <w:pPr>
        <w:pStyle w:val="Normal"/>
        <w:keepNext/>
        <w:pageBreakBefore w:val="false"/>
        <w:widowControl w:val="false"/>
        <w:numPr>
          <w:ilvl w:val="2"/>
          <w:numId w:val="5"/>
        </w:numPr>
        <w:spacing w:before="120" w:after="120"/>
        <w:jc w:val="both"/>
        <w:rPr/>
      </w:pPr>
      <w:r>
        <w:rPr>
          <w:rFonts w:cs="Arial"/>
        </w:rPr>
        <w:t>Multa de 01% (um por cento) sobre o valor estimado do(s) item(s) prejudicado(s) pela conduta do fornecedor, por qualquer das infrações dos subitens 8.1.1 a 8.1.12;</w:t>
      </w:r>
    </w:p>
    <w:p>
      <w:pPr>
        <w:pStyle w:val="Normal"/>
        <w:keepNext/>
        <w:pageBreakBefore w:val="false"/>
        <w:widowControl w:val="false"/>
        <w:numPr>
          <w:ilvl w:val="2"/>
          <w:numId w:val="5"/>
        </w:numPr>
        <w:spacing w:before="120" w:after="120"/>
        <w:jc w:val="both"/>
        <w:rPr/>
      </w:pPr>
      <w:r>
        <w:rPr>
          <w:rFonts w:cs="Arial"/>
          <w:szCs w:val="20"/>
        </w:rPr>
        <w:t>Impedimento de licitar e contratarno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keepNext/>
        <w:pageBreakBefore w:val="false"/>
        <w:widowControl w:val="false"/>
        <w:numPr>
          <w:ilvl w:val="2"/>
          <w:numId w:val="5"/>
        </w:numPr>
        <w:spacing w:before="120" w:after="120"/>
        <w:jc w:val="both"/>
        <w:rPr>
          <w:rFonts w:cs="Arial"/>
        </w:rPr>
      </w:pPr>
      <w:r>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keepNext/>
        <w:pageBreakBefore w:val="false"/>
        <w:widowControl w:val="false"/>
        <w:numPr>
          <w:ilvl w:val="1"/>
          <w:numId w:val="1"/>
        </w:numPr>
        <w:spacing w:before="120" w:after="120"/>
        <w:jc w:val="both"/>
        <w:rPr>
          <w:rFonts w:cs="Arial"/>
          <w:bCs/>
        </w:rPr>
      </w:pPr>
      <w:r>
        <w:rPr>
          <w:rFonts w:cs="Arial"/>
          <w:bCs/>
        </w:rPr>
        <w:t>Na aplicação das sanções serão considerados:</w:t>
      </w:r>
    </w:p>
    <w:p>
      <w:pPr>
        <w:pStyle w:val="Normal"/>
        <w:keepNext/>
        <w:pageBreakBefore w:val="false"/>
        <w:widowControl w:val="false"/>
        <w:numPr>
          <w:ilvl w:val="2"/>
          <w:numId w:val="1"/>
        </w:numPr>
        <w:spacing w:before="120" w:after="120"/>
        <w:jc w:val="both"/>
        <w:rPr>
          <w:rFonts w:cs="Arial"/>
          <w:bCs/>
        </w:rPr>
      </w:pPr>
      <w:r>
        <w:rPr>
          <w:rFonts w:cs="Arial"/>
          <w:bCs/>
        </w:rPr>
        <w:t>a natureza e a gravidade da infração cometida;</w:t>
      </w:r>
    </w:p>
    <w:p>
      <w:pPr>
        <w:pStyle w:val="Normal"/>
        <w:keepNext/>
        <w:pageBreakBefore w:val="false"/>
        <w:widowControl w:val="false"/>
        <w:numPr>
          <w:ilvl w:val="2"/>
          <w:numId w:val="1"/>
        </w:numPr>
        <w:spacing w:before="120" w:after="120"/>
        <w:jc w:val="both"/>
        <w:rPr>
          <w:rFonts w:cs="Arial"/>
          <w:bCs/>
        </w:rPr>
      </w:pPr>
      <w:r>
        <w:rPr>
          <w:rFonts w:cs="Arial"/>
          <w:bCs/>
        </w:rPr>
        <w:t>as peculiaridades do caso concreto;</w:t>
      </w:r>
    </w:p>
    <w:p>
      <w:pPr>
        <w:pStyle w:val="Normal"/>
        <w:keepNext/>
        <w:pageBreakBefore w:val="false"/>
        <w:widowControl w:val="false"/>
        <w:numPr>
          <w:ilvl w:val="2"/>
          <w:numId w:val="1"/>
        </w:numPr>
        <w:spacing w:before="120" w:after="120"/>
        <w:jc w:val="both"/>
        <w:rPr>
          <w:rFonts w:cs="Arial"/>
          <w:bCs/>
        </w:rPr>
      </w:pPr>
      <w:r>
        <w:rPr>
          <w:rFonts w:cs="Arial"/>
          <w:bCs/>
        </w:rPr>
        <w:t>as circunstâncias agravantes ou atenuantes;</w:t>
      </w:r>
    </w:p>
    <w:p>
      <w:pPr>
        <w:pStyle w:val="Normal"/>
        <w:keepNext/>
        <w:pageBreakBefore w:val="false"/>
        <w:widowControl w:val="false"/>
        <w:numPr>
          <w:ilvl w:val="2"/>
          <w:numId w:val="1"/>
        </w:numPr>
        <w:spacing w:before="120" w:after="120"/>
        <w:jc w:val="both"/>
        <w:rPr>
          <w:rFonts w:cs="Arial"/>
          <w:bCs/>
        </w:rPr>
      </w:pPr>
      <w:r>
        <w:rPr>
          <w:rFonts w:cs="Arial"/>
          <w:bCs/>
        </w:rPr>
        <w:t>os danos que dela provierem para a Administração Pública;</w:t>
      </w:r>
    </w:p>
    <w:p>
      <w:pPr>
        <w:pStyle w:val="Normal"/>
        <w:keepNext/>
        <w:pageBreakBefore w:val="false"/>
        <w:widowControl w:val="false"/>
        <w:numPr>
          <w:ilvl w:val="2"/>
          <w:numId w:val="1"/>
        </w:numPr>
        <w:spacing w:before="120" w:after="120"/>
        <w:jc w:val="both"/>
        <w:rPr>
          <w:rFonts w:cs="Arial"/>
          <w:bCs/>
        </w:rPr>
      </w:pPr>
      <w:r>
        <w:rPr>
          <w:rFonts w:cs="Arial"/>
          <w:bCs/>
        </w:rPr>
        <w:t>a implantação ou o aperfeiçoamento de programa de integridade, conforme normas e orientações dos órgãos de controle.</w:t>
      </w:r>
    </w:p>
    <w:p>
      <w:pPr>
        <w:pStyle w:val="Normal"/>
        <w:keepNext/>
        <w:pageBreakBefore w:val="false"/>
        <w:widowControl w:val="false"/>
        <w:numPr>
          <w:ilvl w:val="1"/>
          <w:numId w:val="1"/>
        </w:numPr>
        <w:spacing w:before="120" w:after="120"/>
        <w:ind w:left="425" w:hanging="0"/>
        <w:jc w:val="both"/>
        <w:rPr>
          <w:rFonts w:cs="Arial"/>
        </w:rPr>
      </w:pPr>
      <w:bookmarkStart w:id="3" w:name="art156§8"/>
      <w:bookmarkStart w:id="4" w:name="art156§7"/>
      <w:bookmarkStart w:id="5" w:name="art156§6"/>
      <w:bookmarkEnd w:id="3"/>
      <w:bookmarkEnd w:id="4"/>
      <w:bookmarkEnd w:id="5"/>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keepNext/>
        <w:pageBreakBefore w:val="false"/>
        <w:widowControl w:val="false"/>
        <w:numPr>
          <w:ilvl w:val="1"/>
          <w:numId w:val="1"/>
        </w:numPr>
        <w:spacing w:before="120" w:after="120"/>
        <w:ind w:left="425" w:hanging="0"/>
        <w:jc w:val="both"/>
        <w:rPr>
          <w:rFonts w:cs="Arial"/>
        </w:rPr>
      </w:pPr>
      <w:bookmarkStart w:id="6" w:name="art156§9"/>
      <w:bookmarkEnd w:id="6"/>
      <w:r>
        <w:rPr>
          <w:rFonts w:cs="Arial"/>
        </w:rPr>
        <w:t>A aplicação das sanções previstas neste Aviso de Contratação Direta, em hipótese alguma, a obrigação de reparação integral do dano causado à Administração Pública.</w:t>
      </w:r>
    </w:p>
    <w:p>
      <w:pPr>
        <w:pStyle w:val="Normal"/>
        <w:keepNext/>
        <w:pageBreakBefore w:val="false"/>
        <w:widowControl w:val="false"/>
        <w:numPr>
          <w:ilvl w:val="1"/>
          <w:numId w:val="1"/>
        </w:numPr>
        <w:spacing w:before="120" w:after="120"/>
        <w:ind w:left="425" w:hanging="0"/>
        <w:jc w:val="both"/>
        <w:rPr>
          <w:rFonts w:cs="Arial"/>
        </w:rPr>
      </w:pPr>
      <w:r>
        <w:rPr>
          <w:rFonts w:cs="Arial"/>
        </w:rPr>
        <w:t>A penalidade de multa pode ser aplicada cumulativamente com as demais sanções.</w:t>
      </w:r>
    </w:p>
    <w:p>
      <w:pPr>
        <w:pStyle w:val="Normal"/>
        <w:keepNext/>
        <w:pageBreakBefore w:val="false"/>
        <w:widowControl w:val="false"/>
        <w:numPr>
          <w:ilvl w:val="1"/>
          <w:numId w:val="1"/>
        </w:numPr>
        <w:spacing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keepNext/>
        <w:pageBreakBefore w:val="false"/>
        <w:widowControl w:val="false"/>
        <w:numPr>
          <w:ilvl w:val="1"/>
          <w:numId w:val="1"/>
        </w:numPr>
        <w:spacing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keepNext/>
        <w:pageBreakBefore w:val="false"/>
        <w:widowControl w:val="false"/>
        <w:numPr>
          <w:ilvl w:val="1"/>
          <w:numId w:val="1"/>
        </w:numPr>
        <w:spacing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keepNext/>
        <w:pageBreakBefore w:val="false"/>
        <w:widowControl w:val="false"/>
        <w:numPr>
          <w:ilvl w:val="1"/>
          <w:numId w:val="1"/>
        </w:numPr>
        <w:spacing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keepNext/>
        <w:pageBreakBefore w:val="false"/>
        <w:widowControl w:val="false"/>
        <w:numPr>
          <w:ilvl w:val="1"/>
          <w:numId w:val="1"/>
        </w:numPr>
        <w:spacing w:before="120" w:after="120"/>
        <w:ind w:left="425" w:hanging="0"/>
        <w:jc w:val="both"/>
        <w:rPr>
          <w:rFonts w:cs="Arial"/>
        </w:rPr>
      </w:pPr>
      <w:r>
        <w:rPr>
          <w:rFonts w:cs="Arial"/>
        </w:rPr>
        <w:t>As sanções por atos praticados no decorrer da contratação estão previstas nos anexos a este Aviso.</w:t>
      </w:r>
    </w:p>
    <w:p>
      <w:pPr>
        <w:pStyle w:val="PADRO"/>
        <w:keepNext/>
        <w:pageBreakBefore w:val="false"/>
        <w:widowControl w:val="false"/>
        <w:numPr>
          <w:ilvl w:val="0"/>
          <w:numId w:val="1"/>
        </w:numPr>
        <w:shd w:val="clear" w:color="auto" w:fill="auto"/>
        <w:spacing w:lineRule="auto" w:line="240" w:before="120" w:after="120"/>
        <w:rPr/>
      </w:pPr>
      <w:r>
        <w:rPr>
          <w:rFonts w:cs="Arial" w:ascii="Arial" w:hAnsi="Arial"/>
          <w:b/>
        </w:rPr>
        <w:t>DAS DISPOSIÇÕES GERAIS</w:t>
      </w:r>
    </w:p>
    <w:p>
      <w:pPr>
        <w:pStyle w:val="Normal"/>
        <w:keepNext/>
        <w:pageBreakBefore w:val="false"/>
        <w:widowControl w:val="false"/>
        <w:numPr>
          <w:ilvl w:val="1"/>
          <w:numId w:val="1"/>
        </w:numPr>
        <w:snapToGrid w:val="false"/>
        <w:spacing w:before="120" w:after="120"/>
        <w:ind w:left="425" w:hanging="0"/>
        <w:jc w:val="both"/>
        <w:rPr>
          <w:rFonts w:cs="Arial"/>
          <w:szCs w:val="20"/>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keepNext/>
        <w:pageBreakBefore w:val="false"/>
        <w:widowControl w:val="false"/>
        <w:numPr>
          <w:ilvl w:val="1"/>
          <w:numId w:val="1"/>
        </w:numPr>
        <w:spacing w:before="120" w:after="120"/>
        <w:ind w:left="425" w:hanging="0"/>
        <w:jc w:val="both"/>
        <w:rPr>
          <w:rFonts w:cs="Arial"/>
          <w:color w:val="000000"/>
          <w:szCs w:val="20"/>
        </w:rPr>
      </w:pPr>
      <w:r>
        <w:rPr>
          <w:rFonts w:cs="Arial"/>
          <w:szCs w:val="20"/>
        </w:rPr>
        <w:t>No caso de todos os fornecedores restarem desclassificados ou inabilitados (procedimento fracassado), a Administração poderá:</w:t>
      </w:r>
    </w:p>
    <w:p>
      <w:pPr>
        <w:pStyle w:val="Normal"/>
        <w:keepNext/>
        <w:pageBreakBefore w:val="false"/>
        <w:widowControl w:val="false"/>
        <w:numPr>
          <w:ilvl w:val="2"/>
          <w:numId w:val="1"/>
        </w:numPr>
        <w:spacing w:before="120" w:after="120"/>
        <w:jc w:val="both"/>
        <w:rPr>
          <w:rFonts w:cs="Arial"/>
          <w:color w:val="000000"/>
          <w:szCs w:val="20"/>
        </w:rPr>
      </w:pPr>
      <w:r>
        <w:rPr>
          <w:rFonts w:cs="Arial"/>
          <w:szCs w:val="20"/>
        </w:rPr>
        <w:t>republicar o presente aviso com uma nova data;</w:t>
      </w:r>
    </w:p>
    <w:p>
      <w:pPr>
        <w:pStyle w:val="Normal"/>
        <w:keepNext/>
        <w:pageBreakBefore w:val="false"/>
        <w:widowControl w:val="false"/>
        <w:numPr>
          <w:ilvl w:val="2"/>
          <w:numId w:val="1"/>
        </w:numPr>
        <w:spacing w:before="120" w:after="120"/>
        <w:jc w:val="both"/>
        <w:rPr>
          <w:rFonts w:cs="Arial"/>
          <w:color w:val="000000"/>
          <w:szCs w:val="20"/>
        </w:rPr>
      </w:pPr>
      <w:r>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keepNext/>
        <w:pageBreakBefore w:val="false"/>
        <w:widowControl w:val="false"/>
        <w:numPr>
          <w:ilvl w:val="3"/>
          <w:numId w:val="1"/>
        </w:numPr>
        <w:spacing w:before="120" w:after="120"/>
        <w:jc w:val="both"/>
        <w:rPr>
          <w:rFonts w:cs="Arial"/>
          <w:color w:val="000000"/>
          <w:szCs w:val="20"/>
        </w:rPr>
      </w:pPr>
      <w:r>
        <w:rPr>
          <w:rFonts w:cs="Arial"/>
          <w:szCs w:val="20"/>
        </w:rPr>
        <w:t>No caso do subitem anterior, a contratação será operacionalizada fora deste procedimento.</w:t>
      </w:r>
    </w:p>
    <w:p>
      <w:pPr>
        <w:pStyle w:val="Normal"/>
        <w:keepNext/>
        <w:pageBreakBefore w:val="false"/>
        <w:widowControl w:val="false"/>
        <w:numPr>
          <w:ilvl w:val="2"/>
          <w:numId w:val="1"/>
        </w:numPr>
        <w:spacing w:before="120" w:after="120"/>
        <w:jc w:val="both"/>
        <w:rPr>
          <w:rFonts w:cs="Arial"/>
          <w:color w:val="000000"/>
          <w:szCs w:val="20"/>
        </w:rPr>
      </w:pPr>
      <w:r>
        <w:rPr>
          <w:rFonts w:cs="Arial"/>
          <w:szCs w:val="20"/>
        </w:rPr>
        <w:t>fixar prazo para que possa haver adequação das propostas ou da documentação de habilitação, conforme o caso.</w:t>
      </w:r>
    </w:p>
    <w:p>
      <w:pPr>
        <w:pStyle w:val="Normal"/>
        <w:keepNext/>
        <w:pageBreakBefore w:val="false"/>
        <w:widowControl w:val="false"/>
        <w:numPr>
          <w:ilvl w:val="1"/>
          <w:numId w:val="1"/>
        </w:numPr>
        <w:spacing w:before="120" w:after="120"/>
        <w:ind w:left="425" w:hanging="0"/>
        <w:jc w:val="both"/>
        <w:rPr>
          <w:rFonts w:cs="Arial"/>
          <w:color w:val="000000"/>
          <w:szCs w:val="20"/>
        </w:rPr>
      </w:pPr>
      <w:r>
        <w:rPr>
          <w:rFonts w:cs="Arial"/>
          <w:szCs w:val="20"/>
        </w:rPr>
        <w:t>As providências dos subitens 9.2.1 e 9.2.2 acima poderão ser utilizadas se não houver o comparecimento de quaisquer fornecedores interessados (procedimento deserto)</w:t>
      </w:r>
    </w:p>
    <w:p>
      <w:pPr>
        <w:pStyle w:val="Normal"/>
        <w:keepNext/>
        <w:pageBreakBefore w:val="false"/>
        <w:widowControl w:val="false"/>
        <w:numPr>
          <w:ilvl w:val="1"/>
          <w:numId w:val="1"/>
        </w:numPr>
        <w:spacing w:before="120" w:after="120"/>
        <w:ind w:left="425" w:hanging="0"/>
        <w:jc w:val="both"/>
        <w:rPr>
          <w:rFonts w:cs="Arial"/>
          <w:color w:val="000000"/>
          <w:szCs w:val="20"/>
        </w:rPr>
      </w:pPr>
      <w:r>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keepNext/>
        <w:pageBreakBefore w:val="false"/>
        <w:widowControl w:val="false"/>
        <w:numPr>
          <w:ilvl w:val="1"/>
          <w:numId w:val="1"/>
        </w:numPr>
        <w:spacing w:before="120" w:after="120"/>
        <w:ind w:left="425" w:hanging="0"/>
        <w:jc w:val="both"/>
        <w:rPr>
          <w:rFonts w:cs="Arial"/>
          <w:color w:val="000000"/>
          <w:szCs w:val="20"/>
        </w:rPr>
      </w:pPr>
      <w:r>
        <w:rPr>
          <w:rFonts w:cs="Arial"/>
          <w:szCs w:val="20"/>
        </w:rPr>
        <w:t>Caberá ao fornecedor acompanhar as operações, ficando responsável pelo ônus decorrente da perda do negócio diante da inobservância de quaisquer mensagens emitidas pela Administração ou de sua desconexão.</w:t>
      </w:r>
    </w:p>
    <w:p>
      <w:pPr>
        <w:pStyle w:val="Normal"/>
        <w:keepNext/>
        <w:pageBreakBefore w:val="false"/>
        <w:widowControl w:val="false"/>
        <w:numPr>
          <w:ilvl w:val="1"/>
          <w:numId w:val="1"/>
        </w:numPr>
        <w:spacing w:before="120" w:after="120"/>
        <w:ind w:left="425" w:hanging="0"/>
        <w:jc w:val="both"/>
        <w:rPr>
          <w:rFonts w:cs="Arial"/>
          <w:color w:val="000000"/>
          <w:szCs w:val="20"/>
        </w:rPr>
      </w:pPr>
      <w:r>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keepNext/>
        <w:pageBreakBefore w:val="false"/>
        <w:widowControl w:val="false"/>
        <w:numPr>
          <w:ilvl w:val="1"/>
          <w:numId w:val="1"/>
        </w:numPr>
        <w:spacing w:before="120" w:after="120"/>
        <w:ind w:left="425" w:hanging="0"/>
        <w:jc w:val="both"/>
        <w:rPr>
          <w:rFonts w:cs="Arial"/>
          <w:color w:val="000000"/>
          <w:szCs w:val="20"/>
        </w:rPr>
      </w:pPr>
      <w:r>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keepNext/>
        <w:pageBreakBefore w:val="false"/>
        <w:widowControl w:val="false"/>
        <w:numPr>
          <w:ilvl w:val="1"/>
          <w:numId w:val="1"/>
        </w:numPr>
        <w:spacing w:before="120" w:after="120"/>
        <w:ind w:left="425" w:hanging="0"/>
        <w:jc w:val="both"/>
        <w:rPr>
          <w:rFonts w:cs="Arial"/>
          <w:color w:val="000000" w:themeColor="text1"/>
          <w:szCs w:val="20"/>
        </w:rPr>
      </w:pPr>
      <w:r>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keepNext/>
        <w:pageBreakBefore w:val="false"/>
        <w:widowControl w:val="false"/>
        <w:numPr>
          <w:ilvl w:val="1"/>
          <w:numId w:val="1"/>
        </w:numPr>
        <w:spacing w:before="120" w:after="120"/>
        <w:ind w:left="425" w:hanging="0"/>
        <w:jc w:val="both"/>
        <w:rPr>
          <w:rFonts w:cs="Arial"/>
          <w:color w:val="000000"/>
          <w:szCs w:val="20"/>
        </w:rPr>
      </w:pPr>
      <w:r>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keepNext/>
        <w:pageBreakBefore w:val="false"/>
        <w:widowControl w:val="false"/>
        <w:numPr>
          <w:ilvl w:val="1"/>
          <w:numId w:val="1"/>
        </w:numPr>
        <w:spacing w:before="120" w:after="120"/>
        <w:ind w:left="425" w:hanging="0"/>
        <w:jc w:val="both"/>
        <w:rPr>
          <w:rFonts w:cs="Arial"/>
          <w:color w:val="000000"/>
          <w:szCs w:val="20"/>
        </w:rPr>
      </w:pPr>
      <w:r>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keepNext/>
        <w:pageBreakBefore w:val="false"/>
        <w:widowControl w:val="false"/>
        <w:numPr>
          <w:ilvl w:val="1"/>
          <w:numId w:val="1"/>
        </w:numPr>
        <w:spacing w:before="120" w:after="120"/>
        <w:ind w:left="425" w:hanging="0"/>
        <w:jc w:val="both"/>
        <w:rPr>
          <w:rFonts w:cs="Arial"/>
          <w:color w:val="000000"/>
          <w:szCs w:val="20"/>
        </w:rPr>
      </w:pPr>
      <w:r>
        <w:rPr>
          <w:rFonts w:cs="Arial"/>
          <w:szCs w:val="20"/>
        </w:rPr>
        <w:t>Em caso de divergência entre disposições deste Aviso de Contratação Direta e de seus anexos ou demais peças que compõem o processo, prevalecerá as deste Aviso.</w:t>
      </w:r>
    </w:p>
    <w:p>
      <w:pPr>
        <w:pStyle w:val="Normal"/>
        <w:keepNext/>
        <w:pageBreakBefore w:val="false"/>
        <w:widowControl w:val="false"/>
        <w:numPr>
          <w:ilvl w:val="1"/>
          <w:numId w:val="1"/>
        </w:numPr>
        <w:spacing w:before="120" w:after="120"/>
        <w:ind w:left="425" w:hanging="0"/>
        <w:jc w:val="both"/>
        <w:rPr>
          <w:rFonts w:cs="Arial"/>
          <w:color w:val="000000"/>
          <w:szCs w:val="20"/>
        </w:rPr>
      </w:pPr>
      <w:r>
        <w:rPr>
          <w:rFonts w:cs="Arial"/>
          <w:szCs w:val="20"/>
        </w:rPr>
        <w:t>Da sessão pública será divulgada Ata no sistema eletrônico.</w:t>
      </w:r>
    </w:p>
    <w:p>
      <w:pPr>
        <w:pStyle w:val="Normal"/>
        <w:keepNext/>
        <w:pageBreakBefore w:val="false"/>
        <w:widowControl w:val="false"/>
        <w:numPr>
          <w:ilvl w:val="1"/>
          <w:numId w:val="1"/>
        </w:numPr>
        <w:spacing w:before="120" w:after="120"/>
        <w:ind w:left="425" w:hanging="0"/>
        <w:jc w:val="both"/>
        <w:rPr/>
      </w:pPr>
      <w:r>
        <w:rPr>
          <w:rFonts w:cs="Arial"/>
          <w:szCs w:val="20"/>
        </w:rPr>
        <w:t>Integram este Aviso de Contratação Direta, para todos os fins e efeitos, os seguintes anexos:</w:t>
      </w:r>
    </w:p>
    <w:p>
      <w:pPr>
        <w:pStyle w:val="Normal"/>
        <w:keepNext/>
        <w:pageBreakBefore w:val="false"/>
        <w:widowControl w:val="false"/>
        <w:numPr>
          <w:ilvl w:val="2"/>
          <w:numId w:val="1"/>
        </w:numPr>
        <w:spacing w:before="120" w:after="120"/>
        <w:jc w:val="both"/>
        <w:rPr/>
      </w:pPr>
      <w:r>
        <w:rPr>
          <w:rFonts w:cs="Arial"/>
          <w:szCs w:val="20"/>
        </w:rPr>
        <w:t>ANEXO I – Documentação exigida para Habilitação</w:t>
      </w:r>
    </w:p>
    <w:p>
      <w:pPr>
        <w:pStyle w:val="Normal"/>
        <w:keepNext/>
        <w:pageBreakBefore w:val="false"/>
        <w:widowControl w:val="false"/>
        <w:numPr>
          <w:ilvl w:val="0"/>
          <w:numId w:val="0"/>
        </w:numPr>
        <w:spacing w:before="120" w:after="120"/>
        <w:jc w:val="both"/>
        <w:rPr>
          <w:rFonts w:cs="Arial"/>
          <w:color w:val="000000"/>
          <w:szCs w:val="20"/>
        </w:rPr>
      </w:pPr>
      <w:r>
        <w:rPr>
          <w:rFonts w:cs="Arial"/>
          <w:color w:val="000000"/>
          <w:szCs w:val="20"/>
        </w:rPr>
      </w:r>
    </w:p>
    <w:p>
      <w:pPr>
        <w:pStyle w:val="Normal"/>
        <w:keepNext/>
        <w:pageBreakBefore w:val="false"/>
        <w:widowControl w:val="false"/>
        <w:spacing w:before="0" w:after="120"/>
        <w:ind w:left="360" w:hanging="0"/>
        <w:jc w:val="center"/>
        <w:rPr>
          <w:rFonts w:cs="Arial"/>
          <w:szCs w:val="20"/>
        </w:rPr>
      </w:pPr>
      <w:r>
        <w:rPr>
          <w:rFonts w:cs="Arial"/>
          <w:szCs w:val="20"/>
        </w:rPr>
      </w:r>
    </w:p>
    <w:p>
      <w:pPr>
        <w:pStyle w:val="Normal"/>
        <w:keepNext/>
        <w:pageBreakBefore w:val="false"/>
        <w:widowControl w:val="false"/>
        <w:spacing w:before="0" w:after="120"/>
        <w:ind w:hanging="0"/>
        <w:jc w:val="center"/>
        <w:rPr/>
      </w:pPr>
      <w:r>
        <w:rPr>
          <w:rFonts w:cs="Arial"/>
          <w:szCs w:val="20"/>
        </w:rPr>
        <w:t>Porto Velho/RO, 29 de agosto de 2022.</w:t>
      </w:r>
    </w:p>
    <w:p>
      <w:pPr>
        <w:pStyle w:val="Normal"/>
        <w:keepNext/>
        <w:pageBreakBefore w:val="false"/>
        <w:widowControl w:val="false"/>
        <w:spacing w:before="0" w:after="120"/>
        <w:ind w:left="360" w:hanging="0"/>
        <w:jc w:val="center"/>
        <w:rPr>
          <w:rFonts w:cs="Arial"/>
          <w:szCs w:val="20"/>
        </w:rPr>
      </w:pPr>
      <w:r>
        <w:rPr>
          <w:rFonts w:cs="Arial"/>
          <w:szCs w:val="20"/>
        </w:rPr>
      </w:r>
    </w:p>
    <w:p>
      <w:pPr>
        <w:pStyle w:val="Normal"/>
        <w:keepNext/>
        <w:pageBreakBefore w:val="false"/>
        <w:widowControl w:val="false"/>
        <w:spacing w:before="0" w:after="120"/>
        <w:ind w:left="360" w:hanging="0"/>
        <w:jc w:val="center"/>
        <w:rPr>
          <w:rFonts w:cs="Arial"/>
          <w:szCs w:val="20"/>
        </w:rPr>
      </w:pPr>
      <w:r>
        <w:rPr>
          <w:rFonts w:cs="Arial"/>
          <w:szCs w:val="20"/>
        </w:rPr>
      </w:r>
    </w:p>
    <w:p>
      <w:pPr>
        <w:pStyle w:val="Normal"/>
        <w:keepNext/>
        <w:pageBreakBefore w:val="false"/>
        <w:widowControl w:val="false"/>
        <w:spacing w:before="0" w:after="120"/>
        <w:ind w:left="360" w:hanging="0"/>
        <w:jc w:val="center"/>
        <w:rPr>
          <w:rFonts w:cs="Arial"/>
          <w:szCs w:val="20"/>
        </w:rPr>
      </w:pPr>
      <w:r>
        <w:rPr>
          <w:rFonts w:cs="Arial"/>
          <w:szCs w:val="20"/>
        </w:rPr>
      </w:r>
    </w:p>
    <w:p>
      <w:pPr>
        <w:pStyle w:val="Normal"/>
        <w:keepNext/>
        <w:pageBreakBefore w:val="false"/>
        <w:widowControl w:val="false"/>
        <w:jc w:val="center"/>
        <w:rPr/>
      </w:pPr>
      <w:r>
        <w:rPr>
          <w:rFonts w:cs="Arial"/>
          <w:b/>
          <w:bCs/>
          <w:iCs/>
          <w:szCs w:val="20"/>
        </w:rPr>
        <w:t>SÉRGIO RICARDO LOBO LOUREIRO – Cel</w:t>
      </w:r>
    </w:p>
    <w:p>
      <w:pPr>
        <w:pStyle w:val="Normal"/>
        <w:keepNext/>
        <w:pageBreakBefore w:val="false"/>
        <w:widowControl w:val="false"/>
        <w:jc w:val="center"/>
        <w:rPr/>
      </w:pPr>
      <w:r>
        <w:rPr>
          <w:rFonts w:cs="Arial"/>
          <w:iCs/>
          <w:szCs w:val="20"/>
        </w:rPr>
        <w:t>Ordenador de Despesas do HGuPV</w:t>
      </w:r>
    </w:p>
    <w:p>
      <w:pPr>
        <w:pStyle w:val="Normal"/>
        <w:keepNext/>
        <w:pageBreakBefore w:val="false"/>
        <w:widowControl w:val="false"/>
        <w:jc w:val="center"/>
        <w:rPr>
          <w:rFonts w:cs="Arial"/>
          <w:b/>
          <w:b/>
          <w:bCs/>
          <w:lang w:eastAsia="en-US"/>
        </w:rPr>
      </w:pPr>
      <w:r>
        <w:rPr>
          <w:rFonts w:cs="Arial"/>
          <w:b/>
          <w:bCs/>
          <w:lang w:eastAsia="en-US"/>
        </w:rPr>
      </w:r>
    </w:p>
    <w:p>
      <w:pPr>
        <w:pStyle w:val="Normal"/>
        <w:keepNext/>
        <w:pageBreakBefore w:val="false"/>
        <w:widowControl w:val="false"/>
        <w:jc w:val="center"/>
        <w:rPr>
          <w:rFonts w:cs="Arial"/>
          <w:b/>
          <w:b/>
          <w:bCs/>
          <w:lang w:eastAsia="en-US"/>
        </w:rPr>
      </w:pPr>
      <w:r>
        <w:rPr>
          <w:rFonts w:cs="Arial"/>
          <w:b/>
          <w:bCs/>
          <w:lang w:eastAsia="en-US"/>
        </w:rPr>
      </w:r>
    </w:p>
    <w:p>
      <w:pPr>
        <w:pStyle w:val="Normal"/>
        <w:keepNext/>
        <w:pageBreakBefore w:val="false"/>
        <w:widowControl w:val="false"/>
        <w:jc w:val="center"/>
        <w:rPr>
          <w:rFonts w:cs="Arial"/>
          <w:b/>
          <w:b/>
          <w:bCs/>
          <w:lang w:eastAsia="en-US"/>
        </w:rPr>
      </w:pPr>
      <w:r>
        <w:rPr>
          <w:rFonts w:cs="Arial"/>
          <w:b/>
          <w:bCs/>
          <w:lang w:eastAsia="en-US"/>
        </w:rPr>
      </w:r>
    </w:p>
    <w:p>
      <w:pPr>
        <w:pStyle w:val="Normal"/>
        <w:keepNext/>
        <w:pageBreakBefore w:val="false"/>
        <w:widowControl w:val="false"/>
        <w:jc w:val="center"/>
        <w:rPr>
          <w:rFonts w:cs="Arial"/>
          <w:b/>
          <w:b/>
          <w:bCs/>
          <w:lang w:eastAsia="en-US"/>
        </w:rPr>
      </w:pPr>
      <w:r>
        <w:rPr>
          <w:rFonts w:cs="Arial"/>
          <w:b/>
          <w:bCs/>
          <w:lang w:eastAsia="en-US"/>
        </w:rPr>
      </w:r>
    </w:p>
    <w:p>
      <w:pPr>
        <w:pStyle w:val="Normal"/>
        <w:keepNext/>
        <w:pageBreakBefore w:val="false"/>
        <w:widowControl w:val="false"/>
        <w:jc w:val="center"/>
        <w:rPr/>
      </w:pPr>
      <w:r>
        <w:rPr>
          <w:rFonts w:cs="Arial"/>
          <w:b/>
          <w:bCs/>
          <w:lang w:eastAsia="en-US"/>
        </w:rPr>
        <w:t>ANEXO I – DOCUMENTAÇÃO EXIGIDA PARA HABILITAÇÃO</w:t>
      </w:r>
    </w:p>
    <w:p>
      <w:pPr>
        <w:pStyle w:val="Normal"/>
        <w:keepNext/>
        <w:pageBreakBefore w:val="false"/>
        <w:widowControl w:val="false"/>
        <w:rPr>
          <w:rFonts w:cs="Arial"/>
          <w:lang w:eastAsia="en-US"/>
        </w:rPr>
      </w:pPr>
      <w:r>
        <w:rPr>
          <w:rFonts w:cs="Arial"/>
          <w:lang w:eastAsia="en-US"/>
        </w:rPr>
      </w:r>
    </w:p>
    <w:p>
      <w:pPr>
        <w:pStyle w:val="PADRO"/>
        <w:keepNext/>
        <w:pageBreakBefore w:val="false"/>
        <w:widowControl w:val="false"/>
        <w:numPr>
          <w:ilvl w:val="0"/>
          <w:numId w:val="3"/>
        </w:numPr>
        <w:shd w:val="clear" w:fill="FFFFFF"/>
        <w:spacing w:lineRule="auto" w:line="240" w:before="120" w:after="120"/>
        <w:rPr/>
      </w:pPr>
      <w:r>
        <w:rPr>
          <w:rFonts w:cs="Arial" w:ascii="Arial" w:hAnsi="Arial"/>
          <w:b/>
          <w:bCs/>
          <w:szCs w:val="20"/>
        </w:rPr>
        <w:t xml:space="preserve">Habilitação jurídica: </w:t>
      </w:r>
    </w:p>
    <w:p>
      <w:pPr>
        <w:pStyle w:val="Normal"/>
        <w:keepNext/>
        <w:pageBreakBefore w:val="false"/>
        <w:widowControl w:val="false"/>
        <w:numPr>
          <w:ilvl w:val="1"/>
          <w:numId w:val="3"/>
        </w:numPr>
        <w:tabs>
          <w:tab w:val="left" w:pos="1440" w:leader="none"/>
        </w:tabs>
        <w:snapToGrid w:val="false"/>
        <w:spacing w:before="120" w:after="120"/>
        <w:jc w:val="both"/>
        <w:rPr>
          <w:rFonts w:cs="Arial"/>
          <w:szCs w:val="20"/>
        </w:rPr>
      </w:pPr>
      <w:r>
        <w:rPr>
          <w:rFonts w:cs="Arial"/>
          <w:szCs w:val="20"/>
        </w:rPr>
        <w:t>no caso de empresário individual, inscrição no Registro Público de Empresas Mercantis, a cargo da Junta Comercial da respectiva sede;</w:t>
      </w:r>
    </w:p>
    <w:p>
      <w:pPr>
        <w:pStyle w:val="ListParagraph"/>
        <w:keepNext/>
        <w:pageBreakBefore w:val="false"/>
        <w:widowControl w:val="false"/>
        <w:numPr>
          <w:ilvl w:val="1"/>
          <w:numId w:val="3"/>
        </w:numPr>
        <w:tabs>
          <w:tab w:val="left" w:pos="1440" w:leader="none"/>
        </w:tabs>
        <w:snapToGrid w:val="false"/>
        <w:spacing w:before="120" w:after="120"/>
        <w:contextualSpacing/>
        <w:jc w:val="both"/>
        <w:rPr>
          <w:rFonts w:cs="Arial"/>
          <w:color w:val="000000"/>
          <w:szCs w:val="20"/>
        </w:rPr>
      </w:pPr>
      <w:r>
        <w:rPr>
          <w:rFonts w:cs="Arial"/>
          <w:szCs w:val="20"/>
        </w:rPr>
        <w:t>Em se tratando de Microempreendedor Individual – MEI: Certificado da Condição de Microempreendedor Individual - CCMEI, cuja aceitação ficará condicionada à verificação da autenticidade no sítio www.portaldoempreendedor.gov.br;</w:t>
      </w:r>
    </w:p>
    <w:p>
      <w:pPr>
        <w:pStyle w:val="Normal"/>
        <w:keepNext/>
        <w:pageBreakBefore w:val="false"/>
        <w:widowControl w:val="false"/>
        <w:numPr>
          <w:ilvl w:val="1"/>
          <w:numId w:val="3"/>
        </w:numPr>
        <w:tabs>
          <w:tab w:val="left" w:pos="1440" w:leader="none"/>
        </w:tabs>
        <w:snapToGrid w:val="false"/>
        <w:spacing w:before="120" w:after="120"/>
        <w:jc w:val="both"/>
        <w:rPr>
          <w:rFonts w:cs="Arial"/>
          <w:color w:val="000000"/>
          <w:szCs w:val="20"/>
        </w:rPr>
      </w:pPr>
      <w:r>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keepNext/>
        <w:pageBreakBefore w:val="false"/>
        <w:widowControl w:val="false"/>
        <w:numPr>
          <w:ilvl w:val="1"/>
          <w:numId w:val="3"/>
        </w:numPr>
        <w:tabs>
          <w:tab w:val="left" w:pos="1440" w:leader="none"/>
        </w:tabs>
        <w:snapToGrid w:val="false"/>
        <w:spacing w:before="120" w:after="120"/>
        <w:jc w:val="both"/>
        <w:rPr>
          <w:rFonts w:cs="Arial"/>
          <w:color w:val="000000"/>
          <w:szCs w:val="20"/>
        </w:rPr>
      </w:pPr>
      <w:r>
        <w:rPr>
          <w:rFonts w:cs="Arial"/>
          <w:szCs w:val="20"/>
        </w:rPr>
        <w:t>inscrição no Registro Público de Empresas Mercantis onde opera, com averbação no Registro onde tem sede a matriz, no caso de ser o participante sucursal, filial ou agência;</w:t>
      </w:r>
    </w:p>
    <w:p>
      <w:pPr>
        <w:pStyle w:val="Normal"/>
        <w:keepNext/>
        <w:pageBreakBefore w:val="false"/>
        <w:widowControl w:val="false"/>
        <w:numPr>
          <w:ilvl w:val="1"/>
          <w:numId w:val="3"/>
        </w:numPr>
        <w:tabs>
          <w:tab w:val="left" w:pos="1440" w:leader="none"/>
        </w:tabs>
        <w:snapToGrid w:val="false"/>
        <w:spacing w:before="120" w:after="120"/>
        <w:jc w:val="both"/>
        <w:rPr>
          <w:rFonts w:cs="Arial"/>
          <w:szCs w:val="20"/>
        </w:rPr>
      </w:pPr>
      <w:r>
        <w:rPr>
          <w:rFonts w:cs="Arial"/>
          <w:szCs w:val="20"/>
        </w:rPr>
        <w:t>No caso de sociedade simples: inscrição do ato constitutivo no Registro Civil das Pessoas Jurídicas do local de sua sede, acompanhada de prova da indicação dos seus administradores;</w:t>
      </w:r>
    </w:p>
    <w:p>
      <w:pPr>
        <w:pStyle w:val="Normal"/>
        <w:keepNext/>
        <w:pageBreakBefore w:val="false"/>
        <w:widowControl w:val="false"/>
        <w:numPr>
          <w:ilvl w:val="1"/>
          <w:numId w:val="3"/>
        </w:numPr>
        <w:tabs>
          <w:tab w:val="left" w:pos="1440" w:leader="none"/>
        </w:tabs>
        <w:snapToGrid w:val="false"/>
        <w:spacing w:before="120" w:after="120"/>
        <w:jc w:val="both"/>
        <w:rPr>
          <w:rFonts w:cs="Arial"/>
          <w:color w:val="000000"/>
          <w:szCs w:val="20"/>
        </w:rPr>
      </w:pPr>
      <w:r>
        <w:rPr>
          <w:rFonts w:cs="Arial"/>
          <w:szCs w:val="20"/>
        </w:rPr>
        <w:t>decreto de autorização, em se tratando de sociedade empresária estrangeira em funcionamento no País;</w:t>
      </w:r>
    </w:p>
    <w:p>
      <w:pPr>
        <w:pStyle w:val="ListParagraph"/>
        <w:keepNext/>
        <w:pageBreakBefore w:val="false"/>
        <w:widowControl w:val="false"/>
        <w:numPr>
          <w:ilvl w:val="1"/>
          <w:numId w:val="3"/>
        </w:numPr>
        <w:spacing w:before="120" w:after="120"/>
        <w:contextualSpacing/>
        <w:jc w:val="both"/>
        <w:rPr/>
      </w:pPr>
      <w:r>
        <w:rPr>
          <w:rFonts w:cs="Arial"/>
          <w:bCs/>
          <w:szCs w:val="20"/>
        </w:rPr>
        <w:t>Os documentos acima deverão estar acompanhados de todas as alterações ou da consolidação respectiva.</w:t>
      </w:r>
    </w:p>
    <w:p>
      <w:pPr>
        <w:pStyle w:val="ListParagraph"/>
        <w:keepNext/>
        <w:pageBreakBefore w:val="false"/>
        <w:widowControl w:val="false"/>
        <w:spacing w:before="120" w:after="120"/>
        <w:ind w:left="1134" w:hanging="0"/>
        <w:contextualSpacing/>
        <w:jc w:val="both"/>
        <w:rPr>
          <w:rFonts w:cs="Arial"/>
          <w:bCs/>
          <w:szCs w:val="20"/>
        </w:rPr>
      </w:pPr>
      <w:r>
        <w:rPr>
          <w:rFonts w:cs="Arial"/>
          <w:bCs/>
          <w:szCs w:val="20"/>
        </w:rPr>
      </w:r>
    </w:p>
    <w:p>
      <w:pPr>
        <w:pStyle w:val="PADRO"/>
        <w:keepNext/>
        <w:pageBreakBefore w:val="false"/>
        <w:widowControl w:val="false"/>
        <w:numPr>
          <w:ilvl w:val="0"/>
          <w:numId w:val="3"/>
        </w:numPr>
        <w:shd w:val="clear" w:fill="FFFFFF"/>
        <w:spacing w:lineRule="auto" w:line="240" w:before="120" w:after="120"/>
        <w:rPr>
          <w:rFonts w:ascii="Arial" w:hAnsi="Arial" w:cs="Arial"/>
          <w:szCs w:val="20"/>
        </w:rPr>
      </w:pPr>
      <w:r>
        <w:rPr>
          <w:rFonts w:cs="Arial" w:ascii="Arial" w:hAnsi="Arial"/>
          <w:b/>
          <w:bCs/>
          <w:szCs w:val="20"/>
        </w:rPr>
        <w:t>Regularidade fiscal, social e trabalhista:</w:t>
      </w:r>
    </w:p>
    <w:p>
      <w:pPr>
        <w:pStyle w:val="Normal"/>
        <w:keepNext/>
        <w:pageBreakBefore w:val="false"/>
        <w:widowControl w:val="false"/>
        <w:numPr>
          <w:ilvl w:val="1"/>
          <w:numId w:val="3"/>
        </w:numPr>
        <w:tabs>
          <w:tab w:val="left" w:pos="1440" w:leader="none"/>
        </w:tabs>
        <w:snapToGrid w:val="false"/>
        <w:spacing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keepNext/>
        <w:pageBreakBefore w:val="false"/>
        <w:widowControl w:val="false"/>
        <w:numPr>
          <w:ilvl w:val="1"/>
          <w:numId w:val="3"/>
        </w:numPr>
        <w:tabs>
          <w:tab w:val="left" w:pos="1440" w:leader="none"/>
        </w:tabs>
        <w:snapToGrid w:val="false"/>
        <w:spacing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keepNext/>
        <w:pageBreakBefore w:val="false"/>
        <w:widowControl w:val="false"/>
        <w:numPr>
          <w:ilvl w:val="1"/>
          <w:numId w:val="3"/>
        </w:numPr>
        <w:tabs>
          <w:tab w:val="left" w:pos="1440" w:leader="none"/>
        </w:tabs>
        <w:snapToGrid w:val="false"/>
        <w:spacing w:lineRule="auto" w:line="276" w:before="120" w:after="120"/>
        <w:jc w:val="both"/>
        <w:rPr>
          <w:rFonts w:cs="Arial"/>
          <w:color w:val="000000"/>
          <w:szCs w:val="20"/>
        </w:rPr>
      </w:pPr>
      <w:r>
        <w:rPr>
          <w:rFonts w:cs="Arial"/>
          <w:szCs w:val="20"/>
          <w:lang w:eastAsia="en-US"/>
        </w:rPr>
        <w:t>prova de regularidade com o Fundo de Garantia do Tempo de Serviço (FGTS);</w:t>
      </w:r>
    </w:p>
    <w:p>
      <w:pPr>
        <w:pStyle w:val="Normal"/>
        <w:keepNext/>
        <w:pageBreakBefore w:val="false"/>
        <w:widowControl w:val="false"/>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keepNext/>
        <w:pageBreakBefore w:val="false"/>
        <w:widowControl w:val="false"/>
        <w:numPr>
          <w:ilvl w:val="1"/>
          <w:numId w:val="3"/>
        </w:numPr>
        <w:tabs>
          <w:tab w:val="left" w:pos="1440" w:leader="none"/>
        </w:tabs>
        <w:snapToGrid w:val="false"/>
        <w:spacing w:lineRule="auto" w:line="276" w:before="120" w:after="120"/>
        <w:jc w:val="both"/>
        <w:rPr>
          <w:rFonts w:cs="Arial"/>
          <w:bCs/>
          <w:szCs w:val="20"/>
        </w:rPr>
      </w:pPr>
      <w:r>
        <w:rPr>
          <w:rFonts w:cs="Arial"/>
          <w:bCs/>
          <w:szCs w:val="20"/>
        </w:rPr>
        <w:t xml:space="preserve">prova de </w:t>
      </w:r>
      <w:r>
        <w:rPr>
          <w:rFonts w:cs="Arial"/>
          <w:szCs w:val="20"/>
        </w:rPr>
        <w:t xml:space="preserve">inscrição no cadastro de contribuintes </w:t>
      </w:r>
      <w:r>
        <w:rPr>
          <w:rFonts w:cs="Arial"/>
          <w:i/>
          <w:iCs/>
          <w:szCs w:val="20"/>
        </w:rPr>
        <w:t>estadual e/ou municipal</w:t>
      </w:r>
      <w:r>
        <w:rPr>
          <w:rFonts w:cs="Arial"/>
          <w:szCs w:val="20"/>
        </w:rPr>
        <w:t>, relativo ao domicílio ou sede do fornecedor, pertinente ao seu ramo de atividade e compatível com o objeto contratual</w:t>
      </w:r>
      <w:r>
        <w:rPr>
          <w:rFonts w:cs="Arial"/>
          <w:bCs/>
          <w:szCs w:val="20"/>
        </w:rPr>
        <w:t xml:space="preserve">; </w:t>
      </w:r>
    </w:p>
    <w:p>
      <w:pPr>
        <w:pStyle w:val="Normal"/>
        <w:keepNext/>
        <w:pageBreakBefore w:val="false"/>
        <w:widowControl w:val="false"/>
        <w:numPr>
          <w:ilvl w:val="1"/>
          <w:numId w:val="3"/>
        </w:numPr>
        <w:tabs>
          <w:tab w:val="left" w:pos="1440" w:leader="none"/>
        </w:tabs>
        <w:snapToGrid w:val="false"/>
        <w:spacing w:lineRule="auto" w:line="276" w:before="120" w:after="120"/>
        <w:jc w:val="both"/>
        <w:rPr>
          <w:rFonts w:cs="Arial"/>
          <w:b/>
          <w:b/>
          <w:szCs w:val="20"/>
        </w:rPr>
      </w:pPr>
      <w:r>
        <w:rPr>
          <w:rFonts w:cs="Arial"/>
          <w:szCs w:val="20"/>
        </w:rPr>
        <w:t xml:space="preserve">prova de regularidade com a Fazenda </w:t>
      </w:r>
      <w:r>
        <w:rPr>
          <w:rFonts w:cs="Arial"/>
          <w:i/>
          <w:iCs/>
          <w:szCs w:val="20"/>
        </w:rPr>
        <w:t>Estadual e/ou Municipal</w:t>
      </w:r>
      <w:r>
        <w:rPr>
          <w:rFonts w:cs="Arial"/>
          <w:szCs w:val="20"/>
        </w:rPr>
        <w:t xml:space="preserve"> do domicílio ou sede do fornecedor, relativa à atividade em cujo exercício contrata ou concorre; </w:t>
      </w:r>
    </w:p>
    <w:p>
      <w:pPr>
        <w:pStyle w:val="Normal"/>
        <w:keepNext/>
        <w:pageBreakBefore w:val="false"/>
        <w:widowControl w:val="false"/>
        <w:numPr>
          <w:ilvl w:val="1"/>
          <w:numId w:val="3"/>
        </w:numPr>
        <w:tabs>
          <w:tab w:val="left" w:pos="1440" w:leader="none"/>
        </w:tabs>
        <w:snapToGrid w:val="false"/>
        <w:spacing w:lineRule="auto" w:line="276" w:before="120" w:after="120"/>
        <w:jc w:val="both"/>
        <w:rPr/>
      </w:pPr>
      <w:r>
        <w:rPr>
          <w:rFonts w:cs="Arial"/>
          <w:szCs w:val="20"/>
        </w:rPr>
        <w:t xml:space="preserve">caso o fornecedor seja considerado isento dos tributos </w:t>
      </w:r>
      <w:r>
        <w:rPr>
          <w:rFonts w:cs="Arial"/>
          <w:i/>
          <w:szCs w:val="20"/>
        </w:rPr>
        <w:t xml:space="preserve">estaduais </w:t>
      </w:r>
      <w:r>
        <w:rPr>
          <w:rFonts w:cs="Arial"/>
          <w:b/>
          <w:i/>
          <w:szCs w:val="20"/>
          <w:u w:val="single"/>
        </w:rPr>
        <w:t>ou</w:t>
      </w:r>
      <w:r>
        <w:rPr>
          <w:rFonts w:cs="Arial"/>
          <w:i/>
          <w:szCs w:val="20"/>
        </w:rPr>
        <w:t xml:space="preserve"> municipais</w:t>
      </w:r>
      <w:r>
        <w:rPr>
          <w:rFonts w:cs="Arial"/>
          <w:szCs w:val="20"/>
        </w:rPr>
        <w:t xml:space="preserve"> relacionados ao objeto contratual, deverá comprovar tal condição mediante a apresentação de declaração da Fazenda respectiva do seu domicílio ou sede, ou outra equivalente, na forma da lei;</w:t>
      </w:r>
    </w:p>
    <w:p>
      <w:pPr>
        <w:pStyle w:val="Normal"/>
        <w:keepNext/>
        <w:pageBreakBefore w:val="false"/>
        <w:widowControl w:val="false"/>
        <w:tabs>
          <w:tab w:val="left" w:pos="1440" w:leader="none"/>
        </w:tabs>
        <w:snapToGrid w:val="false"/>
        <w:spacing w:lineRule="auto" w:line="276" w:before="120" w:after="120"/>
        <w:jc w:val="both"/>
        <w:rPr>
          <w:rFonts w:cs="Arial"/>
          <w:szCs w:val="20"/>
        </w:rPr>
      </w:pPr>
      <w:r>
        <w:rPr>
          <w:rFonts w:cs="Arial"/>
          <w:szCs w:val="20"/>
        </w:rPr>
      </w:r>
    </w:p>
    <w:p>
      <w:pPr>
        <w:pStyle w:val="Normal"/>
        <w:keepNext/>
        <w:pageBreakBefore w:val="false"/>
        <w:widowControl w:val="false"/>
        <w:tabs>
          <w:tab w:val="left" w:pos="1440" w:leader="none"/>
        </w:tabs>
        <w:snapToGrid w:val="false"/>
        <w:spacing w:lineRule="auto" w:line="276" w:before="120" w:after="120"/>
        <w:jc w:val="both"/>
        <w:rPr/>
      </w:pPr>
      <w:r>
        <w:rPr/>
      </w:r>
    </w:p>
    <w:p>
      <w:pPr>
        <w:pStyle w:val="Normal"/>
        <w:keepNext/>
        <w:pageBreakBefore w:val="false"/>
        <w:widowControl w:val="false"/>
        <w:tabs>
          <w:tab w:val="left" w:pos="1440" w:leader="none"/>
        </w:tabs>
        <w:snapToGrid w:val="false"/>
        <w:spacing w:lineRule="auto" w:line="276" w:before="120" w:after="120"/>
        <w:jc w:val="both"/>
        <w:rPr/>
      </w:pPr>
      <w:r>
        <w:rPr/>
      </w:r>
    </w:p>
    <w:p>
      <w:pPr>
        <w:pStyle w:val="PADRO"/>
        <w:keepNext/>
        <w:pageBreakBefore w:val="false"/>
        <w:widowControl w:val="false"/>
        <w:numPr>
          <w:ilvl w:val="0"/>
          <w:numId w:val="3"/>
        </w:numPr>
        <w:shd w:val="clear" w:fill="FFFFFF"/>
        <w:spacing w:before="120" w:after="120"/>
        <w:rPr>
          <w:rFonts w:ascii="Arial" w:hAnsi="Arial" w:cs="Arial"/>
          <w:szCs w:val="20"/>
        </w:rPr>
      </w:pPr>
      <w:r>
        <w:rPr>
          <w:rFonts w:cs="Arial" w:ascii="Arial" w:hAnsi="Arial"/>
          <w:b/>
          <w:szCs w:val="20"/>
        </w:rPr>
        <w:t>Qualificação Econômico-Financeira:</w:t>
      </w:r>
    </w:p>
    <w:p>
      <w:pPr>
        <w:pStyle w:val="ListParagraph"/>
        <w:keepNext/>
        <w:pageBreakBefore w:val="false"/>
        <w:widowControl w:val="false"/>
        <w:numPr>
          <w:ilvl w:val="1"/>
          <w:numId w:val="3"/>
        </w:numPr>
        <w:tabs>
          <w:tab w:val="left" w:pos="1440" w:leader="none"/>
        </w:tabs>
        <w:snapToGrid w:val="false"/>
        <w:spacing w:lineRule="auto" w:line="276" w:before="120" w:after="120"/>
        <w:contextualSpacing/>
        <w:jc w:val="both"/>
        <w:rPr/>
      </w:pPr>
      <w:r>
        <w:rPr>
          <w:rFonts w:cs="Arial"/>
          <w:szCs w:val="20"/>
        </w:rPr>
        <w:t>certidão negativa de falência expedida pelo distribuidor da sede do fornecedor;</w:t>
      </w:r>
    </w:p>
    <w:p>
      <w:pPr>
        <w:pStyle w:val="Normal"/>
        <w:keepNext/>
        <w:pageBreakBefore w:val="false"/>
        <w:widowControl w:val="false"/>
        <w:tabs>
          <w:tab w:val="left" w:pos="1440" w:leader="none"/>
        </w:tabs>
        <w:snapToGrid w:val="false"/>
        <w:spacing w:lineRule="auto" w:line="276" w:before="120" w:after="120"/>
        <w:jc w:val="both"/>
        <w:rPr>
          <w:rFonts w:cs="Arial"/>
          <w:lang w:eastAsia="en-US"/>
        </w:rPr>
      </w:pPr>
      <w:r>
        <w:rPr>
          <w:rFonts w:cs="Arial"/>
          <w:lang w:eastAsia="en-US"/>
        </w:rPr>
      </w:r>
    </w:p>
    <w:p>
      <w:pPr>
        <w:pStyle w:val="Normal"/>
        <w:keepNext/>
        <w:pageBreakBefore w:val="false"/>
        <w:widowControl w:val="false"/>
        <w:tabs>
          <w:tab w:val="left" w:pos="1440" w:leader="none"/>
        </w:tabs>
        <w:snapToGrid w:val="false"/>
        <w:spacing w:lineRule="auto" w:line="276" w:before="120" w:after="120"/>
        <w:jc w:val="both"/>
        <w:rPr>
          <w:rFonts w:cs="Arial"/>
          <w:lang w:eastAsia="en-US"/>
        </w:rPr>
      </w:pPr>
      <w:r>
        <w:rPr>
          <w:rFonts w:cs="Arial"/>
          <w:lang w:eastAsia="en-US"/>
        </w:rPr>
      </w:r>
    </w:p>
    <w:p>
      <w:pPr>
        <w:pStyle w:val="Normal"/>
        <w:keepNext/>
        <w:pageBreakBefore w:val="false"/>
        <w:widowControl w:val="false"/>
        <w:spacing w:lineRule="auto" w:line="276" w:before="0" w:after="120"/>
        <w:ind w:hanging="0"/>
        <w:jc w:val="center"/>
        <w:rPr/>
      </w:pPr>
      <w:r>
        <w:rPr>
          <w:rFonts w:cs="Arial"/>
          <w:szCs w:val="20"/>
        </w:rPr>
        <w:t>Porto Velho/RO, 29 de agosto de 2022.</w:t>
      </w:r>
    </w:p>
    <w:p>
      <w:pPr>
        <w:pStyle w:val="Normal"/>
        <w:keepNext/>
        <w:pageBreakBefore w:val="false"/>
        <w:widowControl w:val="false"/>
        <w:spacing w:lineRule="auto" w:line="276" w:before="0" w:after="120"/>
        <w:ind w:left="360" w:hanging="0"/>
        <w:jc w:val="center"/>
        <w:rPr>
          <w:rFonts w:cs="Arial"/>
          <w:szCs w:val="20"/>
        </w:rPr>
      </w:pPr>
      <w:r>
        <w:rPr>
          <w:rFonts w:cs="Arial"/>
          <w:szCs w:val="20"/>
        </w:rPr>
      </w:r>
    </w:p>
    <w:p>
      <w:pPr>
        <w:pStyle w:val="Normal"/>
        <w:keepNext/>
        <w:pageBreakBefore w:val="false"/>
        <w:widowControl w:val="false"/>
        <w:spacing w:lineRule="auto" w:line="276" w:before="0" w:after="120"/>
        <w:ind w:left="360" w:hanging="0"/>
        <w:jc w:val="center"/>
        <w:rPr>
          <w:rFonts w:cs="Arial"/>
          <w:szCs w:val="20"/>
        </w:rPr>
      </w:pPr>
      <w:r>
        <w:rPr>
          <w:rFonts w:cs="Arial"/>
          <w:szCs w:val="20"/>
        </w:rPr>
      </w:r>
    </w:p>
    <w:p>
      <w:pPr>
        <w:pStyle w:val="Normal"/>
        <w:keepNext/>
        <w:pageBreakBefore w:val="false"/>
        <w:widowControl w:val="false"/>
        <w:spacing w:lineRule="auto" w:line="276" w:before="0" w:after="120"/>
        <w:ind w:left="360" w:hanging="0"/>
        <w:jc w:val="center"/>
        <w:rPr>
          <w:rFonts w:cs="Arial"/>
          <w:szCs w:val="20"/>
        </w:rPr>
      </w:pPr>
      <w:r>
        <w:rPr>
          <w:rFonts w:cs="Arial"/>
          <w:szCs w:val="20"/>
        </w:rPr>
      </w:r>
    </w:p>
    <w:p>
      <w:pPr>
        <w:pStyle w:val="Normal"/>
        <w:keepNext/>
        <w:pageBreakBefore w:val="false"/>
        <w:widowControl w:val="false"/>
        <w:spacing w:lineRule="auto" w:line="276"/>
        <w:jc w:val="center"/>
        <w:rPr/>
      </w:pPr>
      <w:r>
        <w:rPr>
          <w:rFonts w:cs="Arial"/>
          <w:b/>
          <w:bCs/>
          <w:iCs/>
          <w:szCs w:val="20"/>
        </w:rPr>
        <w:t>SÉRGIO RICARDO LOBO LOUREIRO – Cel</w:t>
      </w:r>
    </w:p>
    <w:p>
      <w:pPr>
        <w:pStyle w:val="Normal"/>
        <w:keepNext/>
        <w:pageBreakBefore w:val="false"/>
        <w:widowControl w:val="false"/>
        <w:spacing w:lineRule="auto" w:line="276"/>
        <w:jc w:val="center"/>
        <w:rPr/>
      </w:pPr>
      <w:r>
        <w:rPr>
          <w:rFonts w:cs="Arial"/>
          <w:szCs w:val="20"/>
        </w:rPr>
        <w:t>Ordenador de Despesas do HGuPV</w:t>
      </w:r>
    </w:p>
    <w:p>
      <w:pPr>
        <w:pStyle w:val="Caption"/>
        <w:keepNext/>
        <w:pageBreakBefore w:val="false"/>
        <w:widowControl w:val="false"/>
        <w:spacing w:before="0" w:after="0"/>
        <w:jc w:val="center"/>
        <w:rPr/>
      </w:pPr>
      <w:r>
        <w:rPr/>
      </w:r>
    </w:p>
    <w:p>
      <w:pPr>
        <w:pStyle w:val="Caption"/>
        <w:keepNext/>
        <w:pageBreakBefore w:val="false"/>
        <w:widowControl w:val="false"/>
        <w:spacing w:before="0" w:after="0"/>
        <w:jc w:val="center"/>
        <w:rPr/>
      </w:pPr>
      <w:r>
        <w:rPr/>
      </w:r>
    </w:p>
    <w:p>
      <w:pPr>
        <w:pStyle w:val="Caption"/>
        <w:keepNext/>
        <w:pageBreakBefore w:val="false"/>
        <w:widowControl w:val="false"/>
        <w:spacing w:before="0" w:after="0"/>
        <w:jc w:val="center"/>
        <w:rPr/>
      </w:pPr>
      <w:r>
        <w:rPr/>
        <w:drawing>
          <wp:inline distT="0" distB="0" distL="0" distR="0">
            <wp:extent cx="628650" cy="495300"/>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6"/>
                    <a:stretch>
                      <a:fillRect/>
                    </a:stretch>
                  </pic:blipFill>
                  <pic:spPr bwMode="auto">
                    <a:xfrm>
                      <a:off x="0" y="0"/>
                      <a:ext cx="628650" cy="495300"/>
                    </a:xfrm>
                    <a:prstGeom prst="rect">
                      <a:avLst/>
                    </a:prstGeom>
                  </pic:spPr>
                </pic:pic>
              </a:graphicData>
            </a:graphic>
          </wp:inline>
        </w:drawing>
      </w:r>
    </w:p>
    <w:p>
      <w:pPr>
        <w:pStyle w:val="Caption"/>
        <w:keepNext/>
        <w:pageBreakBefore w:val="false"/>
        <w:widowControl w:val="false"/>
        <w:spacing w:before="0" w:after="0"/>
        <w:contextualSpacing/>
        <w:jc w:val="center"/>
        <w:rPr/>
      </w:pPr>
      <w:r>
        <w:rPr>
          <w:rFonts w:cs="Times New Roman" w:ascii="Times New Roman" w:hAnsi="Times New Roman"/>
          <w:b/>
          <w:i w:val="false"/>
          <w:szCs w:val="20"/>
        </w:rPr>
        <w:t>MINISTÉRIO DA DEFESA</w:t>
      </w:r>
    </w:p>
    <w:p>
      <w:pPr>
        <w:pStyle w:val="Normal"/>
        <w:keepNext/>
        <w:pageBreakBefore w:val="false"/>
        <w:widowControl w:val="false"/>
        <w:spacing w:before="0" w:after="0"/>
        <w:contextualSpacing/>
        <w:jc w:val="center"/>
        <w:rPr/>
      </w:pPr>
      <w:r>
        <w:rPr>
          <w:rFonts w:cs="Times New Roman" w:ascii="Times New Roman" w:hAnsi="Times New Roman"/>
          <w:b/>
          <w:bCs/>
          <w:szCs w:val="20"/>
          <w:lang w:eastAsia="ar-SA"/>
        </w:rPr>
        <w:t>EXÉRCITO BRASILEIRO</w:t>
      </w:r>
    </w:p>
    <w:p>
      <w:pPr>
        <w:pStyle w:val="Normal"/>
        <w:keepNext/>
        <w:pageBreakBefore w:val="false"/>
        <w:widowControl w:val="false"/>
        <w:spacing w:before="0" w:after="0"/>
        <w:contextualSpacing/>
        <w:jc w:val="center"/>
        <w:rPr/>
      </w:pPr>
      <w:r>
        <w:rPr>
          <w:rFonts w:cs="Times New Roman" w:ascii="Times New Roman" w:hAnsi="Times New Roman"/>
          <w:b/>
          <w:bCs/>
          <w:szCs w:val="20"/>
        </w:rPr>
        <w:t>HOSPITAL DE GUARNIÇÃO DE PORTO VELHO</w:t>
      </w:r>
    </w:p>
    <w:p>
      <w:pPr>
        <w:pStyle w:val="Normal"/>
        <w:keepNext/>
        <w:pageBreakBefore w:val="false"/>
        <w:widowControl w:val="false"/>
        <w:spacing w:before="0" w:after="0"/>
        <w:contextualSpacing/>
        <w:jc w:val="center"/>
        <w:rPr>
          <w:rFonts w:ascii="Times New Roman" w:hAnsi="Times New Roman" w:cs="Times New Roman"/>
          <w:b/>
          <w:b/>
          <w:bCs/>
          <w:szCs w:val="20"/>
        </w:rPr>
      </w:pPr>
      <w:r>
        <w:rPr>
          <w:rFonts w:cs="Times New Roman" w:ascii="Times New Roman" w:hAnsi="Times New Roman"/>
          <w:b/>
          <w:bCs/>
          <w:szCs w:val="20"/>
        </w:rPr>
      </w:r>
    </w:p>
    <w:p>
      <w:pPr>
        <w:pStyle w:val="Normal"/>
        <w:keepNext/>
        <w:pageBreakBefore w:val="false"/>
        <w:widowControl w:val="false"/>
        <w:spacing w:before="0" w:after="0"/>
        <w:contextualSpacing/>
        <w:jc w:val="center"/>
        <w:rPr/>
      </w:pPr>
      <w:r>
        <w:rPr>
          <w:rFonts w:cs="Arial"/>
          <w:b/>
          <w:bCs/>
          <w:szCs w:val="20"/>
        </w:rPr>
        <w:t>TERMO DE REFERÊNCIA</w:t>
      </w:r>
    </w:p>
    <w:p>
      <w:pPr>
        <w:pStyle w:val="Normal"/>
        <w:keepNext/>
        <w:pageBreakBefore w:val="false"/>
        <w:widowControl w:val="false"/>
        <w:spacing w:before="0" w:after="0"/>
        <w:contextualSpacing/>
        <w:jc w:val="center"/>
        <w:rPr>
          <w:rFonts w:cs="Arial"/>
          <w:b/>
          <w:b/>
          <w:bCs/>
          <w:iCs/>
          <w:color w:val="000000"/>
          <w:szCs w:val="20"/>
        </w:rPr>
      </w:pPr>
      <w:r>
        <w:rPr>
          <w:rFonts w:cs="Arial"/>
          <w:b/>
          <w:bCs/>
          <w:iCs/>
          <w:color w:val="000000"/>
          <w:szCs w:val="20"/>
        </w:rPr>
      </w:r>
    </w:p>
    <w:p>
      <w:pPr>
        <w:pStyle w:val="Normal"/>
        <w:keepNext/>
        <w:pageBreakBefore w:val="false"/>
        <w:widowControl w:val="false"/>
        <w:spacing w:before="0" w:after="0"/>
        <w:contextualSpacing/>
        <w:jc w:val="center"/>
        <w:rPr>
          <w:rFonts w:cs="Arial"/>
          <w:b/>
          <w:b/>
          <w:bCs/>
          <w:i/>
          <w:i/>
          <w:szCs w:val="20"/>
        </w:rPr>
      </w:pPr>
      <w:r>
        <w:rPr>
          <w:rFonts w:cs="Arial"/>
          <w:b/>
          <w:bCs/>
          <w:i/>
          <w:szCs w:val="20"/>
        </w:rPr>
      </w:r>
    </w:p>
    <w:p>
      <w:pPr>
        <w:pStyle w:val="Normal"/>
        <w:keepNext/>
        <w:pageBreakBefore w:val="false"/>
        <w:widowControl w:val="false"/>
        <w:spacing w:before="0" w:after="0"/>
        <w:contextualSpacing/>
        <w:jc w:val="center"/>
        <w:rPr/>
      </w:pPr>
      <w:r>
        <w:rPr>
          <w:rFonts w:cs="Arial"/>
          <w:b/>
          <w:bCs/>
          <w:i/>
          <w:szCs w:val="20"/>
        </w:rPr>
        <w:t>HOSPITAL DE GUARNIÇÃO DE PORTO VELHO – UASG 160351</w:t>
      </w:r>
    </w:p>
    <w:p>
      <w:pPr>
        <w:pStyle w:val="Normal"/>
        <w:keepNext/>
        <w:pageBreakBefore w:val="false"/>
        <w:widowControl w:val="false"/>
        <w:spacing w:before="0" w:after="0"/>
        <w:contextualSpacing/>
        <w:jc w:val="center"/>
        <w:rPr/>
      </w:pPr>
      <w:r>
        <w:rPr>
          <w:rFonts w:cs="Arial"/>
          <w:b/>
          <w:bCs/>
          <w:szCs w:val="20"/>
        </w:rPr>
        <w:t>DISPENSA ELETRÔNICA Nº 23/2022</w:t>
      </w:r>
    </w:p>
    <w:p>
      <w:pPr>
        <w:pStyle w:val="Normal"/>
        <w:keepNext/>
        <w:pageBreakBefore w:val="false"/>
        <w:widowControl w:val="false"/>
        <w:spacing w:before="0" w:after="0"/>
        <w:contextualSpacing/>
        <w:jc w:val="center"/>
        <w:rPr/>
      </w:pPr>
      <w:r>
        <w:rPr>
          <w:rFonts w:cs="Arial"/>
          <w:b/>
          <w:bCs/>
          <w:szCs w:val="20"/>
        </w:rPr>
        <w:t>(Processo Administrativo n.° 64593.006987/2022-40)</w:t>
      </w:r>
    </w:p>
    <w:p>
      <w:pPr>
        <w:pStyle w:val="Normal"/>
        <w:keepNext/>
        <w:pageBreakBefore w:val="false"/>
        <w:widowControl w:val="false"/>
        <w:spacing w:before="0" w:after="0"/>
        <w:contextualSpacing/>
        <w:jc w:val="center"/>
        <w:rPr>
          <w:rFonts w:cs="Arial"/>
          <w:b/>
          <w:b/>
          <w:bCs/>
          <w:szCs w:val="20"/>
        </w:rPr>
      </w:pPr>
      <w:r>
        <w:rPr>
          <w:rFonts w:cs="Arial"/>
          <w:b/>
          <w:bCs/>
          <w:szCs w:val="20"/>
        </w:rPr>
      </w:r>
    </w:p>
    <w:p>
      <w:pPr>
        <w:pStyle w:val="Nivel1"/>
        <w:keepNext/>
        <w:pageBreakBefore w:val="false"/>
        <w:widowControl w:val="false"/>
        <w:numPr>
          <w:ilvl w:val="0"/>
          <w:numId w:val="1"/>
        </w:numPr>
        <w:spacing w:lineRule="auto" w:line="240" w:before="0" w:after="0"/>
        <w:contextualSpacing/>
        <w:rPr/>
      </w:pPr>
      <w:r>
        <w:rPr>
          <w:color w:val="00000A"/>
        </w:rPr>
        <w:t>DO OBJETO</w:t>
      </w:r>
    </w:p>
    <w:p>
      <w:pPr>
        <w:pStyle w:val="Normal"/>
        <w:keepNext/>
        <w:pageBreakBefore w:val="false"/>
        <w:widowControl w:val="false"/>
        <w:numPr>
          <w:ilvl w:val="1"/>
          <w:numId w:val="1"/>
        </w:numPr>
        <w:spacing w:before="0" w:after="0"/>
        <w:contextualSpacing/>
        <w:jc w:val="both"/>
        <w:rPr/>
      </w:pPr>
      <w:r>
        <w:rPr>
          <w:rFonts w:cs="Arial"/>
          <w:szCs w:val="20"/>
        </w:rPr>
        <w:t>Aquisição de Tintas para Corredores e Consultórios do HGuPV</w:t>
      </w:r>
      <w:r>
        <w:rPr>
          <w:rFonts w:cs="Arial"/>
          <w:b/>
          <w:szCs w:val="20"/>
        </w:rPr>
        <w:t>,</w:t>
      </w:r>
      <w:r>
        <w:rPr>
          <w:rFonts w:cs="Arial"/>
          <w:szCs w:val="20"/>
        </w:rPr>
        <w:t xml:space="preserve"> conforme condições, quantidades e exigências estabelecidas neste instrumento:</w:t>
      </w:r>
    </w:p>
    <w:p>
      <w:pPr>
        <w:pStyle w:val="ListParagraph"/>
        <w:keepNext/>
        <w:pageBreakBefore w:val="false"/>
        <w:widowControl w:val="false"/>
        <w:numPr>
          <w:ilvl w:val="1"/>
          <w:numId w:val="1"/>
        </w:numPr>
        <w:jc w:val="both"/>
        <w:rPr/>
      </w:pPr>
      <w:r>
        <w:rPr>
          <w:rFonts w:cs="Arial"/>
          <w:bCs/>
          <w:iCs/>
          <w:szCs w:val="20"/>
        </w:rPr>
        <w:t>O prazo de vigência da contratação é de 12 (doze) meses contados do(a) homologação prorrogável na forma do art. 84, parágrafo único, da Lei n° 14.133/21.</w:t>
      </w:r>
    </w:p>
    <w:p>
      <w:pPr>
        <w:pStyle w:val="Nivel1"/>
        <w:keepNext/>
        <w:pageBreakBefore w:val="false"/>
        <w:widowControl w:val="false"/>
        <w:numPr>
          <w:ilvl w:val="0"/>
          <w:numId w:val="1"/>
        </w:numPr>
        <w:spacing w:lineRule="auto" w:line="240" w:before="0" w:after="0"/>
        <w:contextualSpacing/>
        <w:rPr/>
      </w:pPr>
      <w:r>
        <w:rPr>
          <w:color w:val="00000A"/>
        </w:rPr>
        <w:t>JUSTIFICATIVA E OBJETIVO DA CONTRATAÇÃO</w:t>
      </w:r>
    </w:p>
    <w:p>
      <w:pPr>
        <w:pStyle w:val="Normal"/>
        <w:keepNext/>
        <w:pageBreakBefore w:val="false"/>
        <w:widowControl w:val="false"/>
        <w:numPr>
          <w:ilvl w:val="1"/>
          <w:numId w:val="1"/>
        </w:numPr>
        <w:spacing w:before="0" w:after="0"/>
        <w:contextualSpacing/>
        <w:jc w:val="both"/>
        <w:rPr/>
      </w:pPr>
      <w:r>
        <w:rPr/>
        <w:t>A Justificativa e objetivo da contratação encontra-se pormenorizada em Tópico específico dos Estudos Técnicos Preliminares, apêndice deste Termo de Referência.</w:t>
      </w:r>
    </w:p>
    <w:p>
      <w:pPr>
        <w:pStyle w:val="Nivel1"/>
        <w:keepNext/>
        <w:pageBreakBefore w:val="false"/>
        <w:widowControl w:val="false"/>
        <w:numPr>
          <w:ilvl w:val="0"/>
          <w:numId w:val="1"/>
        </w:numPr>
        <w:spacing w:lineRule="auto" w:line="240" w:before="0" w:after="0"/>
        <w:contextualSpacing/>
        <w:rPr/>
      </w:pPr>
      <w:r>
        <w:rPr>
          <w:color w:val="00000A"/>
        </w:rPr>
        <w:t>DESCRIÇÃO DA SOLUÇÃO:</w:t>
      </w:r>
    </w:p>
    <w:p>
      <w:pPr>
        <w:pStyle w:val="Nivel1"/>
        <w:keepNext/>
        <w:pageBreakBefore w:val="false"/>
        <w:widowControl w:val="false"/>
        <w:numPr>
          <w:ilvl w:val="1"/>
          <w:numId w:val="1"/>
        </w:numPr>
        <w:spacing w:lineRule="auto" w:line="240" w:before="0" w:after="0"/>
        <w:contextualSpacing/>
        <w:rPr/>
      </w:pPr>
      <w:r>
        <w:rPr>
          <w:b w:val="false"/>
          <w:i/>
          <w:iCs/>
          <w:color w:val="00000A"/>
        </w:rPr>
        <w:t xml:space="preserve">A descrição da solução como um todo, encontra-se pormenorizada em Tópico específico </w:t>
      </w:r>
      <w:r>
        <w:rPr>
          <w:rFonts w:cs="Arial"/>
          <w:b w:val="false"/>
          <w:i/>
          <w:iCs/>
          <w:color w:val="00000A"/>
        </w:rPr>
        <w:t>dos</w:t>
      </w:r>
      <w:r>
        <w:rPr>
          <w:b w:val="false"/>
          <w:i/>
          <w:iCs/>
          <w:color w:val="00000A"/>
        </w:rPr>
        <w:t xml:space="preserve"> Estudos Técnicos Preliminares, apêndice deste Termo de Referência.</w:t>
      </w:r>
    </w:p>
    <w:p>
      <w:pPr>
        <w:pStyle w:val="Nivel1"/>
        <w:keepNext/>
        <w:pageBreakBefore w:val="false"/>
        <w:widowControl w:val="false"/>
        <w:numPr>
          <w:ilvl w:val="0"/>
          <w:numId w:val="1"/>
        </w:numPr>
        <w:spacing w:lineRule="auto" w:line="240" w:before="0" w:after="0"/>
        <w:contextualSpacing/>
        <w:rPr/>
      </w:pPr>
      <w:r>
        <w:rPr>
          <w:color w:val="00000A"/>
        </w:rPr>
        <w:t>CLASSIFICAÇÃO DOS BENS COMUNS</w:t>
      </w:r>
    </w:p>
    <w:p>
      <w:pPr>
        <w:pStyle w:val="Western"/>
        <w:keepNext/>
        <w:pageBreakBefore w:val="false"/>
        <w:widowControl w:val="false"/>
        <w:numPr>
          <w:ilvl w:val="1"/>
          <w:numId w:val="1"/>
        </w:numPr>
        <w:spacing w:lineRule="auto" w:line="240" w:before="0" w:after="0"/>
        <w:jc w:val="both"/>
        <w:rPr/>
      </w:pPr>
      <w:r>
        <w:rPr>
          <w:sz w:val="20"/>
          <w:szCs w:val="20"/>
        </w:rPr>
        <w:t>A natureza do objeto a ser contratado enquadra-se na classificação para contratação que envolva valores inferiores a R$ 54.020,41 (cinquenta e quatro mil, vinte reais e quarenta e um centavos), no caso de outros</w:t>
        <w:br/>
        <w:t>serviços e compras;definidos neste Termo de Referência, por meio de especificações usuais de mercado, nos termos</w:t>
      </w:r>
      <w:r>
        <w:rPr>
          <w:spacing w:val="4"/>
          <w:sz w:val="20"/>
          <w:szCs w:val="20"/>
        </w:rPr>
        <w:t xml:space="preserve"> da letra a), do inciso II, do art. 75, da Lei n° 14.133, de 1° de abril de 2021.</w:t>
      </w:r>
    </w:p>
    <w:p>
      <w:pPr>
        <w:pStyle w:val="Nivel1"/>
        <w:keepNext/>
        <w:pageBreakBefore w:val="false"/>
        <w:widowControl w:val="false"/>
        <w:numPr>
          <w:ilvl w:val="0"/>
          <w:numId w:val="1"/>
        </w:numPr>
        <w:spacing w:lineRule="auto" w:line="240" w:before="0" w:after="0"/>
        <w:contextualSpacing/>
        <w:rPr/>
      </w:pPr>
      <w:r>
        <w:rPr>
          <w:color w:val="00000A"/>
        </w:rPr>
        <w:t>ENTREGA E CRITÉRIOS DE ACEITAÇÃO DO OBJETO.</w:t>
      </w:r>
    </w:p>
    <w:p>
      <w:pPr>
        <w:pStyle w:val="Normal"/>
        <w:keepNext/>
        <w:pageBreakBefore w:val="false"/>
        <w:widowControl w:val="false"/>
        <w:numPr>
          <w:ilvl w:val="1"/>
          <w:numId w:val="1"/>
        </w:numPr>
        <w:spacing w:before="0" w:after="0"/>
        <w:contextualSpacing/>
        <w:jc w:val="both"/>
        <w:rPr/>
      </w:pPr>
      <w:r>
        <w:rPr>
          <w:rFonts w:cs="Arial"/>
          <w:iCs/>
          <w:szCs w:val="20"/>
        </w:rPr>
        <w:t xml:space="preserve">O prazo de entrega dos bens é de até 10 (dez) dias úteis, contados do recebimento da Nota de Empenho pelo fornecedor, em remessa </w:t>
      </w:r>
      <w:r>
        <w:rPr>
          <w:rFonts w:cs="Arial"/>
          <w:i/>
          <w:iCs/>
          <w:szCs w:val="20"/>
        </w:rPr>
        <w:t>única/parcela</w:t>
      </w:r>
      <w:r>
        <w:rPr>
          <w:rFonts w:cs="Arial"/>
          <w:iCs/>
          <w:szCs w:val="20"/>
        </w:rPr>
        <w:t xml:space="preserve">, no seguinte endereço </w:t>
      </w:r>
      <w:r>
        <w:rPr>
          <w:rFonts w:cs="Arial"/>
          <w:b/>
          <w:iCs/>
          <w:szCs w:val="20"/>
        </w:rPr>
        <w:t>Hospital de Guarnição de Porto Velho</w:t>
      </w:r>
      <w:r>
        <w:rPr>
          <w:rFonts w:cs="Arial"/>
          <w:iCs/>
          <w:szCs w:val="20"/>
        </w:rPr>
        <w:t>: Rua Rui Barbosa, 409, Bairro Centro, CEP 76.801-010 – Porto Velho/RO (Almoxarifado).</w:t>
      </w:r>
    </w:p>
    <w:p>
      <w:pPr>
        <w:pStyle w:val="Normal"/>
        <w:keepNext/>
        <w:pageBreakBefore w:val="false"/>
        <w:widowControl w:val="false"/>
        <w:numPr>
          <w:ilvl w:val="1"/>
          <w:numId w:val="1"/>
        </w:numPr>
        <w:spacing w:before="0" w:after="0"/>
        <w:ind w:left="425" w:hanging="0"/>
        <w:contextualSpacing/>
        <w:jc w:val="both"/>
        <w:rPr/>
      </w:pPr>
      <w:r>
        <w:rPr>
          <w:rFonts w:cs="Arial"/>
          <w:szCs w:val="20"/>
        </w:rPr>
        <w:t xml:space="preserve">Os bens serão recebidos provisoriamente no prazo de 02 (dois) dias, pelo(a) </w:t>
      </w:r>
      <w:r>
        <w:rPr>
          <w:rFonts w:cs="Arial"/>
          <w:iCs/>
          <w:szCs w:val="20"/>
        </w:rPr>
        <w:t>responsável</w:t>
      </w:r>
      <w:r>
        <w:rPr>
          <w:rFonts w:cs="Arial"/>
          <w:szCs w:val="20"/>
        </w:rPr>
        <w:t xml:space="preserve"> pelo acompanhamento e fiscalização do contrato, para efeito de posterior verificação de sua conformidade com as especificações constantes neste Termo de Referência e na proposta. </w:t>
      </w:r>
    </w:p>
    <w:p>
      <w:pPr>
        <w:pStyle w:val="Normal"/>
        <w:keepNext/>
        <w:pageBreakBefore w:val="false"/>
        <w:widowControl w:val="false"/>
        <w:numPr>
          <w:ilvl w:val="1"/>
          <w:numId w:val="1"/>
        </w:numPr>
        <w:spacing w:before="0" w:after="0"/>
        <w:ind w:left="425" w:hanging="0"/>
        <w:contextualSpacing/>
        <w:jc w:val="both"/>
        <w:rPr/>
      </w:pPr>
      <w:r>
        <w:rPr>
          <w:rFonts w:cs="Arial"/>
          <w:bCs/>
          <w:szCs w:val="20"/>
        </w:rPr>
        <w:t>Os bens poderão ser rejeitados, no todo ou em parte, quando em desacordo com as especificações constantes neste Termo de Referência e na proposta, devendo ser substituídos no prazo de 01(um) dia, a contar da notificação da contratada, às suas custas, sem prejuízo da aplicação das penalidades.</w:t>
      </w:r>
    </w:p>
    <w:p>
      <w:pPr>
        <w:pStyle w:val="Normal"/>
        <w:keepNext/>
        <w:pageBreakBefore w:val="false"/>
        <w:widowControl w:val="false"/>
        <w:numPr>
          <w:ilvl w:val="1"/>
          <w:numId w:val="1"/>
        </w:numPr>
        <w:spacing w:before="0" w:after="0"/>
        <w:ind w:left="425" w:hanging="0"/>
        <w:contextualSpacing/>
        <w:jc w:val="both"/>
        <w:rPr/>
      </w:pPr>
      <w:r>
        <w:rPr>
          <w:rFonts w:cs="Arial"/>
          <w:szCs w:val="20"/>
        </w:rPr>
        <w:t>Os bens serão recebidos definitivamente no prazo de 03 (três) dias, contados do recebimento provisório, após a verificação da qualidade e quantidade do material e consequente aceitação mediante termo circunstanciado.</w:t>
      </w:r>
    </w:p>
    <w:p>
      <w:pPr>
        <w:pStyle w:val="Normal"/>
        <w:keepNext/>
        <w:pageBreakBefore w:val="false"/>
        <w:widowControl w:val="false"/>
        <w:numPr>
          <w:ilvl w:val="2"/>
          <w:numId w:val="1"/>
        </w:numPr>
        <w:spacing w:before="0" w:after="0"/>
        <w:ind w:left="1134" w:hanging="0"/>
        <w:contextualSpacing/>
        <w:jc w:val="both"/>
        <w:rPr/>
      </w:pPr>
      <w:r>
        <w:rPr>
          <w:rFonts w:cs="Arial"/>
          <w:szCs w:val="20"/>
          <w:lang w:eastAsia="en-US"/>
        </w:rPr>
        <w:t>Na hipótese de a verificação a que se refere o subitem anterior não ser procedida dentro do prazo fixado, reputar-se-á como realizada, consumando-se o recebimento definitivo no dia do esgotamento do prazo.</w:t>
      </w:r>
    </w:p>
    <w:p>
      <w:pPr>
        <w:pStyle w:val="Normal"/>
        <w:keepNext/>
        <w:pageBreakBefore w:val="false"/>
        <w:widowControl w:val="false"/>
        <w:numPr>
          <w:ilvl w:val="1"/>
          <w:numId w:val="1"/>
        </w:numPr>
        <w:spacing w:before="0" w:after="0"/>
        <w:ind w:left="425" w:hanging="0"/>
        <w:contextualSpacing/>
        <w:jc w:val="both"/>
        <w:rPr/>
      </w:pPr>
      <w:r>
        <w:rPr>
          <w:rFonts w:cs="Arial"/>
          <w:szCs w:val="20"/>
          <w:lang w:eastAsia="en-US"/>
        </w:rPr>
        <w:t>O recebimento provisório ou definitivo do objeto não exclui a responsabilidade da contratada pelos prejuízos resultantes da incorreta execução do contrato.</w:t>
      </w:r>
    </w:p>
    <w:p>
      <w:pPr>
        <w:pStyle w:val="Normal"/>
        <w:keepNext/>
        <w:pageBreakBefore w:val="false"/>
        <w:widowControl w:val="false"/>
        <w:numPr>
          <w:ilvl w:val="1"/>
          <w:numId w:val="1"/>
        </w:numPr>
        <w:spacing w:before="0" w:after="0"/>
        <w:ind w:left="425" w:hanging="0"/>
        <w:contextualSpacing/>
        <w:jc w:val="both"/>
        <w:rPr/>
      </w:pPr>
      <w:r>
        <w:rPr/>
        <w:t>O fornecedor vencedor deverá retirar o pneu usado, instalar o novo com válvula nova, balancear os pneus e realizar o alinhamento do veículo.</w:t>
      </w:r>
    </w:p>
    <w:p>
      <w:pPr>
        <w:pStyle w:val="Nivel1"/>
        <w:keepNext/>
        <w:pageBreakBefore w:val="false"/>
        <w:widowControl w:val="false"/>
        <w:numPr>
          <w:ilvl w:val="0"/>
          <w:numId w:val="1"/>
        </w:numPr>
        <w:spacing w:lineRule="auto" w:line="240" w:before="0" w:after="0"/>
        <w:contextualSpacing/>
        <w:rPr/>
      </w:pPr>
      <w:r>
        <w:rPr>
          <w:color w:val="00000A"/>
          <w:lang w:eastAsia="en-US"/>
        </w:rPr>
        <w:t>OBRIGAÇÕES DA CONTRATANTE</w:t>
      </w:r>
    </w:p>
    <w:p>
      <w:pPr>
        <w:pStyle w:val="Normal"/>
        <w:keepNext/>
        <w:pageBreakBefore w:val="false"/>
        <w:widowControl w:val="false"/>
        <w:numPr>
          <w:ilvl w:val="1"/>
          <w:numId w:val="1"/>
        </w:numPr>
        <w:spacing w:before="0" w:after="0"/>
        <w:ind w:left="425" w:hanging="0"/>
        <w:contextualSpacing/>
        <w:jc w:val="both"/>
        <w:rPr/>
      </w:pPr>
      <w:r>
        <w:rPr>
          <w:rFonts w:cs="Arial"/>
          <w:szCs w:val="20"/>
        </w:rPr>
        <w:t>São obrigações da Contratante:</w:t>
      </w:r>
    </w:p>
    <w:p>
      <w:pPr>
        <w:pStyle w:val="Normal"/>
        <w:keepNext/>
        <w:pageBreakBefore w:val="false"/>
        <w:widowControl w:val="false"/>
        <w:numPr>
          <w:ilvl w:val="2"/>
          <w:numId w:val="1"/>
        </w:numPr>
        <w:spacing w:before="0" w:after="0"/>
        <w:ind w:left="1134" w:hanging="0"/>
        <w:contextualSpacing/>
        <w:jc w:val="both"/>
        <w:rPr/>
      </w:pPr>
      <w:r>
        <w:rPr>
          <w:rFonts w:cs="Arial"/>
          <w:szCs w:val="20"/>
        </w:rPr>
        <w:t>receber o objeto no prazo e condições estabelecidas no Edital e seus anexos;</w:t>
      </w:r>
    </w:p>
    <w:p>
      <w:pPr>
        <w:pStyle w:val="Normal"/>
        <w:keepNext/>
        <w:pageBreakBefore w:val="false"/>
        <w:widowControl w:val="false"/>
        <w:numPr>
          <w:ilvl w:val="2"/>
          <w:numId w:val="1"/>
        </w:numPr>
        <w:spacing w:before="0" w:after="0"/>
        <w:ind w:left="1134" w:hanging="0"/>
        <w:contextualSpacing/>
        <w:jc w:val="both"/>
        <w:rPr/>
      </w:pPr>
      <w:r>
        <w:rPr>
          <w:rFonts w:cs="Arial"/>
          <w:szCs w:val="20"/>
          <w:lang w:eastAsia="en-US"/>
        </w:rPr>
        <w:t>verificar minuciosamente, no prazo fixado, a conformidade dos bens recebidos provisoriamente com as especificações constantes do Edital e da proposta, para fins de aceitação e recebimento definitivo;</w:t>
      </w:r>
    </w:p>
    <w:p>
      <w:pPr>
        <w:pStyle w:val="Normal"/>
        <w:keepNext/>
        <w:pageBreakBefore w:val="false"/>
        <w:widowControl w:val="false"/>
        <w:spacing w:before="0" w:after="0"/>
        <w:ind w:left="1134" w:hanging="0"/>
        <w:contextualSpacing/>
        <w:jc w:val="both"/>
        <w:rPr>
          <w:rFonts w:cs="Arial"/>
          <w:szCs w:val="20"/>
          <w:lang w:eastAsia="en-US"/>
        </w:rPr>
      </w:pPr>
      <w:r>
        <w:rPr>
          <w:rFonts w:cs="Arial"/>
          <w:szCs w:val="20"/>
          <w:lang w:eastAsia="en-US"/>
        </w:rPr>
      </w:r>
    </w:p>
    <w:p>
      <w:pPr>
        <w:pStyle w:val="Normal"/>
        <w:keepNext/>
        <w:pageBreakBefore w:val="false"/>
        <w:widowControl w:val="false"/>
        <w:numPr>
          <w:ilvl w:val="2"/>
          <w:numId w:val="1"/>
        </w:numPr>
        <w:spacing w:before="0" w:after="0"/>
        <w:ind w:left="1134" w:hanging="0"/>
        <w:contextualSpacing/>
        <w:jc w:val="both"/>
        <w:rPr/>
      </w:pPr>
      <w:r>
        <w:rPr>
          <w:rFonts w:cs="Arial"/>
          <w:szCs w:val="20"/>
        </w:rPr>
        <w:t>comunicar à Contratada, por escrito, sobre imperfeições, falhas ou irregularidades verificadas no objeto fornecido, para que seja substituído, reparado ou corrigido;</w:t>
      </w:r>
    </w:p>
    <w:p>
      <w:pPr>
        <w:pStyle w:val="Normal"/>
        <w:keepNext/>
        <w:pageBreakBefore w:val="false"/>
        <w:widowControl w:val="false"/>
        <w:numPr>
          <w:ilvl w:val="2"/>
          <w:numId w:val="1"/>
        </w:numPr>
        <w:spacing w:before="0" w:after="0"/>
        <w:ind w:left="1134" w:hanging="0"/>
        <w:contextualSpacing/>
        <w:jc w:val="both"/>
        <w:rPr/>
      </w:pPr>
      <w:r>
        <w:rPr>
          <w:rFonts w:cs="Arial"/>
          <w:szCs w:val="20"/>
          <w:lang w:eastAsia="en-US"/>
        </w:rPr>
        <w:t>acompanhar e fiscalizar o cumprimento das obrigações da Contratada, através de comissão/servidor especialmente designado;</w:t>
      </w:r>
    </w:p>
    <w:p>
      <w:pPr>
        <w:pStyle w:val="Normal"/>
        <w:keepNext/>
        <w:pageBreakBefore w:val="false"/>
        <w:widowControl w:val="false"/>
        <w:numPr>
          <w:ilvl w:val="2"/>
          <w:numId w:val="1"/>
        </w:numPr>
        <w:spacing w:before="0" w:after="0"/>
        <w:ind w:left="1134" w:hanging="0"/>
        <w:contextualSpacing/>
        <w:jc w:val="both"/>
        <w:rPr/>
      </w:pPr>
      <w:r>
        <w:rPr>
          <w:rFonts w:cs="Arial"/>
          <w:szCs w:val="20"/>
        </w:rPr>
        <w:t>efetuar o pagamento à Contratadano valor correspondente ao fornecimento do objeto, no prazo e forma estabelecidos no Edital e seus anexos;</w:t>
      </w:r>
    </w:p>
    <w:p>
      <w:pPr>
        <w:pStyle w:val="Normal"/>
        <w:keepNext/>
        <w:pageBreakBefore w:val="false"/>
        <w:widowControl w:val="false"/>
        <w:numPr>
          <w:ilvl w:val="1"/>
          <w:numId w:val="1"/>
        </w:numPr>
        <w:spacing w:before="0" w:after="0"/>
        <w:ind w:left="425" w:hanging="0"/>
        <w:contextualSpacing/>
        <w:jc w:val="both"/>
        <w:rPr/>
      </w:pPr>
      <w:r>
        <w:rPr>
          <w:rFonts w:cs="Arial"/>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ivel1"/>
        <w:keepNext/>
        <w:pageBreakBefore w:val="false"/>
        <w:widowControl w:val="false"/>
        <w:numPr>
          <w:ilvl w:val="0"/>
          <w:numId w:val="1"/>
        </w:numPr>
        <w:spacing w:lineRule="auto" w:line="240" w:before="0" w:after="0"/>
        <w:contextualSpacing/>
        <w:rPr/>
      </w:pPr>
      <w:r>
        <w:rPr>
          <w:color w:val="00000A"/>
        </w:rPr>
        <w:t>OBRIGAÇÕES DA CONTRATADA</w:t>
      </w:r>
    </w:p>
    <w:p>
      <w:pPr>
        <w:pStyle w:val="Normal"/>
        <w:keepNext/>
        <w:pageBreakBefore w:val="false"/>
        <w:widowControl w:val="false"/>
        <w:numPr>
          <w:ilvl w:val="1"/>
          <w:numId w:val="1"/>
        </w:numPr>
        <w:spacing w:before="0" w:after="0"/>
        <w:ind w:left="425" w:hanging="0"/>
        <w:contextualSpacing/>
        <w:jc w:val="both"/>
        <w:rPr/>
      </w:pPr>
      <w:r>
        <w:rPr>
          <w:rFonts w:cs="Arial"/>
          <w:szCs w:val="20"/>
        </w:rPr>
        <w:t>A Contratada deve cumprir todas as obrigações constantes no Edital, seus anexos e sua proposta, assumindo como exclusivamente seus os riscos e as despesas decorrentes da boa e perfeita execução do objeto e, ainda:</w:t>
      </w:r>
    </w:p>
    <w:p>
      <w:pPr>
        <w:pStyle w:val="Normal"/>
        <w:keepNext/>
        <w:pageBreakBefore w:val="false"/>
        <w:widowControl w:val="false"/>
        <w:numPr>
          <w:ilvl w:val="2"/>
          <w:numId w:val="1"/>
        </w:numPr>
        <w:spacing w:before="0" w:after="0"/>
        <w:ind w:left="1134" w:hanging="0"/>
        <w:contextualSpacing/>
        <w:jc w:val="both"/>
        <w:rPr/>
      </w:pPr>
      <w:r>
        <w:rPr>
          <w:rFonts w:cs="Arial"/>
          <w:szCs w:val="20"/>
        </w:rPr>
        <w:t xml:space="preserve">efetuar a entrega do objeto em perfeitas condições, conforme especificações, prazo e local constantes no Termo de Referência e seus anexos, acompanhado da respectiva nota fiscal, na qual constarão as indicações referentes a: </w:t>
      </w:r>
      <w:r>
        <w:rPr>
          <w:rFonts w:cs="Arial"/>
          <w:i/>
          <w:szCs w:val="20"/>
        </w:rPr>
        <w:t>marca, fabricante, modelo, procedência e prazo de garantia ou validade;</w:t>
      </w:r>
    </w:p>
    <w:p>
      <w:pPr>
        <w:pStyle w:val="Normal"/>
        <w:keepNext/>
        <w:pageBreakBefore w:val="false"/>
        <w:widowControl w:val="false"/>
        <w:numPr>
          <w:ilvl w:val="3"/>
          <w:numId w:val="1"/>
        </w:numPr>
        <w:spacing w:before="0" w:after="0"/>
        <w:ind w:left="1701" w:hanging="0"/>
        <w:contextualSpacing/>
        <w:jc w:val="both"/>
        <w:rPr/>
      </w:pPr>
      <w:r>
        <w:rPr>
          <w:rFonts w:cs="Arial"/>
          <w:szCs w:val="20"/>
        </w:rPr>
        <w:t>O</w:t>
      </w:r>
      <w:r>
        <w:rPr>
          <w:rFonts w:cs="Arial"/>
          <w:i/>
          <w:szCs w:val="20"/>
        </w:rPr>
        <w:t xml:space="preserve"> objeto deve estar acompanhado do manual do usuário, com uma </w:t>
      </w:r>
      <w:r>
        <w:rPr>
          <w:rFonts w:cs="Arial"/>
          <w:bCs/>
          <w:i/>
          <w:iCs/>
          <w:szCs w:val="20"/>
          <w:lang w:eastAsia="en-US"/>
        </w:rPr>
        <w:t>versão</w:t>
      </w:r>
      <w:r>
        <w:rPr>
          <w:rFonts w:cs="Arial"/>
          <w:i/>
          <w:szCs w:val="20"/>
        </w:rPr>
        <w:t xml:space="preserve"> em português e da relação da rede de assistência técnica autorizada;</w:t>
      </w:r>
    </w:p>
    <w:p>
      <w:pPr>
        <w:pStyle w:val="Normal"/>
        <w:keepNext/>
        <w:pageBreakBefore w:val="false"/>
        <w:widowControl w:val="false"/>
        <w:numPr>
          <w:ilvl w:val="2"/>
          <w:numId w:val="1"/>
        </w:numPr>
        <w:spacing w:before="0" w:after="0"/>
        <w:ind w:left="1134" w:hanging="0"/>
        <w:contextualSpacing/>
        <w:jc w:val="both"/>
        <w:rPr/>
      </w:pPr>
      <w:r>
        <w:rPr>
          <w:rFonts w:cs="Arial"/>
          <w:szCs w:val="20"/>
        </w:rPr>
        <w:t>responsabilizar-se pelos vícios e danos decorrentes do objeto, de acordo com os artigos 12, 13 e 17 a 27, do Código de Defesa do Consumidor (Lei nº 8.078, de 1990);</w:t>
      </w:r>
    </w:p>
    <w:p>
      <w:pPr>
        <w:pStyle w:val="Normal"/>
        <w:keepNext/>
        <w:pageBreakBefore w:val="false"/>
        <w:widowControl w:val="false"/>
        <w:numPr>
          <w:ilvl w:val="2"/>
          <w:numId w:val="1"/>
        </w:numPr>
        <w:spacing w:before="0" w:after="0"/>
        <w:ind w:left="1134" w:hanging="0"/>
        <w:contextualSpacing/>
        <w:jc w:val="both"/>
        <w:rPr/>
      </w:pPr>
      <w:r>
        <w:rPr>
          <w:rFonts w:cs="Arial"/>
          <w:szCs w:val="20"/>
        </w:rPr>
        <w:t>substituir, reparar ou corrigir, às suas expensas, no prazo fixado neste Termo de Referência, o objeto com avarias ou defeitos;</w:t>
      </w:r>
    </w:p>
    <w:p>
      <w:pPr>
        <w:pStyle w:val="Normal"/>
        <w:keepNext/>
        <w:pageBreakBefore w:val="false"/>
        <w:widowControl w:val="false"/>
        <w:numPr>
          <w:ilvl w:val="2"/>
          <w:numId w:val="1"/>
        </w:numPr>
        <w:spacing w:before="0" w:after="0"/>
        <w:ind w:left="1134" w:hanging="0"/>
        <w:contextualSpacing/>
        <w:jc w:val="both"/>
        <w:rPr/>
      </w:pPr>
      <w:r>
        <w:rPr>
          <w:rFonts w:cs="Arial"/>
          <w:szCs w:val="20"/>
        </w:rPr>
        <w:t>comunicar à Contratante, no prazo máximo de 24 (vinte e quatro) horas que antecede a data da entrega, os motivos que impossibilitem o cumprimento do prazo previsto, com a devida comprovação;</w:t>
      </w:r>
    </w:p>
    <w:p>
      <w:pPr>
        <w:pStyle w:val="Normal"/>
        <w:keepNext/>
        <w:pageBreakBefore w:val="false"/>
        <w:widowControl w:val="false"/>
        <w:numPr>
          <w:ilvl w:val="2"/>
          <w:numId w:val="1"/>
        </w:numPr>
        <w:spacing w:before="0" w:after="0"/>
        <w:ind w:left="1134" w:hanging="0"/>
        <w:contextualSpacing/>
        <w:jc w:val="both"/>
        <w:rPr/>
      </w:pPr>
      <w:r>
        <w:rPr>
          <w:rFonts w:cs="Arial"/>
          <w:szCs w:val="20"/>
        </w:rPr>
        <w:t>manter, durante toda a execução do contrato, em compatibilidade com as obrigações assumidas, todas as condições de habilitação e qualificação exigidas na licitação;</w:t>
      </w:r>
    </w:p>
    <w:p>
      <w:pPr>
        <w:pStyle w:val="Normal"/>
        <w:keepNext/>
        <w:pageBreakBefore w:val="false"/>
        <w:widowControl w:val="false"/>
        <w:numPr>
          <w:ilvl w:val="2"/>
          <w:numId w:val="1"/>
        </w:numPr>
        <w:spacing w:before="0" w:after="0"/>
        <w:ind w:left="1134" w:hanging="0"/>
        <w:contextualSpacing/>
        <w:jc w:val="both"/>
        <w:rPr/>
      </w:pPr>
      <w:r>
        <w:rPr>
          <w:rFonts w:cs="Arial"/>
          <w:szCs w:val="20"/>
        </w:rPr>
        <w:t>indicar preposto para representá-la durante a execução do contrato.</w:t>
      </w:r>
    </w:p>
    <w:p>
      <w:pPr>
        <w:pStyle w:val="Normal"/>
        <w:keepNext/>
        <w:pageBreakBefore w:val="false"/>
        <w:widowControl w:val="false"/>
        <w:numPr>
          <w:ilvl w:val="2"/>
          <w:numId w:val="1"/>
        </w:numPr>
        <w:spacing w:before="0" w:after="0"/>
        <w:contextualSpacing/>
        <w:jc w:val="both"/>
        <w:rPr/>
      </w:pPr>
      <w:r>
        <w:rPr>
          <w:rFonts w:cs="Arial"/>
          <w:szCs w:val="20"/>
        </w:rPr>
        <w:t xml:space="preserve">Emitir as Notas Fiscais conforme CNPJ indicado na Nota de Empenho e enviá-las para os e-mails: </w:t>
      </w:r>
      <w:hyperlink r:id="rId7">
        <w:r>
          <w:rPr>
            <w:rStyle w:val="LinkdaInternet"/>
            <w:rFonts w:cs="Arial"/>
            <w:color w:val="00000A"/>
            <w:szCs w:val="20"/>
            <w:u w:val="none"/>
          </w:rPr>
          <w:t>almoxarife@hgupv.eb.mil.br</w:t>
        </w:r>
      </w:hyperlink>
      <w:r>
        <w:rPr>
          <w:rStyle w:val="LinkdaInternet"/>
          <w:rFonts w:cs="Arial"/>
          <w:color w:val="00000A"/>
          <w:szCs w:val="20"/>
          <w:u w:val="none"/>
        </w:rPr>
        <w:t>.</w:t>
      </w:r>
    </w:p>
    <w:p>
      <w:pPr>
        <w:pStyle w:val="Normal"/>
        <w:keepNext/>
        <w:pageBreakBefore w:val="false"/>
        <w:widowControl w:val="false"/>
        <w:numPr>
          <w:ilvl w:val="2"/>
          <w:numId w:val="1"/>
        </w:numPr>
        <w:spacing w:before="0" w:after="0"/>
        <w:contextualSpacing/>
        <w:jc w:val="both"/>
        <w:rPr/>
      </w:pPr>
      <w:r>
        <w:rPr>
          <w:rFonts w:cs="Arial"/>
          <w:szCs w:val="20"/>
        </w:rPr>
        <w:t>adotar práticas de sustentabilidade adequadas que o objeto contratual o exigir, devendo ser dada prioridade para produtos reciclados e recicláveis e para bens que considerem critérios compatíveis com padrões de consumo social e ambientalmente sustentáveis (artigo 7o, XI, da Lei no 12.305, de 2010 - Política Nacional de Resíduos Sólidos), devendo ser observadas, ainda, as Instruções Normativas SLTI/MPOG ns. 01/2010 e 01/2014, bem como os atos normativos editados pelos órgãos de proteção ao meio ambiente;</w:t>
      </w:r>
    </w:p>
    <w:p>
      <w:pPr>
        <w:pStyle w:val="Normal"/>
        <w:keepNext/>
        <w:pageBreakBefore w:val="false"/>
        <w:widowControl w:val="false"/>
        <w:numPr>
          <w:ilvl w:val="1"/>
          <w:numId w:val="1"/>
        </w:numPr>
        <w:spacing w:before="0" w:after="0"/>
        <w:contextualSpacing/>
        <w:jc w:val="both"/>
        <w:rPr/>
      </w:pPr>
      <w:r>
        <w:rPr>
          <w:rStyle w:val="LinkdaInternet"/>
          <w:rFonts w:cs="Arial"/>
          <w:b/>
          <w:bCs/>
          <w:color w:val="00000A"/>
          <w:szCs w:val="20"/>
          <w:u w:val="none"/>
        </w:rPr>
        <w:t>Todos os custos para o transportes da mercadoria até o local indicado ocorrerão por conta da empresa vencedora sem custos adicionais ao HGuPV.</w:t>
      </w:r>
    </w:p>
    <w:p>
      <w:pPr>
        <w:pStyle w:val="Normal"/>
        <w:keepNext/>
        <w:pageBreakBefore w:val="false"/>
        <w:widowControl w:val="false"/>
        <w:numPr>
          <w:ilvl w:val="1"/>
          <w:numId w:val="1"/>
        </w:numPr>
        <w:spacing w:before="0" w:after="0"/>
        <w:contextualSpacing/>
        <w:jc w:val="both"/>
        <w:rPr/>
      </w:pPr>
      <w:r>
        <w:rPr>
          <w:rStyle w:val="LinkdaInternet"/>
          <w:rFonts w:cs="Arial"/>
          <w:b/>
          <w:bCs/>
          <w:color w:val="00000A"/>
          <w:szCs w:val="20"/>
          <w:u w:val="none"/>
        </w:rPr>
        <w:t>A empresa ganhadora deverá fornecer todos os componentes necessários para a aplicação da tinta.</w:t>
      </w:r>
    </w:p>
    <w:p>
      <w:pPr>
        <w:pStyle w:val="Nivel1"/>
        <w:keepNext/>
        <w:pageBreakBefore w:val="false"/>
        <w:widowControl w:val="false"/>
        <w:numPr>
          <w:ilvl w:val="0"/>
          <w:numId w:val="1"/>
        </w:numPr>
        <w:spacing w:lineRule="auto" w:line="240" w:before="113" w:after="0"/>
        <w:contextualSpacing/>
        <w:rPr/>
      </w:pPr>
      <w:r>
        <w:rPr>
          <w:color w:val="00000A"/>
        </w:rPr>
        <w:t>DA SUBCONTRATAÇÃO</w:t>
      </w:r>
    </w:p>
    <w:p>
      <w:pPr>
        <w:pStyle w:val="ListParagraph"/>
        <w:keepNext/>
        <w:pageBreakBefore w:val="false"/>
        <w:widowControl w:val="false"/>
        <w:numPr>
          <w:ilvl w:val="1"/>
          <w:numId w:val="1"/>
        </w:numPr>
        <w:spacing w:lineRule="auto" w:line="276" w:before="120" w:after="120"/>
        <w:contextualSpacing/>
        <w:jc w:val="both"/>
        <w:rPr/>
      </w:pPr>
      <w:r>
        <w:rPr>
          <w:rFonts w:cs="Arial"/>
          <w:i/>
          <w:szCs w:val="20"/>
        </w:rPr>
        <w:t>Não será permitida a subcontratação</w:t>
      </w:r>
    </w:p>
    <w:p>
      <w:pPr>
        <w:pStyle w:val="Nivel1"/>
        <w:keepNext/>
        <w:pageBreakBefore w:val="false"/>
        <w:widowControl w:val="false"/>
        <w:numPr>
          <w:ilvl w:val="0"/>
          <w:numId w:val="1"/>
        </w:numPr>
        <w:spacing w:lineRule="auto" w:line="240" w:before="0" w:after="0"/>
        <w:contextualSpacing/>
        <w:rPr/>
      </w:pPr>
      <w:r>
        <w:rPr>
          <w:color w:val="00000A"/>
          <w:lang w:eastAsia="en-US"/>
        </w:rPr>
        <w:t>DA ALTERAÇÃO SUBJETIVA</w:t>
      </w:r>
    </w:p>
    <w:p>
      <w:pPr>
        <w:pStyle w:val="Normal"/>
        <w:keepNext/>
        <w:pageBreakBefore w:val="false"/>
        <w:widowControl w:val="false"/>
        <w:numPr>
          <w:ilvl w:val="1"/>
          <w:numId w:val="1"/>
        </w:numPr>
        <w:spacing w:before="0" w:after="0"/>
        <w:ind w:left="425" w:hanging="0"/>
        <w:contextualSpacing/>
        <w:jc w:val="both"/>
        <w:rPr/>
      </w:pPr>
      <w:r>
        <w:rPr>
          <w:rFonts w:cs="Arial"/>
          <w:szCs w:val="20"/>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Nivel1"/>
        <w:keepNext/>
        <w:pageBreakBefore w:val="false"/>
        <w:widowControl w:val="false"/>
        <w:numPr>
          <w:ilvl w:val="0"/>
          <w:numId w:val="1"/>
        </w:numPr>
        <w:spacing w:lineRule="auto" w:line="240" w:before="0" w:after="0"/>
        <w:contextualSpacing/>
        <w:rPr/>
      </w:pPr>
      <w:r>
        <w:rPr>
          <w:color w:val="00000A"/>
          <w:lang w:eastAsia="en-US"/>
        </w:rPr>
        <w:t>DO CONTROLE E FISCALIZAÇÃO DA EXECUÇÃO</w:t>
      </w:r>
    </w:p>
    <w:p>
      <w:pPr>
        <w:pStyle w:val="Normal"/>
        <w:keepNext/>
        <w:pageBreakBefore w:val="false"/>
        <w:widowControl w:val="false"/>
        <w:numPr>
          <w:ilvl w:val="1"/>
          <w:numId w:val="1"/>
        </w:numPr>
        <w:spacing w:before="0" w:after="0"/>
        <w:ind w:left="425" w:hanging="0"/>
        <w:contextualSpacing/>
        <w:jc w:val="both"/>
        <w:rPr/>
      </w:pPr>
      <w:r>
        <w:rPr>
          <w:rFonts w:cs="Arial"/>
          <w:szCs w:val="20"/>
        </w:rPr>
        <w:t>Nos termos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pPr>
        <w:pStyle w:val="Normal"/>
        <w:keepNext/>
        <w:pageBreakBefore w:val="false"/>
        <w:widowControl w:val="false"/>
        <w:numPr>
          <w:ilvl w:val="2"/>
          <w:numId w:val="1"/>
        </w:numPr>
        <w:spacing w:before="0" w:after="0"/>
        <w:ind w:left="1134" w:hanging="0"/>
        <w:contextualSpacing/>
        <w:jc w:val="both"/>
        <w:rPr/>
      </w:pPr>
      <w:r>
        <w:rPr>
          <w:rFonts w:cs="Arial"/>
          <w:szCs w:val="20"/>
          <w:lang w:eastAsia="en-US"/>
        </w:rPr>
        <w:t>O recebimento de material de valor superior a R$ 176.000,00 (cento e setenta e seis mil reais) será confiado a uma comissão de, no mínimo, 3 (três) membros, designados pela autoridade competente.</w:t>
      </w:r>
    </w:p>
    <w:p>
      <w:pPr>
        <w:pStyle w:val="Normal"/>
        <w:keepNext/>
        <w:pageBreakBefore w:val="false"/>
        <w:widowControl w:val="false"/>
        <w:numPr>
          <w:ilvl w:val="1"/>
          <w:numId w:val="1"/>
        </w:numPr>
        <w:spacing w:before="0" w:after="0"/>
        <w:ind w:left="425" w:hanging="0"/>
        <w:contextualSpacing/>
        <w:jc w:val="both"/>
        <w:rPr/>
      </w:pPr>
      <w:r>
        <w:rPr>
          <w:rFonts w:cs="Arial"/>
          <w:szCs w:val="20"/>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da Lei nº 14.133, de 2021.</w:t>
      </w:r>
    </w:p>
    <w:p>
      <w:pPr>
        <w:pStyle w:val="Normal"/>
        <w:keepNext/>
        <w:pageBreakBefore w:val="false"/>
        <w:widowControl w:val="false"/>
        <w:numPr>
          <w:ilvl w:val="1"/>
          <w:numId w:val="1"/>
        </w:numPr>
        <w:spacing w:before="0" w:after="0"/>
        <w:ind w:left="425" w:hanging="0"/>
        <w:contextualSpacing/>
        <w:jc w:val="both"/>
        <w:rPr/>
      </w:pPr>
      <w:r>
        <w:rPr>
          <w:rFonts w:cs="Arial"/>
          <w:szCs w:val="2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pPr>
        <w:pStyle w:val="Nivel1"/>
        <w:keepNext/>
        <w:pageBreakBefore w:val="false"/>
        <w:widowControl w:val="false"/>
        <w:numPr>
          <w:ilvl w:val="0"/>
          <w:numId w:val="1"/>
        </w:numPr>
        <w:spacing w:lineRule="auto" w:line="240" w:before="0" w:after="0"/>
        <w:contextualSpacing/>
        <w:rPr/>
      </w:pPr>
      <w:r>
        <w:rPr>
          <w:color w:val="00000A"/>
        </w:rPr>
        <w:t>DO PAGAMENTO</w:t>
      </w:r>
    </w:p>
    <w:p>
      <w:pPr>
        <w:pStyle w:val="ListParagraph"/>
        <w:keepNext/>
        <w:pageBreakBefore w:val="false"/>
        <w:widowControl w:val="false"/>
        <w:numPr>
          <w:ilvl w:val="1"/>
          <w:numId w:val="1"/>
        </w:numPr>
        <w:jc w:val="both"/>
        <w:rPr/>
      </w:pPr>
      <w:r>
        <w:rPr>
          <w:rFonts w:cs="Arial"/>
          <w:szCs w:val="20"/>
          <w:lang w:eastAsia="en-US"/>
        </w:rPr>
        <w:t xml:space="preserve">O pagamento será realizado no prazo máximo de até 30 (trinta) dias, contados a partir </w:t>
      </w:r>
      <w:r>
        <w:rPr>
          <w:rFonts w:cs="Arial"/>
          <w:szCs w:val="20"/>
        </w:rPr>
        <w:t xml:space="preserve">do recebimento da Nota Fiscal ou Fatura, </w:t>
      </w:r>
      <w:r>
        <w:rPr>
          <w:rFonts w:cs="Arial"/>
          <w:szCs w:val="20"/>
          <w:lang w:eastAsia="en-US"/>
        </w:rPr>
        <w:t>através de ordem bancária, para crédito em banco, agência e conta corrente indicados pelo contratado.</w:t>
      </w:r>
    </w:p>
    <w:p>
      <w:pPr>
        <w:pStyle w:val="ListParagraph"/>
        <w:keepNext/>
        <w:pageBreakBefore w:val="false"/>
        <w:widowControl w:val="false"/>
        <w:numPr>
          <w:ilvl w:val="2"/>
          <w:numId w:val="1"/>
        </w:numPr>
        <w:jc w:val="both"/>
        <w:rPr/>
      </w:pPr>
      <w:r>
        <w:rPr>
          <w:rFonts w:cs="Arial"/>
          <w:szCs w:val="20"/>
          <w:lang w:eastAsia="en-US"/>
        </w:rPr>
        <w:t xml:space="preserve">Os pagamentos decorrentes de despesas cujos valores não ultrapassem o limite </w:t>
      </w:r>
      <w:r>
        <w:rPr>
          <w:rFonts w:cs="Arial"/>
          <w:szCs w:val="20"/>
        </w:rPr>
        <w:t>de que trata o inciso II do art. 75</w:t>
      </w:r>
      <w:r>
        <w:rPr>
          <w:rFonts w:cs="Arial"/>
          <w:szCs w:val="20"/>
          <w:lang w:eastAsia="en-US"/>
        </w:rPr>
        <w:t xml:space="preserve"> da Lei 14.133 de 2021, deverão ser efetuados no prazo de até 5 (cinco) dias úteis, contados da data da apresentação da Nota Fiscal, nos termos da Lei nº 14.133, de 2021.</w:t>
      </w:r>
    </w:p>
    <w:p>
      <w:pPr>
        <w:pStyle w:val="ListParagraph"/>
        <w:keepNext/>
        <w:pageBreakBefore w:val="false"/>
        <w:widowControl w:val="false"/>
        <w:numPr>
          <w:ilvl w:val="1"/>
          <w:numId w:val="1"/>
        </w:numPr>
        <w:jc w:val="both"/>
        <w:rPr/>
      </w:pPr>
      <w:r>
        <w:rPr>
          <w:rFonts w:cs="Arial"/>
          <w:szCs w:val="20"/>
        </w:rPr>
        <w:t>Considera-se ocorrido o recebimento da nota fiscal ou fatura no momento em que o órgão contratante atestar a execução do objeto do contrato.</w:t>
      </w:r>
    </w:p>
    <w:p>
      <w:pPr>
        <w:pStyle w:val="Normal"/>
        <w:keepNext/>
        <w:pageBreakBefore w:val="false"/>
        <w:widowControl w:val="false"/>
        <w:numPr>
          <w:ilvl w:val="1"/>
          <w:numId w:val="1"/>
        </w:numPr>
        <w:spacing w:before="0" w:after="0"/>
        <w:contextualSpacing/>
        <w:jc w:val="both"/>
        <w:rPr/>
      </w:pPr>
      <w:r>
        <w:rPr/>
        <w:t xml:space="preserve">A Nota Fiscal ou Fatura deverá ser obrigatoriamente acompanhada da comprovação da regularidade fiscal, constatada por meio de consulta on-line ao SICAF ou, na impossibilidade de acesso </w:t>
      </w:r>
      <w:r>
        <w:rPr>
          <w:rFonts w:cs="Arial"/>
          <w:lang w:eastAsia="en-US"/>
        </w:rPr>
        <w:t>ao</w:t>
      </w:r>
      <w:r>
        <w:rPr/>
        <w:t xml:space="preserve"> referido Sistema, mediante consulta aos sítios eletrônicos oficiais ou à documentação mencionada da Lei nº 14.133, de 2021. </w:t>
      </w:r>
    </w:p>
    <w:p>
      <w:pPr>
        <w:pStyle w:val="Normal"/>
        <w:keepNext/>
        <w:pageBreakBefore w:val="false"/>
        <w:widowControl w:val="false"/>
        <w:numPr>
          <w:ilvl w:val="2"/>
          <w:numId w:val="1"/>
        </w:numPr>
        <w:spacing w:before="0" w:after="0"/>
        <w:contextualSpacing/>
        <w:jc w:val="both"/>
        <w:rPr/>
      </w:pPr>
      <w:r>
        <w:rPr/>
        <w:t xml:space="preserve">Constatando-se, junto ao SICAF, a situação de irregularidade do fornecedor contratado, deverão ser tomadas as providências previstas no do art. 31 da Instrução </w:t>
      </w:r>
      <w:r>
        <w:rPr>
          <w:rFonts w:cs="Arial"/>
          <w:lang w:eastAsia="en-US"/>
        </w:rPr>
        <w:t>Normativa</w:t>
      </w:r>
      <w:r>
        <w:rPr/>
        <w:t xml:space="preserve"> nº 3, de 26 de abril de 2018.</w:t>
      </w:r>
    </w:p>
    <w:p>
      <w:pPr>
        <w:pStyle w:val="ListParagraph"/>
        <w:keepNext/>
        <w:pageBreakBefore w:val="false"/>
        <w:widowControl w:val="false"/>
        <w:numPr>
          <w:ilvl w:val="1"/>
          <w:numId w:val="1"/>
        </w:numPr>
        <w:ind w:left="425" w:hanging="0"/>
        <w:jc w:val="both"/>
        <w:rPr/>
      </w:pPr>
      <w:r>
        <w:rPr>
          <w:rFonts w:cs="Arial"/>
          <w:szCs w:val="20"/>
          <w:lang w:eastAsia="en-US"/>
        </w:rPr>
        <w:t xml:space="preserve">Havendo erro na apresentação da Nota Fiscal ou dos documentos pertinentes à contratação, ou, ainda, circunstância que impeça a liquidação da despesa, como, por exemplo, </w:t>
      </w:r>
      <w:r>
        <w:rPr>
          <w:rFonts w:cs="Arial"/>
          <w:szCs w:val="20"/>
        </w:rPr>
        <w:t>obrigação financeira pendente, decorrente de penalidade imposta ou inadimplência,</w:t>
      </w:r>
      <w:r>
        <w:rPr>
          <w:rFonts w:cs="Arial"/>
          <w:szCs w:val="2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keepNext/>
        <w:pageBreakBefore w:val="false"/>
        <w:widowControl w:val="false"/>
        <w:numPr>
          <w:ilvl w:val="1"/>
          <w:numId w:val="1"/>
        </w:numPr>
        <w:spacing w:before="0" w:after="0"/>
        <w:contextualSpacing/>
        <w:jc w:val="both"/>
        <w:rPr/>
      </w:pPr>
      <w:r>
        <w:rPr>
          <w:rFonts w:cs="Arial"/>
          <w:szCs w:val="20"/>
          <w:lang w:eastAsia="en-US"/>
        </w:rPr>
        <w:t>Será considerada data do pagamento o dia em que constar como emitida a ordem bancária para pagamento.</w:t>
      </w:r>
    </w:p>
    <w:p>
      <w:pPr>
        <w:pStyle w:val="Normal"/>
        <w:keepNext/>
        <w:pageBreakBefore w:val="false"/>
        <w:widowControl w:val="false"/>
        <w:numPr>
          <w:ilvl w:val="1"/>
          <w:numId w:val="1"/>
        </w:numPr>
        <w:spacing w:before="0" w:after="0"/>
        <w:contextualSpacing/>
        <w:jc w:val="both"/>
        <w:rPr/>
      </w:pPr>
      <w:r>
        <w:rPr>
          <w:rFonts w:cs="Arial"/>
          <w:szCs w:val="20"/>
          <w:lang w:eastAsia="en-US"/>
        </w:rPr>
        <w:t xml:space="preserve">Antes de cada pagamento à contratada, será realizada consulta ao SICAF para verificar a manutenção das condições de habilitação exigidas no edital. </w:t>
      </w:r>
    </w:p>
    <w:p>
      <w:pPr>
        <w:pStyle w:val="Normal"/>
        <w:keepNext/>
        <w:pageBreakBefore w:val="false"/>
        <w:widowControl w:val="false"/>
        <w:numPr>
          <w:ilvl w:val="1"/>
          <w:numId w:val="1"/>
        </w:numPr>
        <w:spacing w:before="0" w:after="0"/>
        <w:contextualSpacing/>
        <w:jc w:val="both"/>
        <w:rPr/>
      </w:pPr>
      <w:r>
        <w:rPr>
          <w:rFonts w:cs="Arial"/>
          <w:szCs w:val="20"/>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Normal"/>
        <w:keepNext/>
        <w:pageBreakBefore w:val="false"/>
        <w:widowControl w:val="false"/>
        <w:numPr>
          <w:ilvl w:val="1"/>
          <w:numId w:val="1"/>
        </w:numPr>
        <w:spacing w:before="0" w:after="0"/>
        <w:contextualSpacing/>
        <w:jc w:val="both"/>
        <w:rPr/>
      </w:pPr>
      <w:r>
        <w:rPr>
          <w:rFonts w:cs="Arial"/>
          <w:szCs w:val="20"/>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pPr>
        <w:pStyle w:val="Normal"/>
        <w:keepNext/>
        <w:pageBreakBefore w:val="false"/>
        <w:widowControl w:val="false"/>
        <w:numPr>
          <w:ilvl w:val="1"/>
          <w:numId w:val="1"/>
        </w:numPr>
        <w:spacing w:before="0" w:after="0"/>
        <w:contextualSpacing/>
        <w:jc w:val="both"/>
        <w:rPr/>
      </w:pPr>
      <w:r>
        <w:rPr>
          <w:rFonts w:cs="Arial"/>
          <w:szCs w:val="20"/>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pStyle w:val="Normal"/>
        <w:keepNext/>
        <w:pageBreakBefore w:val="false"/>
        <w:widowControl w:val="false"/>
        <w:numPr>
          <w:ilvl w:val="1"/>
          <w:numId w:val="1"/>
        </w:numPr>
        <w:spacing w:before="0" w:after="0"/>
        <w:contextualSpacing/>
        <w:jc w:val="both"/>
        <w:rPr/>
      </w:pPr>
      <w:r>
        <w:rPr>
          <w:rFonts w:cs="Arial"/>
          <w:szCs w:val="20"/>
          <w:lang w:eastAsia="en-US"/>
        </w:rPr>
        <w:t xml:space="preserve">Persistindo a irregularidade, a contratante deverá adotar as medidas necessárias à rescisão contratual nos autos do processo administrativo correspondente, assegurada à contratada a ampla defesa. </w:t>
      </w:r>
    </w:p>
    <w:p>
      <w:pPr>
        <w:pStyle w:val="Normal"/>
        <w:keepNext/>
        <w:pageBreakBefore w:val="false"/>
        <w:widowControl w:val="false"/>
        <w:numPr>
          <w:ilvl w:val="1"/>
          <w:numId w:val="1"/>
        </w:numPr>
        <w:spacing w:before="0" w:after="0"/>
        <w:contextualSpacing/>
        <w:jc w:val="both"/>
        <w:rPr/>
      </w:pPr>
      <w:r>
        <w:rPr>
          <w:rFonts w:cs="Arial"/>
          <w:szCs w:val="20"/>
          <w:lang w:eastAsia="en-US"/>
        </w:rPr>
        <w:t xml:space="preserve">Havendo a efetiva execução do objeto, os pagamentos serão realizados normalmente, até que se decida pela rescisão do contrato, caso a contratada não regularize sua situação junto ao SICAF.  </w:t>
      </w:r>
    </w:p>
    <w:p>
      <w:pPr>
        <w:pStyle w:val="ListParagraph"/>
        <w:keepNext/>
        <w:pageBreakBefore w:val="false"/>
        <w:widowControl w:val="false"/>
        <w:ind w:left="716" w:hanging="0"/>
        <w:jc w:val="both"/>
        <w:rPr/>
      </w:pPr>
      <w:r>
        <w:rPr>
          <w:rFonts w:cs="Arial"/>
          <w:szCs w:val="20"/>
          <w:lang w:eastAsia="en-US"/>
        </w:rPr>
        <w:t>10.11.1.Será rescindido o contrato em execução com a contratada inadimplente no SICAF, salvo por motivo de economicidade, segurança nacional ou outro de interesse público de alta relevância, devidamente justificado, em qualquer caso, pela máxima autoridade da contratante.</w:t>
      </w:r>
    </w:p>
    <w:p>
      <w:pPr>
        <w:pStyle w:val="ListParagraph"/>
        <w:keepNext/>
        <w:pageBreakBefore w:val="false"/>
        <w:widowControl w:val="false"/>
        <w:numPr>
          <w:ilvl w:val="1"/>
          <w:numId w:val="1"/>
        </w:numPr>
        <w:jc w:val="both"/>
        <w:rPr/>
      </w:pPr>
      <w:r>
        <w:rPr>
          <w:rFonts w:cs="Arial"/>
          <w:szCs w:val="20"/>
        </w:rPr>
        <w:t>Quando do pagamento, será efetuada a retenção tributária prevista na legislação aplicável.</w:t>
      </w:r>
    </w:p>
    <w:p>
      <w:pPr>
        <w:pStyle w:val="Normal"/>
        <w:keepNext/>
        <w:pageBreakBefore w:val="false"/>
        <w:widowControl w:val="false"/>
        <w:numPr>
          <w:ilvl w:val="2"/>
          <w:numId w:val="1"/>
        </w:numPr>
        <w:tabs>
          <w:tab w:val="left" w:pos="1440" w:leader="none"/>
        </w:tabs>
        <w:snapToGrid w:val="false"/>
        <w:spacing w:before="0" w:after="0"/>
        <w:ind w:left="1134" w:hanging="0"/>
        <w:contextualSpacing/>
        <w:jc w:val="both"/>
        <w:rPr/>
      </w:pPr>
      <w:r>
        <w:rPr>
          <w:rFonts w:cs="Arial"/>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keepNext/>
        <w:pageBreakBefore w:val="false"/>
        <w:widowControl w:val="false"/>
        <w:spacing w:before="0" w:after="0"/>
        <w:contextualSpacing/>
        <w:jc w:val="both"/>
        <w:rPr/>
      </w:pPr>
      <w:r>
        <w:rPr/>
      </w:r>
    </w:p>
    <w:p>
      <w:pPr>
        <w:pStyle w:val="ListParagraph"/>
        <w:keepNext/>
        <w:pageBreakBefore w:val="false"/>
        <w:widowControl w:val="false"/>
        <w:numPr>
          <w:ilvl w:val="1"/>
          <w:numId w:val="1"/>
        </w:numPr>
        <w:ind w:left="425" w:hanging="0"/>
        <w:jc w:val="both"/>
        <w:rPr/>
      </w:pPr>
      <w:r>
        <w:rPr>
          <w:rFonts w:cs="Arial"/>
          <w:szCs w:val="2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pPr>
        <w:pStyle w:val="Normal"/>
        <w:keepNext/>
        <w:pageBreakBefore w:val="false"/>
        <w:widowControl w:val="false"/>
        <w:tabs>
          <w:tab w:val="left" w:pos="1701" w:leader="none"/>
        </w:tabs>
        <w:spacing w:before="0" w:after="0"/>
        <w:ind w:left="425" w:hanging="0"/>
        <w:contextualSpacing/>
        <w:jc w:val="both"/>
        <w:rPr/>
      </w:pPr>
      <w:r>
        <w:rPr>
          <w:rFonts w:cs="Arial"/>
          <w:szCs w:val="20"/>
        </w:rPr>
        <w:t>EM = I x N x VP, sendo:</w:t>
      </w:r>
    </w:p>
    <w:p>
      <w:pPr>
        <w:pStyle w:val="Normal"/>
        <w:keepNext/>
        <w:pageBreakBefore w:val="false"/>
        <w:widowControl w:val="false"/>
        <w:tabs>
          <w:tab w:val="left" w:pos="1701" w:leader="none"/>
        </w:tabs>
        <w:spacing w:before="0" w:after="0"/>
        <w:ind w:left="425" w:hanging="0"/>
        <w:contextualSpacing/>
        <w:jc w:val="both"/>
        <w:rPr/>
      </w:pPr>
      <w:r>
        <w:rPr>
          <w:rFonts w:cs="Arial"/>
          <w:szCs w:val="20"/>
        </w:rPr>
        <w:t>EM = Encargos moratórios;</w:t>
      </w:r>
    </w:p>
    <w:p>
      <w:pPr>
        <w:pStyle w:val="Normal"/>
        <w:keepNext/>
        <w:pageBreakBefore w:val="false"/>
        <w:widowControl w:val="false"/>
        <w:tabs>
          <w:tab w:val="left" w:pos="1701" w:leader="none"/>
        </w:tabs>
        <w:spacing w:before="0" w:after="0"/>
        <w:ind w:left="425" w:hanging="0"/>
        <w:contextualSpacing/>
        <w:jc w:val="both"/>
        <w:rPr/>
      </w:pPr>
      <w:r>
        <w:rPr>
          <w:rFonts w:cs="Arial"/>
          <w:szCs w:val="20"/>
        </w:rPr>
        <w:t>N = Número de dias entre a data prevista para o pagamento e a do efetivo pagamento;</w:t>
      </w:r>
    </w:p>
    <w:p>
      <w:pPr>
        <w:pStyle w:val="Normal"/>
        <w:keepNext/>
        <w:pageBreakBefore w:val="false"/>
        <w:widowControl w:val="false"/>
        <w:tabs>
          <w:tab w:val="left" w:pos="1701" w:leader="none"/>
        </w:tabs>
        <w:spacing w:before="0" w:after="0"/>
        <w:ind w:left="425" w:hanging="0"/>
        <w:contextualSpacing/>
        <w:jc w:val="both"/>
        <w:rPr/>
      </w:pPr>
      <w:r>
        <w:rPr>
          <w:rFonts w:cs="Arial"/>
          <w:szCs w:val="20"/>
        </w:rPr>
        <w:t>VP = Valor da parcela a ser paga.</w:t>
      </w:r>
    </w:p>
    <w:p>
      <w:pPr>
        <w:pStyle w:val="Normal"/>
        <w:keepNext/>
        <w:pageBreakBefore w:val="false"/>
        <w:widowControl w:val="false"/>
        <w:tabs>
          <w:tab w:val="left" w:pos="1701" w:leader="none"/>
        </w:tabs>
        <w:spacing w:before="0" w:after="0"/>
        <w:ind w:left="425" w:hanging="0"/>
        <w:contextualSpacing/>
        <w:jc w:val="both"/>
        <w:rPr/>
      </w:pPr>
      <w:r>
        <w:rPr>
          <w:rFonts w:cs="Arial"/>
          <w:szCs w:val="20"/>
        </w:rPr>
        <w:t>I = Índice de compensação financeira = 0,00016438, assim apurado:</w:t>
      </w:r>
    </w:p>
    <w:tbl>
      <w:tblPr>
        <w:tblStyle w:val="Tabelacomgrade"/>
        <w:tblW w:w="8647" w:type="dxa"/>
        <w:jc w:val="left"/>
        <w:tblInd w:w="425" w:type="dxa"/>
        <w:tblCellMar>
          <w:top w:w="0" w:type="dxa"/>
          <w:left w:w="228" w:type="dxa"/>
          <w:bottom w:w="0" w:type="dxa"/>
          <w:right w:w="108" w:type="dxa"/>
        </w:tblCellMar>
        <w:tblLook w:val="04a0"/>
      </w:tblPr>
      <w:tblGrid>
        <w:gridCol w:w="2147"/>
        <w:gridCol w:w="579"/>
        <w:gridCol w:w="1248"/>
        <w:gridCol w:w="4672"/>
      </w:tblGrid>
      <w:tr>
        <w:trPr/>
        <w:tc>
          <w:tcPr>
            <w:tcW w:w="2147" w:type="dxa"/>
            <w:tcBorders>
              <w:top w:val="nil"/>
              <w:left w:val="nil"/>
              <w:bottom w:val="nil"/>
              <w:right w:val="nil"/>
              <w:insideH w:val="nil"/>
              <w:insideV w:val="nil"/>
            </w:tcBorders>
            <w:shd w:color="auto" w:fill="auto" w:val="clear"/>
            <w:vAlign w:val="center"/>
          </w:tcPr>
          <w:p>
            <w:pPr>
              <w:pStyle w:val="Normal"/>
              <w:keepNext/>
              <w:pageBreakBefore w:val="false"/>
              <w:widowControl w:val="false"/>
              <w:tabs>
                <w:tab w:val="left" w:pos="1701" w:leader="none"/>
              </w:tabs>
              <w:spacing w:before="0" w:after="0"/>
              <w:contextualSpacing/>
              <w:jc w:val="center"/>
              <w:rPr>
                <w:rFonts w:eastAsia="" w:eastAsiaTheme="minorEastAsia"/>
              </w:rPr>
            </w:pPr>
            <w:r>
              <w:rPr>
                <w:rFonts w:eastAsia="MS Mincho" w:cs="Arial"/>
                <w:szCs w:val="20"/>
                <w:lang w:eastAsia="en-US"/>
              </w:rPr>
              <w:t>I = (TX)</w:t>
            </w:r>
          </w:p>
        </w:tc>
        <w:tc>
          <w:tcPr>
            <w:tcW w:w="579" w:type="dxa"/>
            <w:tcBorders>
              <w:top w:val="nil"/>
              <w:left w:val="nil"/>
              <w:bottom w:val="nil"/>
              <w:right w:val="nil"/>
              <w:insideH w:val="nil"/>
              <w:insideV w:val="nil"/>
            </w:tcBorders>
            <w:shd w:color="auto" w:fill="auto" w:val="clear"/>
            <w:vAlign w:val="center"/>
          </w:tcPr>
          <w:p>
            <w:pPr>
              <w:pStyle w:val="Normal"/>
              <w:keepNext/>
              <w:pageBreakBefore w:val="false"/>
              <w:widowControl w:val="false"/>
              <w:tabs>
                <w:tab w:val="left" w:pos="1701" w:leader="none"/>
              </w:tabs>
              <w:spacing w:before="0" w:after="0"/>
              <w:contextualSpacing/>
              <w:rPr>
                <w:rFonts w:eastAsia="" w:eastAsiaTheme="minorEastAsia"/>
              </w:rPr>
            </w:pPr>
            <w:r>
              <w:rPr>
                <w:rFonts w:eastAsia="MS Mincho" w:cs="Arial"/>
                <w:szCs w:val="20"/>
                <w:lang w:eastAsia="en-US"/>
              </w:rPr>
              <w:t xml:space="preserve">I = </w:t>
            </w:r>
          </w:p>
        </w:tc>
        <w:tc>
          <w:tcPr>
            <w:tcW w:w="1248" w:type="dxa"/>
            <w:tcBorders>
              <w:top w:val="nil"/>
              <w:left w:val="nil"/>
              <w:right w:val="nil"/>
              <w:insideV w:val="nil"/>
            </w:tcBorders>
            <w:shd w:color="auto" w:fill="auto" w:val="clear"/>
          </w:tcPr>
          <w:p>
            <w:pPr>
              <w:pStyle w:val="Normal"/>
              <w:keepNext/>
              <w:pageBreakBefore w:val="false"/>
              <w:widowControl w:val="false"/>
              <w:tabs>
                <w:tab w:val="left" w:pos="1701" w:leader="none"/>
              </w:tabs>
              <w:spacing w:before="0" w:after="0"/>
              <w:contextualSpacing/>
              <w:jc w:val="center"/>
              <w:rPr>
                <w:rFonts w:eastAsia="" w:eastAsiaTheme="minorEastAsia"/>
              </w:rPr>
            </w:pPr>
            <w:r>
              <w:rPr>
                <w:rFonts w:eastAsia="MS Mincho" w:cs="Arial"/>
                <w:szCs w:val="20"/>
                <w:lang w:eastAsia="en-US"/>
              </w:rPr>
              <w:t>( 6 / 100 )</w:t>
            </w:r>
          </w:p>
        </w:tc>
        <w:tc>
          <w:tcPr>
            <w:tcW w:w="4672" w:type="dxa"/>
            <w:tcBorders>
              <w:top w:val="nil"/>
              <w:left w:val="nil"/>
              <w:bottom w:val="nil"/>
              <w:right w:val="nil"/>
              <w:insideH w:val="nil"/>
              <w:insideV w:val="nil"/>
            </w:tcBorders>
            <w:shd w:color="auto" w:fill="auto" w:val="clear"/>
            <w:vAlign w:val="center"/>
          </w:tcPr>
          <w:p>
            <w:pPr>
              <w:pStyle w:val="Normal"/>
              <w:keepNext/>
              <w:pageBreakBefore w:val="false"/>
              <w:widowControl w:val="false"/>
              <w:tabs>
                <w:tab w:val="left" w:pos="1701" w:leader="none"/>
              </w:tabs>
              <w:spacing w:before="0" w:after="0"/>
              <w:ind w:left="742" w:hanging="0"/>
              <w:contextualSpacing/>
              <w:rPr>
                <w:rFonts w:eastAsia="" w:eastAsiaTheme="minorEastAsia"/>
              </w:rPr>
            </w:pPr>
            <w:r>
              <w:rPr>
                <w:rFonts w:eastAsia="MS Mincho" w:cs="Arial"/>
                <w:szCs w:val="20"/>
                <w:lang w:eastAsia="en-US"/>
              </w:rPr>
              <w:t>I = 0,00016438</w:t>
            </w:r>
          </w:p>
          <w:p>
            <w:pPr>
              <w:pStyle w:val="Normal"/>
              <w:keepNext/>
              <w:pageBreakBefore w:val="false"/>
              <w:widowControl w:val="false"/>
              <w:tabs>
                <w:tab w:val="left" w:pos="1701" w:leader="none"/>
              </w:tabs>
              <w:spacing w:before="0" w:after="0"/>
              <w:ind w:left="742" w:hanging="0"/>
              <w:contextualSpacing/>
              <w:rPr>
                <w:rFonts w:eastAsia="" w:eastAsiaTheme="minorEastAsia"/>
              </w:rPr>
            </w:pPr>
            <w:r>
              <w:rPr>
                <w:rFonts w:eastAsia="MS Mincho" w:cs="Arial"/>
                <w:szCs w:val="20"/>
                <w:lang w:eastAsia="en-US"/>
              </w:rPr>
              <w:t>TX = Percentual da taxa anual = 6%</w:t>
            </w:r>
          </w:p>
        </w:tc>
      </w:tr>
    </w:tbl>
    <w:p>
      <w:pPr>
        <w:pStyle w:val="Normal"/>
        <w:keepNext/>
        <w:pageBreakBefore w:val="false"/>
        <w:widowControl w:val="false"/>
        <w:spacing w:before="0" w:after="0"/>
        <w:contextualSpacing/>
        <w:rPr/>
      </w:pPr>
      <w:r>
        <w:rPr/>
        <w:t>365</w:t>
      </w:r>
    </w:p>
    <w:p>
      <w:pPr>
        <w:pStyle w:val="Nivel1"/>
        <w:keepNext/>
        <w:pageBreakBefore w:val="false"/>
        <w:widowControl w:val="false"/>
        <w:numPr>
          <w:ilvl w:val="0"/>
          <w:numId w:val="1"/>
        </w:numPr>
        <w:spacing w:lineRule="auto" w:line="240" w:before="0" w:after="0"/>
        <w:contextualSpacing/>
        <w:rPr/>
      </w:pPr>
      <w:r>
        <w:rPr>
          <w:color w:val="00000A"/>
        </w:rPr>
        <w:t xml:space="preserve">DO REAJUSTE </w:t>
      </w:r>
    </w:p>
    <w:p>
      <w:pPr>
        <w:pStyle w:val="ListParagraph"/>
        <w:keepNext/>
        <w:pageBreakBefore w:val="false"/>
        <w:widowControl w:val="false"/>
        <w:numPr>
          <w:ilvl w:val="1"/>
          <w:numId w:val="1"/>
        </w:numPr>
        <w:ind w:left="425" w:hanging="0"/>
        <w:jc w:val="both"/>
        <w:rPr/>
      </w:pPr>
      <w:r>
        <w:rPr>
          <w:rFonts w:cs="Arial"/>
          <w:szCs w:val="20"/>
        </w:rPr>
        <w:t>Os preços são fixos e irreajustáveis no prazo de um ano contado da data limite para a apresentação das propostas.</w:t>
      </w:r>
    </w:p>
    <w:p>
      <w:pPr>
        <w:pStyle w:val="ListParagraph"/>
        <w:keepNext/>
        <w:pageBreakBefore w:val="false"/>
        <w:widowControl w:val="false"/>
        <w:numPr>
          <w:ilvl w:val="2"/>
          <w:numId w:val="1"/>
        </w:numPr>
        <w:jc w:val="both"/>
        <w:rPr/>
      </w:pPr>
      <w:r>
        <w:rPr>
          <w:rFonts w:cs="Arial"/>
          <w:szCs w:val="20"/>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w:t>
      </w:r>
    </w:p>
    <w:p>
      <w:pPr>
        <w:pStyle w:val="ListParagraph"/>
        <w:keepNext/>
        <w:pageBreakBefore w:val="false"/>
        <w:widowControl w:val="false"/>
        <w:numPr>
          <w:ilvl w:val="1"/>
          <w:numId w:val="1"/>
        </w:numPr>
        <w:ind w:left="425" w:hanging="0"/>
        <w:jc w:val="both"/>
        <w:rPr/>
      </w:pPr>
      <w:r>
        <w:rPr>
          <w:rFonts w:cs="Arial"/>
          <w:szCs w:val="20"/>
        </w:rPr>
        <w:t>Nos reajustes subsequentes ao primeiro, o interregno mínimo de um ano será contado a partir dos efeitos financeiros do último reajuste.</w:t>
      </w:r>
    </w:p>
    <w:p>
      <w:pPr>
        <w:pStyle w:val="ListParagraph"/>
        <w:keepNext/>
        <w:pageBreakBefore w:val="false"/>
        <w:widowControl w:val="false"/>
        <w:numPr>
          <w:ilvl w:val="1"/>
          <w:numId w:val="1"/>
        </w:numPr>
        <w:ind w:left="425" w:hanging="0"/>
        <w:jc w:val="both"/>
        <w:rPr/>
      </w:pPr>
      <w:r>
        <w:rPr>
          <w:rFonts w:cs="Arial"/>
          <w:szCs w:val="2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pPr>
        <w:pStyle w:val="ListParagraph"/>
        <w:keepNext/>
        <w:pageBreakBefore w:val="false"/>
        <w:widowControl w:val="false"/>
        <w:numPr>
          <w:ilvl w:val="1"/>
          <w:numId w:val="1"/>
        </w:numPr>
        <w:ind w:left="425" w:hanging="0"/>
        <w:jc w:val="both"/>
        <w:rPr/>
      </w:pPr>
      <w:r>
        <w:rPr>
          <w:rFonts w:cs="Arial"/>
          <w:szCs w:val="20"/>
        </w:rPr>
        <w:t>Nas aferições finais, o índice utilizado para reajuste será, obrigatoriamente, o definitivo.</w:t>
      </w:r>
    </w:p>
    <w:p>
      <w:pPr>
        <w:pStyle w:val="ListParagraph"/>
        <w:keepNext/>
        <w:pageBreakBefore w:val="false"/>
        <w:widowControl w:val="false"/>
        <w:numPr>
          <w:ilvl w:val="1"/>
          <w:numId w:val="1"/>
        </w:numPr>
        <w:ind w:left="425" w:hanging="0"/>
        <w:jc w:val="both"/>
        <w:rPr/>
      </w:pPr>
      <w:r>
        <w:rPr>
          <w:rFonts w:cs="Arial"/>
          <w:szCs w:val="20"/>
        </w:rPr>
        <w:t>Caso o índice estabelecido para reajustamento venha a ser extinto ou de qualquer forma não possa mais ser utilizado, será adotado, em substituição, o que vier a ser determinado pela legislação então em vigor.</w:t>
      </w:r>
    </w:p>
    <w:p>
      <w:pPr>
        <w:pStyle w:val="ListParagraph"/>
        <w:keepNext/>
        <w:pageBreakBefore w:val="false"/>
        <w:widowControl w:val="false"/>
        <w:numPr>
          <w:ilvl w:val="1"/>
          <w:numId w:val="1"/>
        </w:numPr>
        <w:ind w:left="425" w:hanging="0"/>
        <w:jc w:val="both"/>
        <w:rPr/>
      </w:pPr>
      <w:r>
        <w:rPr>
          <w:rFonts w:cs="Arial"/>
          <w:szCs w:val="20"/>
        </w:rPr>
        <w:t xml:space="preserve">Na ausência de previsão legal quanto ao índice substituto, as partes elegerão novo índice oficial, para reajustamento do preço do valor remanescente, por meio de termo aditivo. </w:t>
      </w:r>
    </w:p>
    <w:p>
      <w:pPr>
        <w:pStyle w:val="ListParagraph"/>
        <w:keepNext/>
        <w:pageBreakBefore w:val="false"/>
        <w:widowControl w:val="false"/>
        <w:numPr>
          <w:ilvl w:val="1"/>
          <w:numId w:val="1"/>
        </w:numPr>
        <w:ind w:left="425" w:hanging="0"/>
        <w:jc w:val="both"/>
        <w:rPr/>
      </w:pPr>
      <w:r>
        <w:rPr>
          <w:rFonts w:cs="Arial"/>
          <w:szCs w:val="20"/>
        </w:rPr>
        <w:t>O reajuste será realizado por apostilamento.</w:t>
      </w:r>
    </w:p>
    <w:p>
      <w:pPr>
        <w:pStyle w:val="Nivel1"/>
        <w:keepNext/>
        <w:pageBreakBefore w:val="false"/>
        <w:widowControl w:val="false"/>
        <w:numPr>
          <w:ilvl w:val="0"/>
          <w:numId w:val="1"/>
        </w:numPr>
        <w:spacing w:lineRule="auto" w:line="240" w:before="0" w:after="0"/>
        <w:contextualSpacing/>
        <w:rPr/>
      </w:pPr>
      <w:r>
        <w:rPr>
          <w:color w:val="00000A"/>
        </w:rPr>
        <w:t>DA GARANTIA DE EXECUÇÃO</w:t>
      </w:r>
    </w:p>
    <w:p>
      <w:pPr>
        <w:pStyle w:val="Normal"/>
        <w:keepNext/>
        <w:pageBreakBefore w:val="false"/>
        <w:widowControl w:val="false"/>
        <w:numPr>
          <w:ilvl w:val="1"/>
          <w:numId w:val="1"/>
        </w:numPr>
        <w:spacing w:before="0" w:after="0"/>
        <w:contextualSpacing/>
        <w:jc w:val="both"/>
        <w:rPr/>
      </w:pPr>
      <w:r>
        <w:rPr>
          <w:rFonts w:cs="Arial"/>
          <w:i/>
        </w:rPr>
        <w:t>Não haverá exigência de garantia contratual da execução, pelas razões abaixo justificadas:</w:t>
      </w:r>
    </w:p>
    <w:p>
      <w:pPr>
        <w:pStyle w:val="Nivel1"/>
        <w:keepNext/>
        <w:pageBreakBefore w:val="false"/>
        <w:widowControl w:val="false"/>
        <w:numPr>
          <w:ilvl w:val="0"/>
          <w:numId w:val="1"/>
        </w:numPr>
        <w:spacing w:lineRule="auto" w:line="240" w:before="0" w:after="0"/>
        <w:contextualSpacing/>
        <w:rPr/>
      </w:pPr>
      <w:r>
        <w:rPr>
          <w:color w:val="00000A"/>
        </w:rPr>
        <w:t>A GARANTIA CONTRATUAL DOS BENS.</w:t>
      </w:r>
    </w:p>
    <w:p>
      <w:pPr>
        <w:pStyle w:val="Normal"/>
        <w:keepNext/>
        <w:pageBreakBefore w:val="false"/>
        <w:widowControl w:val="false"/>
        <w:numPr>
          <w:ilvl w:val="1"/>
          <w:numId w:val="1"/>
        </w:numPr>
        <w:spacing w:before="0" w:after="0"/>
        <w:ind w:left="425" w:hanging="0"/>
        <w:contextualSpacing/>
        <w:jc w:val="both"/>
        <w:rPr/>
      </w:pPr>
      <w:r>
        <w:rPr>
          <w:rFonts w:cs="Arial"/>
          <w:bCs/>
          <w:szCs w:val="20"/>
        </w:rPr>
        <w:t xml:space="preserve">O prazo de garantia contratual dos bens, complementar à garantia legal, será de, no mínimo, 12 (doze) meses, contado a partir do primeiro dia útil subsequente à data do recebimento definitivo do objeto. (Justificar a exigência de garantia e o prazo estabelecido) </w:t>
      </w:r>
    </w:p>
    <w:p>
      <w:pPr>
        <w:pStyle w:val="Normal"/>
        <w:keepNext/>
        <w:pageBreakBefore w:val="false"/>
        <w:widowControl w:val="false"/>
        <w:numPr>
          <w:ilvl w:val="1"/>
          <w:numId w:val="1"/>
        </w:numPr>
        <w:spacing w:before="0" w:after="0"/>
        <w:ind w:left="425" w:hanging="0"/>
        <w:contextualSpacing/>
        <w:jc w:val="both"/>
        <w:rPr/>
      </w:pPr>
      <w:r>
        <w:rPr>
          <w:rFonts w:cs="Arial"/>
          <w:bCs/>
          <w:szCs w:val="20"/>
        </w:rPr>
        <w:t xml:space="preserve">Caso o prazo da garantia oferecida pelo fabricante seja inferior ao estabelecido nesta cláusula, o licitante deverá complementar a garantia do bem ofertado pelo período restante. </w:t>
      </w:r>
    </w:p>
    <w:p>
      <w:pPr>
        <w:pStyle w:val="Nivel1"/>
        <w:keepNext/>
        <w:pageBreakBefore w:val="false"/>
        <w:widowControl w:val="false"/>
        <w:numPr>
          <w:ilvl w:val="0"/>
          <w:numId w:val="1"/>
        </w:numPr>
        <w:spacing w:lineRule="auto" w:line="240" w:before="0" w:after="0"/>
        <w:ind w:left="357" w:hanging="357"/>
        <w:contextualSpacing/>
        <w:rPr/>
      </w:pPr>
      <w:r>
        <w:rPr>
          <w:color w:val="00000A"/>
        </w:rPr>
        <w:t>DAS SANÇÕES ADMINISTRATIVAS</w:t>
      </w:r>
    </w:p>
    <w:p>
      <w:pPr>
        <w:pStyle w:val="Normal"/>
        <w:keepNext/>
        <w:pageBreakBefore w:val="false"/>
        <w:widowControl w:val="false"/>
        <w:numPr>
          <w:ilvl w:val="1"/>
          <w:numId w:val="1"/>
        </w:numPr>
        <w:spacing w:before="0" w:after="0"/>
        <w:ind w:left="425" w:hanging="0"/>
        <w:contextualSpacing/>
        <w:jc w:val="both"/>
        <w:rPr/>
      </w:pPr>
      <w:r>
        <w:rPr>
          <w:rFonts w:cs="Arial"/>
          <w:szCs w:val="20"/>
        </w:rPr>
        <w:t>Comete infração administrativa nos termos da Lei nº 10.520, de 2002, a Contratada que:</w:t>
      </w:r>
    </w:p>
    <w:p>
      <w:pPr>
        <w:pStyle w:val="Normal"/>
        <w:keepNext/>
        <w:pageBreakBefore w:val="false"/>
        <w:widowControl w:val="false"/>
        <w:numPr>
          <w:ilvl w:val="2"/>
          <w:numId w:val="1"/>
        </w:numPr>
        <w:spacing w:before="0" w:after="0"/>
        <w:ind w:left="1134" w:hanging="0"/>
        <w:contextualSpacing/>
        <w:jc w:val="both"/>
        <w:rPr/>
      </w:pPr>
      <w:r>
        <w:rPr>
          <w:rFonts w:cs="Arial"/>
          <w:szCs w:val="20"/>
        </w:rPr>
        <w:t>inexecutar total ou parcialmente qualquer das obrigações assumidas em decorrência da contratação;</w:t>
      </w:r>
    </w:p>
    <w:p>
      <w:pPr>
        <w:pStyle w:val="Normal"/>
        <w:keepNext/>
        <w:pageBreakBefore w:val="false"/>
        <w:widowControl w:val="false"/>
        <w:numPr>
          <w:ilvl w:val="2"/>
          <w:numId w:val="1"/>
        </w:numPr>
        <w:spacing w:before="0" w:after="0"/>
        <w:ind w:left="1134" w:hanging="0"/>
        <w:contextualSpacing/>
        <w:jc w:val="both"/>
        <w:rPr/>
      </w:pPr>
      <w:r>
        <w:rPr>
          <w:rFonts w:cs="Arial"/>
          <w:szCs w:val="20"/>
        </w:rPr>
        <w:t>ensejar o retardamento da execução do objeto;</w:t>
      </w:r>
    </w:p>
    <w:p>
      <w:pPr>
        <w:pStyle w:val="Normal"/>
        <w:keepNext/>
        <w:pageBreakBefore w:val="false"/>
        <w:widowControl w:val="false"/>
        <w:numPr>
          <w:ilvl w:val="2"/>
          <w:numId w:val="1"/>
        </w:numPr>
        <w:spacing w:before="0" w:after="0"/>
        <w:ind w:left="1134" w:hanging="0"/>
        <w:contextualSpacing/>
        <w:jc w:val="both"/>
        <w:rPr/>
      </w:pPr>
      <w:r>
        <w:rPr>
          <w:rFonts w:cs="Arial"/>
          <w:szCs w:val="20"/>
        </w:rPr>
        <w:t>falhar ou fraudar na execução do contrato;</w:t>
      </w:r>
    </w:p>
    <w:p>
      <w:pPr>
        <w:pStyle w:val="Normal"/>
        <w:keepNext/>
        <w:pageBreakBefore w:val="false"/>
        <w:widowControl w:val="false"/>
        <w:numPr>
          <w:ilvl w:val="2"/>
          <w:numId w:val="1"/>
        </w:numPr>
        <w:spacing w:before="0" w:after="0"/>
        <w:ind w:left="1134" w:hanging="0"/>
        <w:contextualSpacing/>
        <w:jc w:val="both"/>
        <w:rPr/>
      </w:pPr>
      <w:r>
        <w:rPr>
          <w:rFonts w:cs="Arial"/>
          <w:szCs w:val="20"/>
        </w:rPr>
        <w:t>comportar-se de modo inidôneo;</w:t>
      </w:r>
    </w:p>
    <w:p>
      <w:pPr>
        <w:pStyle w:val="Normal"/>
        <w:keepNext/>
        <w:pageBreakBefore w:val="false"/>
        <w:widowControl w:val="false"/>
        <w:numPr>
          <w:ilvl w:val="2"/>
          <w:numId w:val="1"/>
        </w:numPr>
        <w:spacing w:before="0" w:after="0"/>
        <w:ind w:left="1134" w:hanging="0"/>
        <w:contextualSpacing/>
        <w:jc w:val="both"/>
        <w:rPr/>
      </w:pPr>
      <w:r>
        <w:rPr>
          <w:rFonts w:cs="Arial"/>
          <w:szCs w:val="20"/>
        </w:rPr>
        <w:t>cometer fraude fiscal;</w:t>
      </w:r>
    </w:p>
    <w:p>
      <w:pPr>
        <w:pStyle w:val="ListParagraph"/>
        <w:keepNext/>
        <w:pageBreakBefore w:val="false"/>
        <w:widowControl w:val="false"/>
        <w:numPr>
          <w:ilvl w:val="1"/>
          <w:numId w:val="1"/>
        </w:numPr>
        <w:ind w:left="716" w:hanging="432"/>
        <w:jc w:val="both"/>
        <w:rPr/>
      </w:pPr>
      <w:r>
        <w:rPr>
          <w:rFonts w:cs="Arial"/>
          <w:szCs w:val="20"/>
        </w:rPr>
        <w:t>Pela inexecução total ou parcial do objeto deste contrato, a Administração pode aplicar à CONTRATADA as seguintes sanções:</w:t>
      </w:r>
    </w:p>
    <w:p>
      <w:pPr>
        <w:pStyle w:val="Normal"/>
        <w:keepNext/>
        <w:pageBreakBefore w:val="false"/>
        <w:widowControl w:val="false"/>
        <w:numPr>
          <w:ilvl w:val="2"/>
          <w:numId w:val="1"/>
        </w:numPr>
        <w:spacing w:before="0" w:after="0"/>
        <w:ind w:left="1134" w:hanging="0"/>
        <w:contextualSpacing/>
        <w:jc w:val="both"/>
        <w:rPr/>
      </w:pPr>
      <w:r>
        <w:rPr>
          <w:rFonts w:cs="Arial"/>
          <w:szCs w:val="20"/>
        </w:rPr>
        <w:t>Advertência,  por faltas leves, assim entendidas aquelas que não acarretem prejuízos significativos para a Contratante;</w:t>
      </w:r>
    </w:p>
    <w:p>
      <w:pPr>
        <w:pStyle w:val="Normal"/>
        <w:keepNext/>
        <w:pageBreakBefore w:val="false"/>
        <w:widowControl w:val="false"/>
        <w:numPr>
          <w:ilvl w:val="2"/>
          <w:numId w:val="1"/>
        </w:numPr>
        <w:spacing w:before="0" w:after="0"/>
        <w:ind w:left="1134" w:hanging="0"/>
        <w:contextualSpacing/>
        <w:jc w:val="both"/>
        <w:rPr/>
      </w:pPr>
      <w:r>
        <w:rPr>
          <w:rFonts w:cs="Arial"/>
          <w:szCs w:val="20"/>
        </w:rPr>
        <w:t>multa moratória de 1% (um por cento) por dia de atraso injustificado sobre o valor da parcela inadimplida, até o limite de 30(trinta) dias;</w:t>
      </w:r>
    </w:p>
    <w:p>
      <w:pPr>
        <w:pStyle w:val="Normal"/>
        <w:keepNext/>
        <w:pageBreakBefore w:val="false"/>
        <w:widowControl w:val="false"/>
        <w:numPr>
          <w:ilvl w:val="2"/>
          <w:numId w:val="1"/>
        </w:numPr>
        <w:spacing w:before="0" w:after="0"/>
        <w:ind w:left="1134" w:hanging="0"/>
        <w:contextualSpacing/>
        <w:jc w:val="both"/>
        <w:rPr/>
      </w:pPr>
      <w:r>
        <w:rPr>
          <w:rFonts w:cs="Arial"/>
          <w:szCs w:val="20"/>
        </w:rPr>
        <w:t>multa compensatória de 10% (dez por cento) sobre o valor total do contrato, no caso de inexecução total do objeto;</w:t>
      </w:r>
    </w:p>
    <w:p>
      <w:pPr>
        <w:pStyle w:val="Normal"/>
        <w:keepNext/>
        <w:pageBreakBefore w:val="false"/>
        <w:widowControl w:val="false"/>
        <w:numPr>
          <w:ilvl w:val="2"/>
          <w:numId w:val="1"/>
        </w:numPr>
        <w:spacing w:before="0" w:after="0"/>
        <w:ind w:left="1134" w:hanging="0"/>
        <w:contextualSpacing/>
        <w:jc w:val="both"/>
        <w:rPr/>
      </w:pPr>
      <w:r>
        <w:rPr>
          <w:rFonts w:cs="Arial"/>
          <w:szCs w:val="20"/>
        </w:rPr>
        <w:t>em caso de 'inexecução parcial, a multa compensatória, no mesmo percentual do subitem acima, será aplicada de forma proporcional à obrigação inadimplida;</w:t>
      </w:r>
    </w:p>
    <w:p>
      <w:pPr>
        <w:pStyle w:val="Normal"/>
        <w:keepNext/>
        <w:pageBreakBefore w:val="false"/>
        <w:widowControl w:val="false"/>
        <w:numPr>
          <w:ilvl w:val="2"/>
          <w:numId w:val="1"/>
        </w:numPr>
        <w:spacing w:before="0" w:after="0"/>
        <w:ind w:left="1134" w:hanging="0"/>
        <w:contextualSpacing/>
        <w:jc w:val="both"/>
        <w:rPr/>
      </w:pPr>
      <w:r>
        <w:rPr>
          <w:rFonts w:cs="Arial"/>
          <w:szCs w:val="20"/>
        </w:rPr>
        <w:t xml:space="preserve">suspensão de licitar e impedimento de contratar com o órgão, entidade ou unidade administrativa pela qual a Administração Pública opera e atua concretamente, pelo prazo de até dois anos; </w:t>
      </w:r>
    </w:p>
    <w:p>
      <w:pPr>
        <w:pStyle w:val="Normal"/>
        <w:keepNext/>
        <w:pageBreakBefore w:val="false"/>
        <w:widowControl w:val="false"/>
        <w:numPr>
          <w:ilvl w:val="2"/>
          <w:numId w:val="1"/>
        </w:numPr>
        <w:spacing w:before="0" w:after="0"/>
        <w:ind w:left="1134" w:hanging="0"/>
        <w:contextualSpacing/>
        <w:jc w:val="both"/>
        <w:rPr/>
      </w:pPr>
      <w:r>
        <w:rPr>
          <w:rFonts w:cs="Arial"/>
          <w:szCs w:val="20"/>
        </w:rPr>
        <w:t>impedimento de licitar e contratar com órgãos e entidades da União com o consequente descredenciamento no SICAF pelo prazo de até cinco anos;</w:t>
      </w:r>
    </w:p>
    <w:p>
      <w:pPr>
        <w:pStyle w:val="PargrafodaLista1"/>
        <w:keepNext/>
        <w:pageBreakBefore w:val="false"/>
        <w:widowControl w:val="false"/>
        <w:numPr>
          <w:ilvl w:val="3"/>
          <w:numId w:val="1"/>
        </w:numPr>
        <w:spacing w:before="0" w:after="0"/>
        <w:ind w:left="2491" w:hanging="648"/>
        <w:contextualSpacing/>
        <w:jc w:val="both"/>
        <w:rPr/>
      </w:pPr>
      <w:r>
        <w:rPr>
          <w:rFonts w:cs="Arial" w:ascii="Arial" w:hAnsi="Arial"/>
          <w:sz w:val="20"/>
          <w:szCs w:val="20"/>
        </w:rPr>
        <w:t>A Sanção de impedimento de licitar e contratar prevista neste subitem também é aplicável em quaisquer das hipóteses previstas como infração administrativa no subitem 16.1 deste Termo de Referência.</w:t>
      </w:r>
    </w:p>
    <w:p>
      <w:pPr>
        <w:pStyle w:val="Normal"/>
        <w:keepNext/>
        <w:pageBreakBefore w:val="false"/>
        <w:widowControl w:val="false"/>
        <w:numPr>
          <w:ilvl w:val="2"/>
          <w:numId w:val="1"/>
        </w:numPr>
        <w:spacing w:before="0" w:after="0"/>
        <w:ind w:left="1134" w:hanging="0"/>
        <w:contextualSpacing/>
        <w:jc w:val="both"/>
        <w:rPr/>
      </w:pPr>
      <w:r>
        <w:rPr>
          <w:rFonts w:cs="Arial"/>
          <w:szCs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pPr>
        <w:pStyle w:val="Normal"/>
        <w:keepNext/>
        <w:pageBreakBefore w:val="false"/>
        <w:widowControl w:val="false"/>
        <w:numPr>
          <w:ilvl w:val="1"/>
          <w:numId w:val="1"/>
        </w:numPr>
        <w:spacing w:before="0" w:after="0"/>
        <w:ind w:left="716" w:hanging="432"/>
        <w:contextualSpacing/>
        <w:jc w:val="both"/>
        <w:rPr/>
      </w:pPr>
      <w:r>
        <w:rPr>
          <w:rFonts w:cs="Arial"/>
          <w:szCs w:val="20"/>
        </w:rPr>
        <w:t>As sanções previstas nos subitens 16.2.1, 16.2.5, 16.2.6 e 16.2.7 poderão ser aplicadas à CONTRATADA juntamente com as de multa, descontando-a dos pagamentos a serem efetuados.</w:t>
      </w:r>
    </w:p>
    <w:p>
      <w:pPr>
        <w:pStyle w:val="Normal"/>
        <w:keepNext/>
        <w:pageBreakBefore w:val="false"/>
        <w:widowControl w:val="false"/>
        <w:numPr>
          <w:ilvl w:val="1"/>
          <w:numId w:val="1"/>
        </w:numPr>
        <w:spacing w:before="0" w:after="0"/>
        <w:ind w:left="425" w:hanging="0"/>
        <w:contextualSpacing/>
        <w:jc w:val="both"/>
        <w:rPr/>
      </w:pPr>
      <w:r>
        <w:rPr>
          <w:rFonts w:cs="Arial"/>
          <w:szCs w:val="20"/>
        </w:rPr>
        <w:t>Também ficam sujeitas às penalidades do art. 156, III e IV da Lei nº 14.133, de 2021, as empresas ou profissionais que:</w:t>
      </w:r>
    </w:p>
    <w:p>
      <w:pPr>
        <w:pStyle w:val="Normal"/>
        <w:keepNext/>
        <w:pageBreakBefore w:val="false"/>
        <w:widowControl w:val="false"/>
        <w:numPr>
          <w:ilvl w:val="2"/>
          <w:numId w:val="1"/>
        </w:numPr>
        <w:spacing w:before="0" w:after="0"/>
        <w:ind w:left="1134" w:hanging="0"/>
        <w:contextualSpacing/>
        <w:jc w:val="both"/>
        <w:rPr/>
      </w:pPr>
      <w:r>
        <w:rPr>
          <w:rFonts w:cs="Arial"/>
          <w:szCs w:val="20"/>
        </w:rPr>
        <w:t>tenham sofrido condenação definitiva por praticar, por meio dolosos, fraude fiscal no recolhimento de quaisquer tributos;</w:t>
      </w:r>
    </w:p>
    <w:p>
      <w:pPr>
        <w:pStyle w:val="Normal"/>
        <w:keepNext/>
        <w:pageBreakBefore w:val="false"/>
        <w:widowControl w:val="false"/>
        <w:numPr>
          <w:ilvl w:val="2"/>
          <w:numId w:val="1"/>
        </w:numPr>
        <w:spacing w:before="0" w:after="0"/>
        <w:ind w:left="1134" w:hanging="0"/>
        <w:contextualSpacing/>
        <w:jc w:val="both"/>
        <w:rPr/>
      </w:pPr>
      <w:r>
        <w:rPr>
          <w:rFonts w:cs="Arial"/>
          <w:szCs w:val="20"/>
        </w:rPr>
        <w:t>tenham praticado atos ilícitos visando a frustrar os objetivos da licitação;</w:t>
      </w:r>
    </w:p>
    <w:p>
      <w:pPr>
        <w:pStyle w:val="Normal"/>
        <w:keepNext/>
        <w:pageBreakBefore w:val="false"/>
        <w:widowControl w:val="false"/>
        <w:numPr>
          <w:ilvl w:val="2"/>
          <w:numId w:val="1"/>
        </w:numPr>
        <w:spacing w:before="0" w:after="0"/>
        <w:ind w:left="1134" w:hanging="283"/>
        <w:contextualSpacing/>
        <w:jc w:val="both"/>
        <w:rPr/>
      </w:pPr>
      <w:r>
        <w:rPr>
          <w:rFonts w:cs="Arial"/>
          <w:szCs w:val="20"/>
        </w:rPr>
        <w:t>demonstrem não possuir idoneidade para contratar com a Administração em virtude de atos ilícitos praticados.</w:t>
      </w:r>
    </w:p>
    <w:p>
      <w:pPr>
        <w:pStyle w:val="Normal"/>
        <w:keepNext/>
        <w:pageBreakBefore w:val="false"/>
        <w:widowControl w:val="false"/>
        <w:numPr>
          <w:ilvl w:val="1"/>
          <w:numId w:val="1"/>
        </w:numPr>
        <w:spacing w:before="0" w:after="0"/>
        <w:ind w:left="425" w:hanging="0"/>
        <w:contextualSpacing/>
        <w:jc w:val="both"/>
        <w:rPr/>
      </w:pPr>
      <w:r>
        <w:rPr>
          <w:rFonts w:cs="Arial"/>
          <w:szCs w:val="20"/>
        </w:rPr>
        <w:t>A aplicação de qualquer das penalidades previstas realizar-se-á em processo administrativo que assegurará o contraditório e a ampla defesa à Contratada, observando-se o procedimento previsto na Lei nº 14.133, de 2021, e subsidiariamente a Lei nº 9.784, de 1999.</w:t>
      </w:r>
    </w:p>
    <w:p>
      <w:pPr>
        <w:pStyle w:val="Normal"/>
        <w:keepNext/>
        <w:pageBreakBefore w:val="false"/>
        <w:widowControl w:val="false"/>
        <w:numPr>
          <w:ilvl w:val="1"/>
          <w:numId w:val="1"/>
        </w:numPr>
        <w:spacing w:before="0" w:after="0"/>
        <w:ind w:left="716" w:hanging="432"/>
        <w:contextualSpacing/>
        <w:jc w:val="both"/>
        <w:rPr/>
      </w:pPr>
      <w:r>
        <w:rPr>
          <w:szCs w:val="20"/>
        </w:rPr>
        <w:t>As multas devidas e/ou prejuízos causados à Contratante serão deduzidos dos valores a serem pagos, ou recolhidos em favor da União, ou deduzidos da garantia, ou ainda, quando for o caso, serão inscritos na Dívida Ativa da União e cobrados judicialmente.</w:t>
      </w:r>
    </w:p>
    <w:p>
      <w:pPr>
        <w:pStyle w:val="Normal"/>
        <w:keepNext/>
        <w:pageBreakBefore w:val="false"/>
        <w:widowControl w:val="false"/>
        <w:numPr>
          <w:ilvl w:val="2"/>
          <w:numId w:val="1"/>
        </w:numPr>
        <w:spacing w:before="0" w:after="0"/>
        <w:ind w:left="930" w:hanging="504"/>
        <w:contextualSpacing/>
        <w:jc w:val="both"/>
        <w:rPr/>
      </w:pPr>
      <w:r>
        <w:rPr>
          <w:szCs w:val="20"/>
        </w:rPr>
        <w:t>Caso a Contratante determine, a multa deverá ser recolhida no prazo máximo de 30 (trinta) dias, a contar da data do recebimento da comunicação enviada pela autoridade competente.</w:t>
      </w:r>
    </w:p>
    <w:p>
      <w:pPr>
        <w:pStyle w:val="Normal"/>
        <w:keepNext/>
        <w:pageBreakBefore w:val="false"/>
        <w:widowControl w:val="false"/>
        <w:numPr>
          <w:ilvl w:val="1"/>
          <w:numId w:val="1"/>
        </w:numPr>
        <w:spacing w:before="0" w:after="0"/>
        <w:ind w:left="716" w:hanging="432"/>
        <w:contextualSpacing/>
        <w:jc w:val="both"/>
        <w:rPr/>
      </w:pPr>
      <w:r>
        <w:rPr>
          <w:rFonts w:cs="Arial"/>
          <w:szCs w:val="20"/>
        </w:rPr>
        <w:t>Caso o valor da multa não seja suficiente para cobrir os prejuízos causados pela conduta do licitante, a União ou Entidade poderá cobrar o valor remanescente judicialmente, conforme artigo 419 do Código Civil.</w:t>
      </w:r>
    </w:p>
    <w:p>
      <w:pPr>
        <w:pStyle w:val="Normal"/>
        <w:keepNext/>
        <w:pageBreakBefore w:val="false"/>
        <w:widowControl w:val="false"/>
        <w:numPr>
          <w:ilvl w:val="1"/>
          <w:numId w:val="1"/>
        </w:numPr>
        <w:spacing w:before="0" w:after="0"/>
        <w:ind w:left="716" w:hanging="432"/>
        <w:contextualSpacing/>
        <w:jc w:val="both"/>
        <w:rPr/>
      </w:pPr>
      <w:r>
        <w:rPr/>
        <w:t>A autoridade competente, na aplicação das sanções, levará em consideração a gravidade da conduta do infrator, o caráter educativo da pena, bem como o dano causado à Administração, observado o princípio da proporcionalidade.</w:t>
      </w:r>
    </w:p>
    <w:p>
      <w:pPr>
        <w:pStyle w:val="Nivel2"/>
        <w:keepNext/>
        <w:pageBreakBefore w:val="false"/>
        <w:widowControl w:val="false"/>
        <w:numPr>
          <w:ilvl w:val="1"/>
          <w:numId w:val="1"/>
        </w:numPr>
        <w:spacing w:lineRule="auto" w:line="240" w:before="0" w:after="0"/>
        <w:contextualSpacing/>
        <w:rPr/>
      </w:pPr>
      <w:r>
        <w:rPr>
          <w:rFonts w:cs="Arial" w:ascii="Arial" w:hAnsi="Arial"/>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ivel2"/>
        <w:keepNext/>
        <w:pageBreakBefore w:val="false"/>
        <w:widowControl w:val="false"/>
        <w:numPr>
          <w:ilvl w:val="1"/>
          <w:numId w:val="1"/>
        </w:numPr>
        <w:spacing w:lineRule="auto" w:line="240" w:before="0" w:after="0"/>
        <w:contextualSpacing/>
        <w:rPr/>
      </w:pPr>
      <w:r>
        <w:rPr>
          <w:rFonts w:cs="Arial" w:ascii="Arial" w:hAnsi="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ivel2"/>
        <w:keepNext/>
        <w:pageBreakBefore w:val="false"/>
        <w:widowControl w:val="false"/>
        <w:numPr>
          <w:ilvl w:val="1"/>
          <w:numId w:val="1"/>
        </w:numPr>
        <w:spacing w:lineRule="auto" w:line="240" w:before="0" w:after="0"/>
        <w:contextualSpacing/>
        <w:rPr/>
      </w:pPr>
      <w:r>
        <w:rPr>
          <w:rFonts w:cs="Arial" w:ascii="Arial" w:hAnsi="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keepNext/>
        <w:pageBreakBefore w:val="false"/>
        <w:widowControl w:val="false"/>
        <w:numPr>
          <w:ilvl w:val="1"/>
          <w:numId w:val="1"/>
        </w:numPr>
        <w:spacing w:before="0" w:after="0"/>
        <w:ind w:left="425" w:hanging="0"/>
        <w:contextualSpacing/>
        <w:jc w:val="both"/>
        <w:rPr/>
      </w:pPr>
      <w:r>
        <w:rPr>
          <w:rFonts w:cs="Arial"/>
          <w:szCs w:val="20"/>
        </w:rPr>
        <w:t>As penalidades serão obrigatoriamente registradas no SICAF.</w:t>
      </w:r>
    </w:p>
    <w:p>
      <w:pPr>
        <w:pStyle w:val="Nivel1"/>
        <w:keepNext/>
        <w:pageBreakBefore w:val="false"/>
        <w:widowControl w:val="false"/>
        <w:spacing w:lineRule="auto" w:line="240" w:before="0" w:after="0"/>
        <w:ind w:left="357" w:hanging="0"/>
        <w:contextualSpacing/>
        <w:rPr>
          <w:bCs/>
          <w:color w:val="00000A"/>
        </w:rPr>
      </w:pPr>
      <w:r>
        <w:rPr>
          <w:bCs/>
          <w:color w:val="00000A"/>
        </w:rPr>
      </w:r>
    </w:p>
    <w:p>
      <w:pPr>
        <w:pStyle w:val="Nivel1"/>
        <w:keepNext/>
        <w:pageBreakBefore w:val="false"/>
        <w:widowControl w:val="false"/>
        <w:numPr>
          <w:ilvl w:val="0"/>
          <w:numId w:val="1"/>
        </w:numPr>
        <w:spacing w:lineRule="auto" w:line="240" w:before="0" w:after="0"/>
        <w:ind w:left="644" w:hanging="0"/>
        <w:contextualSpacing/>
        <w:rPr/>
      </w:pPr>
      <w:r>
        <w:rPr>
          <w:bCs/>
          <w:color w:val="00000A"/>
        </w:rPr>
        <w:t xml:space="preserve">ESTIMATIVA DE </w:t>
      </w:r>
      <w:r>
        <w:rPr>
          <w:color w:val="00000A"/>
        </w:rPr>
        <w:t>PREÇOS</w:t>
      </w:r>
      <w:r>
        <w:rPr>
          <w:bCs/>
          <w:color w:val="00000A"/>
        </w:rPr>
        <w:t xml:space="preserve"> E PREÇOS REFERENCIAIS.</w:t>
      </w:r>
    </w:p>
    <w:p>
      <w:pPr>
        <w:pStyle w:val="Nivel1"/>
        <w:keepNext/>
        <w:pageBreakBefore w:val="false"/>
        <w:widowControl w:val="false"/>
        <w:numPr>
          <w:ilvl w:val="1"/>
          <w:numId w:val="1"/>
        </w:numPr>
        <w:spacing w:lineRule="auto" w:line="240" w:before="0" w:after="0"/>
        <w:contextualSpacing/>
        <w:rPr/>
      </w:pPr>
      <w:r>
        <w:rPr>
          <w:b w:val="false"/>
          <w:i/>
          <w:color w:val="00000A"/>
        </w:rPr>
        <w:t xml:space="preserve">O custo estimado da contratação é de R$ </w:t>
      </w:r>
      <w:r>
        <w:rPr>
          <w:rFonts w:eastAsia="MS Gothic" w:cs="Arial"/>
          <w:b w:val="false"/>
          <w:i/>
          <w:color w:val="00000A"/>
          <w:sz w:val="20"/>
          <w:szCs w:val="20"/>
          <w:lang w:val="pt-BR" w:eastAsia="pt-BR" w:bidi="ar-SA"/>
        </w:rPr>
        <w:t>28.974,72</w:t>
      </w:r>
      <w:r>
        <w:rPr>
          <w:b w:val="false"/>
          <w:i/>
          <w:color w:val="00000A"/>
        </w:rPr>
        <w:t xml:space="preserve"> (</w:t>
      </w:r>
      <w:r>
        <w:rPr>
          <w:rFonts w:eastAsia="MS Gothic" w:cs="Arial"/>
          <w:b w:val="false"/>
          <w:i/>
          <w:color w:val="00000A"/>
        </w:rPr>
        <w:t>vinte e oito</w:t>
      </w:r>
      <w:r>
        <w:rPr>
          <w:b w:val="false"/>
          <w:i/>
          <w:color w:val="00000A"/>
        </w:rPr>
        <w:t xml:space="preserve"> mil, novecentos e sessenta e quatro reais e setenta e dois centavos).</w:t>
      </w:r>
    </w:p>
    <w:p>
      <w:pPr>
        <w:pStyle w:val="Normal"/>
        <w:keepNext/>
        <w:pageBreakBefore w:val="false"/>
        <w:widowControl w:val="false"/>
        <w:spacing w:before="0" w:after="0"/>
        <w:contextualSpacing/>
        <w:jc w:val="both"/>
        <w:rPr>
          <w:b/>
          <w:b/>
          <w:bCs/>
          <w:szCs w:val="20"/>
        </w:rPr>
      </w:pPr>
      <w:r>
        <w:rPr>
          <w:b/>
          <w:bCs/>
          <w:szCs w:val="20"/>
        </w:rPr>
      </w:r>
    </w:p>
    <w:p>
      <w:pPr>
        <w:pStyle w:val="ListParagraph"/>
        <w:keepNext/>
        <w:pageBreakBefore w:val="false"/>
        <w:widowControl w:val="false"/>
        <w:ind w:left="716" w:hanging="432"/>
        <w:jc w:val="both"/>
        <w:rPr>
          <w:b/>
          <w:b/>
          <w:bCs/>
          <w:szCs w:val="20"/>
        </w:rPr>
      </w:pPr>
      <w:r>
        <w:rPr>
          <w:b/>
          <w:bCs/>
          <w:szCs w:val="20"/>
        </w:rPr>
      </w:r>
    </w:p>
    <w:p>
      <w:pPr>
        <w:pStyle w:val="ListParagraph"/>
        <w:keepNext/>
        <w:pageBreakBefore w:val="false"/>
        <w:widowControl w:val="false"/>
        <w:ind w:left="716" w:hanging="432"/>
        <w:jc w:val="both"/>
        <w:rPr>
          <w:b/>
          <w:b/>
          <w:bCs/>
          <w:szCs w:val="20"/>
        </w:rPr>
      </w:pPr>
      <w:r>
        <w:rPr>
          <w:b/>
          <w:bCs/>
          <w:szCs w:val="20"/>
        </w:rPr>
      </w:r>
    </w:p>
    <w:p>
      <w:pPr>
        <w:pStyle w:val="Normal"/>
        <w:keepNext/>
        <w:pageBreakBefore w:val="false"/>
        <w:widowControl w:val="false"/>
        <w:spacing w:before="0" w:after="0"/>
        <w:ind w:left="425" w:hanging="0"/>
        <w:contextualSpacing/>
        <w:jc w:val="both"/>
        <w:rPr>
          <w:rFonts w:cs="Arial"/>
          <w:i/>
          <w:i/>
          <w:szCs w:val="20"/>
        </w:rPr>
      </w:pPr>
      <w:r>
        <w:rPr>
          <w:rFonts w:cs="Arial"/>
          <w:i/>
          <w:szCs w:val="20"/>
        </w:rPr>
      </w:r>
    </w:p>
    <w:p>
      <w:pPr>
        <w:pStyle w:val="Normal"/>
        <w:keepNext/>
        <w:pageBreakBefore w:val="false"/>
        <w:widowControl w:val="false"/>
        <w:spacing w:before="0" w:after="0"/>
        <w:ind w:left="360" w:hanging="0"/>
        <w:contextualSpacing/>
        <w:jc w:val="center"/>
        <w:rPr/>
      </w:pPr>
      <w:r>
        <w:rPr>
          <w:rFonts w:cs="Arial"/>
          <w:szCs w:val="20"/>
        </w:rPr>
        <w:t xml:space="preserve">Município de Porto Velho-RO, 29 de agosto de 2022. </w:t>
      </w:r>
    </w:p>
    <w:p>
      <w:pPr>
        <w:pStyle w:val="Normal"/>
        <w:keepNext/>
        <w:pageBreakBefore w:val="false"/>
        <w:widowControl w:val="false"/>
        <w:spacing w:before="0" w:after="0"/>
        <w:ind w:left="360" w:hanging="0"/>
        <w:contextualSpacing/>
        <w:jc w:val="center"/>
        <w:rPr>
          <w:rFonts w:cs="Arial"/>
          <w:szCs w:val="20"/>
        </w:rPr>
      </w:pPr>
      <w:r>
        <w:rPr>
          <w:rFonts w:cs="Arial"/>
          <w:szCs w:val="20"/>
        </w:rPr>
      </w:r>
    </w:p>
    <w:p>
      <w:pPr>
        <w:pStyle w:val="Normal"/>
        <w:keepNext/>
        <w:pageBreakBefore w:val="false"/>
        <w:widowControl w:val="false"/>
        <w:spacing w:before="0" w:after="0"/>
        <w:ind w:left="360" w:hanging="0"/>
        <w:contextualSpacing/>
        <w:jc w:val="center"/>
        <w:rPr>
          <w:rFonts w:cs="Arial"/>
          <w:szCs w:val="20"/>
        </w:rPr>
      </w:pPr>
      <w:r>
        <w:rPr>
          <w:rFonts w:cs="Arial"/>
          <w:szCs w:val="20"/>
        </w:rPr>
      </w:r>
    </w:p>
    <w:p>
      <w:pPr>
        <w:pStyle w:val="Normal"/>
        <w:keepNext/>
        <w:pageBreakBefore w:val="false"/>
        <w:widowControl w:val="false"/>
        <w:spacing w:before="0" w:after="0"/>
        <w:ind w:left="360" w:hanging="0"/>
        <w:contextualSpacing/>
        <w:jc w:val="center"/>
        <w:rPr>
          <w:rFonts w:cs="Arial"/>
          <w:szCs w:val="20"/>
        </w:rPr>
      </w:pPr>
      <w:r>
        <w:rPr>
          <w:rFonts w:cs="Arial"/>
          <w:szCs w:val="20"/>
        </w:rPr>
      </w:r>
    </w:p>
    <w:p>
      <w:pPr>
        <w:pStyle w:val="Normal"/>
        <w:keepNext/>
        <w:pageBreakBefore w:val="false"/>
        <w:widowControl w:val="false"/>
        <w:spacing w:before="0" w:after="0"/>
        <w:ind w:left="360" w:hanging="0"/>
        <w:contextualSpacing/>
        <w:jc w:val="center"/>
        <w:rPr>
          <w:rFonts w:cs="Arial"/>
          <w:szCs w:val="20"/>
        </w:rPr>
      </w:pPr>
      <w:r>
        <w:rPr>
          <w:rFonts w:cs="Arial"/>
          <w:szCs w:val="20"/>
        </w:rPr>
      </w:r>
    </w:p>
    <w:p>
      <w:pPr>
        <w:pStyle w:val="Normal"/>
        <w:keepNext/>
        <w:pageBreakBefore w:val="false"/>
        <w:widowControl w:val="false"/>
        <w:spacing w:before="0" w:after="0"/>
        <w:ind w:left="360" w:hanging="0"/>
        <w:contextualSpacing/>
        <w:jc w:val="center"/>
        <w:rPr>
          <w:rFonts w:cs="Arial"/>
          <w:szCs w:val="20"/>
        </w:rPr>
      </w:pPr>
      <w:r>
        <w:rPr>
          <w:rFonts w:cs="Arial"/>
          <w:szCs w:val="20"/>
        </w:rPr>
      </w:r>
    </w:p>
    <w:p>
      <w:pPr>
        <w:pStyle w:val="Normal"/>
        <w:keepNext/>
        <w:pageBreakBefore w:val="false"/>
        <w:widowControl w:val="false"/>
        <w:spacing w:before="0" w:after="0"/>
        <w:ind w:left="360" w:hanging="0"/>
        <w:contextualSpacing/>
        <w:jc w:val="center"/>
        <w:rPr>
          <w:rFonts w:cs="Arial"/>
          <w:szCs w:val="20"/>
        </w:rPr>
      </w:pPr>
      <w:r>
        <w:rPr>
          <w:rFonts w:cs="Arial"/>
          <w:szCs w:val="20"/>
        </w:rPr>
      </w:r>
    </w:p>
    <w:p>
      <w:pPr>
        <w:pStyle w:val="Normal"/>
        <w:keepNext/>
        <w:pageBreakBefore w:val="false"/>
        <w:widowControl w:val="false"/>
        <w:spacing w:before="0" w:after="0"/>
        <w:ind w:left="360" w:hanging="0"/>
        <w:contextualSpacing/>
        <w:jc w:val="center"/>
        <w:rPr/>
      </w:pPr>
      <w:r>
        <w:rPr>
          <w:rFonts w:cs="Arial"/>
          <w:b/>
          <w:bCs/>
          <w:szCs w:val="20"/>
        </w:rPr>
        <w:t>FABLICIO HENDLER BOFF – 2° Sgt</w:t>
      </w:r>
    </w:p>
    <w:p>
      <w:pPr>
        <w:pStyle w:val="Normal"/>
        <w:keepNext/>
        <w:pageBreakBefore w:val="false"/>
        <w:widowControl w:val="false"/>
        <w:spacing w:before="0" w:after="0"/>
        <w:ind w:left="360" w:hanging="0"/>
        <w:contextualSpacing/>
        <w:jc w:val="center"/>
        <w:rPr/>
      </w:pPr>
      <w:r>
        <w:rPr>
          <w:rFonts w:cs="Arial"/>
          <w:szCs w:val="20"/>
        </w:rPr>
        <w:t>Encarregado do Setor do Pelotão de Obras do HGuPV</w:t>
      </w:r>
    </w:p>
    <w:sectPr>
      <w:headerReference w:type="even" r:id="rId8"/>
      <w:headerReference w:type="default" r:id="rId9"/>
      <w:type w:val="nextPage"/>
      <w:pgSz w:w="11906" w:h="16838"/>
      <w:pgMar w:left="1701" w:right="1134" w:header="1417" w:top="1701" w:footer="0" w:bottom="1134"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esquerd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Fonts w:ascii="Arial" w:hAnsi="Arial"/>
      </w:rPr>
    </w:lvl>
    <w:lvl w:ilvl="2">
      <w:start w:val="1"/>
      <w:numFmt w:val="decimal"/>
      <w:lvlText w:val="%1.%2.%3"/>
      <w:lvlJc w:val="left"/>
      <w:pPr>
        <w:ind w:left="1854" w:hanging="720"/>
      </w:pPr>
      <w:rPr>
        <w:b/>
        <w:rFonts w:ascii="Arial" w:hAnsi="Arial"/>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lowerLetter"/>
      <w:lvlText w:val="%3)"/>
      <w:lvlJc w:val="left"/>
      <w:pPr>
        <w:ind w:left="1224" w:hanging="504"/>
      </w:pPr>
      <w:rPr>
        <w:i w:val="false"/>
        <w:b w:val="false"/>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false"/>
  <w:evenAndOddHeaders/>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0"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d0e1a"/>
    <w:pPr>
      <w:widowControl/>
      <w:suppressAutoHyphens w:val="true"/>
      <w:bidi w:val="0"/>
      <w:jc w:val="left"/>
    </w:pPr>
    <w:rPr>
      <w:rFonts w:ascii="Arial" w:hAnsi="Arial" w:eastAsia="Times New Roman" w:cs="Tahoma"/>
      <w:color w:val="00000A"/>
      <w:sz w:val="20"/>
      <w:szCs w:val="24"/>
      <w:lang w:val="pt-BR" w:eastAsia="pt-BR" w:bidi="ar-SA"/>
    </w:rPr>
  </w:style>
  <w:style w:type="paragraph" w:styleId="Ttulo1">
    <w:name w:val="Título 1"/>
    <w:basedOn w:val="Normal"/>
    <w:next w:val="Normal"/>
    <w:link w:val="Ttulo1Char"/>
    <w:uiPriority w:val="9"/>
    <w:qFormat/>
    <w:rsid w:val="009f7713"/>
    <w:pPr>
      <w:keepNext/>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customStyle="1">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customStyle="1">
    <w:name w:val="ListLabel 1"/>
    <w:qFormat/>
    <w:rsid w:val="00533715"/>
    <w:rPr>
      <w:rFonts w:ascii="Arial" w:hAnsi="Arial"/>
      <w:b/>
    </w:rPr>
  </w:style>
  <w:style w:type="character" w:styleId="ListLabel2" w:customStyle="1">
    <w:name w:val="ListLabel 2"/>
    <w:qFormat/>
    <w:rsid w:val="00533715"/>
    <w:rPr>
      <w:b/>
      <w:i w:val="false"/>
      <w:iCs/>
    </w:rPr>
  </w:style>
  <w:style w:type="character" w:styleId="ListLabel3" w:customStyle="1">
    <w:name w:val="ListLabel 3"/>
    <w:qFormat/>
    <w:rsid w:val="00533715"/>
    <w:rPr>
      <w:rFonts w:cs="Arial"/>
      <w:b/>
      <w:i w:val="false"/>
      <w:iCs/>
      <w:color w:val="00000A"/>
    </w:rPr>
  </w:style>
  <w:style w:type="character" w:styleId="ListLabel4" w:customStyle="1">
    <w:name w:val="ListLabel 4"/>
    <w:qFormat/>
    <w:rsid w:val="00533715"/>
    <w:rPr>
      <w:b w:val="false"/>
      <w:i w:val="false"/>
      <w:iCs/>
      <w:color w:val="00000A"/>
    </w:rPr>
  </w:style>
  <w:style w:type="character" w:styleId="ListLabel5" w:customStyle="1">
    <w:name w:val="ListLabel 5"/>
    <w:qFormat/>
    <w:rsid w:val="00533715"/>
    <w:rPr>
      <w:rFonts w:ascii="Arial" w:hAnsi="Arial"/>
      <w:b/>
    </w:rPr>
  </w:style>
  <w:style w:type="character" w:styleId="ListLabel6" w:customStyle="1">
    <w:name w:val="ListLabel 6"/>
    <w:qFormat/>
    <w:rsid w:val="00533715"/>
    <w:rPr>
      <w:b/>
      <w:i w:val="false"/>
      <w:iCs/>
    </w:rPr>
  </w:style>
  <w:style w:type="character" w:styleId="ListLabel7" w:customStyle="1">
    <w:name w:val="ListLabel 7"/>
    <w:qFormat/>
    <w:rsid w:val="00533715"/>
    <w:rPr>
      <w:rFonts w:cs="Arial"/>
      <w:b/>
      <w:i w:val="false"/>
      <w:iCs/>
      <w:color w:val="00000A"/>
    </w:rPr>
  </w:style>
  <w:style w:type="character" w:styleId="ListLabel8" w:customStyle="1">
    <w:name w:val="ListLabel 8"/>
    <w:qFormat/>
    <w:rsid w:val="00533715"/>
    <w:rPr>
      <w:b w:val="false"/>
      <w:i w:val="false"/>
      <w:iCs/>
      <w:color w:val="00000A"/>
    </w:rPr>
  </w:style>
  <w:style w:type="character" w:styleId="ListLabel9" w:customStyle="1">
    <w:name w:val="ListLabel 9"/>
    <w:qFormat/>
    <w:rsid w:val="00533715"/>
    <w:rPr>
      <w:rFonts w:ascii="Arial" w:hAnsi="Arial"/>
      <w:b/>
    </w:rPr>
  </w:style>
  <w:style w:type="character" w:styleId="ListLabel10" w:customStyle="1">
    <w:name w:val="ListLabel 10"/>
    <w:qFormat/>
    <w:rsid w:val="00533715"/>
    <w:rPr>
      <w:b/>
      <w:i w:val="false"/>
      <w:iCs/>
    </w:rPr>
  </w:style>
  <w:style w:type="character" w:styleId="ListLabel11" w:customStyle="1">
    <w:name w:val="ListLabel 11"/>
    <w:qFormat/>
    <w:rsid w:val="00533715"/>
    <w:rPr>
      <w:rFonts w:cs="Arial"/>
      <w:b/>
      <w:i w:val="false"/>
      <w:iCs/>
      <w:color w:val="00000A"/>
    </w:rPr>
  </w:style>
  <w:style w:type="character" w:styleId="ListLabel12" w:customStyle="1">
    <w:name w:val="ListLabel 12"/>
    <w:qFormat/>
    <w:rsid w:val="00533715"/>
    <w:rPr>
      <w:b w:val="false"/>
      <w:i w:val="false"/>
      <w:iCs/>
      <w:color w:val="00000A"/>
    </w:rPr>
  </w:style>
  <w:style w:type="character" w:styleId="ListLabel13" w:customStyle="1">
    <w:name w:val="ListLabel 13"/>
    <w:qFormat/>
    <w:rsid w:val="00533715"/>
    <w:rPr>
      <w:rFonts w:ascii="Arial" w:hAnsi="Arial"/>
      <w:b/>
    </w:rPr>
  </w:style>
  <w:style w:type="character" w:styleId="ListLabel14" w:customStyle="1">
    <w:name w:val="ListLabel 14"/>
    <w:qFormat/>
    <w:rsid w:val="00533715"/>
    <w:rPr>
      <w:b/>
      <w:i w:val="false"/>
      <w:iCs/>
    </w:rPr>
  </w:style>
  <w:style w:type="character" w:styleId="ListLabel15" w:customStyle="1">
    <w:name w:val="ListLabel 15"/>
    <w:qFormat/>
    <w:rsid w:val="00533715"/>
    <w:rPr>
      <w:rFonts w:cs="Arial"/>
      <w:b/>
      <w:i w:val="false"/>
      <w:iCs/>
      <w:color w:val="00000A"/>
    </w:rPr>
  </w:style>
  <w:style w:type="character" w:styleId="ListLabel16" w:customStyle="1">
    <w:name w:val="ListLabel 16"/>
    <w:qFormat/>
    <w:rsid w:val="00533715"/>
    <w:rPr>
      <w:b w:val="false"/>
      <w:i w:val="false"/>
      <w:iCs/>
      <w:color w:val="00000A"/>
    </w:rPr>
  </w:style>
  <w:style w:type="character" w:styleId="ListLabel17" w:customStyle="1">
    <w:name w:val="ListLabel 17"/>
    <w:qFormat/>
    <w:rsid w:val="00533715"/>
    <w:rPr>
      <w:rFonts w:ascii="Arial" w:hAnsi="Arial"/>
      <w:b/>
    </w:rPr>
  </w:style>
  <w:style w:type="character" w:styleId="ListLabel18" w:customStyle="1">
    <w:name w:val="ListLabel 18"/>
    <w:qFormat/>
    <w:rsid w:val="00533715"/>
    <w:rPr>
      <w:b/>
      <w:i w:val="false"/>
      <w:iCs/>
    </w:rPr>
  </w:style>
  <w:style w:type="character" w:styleId="ListLabel19" w:customStyle="1">
    <w:name w:val="ListLabel 19"/>
    <w:qFormat/>
    <w:rsid w:val="00533715"/>
    <w:rPr>
      <w:rFonts w:cs="Arial"/>
      <w:b/>
      <w:i w:val="false"/>
      <w:iCs/>
      <w:color w:val="00000A"/>
    </w:rPr>
  </w:style>
  <w:style w:type="character" w:styleId="ListLabel20" w:customStyle="1">
    <w:name w:val="ListLabel 20"/>
    <w:qFormat/>
    <w:rsid w:val="00533715"/>
    <w:rPr>
      <w:b w:val="false"/>
      <w:i w:val="false"/>
      <w:iCs/>
      <w:color w:val="00000A"/>
    </w:rPr>
  </w:style>
  <w:style w:type="character" w:styleId="ListLabel21" w:customStyle="1">
    <w:name w:val="ListLabel 21"/>
    <w:qFormat/>
    <w:rsid w:val="00533715"/>
    <w:rPr>
      <w:rFonts w:ascii="Arial" w:hAnsi="Arial"/>
      <w:b/>
    </w:rPr>
  </w:style>
  <w:style w:type="character" w:styleId="ListLabel22" w:customStyle="1">
    <w:name w:val="ListLabel 22"/>
    <w:qFormat/>
    <w:rsid w:val="00533715"/>
    <w:rPr>
      <w:b/>
      <w:i w:val="false"/>
      <w:iCs/>
    </w:rPr>
  </w:style>
  <w:style w:type="character" w:styleId="ListLabel23" w:customStyle="1">
    <w:name w:val="ListLabel 23"/>
    <w:qFormat/>
    <w:rsid w:val="00533715"/>
    <w:rPr>
      <w:rFonts w:cs="Arial"/>
      <w:b/>
      <w:i w:val="false"/>
      <w:iCs/>
      <w:color w:val="00000A"/>
    </w:rPr>
  </w:style>
  <w:style w:type="character" w:styleId="ListLabel24" w:customStyle="1">
    <w:name w:val="ListLabel 24"/>
    <w:qFormat/>
    <w:rsid w:val="00533715"/>
    <w:rPr>
      <w:b w:val="false"/>
      <w:i w:val="false"/>
      <w:iCs/>
      <w:color w:val="00000A"/>
    </w:rPr>
  </w:style>
  <w:style w:type="character" w:styleId="Linkdainternetvisitado" w:customStyle="1">
    <w:name w:val="Link da internet visitado"/>
    <w:rsid w:val="00533715"/>
    <w:rPr>
      <w:color w:val="800000"/>
      <w:u w:val="single"/>
    </w:rPr>
  </w:style>
  <w:style w:type="character" w:styleId="ListLabel25" w:customStyle="1">
    <w:name w:val="ListLabel 25"/>
    <w:qFormat/>
    <w:rsid w:val="00533715"/>
    <w:rPr>
      <w:rFonts w:ascii="Arial" w:hAnsi="Arial"/>
      <w:b/>
    </w:rPr>
  </w:style>
  <w:style w:type="character" w:styleId="ListLabel26" w:customStyle="1">
    <w:name w:val="ListLabel 26"/>
    <w:qFormat/>
    <w:rsid w:val="00533715"/>
    <w:rPr>
      <w:b/>
      <w:i w:val="false"/>
      <w:iCs/>
    </w:rPr>
  </w:style>
  <w:style w:type="character" w:styleId="ListLabel27" w:customStyle="1">
    <w:name w:val="ListLabel 27"/>
    <w:qFormat/>
    <w:rsid w:val="00533715"/>
    <w:rPr>
      <w:rFonts w:cs="Arial"/>
      <w:b/>
      <w:i w:val="false"/>
      <w:iCs/>
      <w:color w:val="00000A"/>
    </w:rPr>
  </w:style>
  <w:style w:type="character" w:styleId="ListLabel28" w:customStyle="1">
    <w:name w:val="ListLabel 28"/>
    <w:qFormat/>
    <w:rsid w:val="00533715"/>
    <w:rPr>
      <w:b w:val="false"/>
      <w:i w:val="false"/>
      <w:iCs/>
      <w:color w:val="00000A"/>
    </w:rPr>
  </w:style>
  <w:style w:type="character" w:styleId="ListLabel29" w:customStyle="1">
    <w:name w:val="ListLabel 29"/>
    <w:qFormat/>
    <w:rsid w:val="00533715"/>
    <w:rPr>
      <w:rFonts w:ascii="Arial" w:hAnsi="Arial"/>
      <w:b/>
    </w:rPr>
  </w:style>
  <w:style w:type="character" w:styleId="ListLabel30" w:customStyle="1">
    <w:name w:val="ListLabel 30"/>
    <w:qFormat/>
    <w:rsid w:val="00533715"/>
    <w:rPr>
      <w:b/>
      <w:i w:val="false"/>
      <w:iCs/>
    </w:rPr>
  </w:style>
  <w:style w:type="character" w:styleId="ListLabel31" w:customStyle="1">
    <w:name w:val="ListLabel 31"/>
    <w:qFormat/>
    <w:rsid w:val="00533715"/>
    <w:rPr>
      <w:rFonts w:cs="Arial"/>
      <w:b/>
      <w:i w:val="false"/>
      <w:iCs/>
      <w:color w:val="00000A"/>
    </w:rPr>
  </w:style>
  <w:style w:type="character" w:styleId="ListLabel32" w:customStyle="1">
    <w:name w:val="ListLabel 32"/>
    <w:qFormat/>
    <w:rsid w:val="00533715"/>
    <w:rPr>
      <w:b w:val="false"/>
      <w:i w:val="false"/>
      <w:iCs/>
      <w:color w:val="00000A"/>
    </w:rPr>
  </w:style>
  <w:style w:type="character" w:styleId="ListLabel33" w:customStyle="1">
    <w:name w:val="ListLabel 33"/>
    <w:qFormat/>
    <w:rsid w:val="00533715"/>
    <w:rPr>
      <w:rFonts w:ascii="Arial" w:hAnsi="Arial"/>
      <w:b/>
    </w:rPr>
  </w:style>
  <w:style w:type="character" w:styleId="ListLabel34" w:customStyle="1">
    <w:name w:val="ListLabel 34"/>
    <w:qFormat/>
    <w:rsid w:val="00533715"/>
    <w:rPr>
      <w:b/>
      <w:i w:val="false"/>
      <w:iCs/>
    </w:rPr>
  </w:style>
  <w:style w:type="character" w:styleId="ListLabel35" w:customStyle="1">
    <w:name w:val="ListLabel 35"/>
    <w:qFormat/>
    <w:rsid w:val="00533715"/>
    <w:rPr>
      <w:rFonts w:cs="Arial"/>
      <w:b/>
      <w:i w:val="false"/>
      <w:iCs/>
      <w:color w:val="00000A"/>
    </w:rPr>
  </w:style>
  <w:style w:type="character" w:styleId="ListLabel36" w:customStyle="1">
    <w:name w:val="ListLabel 36"/>
    <w:qFormat/>
    <w:rsid w:val="00533715"/>
    <w:rPr>
      <w:b w:val="false"/>
      <w:i w:val="false"/>
      <w:iCs/>
      <w:color w:val="00000A"/>
    </w:rPr>
  </w:style>
  <w:style w:type="character" w:styleId="ListLabel37" w:customStyle="1">
    <w:name w:val="ListLabel 37"/>
    <w:qFormat/>
    <w:rsid w:val="00533715"/>
    <w:rPr>
      <w:rFonts w:ascii="Arial" w:hAnsi="Arial"/>
      <w:b/>
    </w:rPr>
  </w:style>
  <w:style w:type="character" w:styleId="ListLabel38" w:customStyle="1">
    <w:name w:val="ListLabel 38"/>
    <w:qFormat/>
    <w:rsid w:val="00533715"/>
    <w:rPr>
      <w:b/>
      <w:i w:val="false"/>
      <w:iCs/>
    </w:rPr>
  </w:style>
  <w:style w:type="character" w:styleId="ListLabel39" w:customStyle="1">
    <w:name w:val="ListLabel 39"/>
    <w:qFormat/>
    <w:rsid w:val="00533715"/>
    <w:rPr>
      <w:rFonts w:cs="Arial"/>
      <w:b/>
      <w:i w:val="false"/>
      <w:iCs/>
      <w:color w:val="00000A"/>
    </w:rPr>
  </w:style>
  <w:style w:type="character" w:styleId="ListLabel40" w:customStyle="1">
    <w:name w:val="ListLabel 40"/>
    <w:qFormat/>
    <w:rsid w:val="00533715"/>
    <w:rPr>
      <w:b w:val="false"/>
      <w:i w:val="false"/>
      <w:iCs/>
      <w:color w:val="00000A"/>
    </w:rPr>
  </w:style>
  <w:style w:type="character" w:styleId="ListLabel41" w:customStyle="1">
    <w:name w:val="ListLabel 41"/>
    <w:qFormat/>
    <w:rsid w:val="00533715"/>
    <w:rPr>
      <w:rFonts w:ascii="Arial" w:hAnsi="Arial"/>
      <w:b/>
    </w:rPr>
  </w:style>
  <w:style w:type="character" w:styleId="ListLabel42" w:customStyle="1">
    <w:name w:val="ListLabel 42"/>
    <w:qFormat/>
    <w:rsid w:val="00533715"/>
    <w:rPr>
      <w:b/>
      <w:i w:val="false"/>
      <w:iCs/>
    </w:rPr>
  </w:style>
  <w:style w:type="character" w:styleId="ListLabel43" w:customStyle="1">
    <w:name w:val="ListLabel 43"/>
    <w:qFormat/>
    <w:rsid w:val="00533715"/>
    <w:rPr>
      <w:rFonts w:cs="Arial"/>
      <w:b/>
      <w:i w:val="false"/>
      <w:iCs/>
      <w:color w:val="00000A"/>
    </w:rPr>
  </w:style>
  <w:style w:type="character" w:styleId="ListLabel44" w:customStyle="1">
    <w:name w:val="ListLabel 44"/>
    <w:qFormat/>
    <w:rsid w:val="00533715"/>
    <w:rPr>
      <w:b w:val="false"/>
      <w:i w:val="false"/>
      <w:iCs/>
      <w:color w:val="00000A"/>
    </w:rPr>
  </w:style>
  <w:style w:type="character" w:styleId="ListLabel45" w:customStyle="1">
    <w:name w:val="ListLabel 45"/>
    <w:qFormat/>
    <w:rsid w:val="00533715"/>
    <w:rPr>
      <w:rFonts w:ascii="Arial" w:hAnsi="Arial"/>
      <w:b/>
    </w:rPr>
  </w:style>
  <w:style w:type="character" w:styleId="ListLabel46" w:customStyle="1">
    <w:name w:val="ListLabel 46"/>
    <w:qFormat/>
    <w:rsid w:val="00533715"/>
    <w:rPr>
      <w:b/>
      <w:i w:val="false"/>
      <w:iCs/>
    </w:rPr>
  </w:style>
  <w:style w:type="character" w:styleId="ListLabel47" w:customStyle="1">
    <w:name w:val="ListLabel 47"/>
    <w:qFormat/>
    <w:rsid w:val="00533715"/>
    <w:rPr>
      <w:rFonts w:cs="Arial"/>
      <w:b/>
      <w:i w:val="false"/>
      <w:iCs/>
      <w:color w:val="00000A"/>
    </w:rPr>
  </w:style>
  <w:style w:type="character" w:styleId="ListLabel48" w:customStyle="1">
    <w:name w:val="ListLabel 48"/>
    <w:qFormat/>
    <w:rsid w:val="00533715"/>
    <w:rPr>
      <w:b w:val="false"/>
      <w:i w:val="false"/>
      <w:iCs/>
      <w:color w:val="00000A"/>
    </w:rPr>
  </w:style>
  <w:style w:type="character" w:styleId="ListLabel49" w:customStyle="1">
    <w:name w:val="ListLabel 49"/>
    <w:qFormat/>
    <w:rsid w:val="00533715"/>
    <w:rPr>
      <w:rFonts w:ascii="Arial" w:hAnsi="Arial"/>
      <w:b/>
    </w:rPr>
  </w:style>
  <w:style w:type="character" w:styleId="ListLabel50" w:customStyle="1">
    <w:name w:val="ListLabel 50"/>
    <w:qFormat/>
    <w:rsid w:val="00533715"/>
    <w:rPr>
      <w:b/>
      <w:i w:val="false"/>
      <w:iCs/>
    </w:rPr>
  </w:style>
  <w:style w:type="character" w:styleId="ListLabel51" w:customStyle="1">
    <w:name w:val="ListLabel 51"/>
    <w:qFormat/>
    <w:rsid w:val="00533715"/>
    <w:rPr>
      <w:rFonts w:cs="Arial"/>
      <w:b/>
      <w:i w:val="false"/>
      <w:iCs/>
      <w:color w:val="00000A"/>
    </w:rPr>
  </w:style>
  <w:style w:type="character" w:styleId="ListLabel52" w:customStyle="1">
    <w:name w:val="ListLabel 52"/>
    <w:qFormat/>
    <w:rsid w:val="00533715"/>
    <w:rPr>
      <w:b w:val="false"/>
      <w:i w:val="false"/>
      <w:iCs/>
      <w:color w:val="00000A"/>
    </w:rPr>
  </w:style>
  <w:style w:type="character" w:styleId="ListLabel53">
    <w:name w:val="ListLabel 53"/>
    <w:qFormat/>
    <w:rPr>
      <w:rFonts w:ascii="Arial" w:hAnsi="Arial"/>
      <w:b/>
    </w:rPr>
  </w:style>
  <w:style w:type="character" w:styleId="ListLabel54">
    <w:name w:val="ListLabel 54"/>
    <w:qFormat/>
    <w:rPr>
      <w:b/>
      <w:i w:val="false"/>
      <w:iCs/>
    </w:rPr>
  </w:style>
  <w:style w:type="character" w:styleId="ListLabel55">
    <w:name w:val="ListLabel 55"/>
    <w:qFormat/>
    <w:rPr>
      <w:rFonts w:cs="Arial"/>
      <w:b/>
      <w:i w:val="false"/>
      <w:iCs/>
      <w:color w:val="00000A"/>
    </w:rPr>
  </w:style>
  <w:style w:type="character" w:styleId="ListLabel56">
    <w:name w:val="ListLabel 56"/>
    <w:qFormat/>
    <w:rPr>
      <w:b w:val="false"/>
      <w:i w:val="false"/>
      <w:iCs/>
      <w:color w:val="00000A"/>
    </w:rPr>
  </w:style>
  <w:style w:type="character" w:styleId="ListLabel57">
    <w:name w:val="ListLabel 57"/>
    <w:qFormat/>
    <w:rPr>
      <w:rFonts w:ascii="Arial" w:hAnsi="Arial"/>
      <w:b/>
    </w:rPr>
  </w:style>
  <w:style w:type="character" w:styleId="ListLabel58">
    <w:name w:val="ListLabel 58"/>
    <w:qFormat/>
    <w:rPr>
      <w:b/>
      <w:i w:val="false"/>
      <w:iCs/>
    </w:rPr>
  </w:style>
  <w:style w:type="character" w:styleId="ListLabel59">
    <w:name w:val="ListLabel 59"/>
    <w:qFormat/>
    <w:rPr>
      <w:rFonts w:cs="Arial"/>
      <w:b/>
      <w:i w:val="false"/>
      <w:iCs/>
      <w:color w:val="00000A"/>
    </w:rPr>
  </w:style>
  <w:style w:type="character" w:styleId="ListLabel60">
    <w:name w:val="ListLabel 60"/>
    <w:qFormat/>
    <w:rPr>
      <w:b w:val="false"/>
      <w:i w:val="false"/>
      <w:iCs/>
      <w:color w:val="00000A"/>
    </w:rPr>
  </w:style>
  <w:style w:type="character" w:styleId="ListLabel61">
    <w:name w:val="ListLabel 61"/>
    <w:qFormat/>
    <w:rPr>
      <w:rFonts w:ascii="Arial" w:hAnsi="Arial"/>
      <w:b/>
    </w:rPr>
  </w:style>
  <w:style w:type="character" w:styleId="ListLabel62">
    <w:name w:val="ListLabel 62"/>
    <w:qFormat/>
    <w:rPr>
      <w:b/>
      <w:i w:val="false"/>
      <w:iCs/>
    </w:rPr>
  </w:style>
  <w:style w:type="character" w:styleId="ListLabel63">
    <w:name w:val="ListLabel 63"/>
    <w:qFormat/>
    <w:rPr>
      <w:rFonts w:cs="Arial"/>
      <w:b/>
      <w:i w:val="false"/>
      <w:iCs/>
      <w:color w:val="00000A"/>
    </w:rPr>
  </w:style>
  <w:style w:type="character" w:styleId="ListLabel64">
    <w:name w:val="ListLabel 64"/>
    <w:qFormat/>
    <w:rPr>
      <w:b w:val="false"/>
      <w:i w:val="false"/>
      <w:iCs/>
      <w:color w:val="00000A"/>
    </w:rPr>
  </w:style>
  <w:style w:type="character" w:styleId="ListLabel65">
    <w:name w:val="ListLabel 65"/>
    <w:qFormat/>
    <w:rPr>
      <w:rFonts w:ascii="Arial" w:hAnsi="Arial"/>
      <w:b/>
    </w:rPr>
  </w:style>
  <w:style w:type="character" w:styleId="ListLabel66">
    <w:name w:val="ListLabel 66"/>
    <w:qFormat/>
    <w:rPr>
      <w:b/>
      <w:i w:val="false"/>
      <w:iCs/>
    </w:rPr>
  </w:style>
  <w:style w:type="character" w:styleId="ListLabel67">
    <w:name w:val="ListLabel 67"/>
    <w:qFormat/>
    <w:rPr>
      <w:rFonts w:cs="Arial"/>
      <w:b/>
      <w:i w:val="false"/>
      <w:iCs/>
      <w:color w:val="00000A"/>
    </w:rPr>
  </w:style>
  <w:style w:type="character" w:styleId="ListLabel68">
    <w:name w:val="ListLabel 68"/>
    <w:qFormat/>
    <w:rPr>
      <w:b w:val="false"/>
      <w:i w:val="false"/>
      <w:iCs/>
      <w:color w:val="00000A"/>
    </w:rPr>
  </w:style>
  <w:style w:type="character" w:styleId="ListLabel69">
    <w:name w:val="ListLabel 69"/>
    <w:qFormat/>
    <w:rPr>
      <w:rFonts w:ascii="Arial" w:hAnsi="Arial"/>
      <w:b/>
    </w:rPr>
  </w:style>
  <w:style w:type="character" w:styleId="ListLabel70">
    <w:name w:val="ListLabel 70"/>
    <w:qFormat/>
    <w:rPr>
      <w:b/>
      <w:i w:val="false"/>
      <w:iCs/>
    </w:rPr>
  </w:style>
  <w:style w:type="character" w:styleId="ListLabel71">
    <w:name w:val="ListLabel 71"/>
    <w:qFormat/>
    <w:rPr>
      <w:rFonts w:cs="Arial"/>
      <w:b/>
      <w:i w:val="false"/>
      <w:iCs/>
      <w:color w:val="00000A"/>
    </w:rPr>
  </w:style>
  <w:style w:type="character" w:styleId="ListLabel72">
    <w:name w:val="ListLabel 72"/>
    <w:qFormat/>
    <w:rPr>
      <w:b w:val="false"/>
      <w:i w:val="false"/>
      <w:iCs/>
      <w:color w:val="00000A"/>
    </w:rPr>
  </w:style>
  <w:style w:type="character" w:styleId="ListLabel73">
    <w:name w:val="ListLabel 73"/>
    <w:qFormat/>
    <w:rPr>
      <w:rFonts w:ascii="Arial" w:hAnsi="Arial"/>
      <w:b/>
    </w:rPr>
  </w:style>
  <w:style w:type="character" w:styleId="ListLabel74">
    <w:name w:val="ListLabel 74"/>
    <w:qFormat/>
    <w:rPr>
      <w:b/>
      <w:i w:val="false"/>
      <w:iCs/>
    </w:rPr>
  </w:style>
  <w:style w:type="character" w:styleId="ListLabel75">
    <w:name w:val="ListLabel 75"/>
    <w:qFormat/>
    <w:rPr>
      <w:rFonts w:cs="Arial"/>
      <w:b/>
      <w:i w:val="false"/>
      <w:iCs/>
      <w:color w:val="00000A"/>
    </w:rPr>
  </w:style>
  <w:style w:type="character" w:styleId="ListLabel76">
    <w:name w:val="ListLabel 76"/>
    <w:qFormat/>
    <w:rPr>
      <w:b w:val="false"/>
      <w:i w:val="false"/>
      <w:iCs/>
      <w:color w:val="00000A"/>
    </w:rPr>
  </w:style>
  <w:style w:type="character" w:styleId="ListLabel77">
    <w:name w:val="ListLabel 77"/>
    <w:qFormat/>
    <w:rPr>
      <w:rFonts w:ascii="Arial" w:hAnsi="Arial"/>
      <w:b/>
    </w:rPr>
  </w:style>
  <w:style w:type="character" w:styleId="ListLabel78">
    <w:name w:val="ListLabel 78"/>
    <w:qFormat/>
    <w:rPr>
      <w:b/>
      <w:i w:val="false"/>
      <w:iCs/>
    </w:rPr>
  </w:style>
  <w:style w:type="character" w:styleId="ListLabel79">
    <w:name w:val="ListLabel 79"/>
    <w:qFormat/>
    <w:rPr>
      <w:rFonts w:cs="Arial"/>
      <w:b/>
      <w:i w:val="false"/>
      <w:iCs/>
      <w:color w:val="00000A"/>
    </w:rPr>
  </w:style>
  <w:style w:type="character" w:styleId="ListLabel80">
    <w:name w:val="ListLabel 80"/>
    <w:qFormat/>
    <w:rPr>
      <w:b w:val="false"/>
      <w:i w:val="false"/>
      <w:iCs/>
      <w:color w:val="00000A"/>
    </w:rPr>
  </w:style>
  <w:style w:type="character" w:styleId="ListLabel81">
    <w:name w:val="ListLabel 81"/>
    <w:qFormat/>
    <w:rPr>
      <w:rFonts w:ascii="Arial" w:hAnsi="Arial"/>
      <w:b/>
    </w:rPr>
  </w:style>
  <w:style w:type="character" w:styleId="ListLabel82">
    <w:name w:val="ListLabel 82"/>
    <w:qFormat/>
    <w:rPr>
      <w:b/>
      <w:i w:val="false"/>
      <w:iCs/>
    </w:rPr>
  </w:style>
  <w:style w:type="character" w:styleId="ListLabel83">
    <w:name w:val="ListLabel 83"/>
    <w:qFormat/>
    <w:rPr>
      <w:rFonts w:cs="Arial"/>
      <w:b/>
      <w:i w:val="false"/>
      <w:iCs/>
      <w:color w:val="00000A"/>
    </w:rPr>
  </w:style>
  <w:style w:type="character" w:styleId="ListLabel84">
    <w:name w:val="ListLabel 84"/>
    <w:qFormat/>
    <w:rPr>
      <w:b w:val="false"/>
      <w:i w:val="false"/>
      <w:iCs/>
      <w:color w:val="00000A"/>
    </w:rPr>
  </w:style>
  <w:style w:type="character" w:styleId="ListLabel85">
    <w:name w:val="ListLabel 85"/>
    <w:qFormat/>
    <w:rPr>
      <w:rFonts w:ascii="Arial" w:hAnsi="Arial"/>
      <w:b/>
    </w:rPr>
  </w:style>
  <w:style w:type="character" w:styleId="ListLabel86">
    <w:name w:val="ListLabel 86"/>
    <w:qFormat/>
    <w:rPr>
      <w:b/>
      <w:i w:val="false"/>
      <w:iCs/>
    </w:rPr>
  </w:style>
  <w:style w:type="character" w:styleId="ListLabel87">
    <w:name w:val="ListLabel 87"/>
    <w:qFormat/>
    <w:rPr>
      <w:rFonts w:cs="Arial"/>
      <w:b/>
      <w:i w:val="false"/>
      <w:iCs/>
      <w:color w:val="00000A"/>
    </w:rPr>
  </w:style>
  <w:style w:type="character" w:styleId="ListLabel88">
    <w:name w:val="ListLabel 88"/>
    <w:qFormat/>
    <w:rPr>
      <w:b w:val="false"/>
      <w:i w:val="false"/>
      <w:iCs/>
      <w:color w:val="00000A"/>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Corpo de texto"/>
    <w:basedOn w:val="Normal"/>
    <w:qFormat/>
    <w:rsid w:val="00533715"/>
    <w:pPr>
      <w:spacing w:lineRule="auto" w:line="288" w:before="0" w:after="140"/>
    </w:pPr>
    <w:rPr/>
  </w:style>
  <w:style w:type="paragraph" w:styleId="Lista">
    <w:name w:val="Lista"/>
    <w:basedOn w:val="Corpodetexto"/>
    <w:rsid w:val="00533715"/>
    <w:pPr/>
    <w:rPr>
      <w:rFonts w:cs="Arial"/>
    </w:rPr>
  </w:style>
  <w:style w:type="paragraph" w:styleId="Legenda">
    <w:name w:val="Legenda"/>
    <w:basedOn w:val="Normal"/>
    <w:pPr>
      <w:suppressLineNumbers/>
      <w:spacing w:before="120" w:after="120"/>
    </w:pPr>
    <w:rPr>
      <w:rFonts w:cs="Arial"/>
      <w:i/>
      <w:iCs/>
      <w:sz w:val="24"/>
      <w:szCs w:val="24"/>
    </w:rPr>
  </w:style>
  <w:style w:type="paragraph" w:styleId="Ndice" w:customStyle="1">
    <w:name w:val="Índice"/>
    <w:basedOn w:val="Normal"/>
    <w:qFormat/>
    <w:rsid w:val="00533715"/>
    <w:pPr>
      <w:suppressLineNumbers/>
    </w:pPr>
    <w:rPr>
      <w:rFonts w:cs="Arial"/>
    </w:rPr>
  </w:style>
  <w:style w:type="paragraph" w:styleId="Ttulododocumento">
    <w:name w:val="Título do documento"/>
    <w:basedOn w:val="Normal"/>
    <w:qFormat/>
    <w:rsid w:val="00533715"/>
    <w:pPr>
      <w:keepNext/>
      <w:spacing w:before="240" w:after="120"/>
    </w:pPr>
    <w:rPr>
      <w:rFonts w:ascii="Liberation Sans" w:hAnsi="Liberation Sans" w:eastAsia="Microsoft YaHei" w:cs="Arial"/>
      <w:sz w:val="28"/>
      <w:szCs w:val="28"/>
    </w:rPr>
  </w:style>
  <w:style w:type="paragraph" w:styleId="Caption">
    <w:name w:val="caption"/>
    <w:basedOn w:val="Normal"/>
    <w:qFormat/>
    <w:rsid w:val="00533715"/>
    <w:pPr>
      <w:suppressLineNumbers/>
      <w:spacing w:before="120" w:after="120"/>
    </w:pPr>
    <w:rPr>
      <w:rFonts w:cs="Arial"/>
      <w:i/>
      <w:iCs/>
      <w:lang w:eastAsia="zh-CN"/>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jc w:val="both"/>
    </w:pPr>
    <w:rPr>
      <w:rFonts w:ascii="Arial" w:hAnsi="Arial" w:cs="Times New Roman"/>
      <w:b/>
      <w:bCs/>
      <w:color w:val="000000"/>
      <w:sz w:val="20"/>
      <w:szCs w:val="20"/>
    </w:rPr>
  </w:style>
  <w:style w:type="paragraph" w:styleId="PADRO" w:customStyle="1">
    <w:name w:val="PADRÃO"/>
    <w:qFormat/>
    <w:rsid w:val="009f7713"/>
    <w:pPr>
      <w:keepNext/>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00000A"/>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customStyle="1">
    <w:name w:val="Cabeçalho e Rodapé"/>
    <w:basedOn w:val="Normal"/>
    <w:qFormat/>
    <w:rsid w:val="00533715"/>
    <w:pPr/>
    <w:rPr/>
  </w:style>
  <w:style w:type="paragraph" w:styleId="Cabealho">
    <w:name w:val="Cabeçalho"/>
    <w:basedOn w:val="Normal"/>
    <w:link w:val="CabealhoChar"/>
    <w:uiPriority w:val="99"/>
    <w:unhideWhenUsed/>
    <w:rsid w:val="00805244"/>
    <w:pPr>
      <w:tabs>
        <w:tab w:val="center" w:pos="4252" w:leader="none"/>
        <w:tab w:val="right" w:pos="8504" w:leader="none"/>
      </w:tabs>
    </w:pPr>
    <w:rPr/>
  </w:style>
  <w:style w:type="paragraph" w:styleId="Rodap">
    <w:name w:val="Rodapé"/>
    <w:basedOn w:val="Normal"/>
    <w:link w:val="RodapChar"/>
    <w:uiPriority w:val="99"/>
    <w:unhideWhenUsed/>
    <w:rsid w:val="00805244"/>
    <w:pPr>
      <w:tabs>
        <w:tab w:val="center" w:pos="4252" w:leader="none"/>
        <w:tab w:val="right" w:pos="8504" w:leader="none"/>
      </w:tabs>
    </w:pPr>
    <w:rPr/>
  </w:style>
  <w:style w:type="paragraph" w:styleId="Cabealhoesquerda" w:customStyle="1">
    <w:name w:val="Cabeçalho à esquerda"/>
    <w:basedOn w:val="Normal"/>
    <w:qFormat/>
    <w:rsid w:val="00533715"/>
    <w:pPr/>
    <w:rPr/>
  </w:style>
  <w:style w:type="paragraph" w:styleId="Western" w:customStyle="1">
    <w:name w:val="western"/>
    <w:basedOn w:val="Normal"/>
    <w:qFormat/>
    <w:rsid w:val="00533715"/>
    <w:pPr>
      <w:spacing w:lineRule="auto" w:line="288" w:before="113" w:after="0"/>
      <w:ind w:left="799" w:hanging="0"/>
    </w:pPr>
    <w:rPr>
      <w:rFonts w:cs="Arial"/>
      <w:sz w:val="18"/>
      <w:szCs w:val="18"/>
    </w:rPr>
  </w:style>
  <w:style w:type="paragraph" w:styleId="PargrafodaLista1" w:customStyle="1">
    <w:name w:val="Parágrafo da Lista1"/>
    <w:basedOn w:val="Normal"/>
    <w:qFormat/>
    <w:rsid w:val="00533715"/>
    <w:pPr>
      <w:ind w:left="720" w:hanging="0"/>
    </w:pPr>
    <w:rPr>
      <w:rFonts w:ascii="Ecofont_Spranq_eco_Sans" w:hAnsi="Ecofont_Spranq_eco_Sans" w:cs="Ecofont_Spranq_eco_Sans"/>
      <w:sz w:val="24"/>
    </w:rPr>
  </w:style>
  <w:style w:type="paragraph" w:styleId="WWPadro" w:customStyle="1">
    <w:name w:val="WW-Padrão"/>
    <w:qFormat/>
    <w:rsid w:val="00533715"/>
    <w:pPr>
      <w:widowControl w:val="false"/>
      <w:tabs>
        <w:tab w:val="left" w:pos="708" w:leader="none"/>
      </w:tabs>
      <w:suppressAutoHyphens w:val="true"/>
      <w:bidi w:val="0"/>
      <w:jc w:val="left"/>
      <w:textAlignment w:val="baseline"/>
    </w:pPr>
    <w:rPr>
      <w:rFonts w:ascii="Times New Roman" w:hAnsi="Times New Roman" w:eastAsia="Times New Roman" w:cs="Times New Roman"/>
      <w:color w:val="00000A"/>
      <w:sz w:val="20"/>
      <w:szCs w:val="20"/>
      <w:lang w:val="pt-BR" w:eastAsia="zh-CN" w:bidi="hi-IN"/>
    </w:rPr>
  </w:style>
  <w:style w:type="paragraph" w:styleId="Contedodatabela">
    <w:name w:val="Conteúdo da tabela"/>
    <w:basedOn w:val="Normal"/>
    <w:qFormat/>
    <w:pPr/>
    <w:rPr/>
  </w:style>
  <w:style w:type="paragraph" w:styleId="Ttulodetabela">
    <w:name w:val="Título de tabela"/>
    <w:basedOn w:val="Contedodatabela"/>
    <w:qFormat/>
    <w:pPr/>
    <w:rPr/>
  </w:style>
  <w:style w:type="numbering" w:styleId="NoList" w:default="1">
    <w:name w:val="No List"/>
    <w:uiPriority w:val="99"/>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table" w:styleId="Tabelacomgrade">
    <w:name w:val="Table Grid"/>
    <w:basedOn w:val="Tabelanormal"/>
    <w:rsid w:val="002f5eff"/>
    <w:rPr>
      <w:rFonts w:eastAsiaTheme="minorEastAsia"/>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image" Target="media/image2.jpeg"/><Relationship Id="rId7" Type="http://schemas.openxmlformats.org/officeDocument/2006/relationships/hyperlink" Target="mailto:almoxarife@hgupv.eb.mil.br"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Application>LibreOffice/5.0.5.2$Windows_X86_64 LibreOffice_project/55b006a02d247b5f7215fc6ea0fde844b30035b3</Application>
  <Paragraphs>370</Paragraphs>
  <Company>Plataforma Computadores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language>pt-BR</dc:language>
  <cp:lastPrinted>2022-09-26T14:11:36Z</cp:lastPrinted>
  <dcterms:modified xsi:type="dcterms:W3CDTF">2022-09-26T14:12:35Z</dcterms:modified>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Plataforma Computadores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