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1.png" ContentType="image/png"/>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jc w:val="center"/>
        <w:rPr>
          <w:rStyle w:val="Fontepargpadro"/>
          <w:rFonts w:ascii="Arial" w:hAnsi="Arial"/>
        </w:rPr>
      </w:pPr>
      <w:r>
        <w:rPr>
          <w:b/>
          <w:sz w:val="20"/>
          <w:szCs w:val="20"/>
        </w:rPr>
        <w:drawing>
          <wp:anchor behindDoc="0" distT="0" distB="0" distL="18415" distR="0" simplePos="0" locked="0" layoutInCell="1" allowOverlap="1" relativeHeight="2">
            <wp:simplePos x="0" y="0"/>
            <wp:positionH relativeFrom="column">
              <wp:posOffset>2490470</wp:posOffset>
            </wp:positionH>
            <wp:positionV relativeFrom="paragraph">
              <wp:posOffset>-88900</wp:posOffset>
            </wp:positionV>
            <wp:extent cx="777240" cy="805180"/>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335" t="-311" r="-335" b="-311"/>
                    <a:stretch>
                      <a:fillRect/>
                    </a:stretch>
                  </pic:blipFill>
                  <pic:spPr bwMode="auto">
                    <a:xfrm>
                      <a:off x="0" y="0"/>
                      <a:ext cx="777240" cy="805180"/>
                    </a:xfrm>
                    <a:prstGeom prst="rect">
                      <a:avLst/>
                    </a:prstGeom>
                  </pic:spPr>
                </pic:pic>
              </a:graphicData>
            </a:graphic>
          </wp:anchor>
        </w:drawing>
      </w:r>
    </w:p>
    <w:p>
      <w:pPr>
        <w:pStyle w:val="LONormal"/>
        <w:jc w:val="center"/>
        <w:rPr>
          <w:rStyle w:val="Fontepargpadro"/>
          <w:rFonts w:ascii="Arial" w:hAnsi="Arial"/>
        </w:rPr>
      </w:pPr>
      <w:r>
        <w:rPr>
          <w:b/>
          <w:sz w:val="20"/>
          <w:szCs w:val="20"/>
        </w:rPr>
      </w:r>
    </w:p>
    <w:p>
      <w:pPr>
        <w:pStyle w:val="LONormal"/>
        <w:jc w:val="center"/>
        <w:rPr>
          <w:rStyle w:val="Fontepargpadro"/>
          <w:rFonts w:ascii="Arial" w:hAnsi="Arial"/>
        </w:rPr>
      </w:pPr>
      <w:r>
        <w:rPr>
          <w:b/>
          <w:sz w:val="20"/>
          <w:szCs w:val="20"/>
        </w:rPr>
      </w:r>
    </w:p>
    <w:p>
      <w:pPr>
        <w:pStyle w:val="LONormal"/>
        <w:jc w:val="center"/>
        <w:rPr>
          <w:rStyle w:val="Fontepargpadro"/>
          <w:rFonts w:ascii="Arial" w:hAnsi="Arial"/>
        </w:rPr>
      </w:pPr>
      <w:r>
        <w:rPr>
          <w:b/>
          <w:sz w:val="20"/>
          <w:szCs w:val="20"/>
        </w:rPr>
      </w:r>
    </w:p>
    <w:p>
      <w:pPr>
        <w:pStyle w:val="LONormal"/>
        <w:jc w:val="center"/>
        <w:rPr>
          <w:rStyle w:val="Fontepargpadro"/>
          <w:rFonts w:ascii="Arial" w:hAnsi="Arial"/>
        </w:rPr>
      </w:pPr>
      <w:r>
        <w:rPr>
          <w:b/>
          <w:sz w:val="20"/>
          <w:szCs w:val="20"/>
        </w:rPr>
      </w:r>
    </w:p>
    <w:p>
      <w:pPr>
        <w:pStyle w:val="LONormal"/>
        <w:jc w:val="center"/>
        <w:rPr/>
      </w:pPr>
      <w:r>
        <w:rPr>
          <w:rStyle w:val="Fontepargpadro"/>
          <w:rFonts w:ascii="Arial" w:hAnsi="Arial"/>
          <w:b/>
          <w:sz w:val="20"/>
          <w:szCs w:val="20"/>
        </w:rPr>
        <w:t>MINISTÉRIO DA DEFESA</w:t>
      </w:r>
    </w:p>
    <w:p>
      <w:pPr>
        <w:pStyle w:val="LONormal"/>
        <w:tabs>
          <w:tab w:val="left" w:pos="0" w:leader="none"/>
        </w:tabs>
        <w:jc w:val="center"/>
        <w:rPr/>
      </w:pPr>
      <w:r>
        <w:rPr>
          <w:rStyle w:val="Fontepargpadro"/>
          <w:rFonts w:ascii="Arial" w:hAnsi="Arial"/>
          <w:b/>
          <w:sz w:val="20"/>
          <w:szCs w:val="20"/>
        </w:rPr>
        <w:t>EXÉRCITO BRASILEIRO</w:t>
      </w:r>
    </w:p>
    <w:p>
      <w:pPr>
        <w:pStyle w:val="LONormal"/>
        <w:tabs>
          <w:tab w:val="left" w:pos="0" w:leader="none"/>
        </w:tabs>
        <w:jc w:val="center"/>
        <w:rPr/>
      </w:pPr>
      <w:r>
        <w:rPr>
          <w:rStyle w:val="Fontepargpadro"/>
          <w:rFonts w:ascii="Arial" w:hAnsi="Arial"/>
          <w:b/>
          <w:color w:val="000000"/>
          <w:sz w:val="20"/>
          <w:szCs w:val="20"/>
        </w:rPr>
        <w:t>CMO - 9ª RM</w:t>
      </w:r>
    </w:p>
    <w:p>
      <w:pPr>
        <w:pStyle w:val="LONormal"/>
        <w:jc w:val="center"/>
        <w:rPr/>
      </w:pPr>
      <w:r>
        <w:rPr>
          <w:rStyle w:val="Fontepargpadro"/>
          <w:rFonts w:ascii="Arial" w:hAnsi="Arial"/>
          <w:b/>
          <w:color w:val="000000"/>
          <w:sz w:val="20"/>
          <w:szCs w:val="20"/>
        </w:rPr>
        <w:t>HOSPITAL MILITAR DE ÁREA DE CAMPO GRANDE</w:t>
      </w:r>
    </w:p>
    <w:p>
      <w:pPr>
        <w:pStyle w:val="Corpodetexto"/>
        <w:spacing w:lineRule="auto" w:line="240" w:before="0" w:after="0"/>
        <w:ind w:right="-15" w:hanging="0"/>
        <w:jc w:val="center"/>
        <w:rPr>
          <w:rFonts w:ascii="Times New Roman" w:hAnsi="Times New Roman"/>
          <w:sz w:val="20"/>
          <w:szCs w:val="20"/>
        </w:rPr>
      </w:pPr>
      <w:r>
        <w:rPr>
          <w:rFonts w:cs="Arial" w:ascii="Arial" w:hAnsi="Arial"/>
          <w:b/>
          <w:bCs/>
          <w:color w:val="000000"/>
          <w:sz w:val="20"/>
          <w:szCs w:val="20"/>
        </w:rPr>
        <w:t>H MIL 2ª CI/1890</w:t>
      </w:r>
    </w:p>
    <w:p>
      <w:pPr>
        <w:pStyle w:val="Normal"/>
        <w:spacing w:lineRule="auto" w:line="276" w:before="0" w:after="120"/>
        <w:ind w:right="-15" w:hanging="0"/>
        <w:jc w:val="center"/>
        <w:rPr>
          <w:rFonts w:ascii="Arial" w:hAnsi="Arial" w:cs="Arial"/>
          <w:b/>
          <w:b/>
          <w:bCs/>
          <w:color w:val="000000"/>
          <w:szCs w:val="20"/>
        </w:rPr>
      </w:pPr>
      <w:r>
        <w:rPr>
          <w:rFonts w:cs="Arial" w:ascii="Arial" w:hAnsi="Arial"/>
          <w:b/>
          <w:bCs/>
          <w:color w:val="000000"/>
          <w:szCs w:val="20"/>
        </w:rPr>
      </w:r>
    </w:p>
    <w:p>
      <w:pPr>
        <w:pStyle w:val="Normal"/>
        <w:spacing w:lineRule="auto" w:line="276" w:before="0" w:after="120"/>
        <w:ind w:right="-15" w:hanging="0"/>
        <w:jc w:val="center"/>
        <w:rPr>
          <w:rFonts w:ascii="Arial" w:hAnsi="Arial"/>
          <w:sz w:val="24"/>
          <w:szCs w:val="24"/>
        </w:rPr>
      </w:pPr>
      <w:r>
        <w:rPr>
          <w:rFonts w:cs="Arial" w:ascii="Arial" w:hAnsi="Arial"/>
          <w:b/>
          <w:bCs/>
          <w:color w:val="000000"/>
          <w:sz w:val="24"/>
          <w:szCs w:val="24"/>
          <w:u w:val="single"/>
        </w:rPr>
        <w:t>TERMO DE REFERÊNCIA</w:t>
      </w:r>
    </w:p>
    <w:p>
      <w:pPr>
        <w:pStyle w:val="Normal"/>
        <w:jc w:val="center"/>
        <w:rPr>
          <w:rFonts w:ascii="Arial" w:hAnsi="Arial"/>
          <w:sz w:val="24"/>
          <w:szCs w:val="24"/>
        </w:rPr>
      </w:pPr>
      <w:r>
        <w:rPr>
          <w:rFonts w:cs="Arial" w:ascii="Arial" w:hAnsi="Arial"/>
          <w:b/>
          <w:bCs/>
          <w:color w:val="000000"/>
          <w:sz w:val="24"/>
          <w:szCs w:val="24"/>
        </w:rPr>
        <w:t>Dispensa eletrônica n° 83-2022</w:t>
      </w:r>
    </w:p>
    <w:p>
      <w:pPr>
        <w:pStyle w:val="Normal"/>
        <w:jc w:val="center"/>
        <w:rPr>
          <w:rFonts w:ascii="Arial" w:hAnsi="Arial" w:cs="Arial"/>
          <w:bCs/>
          <w:color w:val="000000"/>
          <w:sz w:val="24"/>
          <w:szCs w:val="24"/>
        </w:rPr>
      </w:pPr>
      <w:r>
        <w:rPr>
          <w:rFonts w:cs="Arial" w:ascii="Arial" w:hAnsi="Arial"/>
          <w:bCs/>
          <w:color w:val="000000"/>
          <w:sz w:val="24"/>
          <w:szCs w:val="24"/>
        </w:rPr>
      </w:r>
    </w:p>
    <w:p>
      <w:pPr>
        <w:pStyle w:val="Normal"/>
        <w:jc w:val="center"/>
        <w:rPr>
          <w:rFonts w:ascii="Arial" w:hAnsi="Arial"/>
          <w:sz w:val="24"/>
          <w:szCs w:val="24"/>
        </w:rPr>
      </w:pPr>
      <w:r>
        <w:rPr>
          <w:rFonts w:cs="Arial" w:ascii="Arial" w:hAnsi="Arial"/>
          <w:b/>
          <w:bCs/>
          <w:color w:val="000000"/>
          <w:sz w:val="24"/>
          <w:szCs w:val="24"/>
        </w:rPr>
        <w:t xml:space="preserve">(Processo Administrativo n.°  </w:t>
      </w:r>
      <w:r>
        <w:rPr>
          <w:rFonts w:cs="Arial" w:ascii="Arial" w:hAnsi="Arial"/>
          <w:b/>
          <w:bCs/>
          <w:color w:val="000000"/>
          <w:sz w:val="24"/>
          <w:szCs w:val="24"/>
        </w:rPr>
        <w:t>64577.022444/2022-78</w:t>
      </w:r>
    </w:p>
    <w:p>
      <w:pPr>
        <w:pStyle w:val="Normal"/>
        <w:jc w:val="center"/>
        <w:rPr>
          <w:rFonts w:cs="Arial"/>
          <w:b/>
          <w:b/>
          <w:bCs/>
          <w:color w:val="000000"/>
        </w:rPr>
      </w:pPr>
      <w:r>
        <w:rPr>
          <w:rFonts w:ascii="Arial" w:hAnsi="Arial"/>
          <w:sz w:val="24"/>
          <w:szCs w:val="24"/>
        </w:rPr>
      </w:r>
    </w:p>
    <w:p>
      <w:pPr>
        <w:pStyle w:val="Normal"/>
        <w:jc w:val="left"/>
        <w:rPr>
          <w:rFonts w:ascii="Arial" w:hAnsi="Arial" w:cs="Arial"/>
          <w:bCs/>
          <w:color w:val="000000"/>
          <w:sz w:val="24"/>
          <w:szCs w:val="24"/>
        </w:rPr>
      </w:pPr>
      <w:r>
        <w:rPr>
          <w:rFonts w:cs="Arial" w:ascii="Arial" w:hAnsi="Arial"/>
          <w:bCs/>
          <w:color w:val="000000"/>
          <w:sz w:val="24"/>
          <w:szCs w:val="24"/>
        </w:rPr>
      </w:r>
    </w:p>
    <w:p>
      <w:pPr>
        <w:pStyle w:val="Normal"/>
        <w:widowControl/>
        <w:suppressAutoHyphens w:val="true"/>
        <w:bidi w:val="0"/>
        <w:spacing w:before="0" w:after="0"/>
        <w:ind w:left="113" w:right="0" w:hanging="0"/>
        <w:jc w:val="both"/>
        <w:rPr>
          <w:rFonts w:cs="Arial"/>
          <w:bCs/>
          <w:color w:val="000000"/>
          <w:szCs w:val="20"/>
        </w:rPr>
      </w:pPr>
      <w:r>
        <w:rPr>
          <w:rFonts w:cs="Arial" w:ascii="Arial" w:hAnsi="Arial"/>
          <w:b/>
          <w:bCs/>
          <w:color w:val="000000"/>
          <w:sz w:val="24"/>
          <w:szCs w:val="24"/>
        </w:rPr>
        <w:t xml:space="preserve">1. </w:t>
      </w:r>
      <w:r>
        <w:rPr>
          <w:rFonts w:cs="Arial" w:ascii="Arial" w:hAnsi="Arial"/>
          <w:b w:val="false"/>
          <w:bCs w:val="false"/>
          <w:color w:val="000000"/>
          <w:sz w:val="24"/>
          <w:szCs w:val="24"/>
        </w:rPr>
        <w:t>Contratação de empresa especializada para instalação e aplicação de película Blackout em 50 (cinquenta) M² em 13 (treze) janelas de vidro temperado Blindex, nas instalações do PAMMU (Pronto Atendimento Médico Militar de Urgência) do Hospital Militar de Área de Campo Grande.</w:t>
      </w:r>
      <w:r>
        <w:rPr>
          <w:rFonts w:cs="Arial" w:ascii="Arial" w:hAnsi="Arial"/>
          <w:b w:val="false"/>
          <w:bCs w:val="false"/>
          <w:color w:val="000000"/>
          <w:sz w:val="20"/>
          <w:szCs w:val="20"/>
        </w:rPr>
        <w:t xml:space="preserve"> </w:t>
      </w:r>
    </w:p>
    <w:p>
      <w:pPr>
        <w:pStyle w:val="Normal"/>
        <w:jc w:val="center"/>
        <w:rPr>
          <w:rFonts w:ascii="Arial" w:hAnsi="Arial" w:cs="Arial"/>
          <w:bCs/>
          <w:color w:val="000000"/>
          <w:szCs w:val="20"/>
        </w:rPr>
      </w:pPr>
      <w:r>
        <w:rPr>
          <w:rFonts w:cs="Arial" w:ascii="Arial" w:hAnsi="Arial"/>
          <w:bCs/>
          <w:color w:val="000000"/>
          <w:szCs w:val="20"/>
        </w:rPr>
      </w:r>
    </w:p>
    <w:tbl>
      <w:tblPr>
        <w:tblW w:w="9949" w:type="dxa"/>
        <w:jc w:val="left"/>
        <w:tblInd w:w="-487" w:type="dxa"/>
        <w:tblBorders>
          <w:top w:val="single" w:sz="2" w:space="0" w:color="000001"/>
          <w:left w:val="single" w:sz="2" w:space="0" w:color="000001"/>
          <w:bottom w:val="single" w:sz="2" w:space="0" w:color="000001"/>
          <w:insideH w:val="single" w:sz="2" w:space="0" w:color="000001"/>
        </w:tblBorders>
        <w:tblCellMar>
          <w:top w:w="55" w:type="dxa"/>
          <w:left w:w="52" w:type="dxa"/>
          <w:bottom w:w="55" w:type="dxa"/>
          <w:right w:w="55" w:type="dxa"/>
        </w:tblCellMar>
      </w:tblPr>
      <w:tblGrid>
        <w:gridCol w:w="573"/>
        <w:gridCol w:w="845"/>
        <w:gridCol w:w="505"/>
        <w:gridCol w:w="3804"/>
        <w:gridCol w:w="559"/>
        <w:gridCol w:w="628"/>
        <w:gridCol w:w="627"/>
        <w:gridCol w:w="1186"/>
        <w:gridCol w:w="1222"/>
      </w:tblGrid>
      <w:tr>
        <w:trPr/>
        <w:tc>
          <w:tcPr>
            <w:tcW w:w="573" w:type="dxa"/>
            <w:tcBorders>
              <w:top w:val="single" w:sz="2" w:space="0" w:color="000001"/>
              <w:left w:val="single" w:sz="2" w:space="0" w:color="000001"/>
              <w:bottom w:val="single" w:sz="2" w:space="0" w:color="000001"/>
              <w:insideH w:val="single" w:sz="2" w:space="0" w:color="000001"/>
            </w:tcBorders>
            <w:shd w:fill="auto" w:val="clear"/>
            <w:vAlign w:val="center"/>
          </w:tcPr>
          <w:p>
            <w:pPr>
              <w:pStyle w:val="Contedodatabela"/>
              <w:widowControl/>
              <w:suppressLineNumbers/>
              <w:bidi w:val="0"/>
              <w:spacing w:before="0" w:after="0"/>
              <w:ind w:left="0" w:right="0" w:hanging="0"/>
              <w:jc w:val="center"/>
              <w:rPr>
                <w:rFonts w:ascii="Arial" w:hAnsi="Arial"/>
                <w:b/>
                <w:b/>
                <w:bCs/>
              </w:rPr>
            </w:pPr>
            <w:r>
              <w:rPr>
                <w:rFonts w:ascii="Arial" w:hAnsi="Arial"/>
                <w:b/>
                <w:bCs/>
                <w:color w:val="000000"/>
                <w:sz w:val="20"/>
                <w:szCs w:val="20"/>
              </w:rPr>
              <w:t>Item</w:t>
            </w:r>
          </w:p>
        </w:tc>
        <w:tc>
          <w:tcPr>
            <w:tcW w:w="845"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bidi w:val="0"/>
              <w:jc w:val="center"/>
              <w:rPr>
                <w:rFonts w:ascii="Arial" w:hAnsi="Arial"/>
                <w:sz w:val="20"/>
                <w:szCs w:val="20"/>
              </w:rPr>
            </w:pPr>
            <w:r>
              <w:rPr>
                <w:rFonts w:ascii="Arial" w:hAnsi="Arial"/>
                <w:b/>
                <w:bCs/>
                <w:color w:val="000000"/>
                <w:sz w:val="20"/>
                <w:szCs w:val="20"/>
              </w:rPr>
              <w:t>Código</w:t>
            </w:r>
          </w:p>
        </w:tc>
        <w:tc>
          <w:tcPr>
            <w:tcW w:w="505"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bidi w:val="0"/>
              <w:jc w:val="center"/>
              <w:rPr>
                <w:rFonts w:ascii="Arial" w:hAnsi="Arial"/>
                <w:sz w:val="20"/>
                <w:szCs w:val="20"/>
              </w:rPr>
            </w:pPr>
            <w:r>
              <w:rPr>
                <w:rFonts w:ascii="Arial" w:hAnsi="Arial"/>
                <w:b/>
                <w:bCs/>
                <w:color w:val="000000"/>
                <w:sz w:val="20"/>
                <w:szCs w:val="20"/>
              </w:rPr>
              <w:t>Qtd</w:t>
            </w:r>
          </w:p>
        </w:tc>
        <w:tc>
          <w:tcPr>
            <w:tcW w:w="3804"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bidi w:val="0"/>
              <w:jc w:val="center"/>
              <w:rPr>
                <w:rFonts w:ascii="Arial" w:hAnsi="Arial"/>
                <w:sz w:val="20"/>
                <w:szCs w:val="20"/>
              </w:rPr>
            </w:pPr>
            <w:r>
              <w:rPr>
                <w:rFonts w:ascii="Arial" w:hAnsi="Arial"/>
                <w:b/>
                <w:bCs/>
                <w:color w:val="000000"/>
                <w:sz w:val="20"/>
                <w:szCs w:val="20"/>
              </w:rPr>
              <w:t>Descrição do serviço</w:t>
            </w:r>
          </w:p>
        </w:tc>
        <w:tc>
          <w:tcPr>
            <w:tcW w:w="559" w:type="dxa"/>
            <w:tcBorders>
              <w:top w:val="single" w:sz="2" w:space="0" w:color="000001"/>
              <w:left w:val="single" w:sz="2" w:space="0" w:color="000001"/>
              <w:bottom w:val="single" w:sz="2" w:space="0" w:color="000001"/>
              <w:insideH w:val="single" w:sz="2" w:space="0" w:color="000001"/>
            </w:tcBorders>
            <w:shd w:fill="auto" w:val="clear"/>
            <w:vAlign w:val="center"/>
          </w:tcPr>
          <w:p>
            <w:pPr>
              <w:pStyle w:val="Contedodatabela"/>
              <w:jc w:val="center"/>
              <w:rPr>
                <w:rFonts w:ascii="Arial" w:hAnsi="Arial"/>
                <w:b/>
                <w:b/>
                <w:bCs/>
              </w:rPr>
            </w:pPr>
            <w:r>
              <w:rPr>
                <w:rFonts w:ascii="Arial" w:hAnsi="Arial"/>
                <w:b/>
                <w:bCs/>
                <w:color w:val="000000"/>
                <w:sz w:val="20"/>
                <w:szCs w:val="20"/>
              </w:rPr>
              <w:t>Unid</w:t>
            </w:r>
          </w:p>
        </w:tc>
        <w:tc>
          <w:tcPr>
            <w:tcW w:w="628" w:type="dxa"/>
            <w:tcBorders>
              <w:top w:val="single" w:sz="2" w:space="0" w:color="000001"/>
              <w:left w:val="single" w:sz="2" w:space="0" w:color="000001"/>
              <w:bottom w:val="single" w:sz="2" w:space="0" w:color="000001"/>
              <w:insideH w:val="single" w:sz="2" w:space="0" w:color="000001"/>
            </w:tcBorders>
            <w:shd w:fill="auto" w:val="clear"/>
            <w:vAlign w:val="center"/>
          </w:tcPr>
          <w:p>
            <w:pPr>
              <w:pStyle w:val="Contedodatabela"/>
              <w:jc w:val="center"/>
              <w:rPr>
                <w:rFonts w:ascii="Arial" w:hAnsi="Arial"/>
                <w:b/>
                <w:b/>
                <w:bCs/>
              </w:rPr>
            </w:pPr>
            <w:r>
              <w:rPr>
                <w:rFonts w:ascii="Arial" w:hAnsi="Arial"/>
                <w:b/>
                <w:bCs/>
                <w:color w:val="000000"/>
                <w:sz w:val="20"/>
                <w:szCs w:val="20"/>
              </w:rPr>
              <w:t>Qtd Min</w:t>
            </w:r>
          </w:p>
        </w:tc>
        <w:tc>
          <w:tcPr>
            <w:tcW w:w="627" w:type="dxa"/>
            <w:tcBorders>
              <w:top w:val="single" w:sz="2" w:space="0" w:color="000001"/>
              <w:left w:val="single" w:sz="2" w:space="0" w:color="000001"/>
              <w:bottom w:val="single" w:sz="2" w:space="0" w:color="000001"/>
              <w:insideH w:val="single" w:sz="2" w:space="0" w:color="000001"/>
            </w:tcBorders>
            <w:shd w:fill="auto" w:val="clear"/>
            <w:vAlign w:val="center"/>
          </w:tcPr>
          <w:p>
            <w:pPr>
              <w:pStyle w:val="Contedodatabela"/>
              <w:jc w:val="center"/>
              <w:rPr>
                <w:rFonts w:ascii="Arial" w:hAnsi="Arial"/>
                <w:b/>
                <w:b/>
                <w:bCs/>
              </w:rPr>
            </w:pPr>
            <w:r>
              <w:rPr>
                <w:rFonts w:ascii="Arial" w:hAnsi="Arial"/>
                <w:b/>
                <w:bCs/>
                <w:color w:val="000000"/>
                <w:sz w:val="20"/>
                <w:szCs w:val="20"/>
              </w:rPr>
              <w:t>Qtd Max</w:t>
            </w:r>
          </w:p>
        </w:tc>
        <w:tc>
          <w:tcPr>
            <w:tcW w:w="1186" w:type="dxa"/>
            <w:tcBorders>
              <w:top w:val="single" w:sz="2" w:space="0" w:color="000001"/>
              <w:left w:val="single" w:sz="2" w:space="0" w:color="000001"/>
              <w:bottom w:val="single" w:sz="2" w:space="0" w:color="000001"/>
              <w:insideH w:val="single" w:sz="2" w:space="0" w:color="000001"/>
            </w:tcBorders>
            <w:shd w:fill="auto" w:val="clear"/>
            <w:vAlign w:val="center"/>
          </w:tcPr>
          <w:p>
            <w:pPr>
              <w:pStyle w:val="Contedodatabela"/>
              <w:jc w:val="center"/>
              <w:rPr>
                <w:rFonts w:ascii="Arial" w:hAnsi="Arial"/>
                <w:b/>
                <w:b/>
                <w:bCs/>
              </w:rPr>
            </w:pPr>
            <w:r>
              <w:rPr>
                <w:rFonts w:ascii="Arial" w:hAnsi="Arial"/>
                <w:b/>
                <w:bCs/>
                <w:color w:val="000000"/>
                <w:sz w:val="20"/>
                <w:szCs w:val="20"/>
              </w:rPr>
              <w:t>Valor Unitário R$</w:t>
            </w:r>
          </w:p>
        </w:tc>
        <w:tc>
          <w:tcPr>
            <w:tcW w:w="122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vAlign w:val="center"/>
          </w:tcPr>
          <w:p>
            <w:pPr>
              <w:pStyle w:val="Contedodatabela"/>
              <w:jc w:val="center"/>
              <w:rPr>
                <w:rFonts w:ascii="Arial" w:hAnsi="Arial"/>
                <w:b/>
                <w:b/>
                <w:bCs/>
              </w:rPr>
            </w:pPr>
            <w:r>
              <w:rPr>
                <w:rFonts w:ascii="Arial" w:hAnsi="Arial"/>
                <w:b/>
                <w:bCs/>
                <w:color w:val="000000"/>
                <w:sz w:val="20"/>
                <w:szCs w:val="20"/>
              </w:rPr>
              <w:t>Valor Total R$</w:t>
            </w:r>
          </w:p>
        </w:tc>
      </w:tr>
      <w:tr>
        <w:trPr/>
        <w:tc>
          <w:tcPr>
            <w:tcW w:w="573" w:type="dxa"/>
            <w:tcBorders>
              <w:left w:val="single" w:sz="2" w:space="0" w:color="000001"/>
              <w:bottom w:val="single" w:sz="2" w:space="0" w:color="000001"/>
              <w:insideH w:val="single" w:sz="2" w:space="0" w:color="000001"/>
            </w:tcBorders>
            <w:shd w:fill="auto" w:val="clear"/>
            <w:vAlign w:val="center"/>
          </w:tcPr>
          <w:p>
            <w:pPr>
              <w:pStyle w:val="Contedodatabela"/>
              <w:widowControl/>
              <w:suppressLineNumbers/>
              <w:bidi w:val="0"/>
              <w:spacing w:before="0" w:after="0"/>
              <w:ind w:left="0" w:right="0" w:hanging="0"/>
              <w:jc w:val="center"/>
              <w:rPr>
                <w:rFonts w:ascii="Arial" w:hAnsi="Arial"/>
                <w:b/>
                <w:b/>
                <w:bCs/>
              </w:rPr>
            </w:pPr>
            <w:r>
              <w:rPr>
                <w:rFonts w:ascii="Arial" w:hAnsi="Arial"/>
                <w:b w:val="false"/>
                <w:bCs w:val="false"/>
                <w:color w:val="000000"/>
                <w:sz w:val="20"/>
                <w:szCs w:val="20"/>
              </w:rPr>
              <w:t>1</w:t>
            </w:r>
          </w:p>
        </w:tc>
        <w:tc>
          <w:tcPr>
            <w:tcW w:w="845" w:type="dxa"/>
            <w:tcBorders>
              <w:left w:val="single" w:sz="2" w:space="0" w:color="000001"/>
              <w:bottom w:val="single" w:sz="2" w:space="0" w:color="000001"/>
              <w:insideH w:val="single" w:sz="2" w:space="0" w:color="000001"/>
            </w:tcBorders>
            <w:shd w:fill="auto" w:val="clear"/>
            <w:vAlign w:val="center"/>
          </w:tcPr>
          <w:p>
            <w:pPr>
              <w:pStyle w:val="Normal"/>
              <w:bidi w:val="0"/>
              <w:jc w:val="center"/>
              <w:rPr>
                <w:rFonts w:ascii="Arial" w:hAnsi="Arial"/>
                <w:sz w:val="20"/>
                <w:szCs w:val="20"/>
              </w:rPr>
            </w:pPr>
            <w:r>
              <w:rPr>
                <w:rFonts w:ascii="Arial" w:hAnsi="Arial"/>
                <w:b w:val="false"/>
                <w:bCs w:val="false"/>
                <w:color w:val="000000"/>
                <w:sz w:val="20"/>
                <w:szCs w:val="20"/>
              </w:rPr>
              <w:t>5584</w:t>
            </w:r>
          </w:p>
        </w:tc>
        <w:tc>
          <w:tcPr>
            <w:tcW w:w="505" w:type="dxa"/>
            <w:tcBorders>
              <w:left w:val="single" w:sz="2" w:space="0" w:color="000001"/>
              <w:bottom w:val="single" w:sz="2" w:space="0" w:color="000001"/>
              <w:insideH w:val="single" w:sz="2" w:space="0" w:color="000001"/>
            </w:tcBorders>
            <w:shd w:fill="auto" w:val="clear"/>
            <w:vAlign w:val="center"/>
          </w:tcPr>
          <w:p>
            <w:pPr>
              <w:pStyle w:val="Normal"/>
              <w:bidi w:val="0"/>
              <w:jc w:val="center"/>
              <w:rPr>
                <w:rFonts w:ascii="Arial" w:hAnsi="Arial"/>
                <w:sz w:val="20"/>
                <w:szCs w:val="20"/>
              </w:rPr>
            </w:pPr>
            <w:r>
              <w:rPr>
                <w:rFonts w:ascii="Arial" w:hAnsi="Arial"/>
                <w:b w:val="false"/>
                <w:bCs w:val="false"/>
                <w:color w:val="000000"/>
                <w:sz w:val="20"/>
                <w:szCs w:val="20"/>
              </w:rPr>
              <w:t>50</w:t>
            </w:r>
          </w:p>
        </w:tc>
        <w:tc>
          <w:tcPr>
            <w:tcW w:w="3804" w:type="dxa"/>
            <w:tcBorders>
              <w:left w:val="single" w:sz="2" w:space="0" w:color="000001"/>
              <w:bottom w:val="single" w:sz="2" w:space="0" w:color="000001"/>
              <w:insideH w:val="single" w:sz="2" w:space="0" w:color="000001"/>
            </w:tcBorders>
            <w:shd w:fill="auto" w:val="clear"/>
            <w:vAlign w:val="center"/>
          </w:tcPr>
          <w:p>
            <w:pPr>
              <w:pStyle w:val="Normal"/>
              <w:bidi w:val="0"/>
              <w:jc w:val="both"/>
              <w:rPr>
                <w:rFonts w:ascii="Arial" w:hAnsi="Arial"/>
                <w:sz w:val="20"/>
                <w:szCs w:val="20"/>
              </w:rPr>
            </w:pPr>
            <w:r>
              <w:rPr>
                <w:rFonts w:ascii="Arial" w:hAnsi="Arial"/>
                <w:b w:val="false"/>
                <w:bCs w:val="false"/>
                <w:i w:val="false"/>
                <w:strike w:val="false"/>
                <w:dstrike w:val="false"/>
                <w:outline w:val="false"/>
                <w:shadow w:val="false"/>
                <w:color w:val="000000"/>
                <w:sz w:val="20"/>
                <w:szCs w:val="20"/>
                <w:u w:val="none"/>
                <w:em w:val="none"/>
              </w:rPr>
              <w:t>Serviço de instalação de película (insufilm tipo blackout) em janelas de vidro (blindex). A instalação deverá ser feitas por pessoal qualificado. Não devem apresentar defeitos como bolhas, riscos e enrugamento. O material deverá ser de qualidade similar ou melhor que a da marca 3m. Responsabilidade pela contratada de fornecimento de todo o material, ferramental, pessoal e encargos necessários para a correta execução do serviço contratado. Serviço em m², película de proteção, tipo insulfilm, alta performance, blackout. Instalação inclusa, serviço de instalação, poliéster, alta performance, tipo profissional, em vidros, conforme especificação técnica de serviço. Local de execução: 13 (treze) janelas de vidro blindex, no PAMMU – HMilACG.</w:t>
            </w:r>
          </w:p>
        </w:tc>
        <w:tc>
          <w:tcPr>
            <w:tcW w:w="559" w:type="dxa"/>
            <w:tcBorders>
              <w:left w:val="single" w:sz="2" w:space="0" w:color="000001"/>
              <w:bottom w:val="single" w:sz="2" w:space="0" w:color="000001"/>
              <w:insideH w:val="single" w:sz="2" w:space="0" w:color="000001"/>
            </w:tcBorders>
            <w:shd w:fill="auto" w:val="clear"/>
            <w:vAlign w:val="center"/>
          </w:tcPr>
          <w:p>
            <w:pPr>
              <w:pStyle w:val="Contedodatabela"/>
              <w:jc w:val="center"/>
              <w:rPr>
                <w:rFonts w:ascii="Arial" w:hAnsi="Arial"/>
                <w:b/>
                <w:b/>
                <w:bCs/>
              </w:rPr>
            </w:pPr>
            <w:r>
              <w:rPr>
                <w:rFonts w:ascii="Arial" w:hAnsi="Arial"/>
                <w:b w:val="false"/>
                <w:bCs w:val="false"/>
                <w:color w:val="000000"/>
                <w:sz w:val="20"/>
                <w:szCs w:val="20"/>
              </w:rPr>
              <w:t>M²</w:t>
            </w:r>
          </w:p>
        </w:tc>
        <w:tc>
          <w:tcPr>
            <w:tcW w:w="628" w:type="dxa"/>
            <w:tcBorders>
              <w:left w:val="single" w:sz="2" w:space="0" w:color="000001"/>
              <w:bottom w:val="single" w:sz="2" w:space="0" w:color="000001"/>
              <w:insideH w:val="single" w:sz="2" w:space="0" w:color="000001"/>
            </w:tcBorders>
            <w:shd w:fill="auto" w:val="clear"/>
            <w:vAlign w:val="center"/>
          </w:tcPr>
          <w:p>
            <w:pPr>
              <w:pStyle w:val="Contedodatabela"/>
              <w:jc w:val="center"/>
              <w:rPr>
                <w:rFonts w:ascii="Arial" w:hAnsi="Arial"/>
                <w:b/>
                <w:b/>
                <w:bCs/>
              </w:rPr>
            </w:pPr>
            <w:r>
              <w:rPr>
                <w:rFonts w:ascii="Arial" w:hAnsi="Arial"/>
                <w:b w:val="false"/>
                <w:bCs w:val="false"/>
                <w:color w:val="000000"/>
                <w:sz w:val="20"/>
                <w:szCs w:val="20"/>
              </w:rPr>
              <w:t>25 M²</w:t>
            </w:r>
          </w:p>
        </w:tc>
        <w:tc>
          <w:tcPr>
            <w:tcW w:w="627" w:type="dxa"/>
            <w:tcBorders>
              <w:left w:val="single" w:sz="2" w:space="0" w:color="000001"/>
              <w:bottom w:val="single" w:sz="2" w:space="0" w:color="000001"/>
              <w:insideH w:val="single" w:sz="2" w:space="0" w:color="000001"/>
            </w:tcBorders>
            <w:shd w:fill="auto" w:val="clear"/>
            <w:vAlign w:val="center"/>
          </w:tcPr>
          <w:p>
            <w:pPr>
              <w:pStyle w:val="Contedodatabela"/>
              <w:jc w:val="center"/>
              <w:rPr>
                <w:rFonts w:ascii="Arial" w:hAnsi="Arial"/>
                <w:b/>
                <w:b/>
                <w:bCs/>
              </w:rPr>
            </w:pPr>
            <w:r>
              <w:rPr>
                <w:rFonts w:ascii="Arial" w:hAnsi="Arial"/>
                <w:b w:val="false"/>
                <w:bCs w:val="false"/>
                <w:color w:val="000000"/>
                <w:sz w:val="20"/>
                <w:szCs w:val="20"/>
              </w:rPr>
              <w:t>50 M²</w:t>
            </w:r>
          </w:p>
        </w:tc>
        <w:tc>
          <w:tcPr>
            <w:tcW w:w="1186" w:type="dxa"/>
            <w:tcBorders>
              <w:left w:val="single" w:sz="2" w:space="0" w:color="000001"/>
              <w:bottom w:val="single" w:sz="2" w:space="0" w:color="000001"/>
              <w:insideH w:val="single" w:sz="2" w:space="0" w:color="000001"/>
            </w:tcBorders>
            <w:shd w:fill="auto" w:val="clear"/>
            <w:vAlign w:val="center"/>
          </w:tcPr>
          <w:p>
            <w:pPr>
              <w:pStyle w:val="Contedodatabela"/>
              <w:jc w:val="center"/>
              <w:rPr>
                <w:rFonts w:ascii="Arial" w:hAnsi="Arial"/>
                <w:b/>
                <w:b/>
                <w:bCs/>
              </w:rPr>
            </w:pPr>
            <w:r>
              <w:rPr>
                <w:rFonts w:ascii="Arial" w:hAnsi="Arial"/>
                <w:b w:val="false"/>
                <w:bCs w:val="false"/>
                <w:color w:val="000000"/>
                <w:sz w:val="20"/>
                <w:szCs w:val="20"/>
              </w:rPr>
              <w:t xml:space="preserve">R$ </w:t>
            </w:r>
            <w:r>
              <w:rPr>
                <w:rFonts w:ascii="Arial" w:hAnsi="Arial"/>
                <w:b w:val="false"/>
                <w:bCs w:val="false"/>
                <w:color w:val="000000"/>
                <w:sz w:val="20"/>
                <w:szCs w:val="20"/>
              </w:rPr>
              <w:t>103,45</w:t>
            </w:r>
          </w:p>
        </w:tc>
        <w:tc>
          <w:tcPr>
            <w:tcW w:w="1222" w:type="dxa"/>
            <w:tcBorders>
              <w:left w:val="single" w:sz="2" w:space="0" w:color="000001"/>
              <w:bottom w:val="single" w:sz="2" w:space="0" w:color="000001"/>
              <w:right w:val="single" w:sz="2" w:space="0" w:color="000001"/>
              <w:insideH w:val="single" w:sz="2" w:space="0" w:color="000001"/>
              <w:insideV w:val="single" w:sz="2" w:space="0" w:color="000001"/>
            </w:tcBorders>
            <w:shd w:fill="auto" w:val="clear"/>
            <w:vAlign w:val="center"/>
          </w:tcPr>
          <w:p>
            <w:pPr>
              <w:pStyle w:val="Contedodatabela"/>
              <w:jc w:val="center"/>
              <w:rPr>
                <w:rFonts w:ascii="Arial" w:hAnsi="Arial"/>
                <w:sz w:val="20"/>
                <w:szCs w:val="20"/>
              </w:rPr>
            </w:pPr>
            <w:r>
              <w:rPr>
                <w:rFonts w:ascii="Arial" w:hAnsi="Arial"/>
                <w:b w:val="false"/>
                <w:bCs w:val="false"/>
                <w:color w:val="000000"/>
                <w:sz w:val="20"/>
                <w:szCs w:val="20"/>
              </w:rPr>
              <w:t xml:space="preserve">R$ </w:t>
            </w:r>
            <w:r>
              <w:rPr>
                <w:rFonts w:ascii="Arial" w:hAnsi="Arial"/>
                <w:b w:val="false"/>
                <w:bCs w:val="false"/>
                <w:color w:val="000000"/>
                <w:sz w:val="20"/>
                <w:szCs w:val="20"/>
              </w:rPr>
              <w:t>5.172,50</w:t>
            </w:r>
          </w:p>
        </w:tc>
      </w:tr>
      <w:tr>
        <w:trPr/>
        <w:tc>
          <w:tcPr>
            <w:tcW w:w="8727" w:type="dxa"/>
            <w:gridSpan w:val="8"/>
            <w:tcBorders>
              <w:left w:val="single" w:sz="2" w:space="0" w:color="000001"/>
              <w:bottom w:val="single" w:sz="2" w:space="0" w:color="000001"/>
              <w:insideH w:val="single" w:sz="2" w:space="0" w:color="000001"/>
            </w:tcBorders>
            <w:shd w:fill="auto" w:val="clear"/>
            <w:vAlign w:val="center"/>
          </w:tcPr>
          <w:p>
            <w:pPr>
              <w:pStyle w:val="Contedodatabela"/>
              <w:spacing w:lineRule="auto" w:line="360"/>
              <w:jc w:val="right"/>
              <w:rPr>
                <w:rFonts w:ascii="Arial" w:hAnsi="Arial"/>
                <w:sz w:val="20"/>
                <w:szCs w:val="20"/>
              </w:rPr>
            </w:pPr>
            <w:r>
              <w:rPr>
                <w:rFonts w:ascii="Arial" w:hAnsi="Arial"/>
                <w:b/>
                <w:bCs/>
                <w:color w:val="000000"/>
                <w:sz w:val="20"/>
                <w:szCs w:val="20"/>
              </w:rPr>
              <w:t>Valor Total</w:t>
            </w:r>
          </w:p>
        </w:tc>
        <w:tc>
          <w:tcPr>
            <w:tcW w:w="1222" w:type="dxa"/>
            <w:tcBorders>
              <w:left w:val="single" w:sz="2" w:space="0" w:color="000001"/>
              <w:bottom w:val="single" w:sz="2" w:space="0" w:color="000001"/>
              <w:right w:val="single" w:sz="2" w:space="0" w:color="000001"/>
              <w:insideH w:val="single" w:sz="2" w:space="0" w:color="000001"/>
              <w:insideV w:val="single" w:sz="2" w:space="0" w:color="000001"/>
            </w:tcBorders>
            <w:shd w:fill="auto" w:val="clear"/>
            <w:vAlign w:val="center"/>
          </w:tcPr>
          <w:p>
            <w:pPr>
              <w:pStyle w:val="Contedodatabela"/>
              <w:spacing w:lineRule="auto" w:line="360"/>
              <w:jc w:val="center"/>
              <w:rPr>
                <w:rFonts w:ascii="Arial" w:hAnsi="Arial"/>
              </w:rPr>
            </w:pPr>
            <w:r>
              <w:rPr>
                <w:rFonts w:ascii="Arial" w:hAnsi="Arial"/>
                <w:b/>
                <w:bCs/>
                <w:color w:val="000000"/>
                <w:sz w:val="20"/>
                <w:szCs w:val="20"/>
              </w:rPr>
              <w:t>R$ 5.172,50</w:t>
            </w:r>
          </w:p>
        </w:tc>
      </w:tr>
    </w:tbl>
    <w:p>
      <w:pPr>
        <w:pStyle w:val="Normal"/>
        <w:jc w:val="center"/>
        <w:rPr>
          <w:rFonts w:ascii="Arial" w:hAnsi="Arial" w:cs="Arial"/>
          <w:bCs/>
          <w:color w:val="000000"/>
          <w:szCs w:val="20"/>
        </w:rPr>
      </w:pPr>
      <w:r>
        <w:rPr>
          <w:rFonts w:cs="Arial" w:ascii="Arial" w:hAnsi="Arial"/>
          <w:bCs/>
          <w:color w:val="000000"/>
          <w:szCs w:val="20"/>
        </w:rPr>
      </w:r>
    </w:p>
    <w:p>
      <w:pPr>
        <w:pStyle w:val="Normal"/>
        <w:jc w:val="center"/>
        <w:rPr>
          <w:rFonts w:ascii="Arial" w:hAnsi="Arial" w:cs="Arial"/>
          <w:bCs/>
          <w:color w:val="000000"/>
          <w:sz w:val="24"/>
          <w:szCs w:val="24"/>
        </w:rPr>
      </w:pPr>
      <w:r>
        <w:rPr>
          <w:rFonts w:cs="Arial" w:ascii="Arial" w:hAnsi="Arial"/>
          <w:bCs/>
          <w:color w:val="000000"/>
          <w:sz w:val="24"/>
          <w:szCs w:val="24"/>
        </w:rPr>
      </w:r>
    </w:p>
    <w:p>
      <w:pPr>
        <w:pStyle w:val="Normal"/>
        <w:numPr>
          <w:ilvl w:val="1"/>
          <w:numId w:val="1"/>
        </w:numPr>
        <w:jc w:val="both"/>
        <w:rPr>
          <w:color w:val="101010"/>
          <w:sz w:val="24"/>
        </w:rPr>
      </w:pPr>
      <w:r>
        <w:rPr>
          <w:rFonts w:cs="Arial" w:ascii="Arial" w:hAnsi="Arial"/>
          <w:b w:val="false"/>
          <w:bCs w:val="false"/>
          <w:color w:val="000000"/>
          <w:sz w:val="24"/>
          <w:szCs w:val="24"/>
        </w:rPr>
        <w:t xml:space="preserve">Justificativa para a não formação do grupo, </w:t>
      </w:r>
      <w:r>
        <w:rPr>
          <w:rFonts w:cs="Arial" w:ascii="Arial" w:hAnsi="Arial"/>
          <w:color w:val="000000"/>
          <w:sz w:val="24"/>
          <w:szCs w:val="24"/>
        </w:rPr>
        <w:t>se dá por tratar-se de um serviço em remessa única. Cabe ressaltar que a</w:t>
      </w:r>
      <w:r>
        <w:rPr>
          <w:rFonts w:cs="Arial" w:ascii="Arial" w:hAnsi="Arial"/>
          <w:color w:val="000000"/>
          <w:spacing w:val="1"/>
          <w:sz w:val="24"/>
          <w:szCs w:val="24"/>
        </w:rPr>
        <w:t xml:space="preserve"> </w:t>
      </w:r>
      <w:r>
        <w:rPr>
          <w:rFonts w:cs="Arial" w:ascii="Arial" w:hAnsi="Arial"/>
          <w:color w:val="000000"/>
          <w:sz w:val="24"/>
          <w:szCs w:val="24"/>
        </w:rPr>
        <w:t>contratação de uma única empresa facilitará na fiscalização e coordenação do</w:t>
      </w:r>
      <w:r>
        <w:rPr>
          <w:rFonts w:cs="Arial" w:ascii="Arial" w:hAnsi="Arial"/>
          <w:color w:val="000000"/>
          <w:spacing w:val="1"/>
          <w:sz w:val="24"/>
          <w:szCs w:val="24"/>
        </w:rPr>
        <w:t xml:space="preserve"> </w:t>
      </w:r>
      <w:r>
        <w:rPr>
          <w:rFonts w:cs="Arial" w:ascii="Arial" w:hAnsi="Arial"/>
          <w:color w:val="000000"/>
          <w:sz w:val="24"/>
          <w:szCs w:val="24"/>
        </w:rPr>
        <w:t>serviço por parte</w:t>
      </w:r>
      <w:r>
        <w:rPr>
          <w:rFonts w:cs="Arial" w:ascii="Arial" w:hAnsi="Arial"/>
          <w:color w:val="000000"/>
          <w:spacing w:val="1"/>
          <w:sz w:val="24"/>
          <w:szCs w:val="24"/>
        </w:rPr>
        <w:t xml:space="preserve"> </w:t>
      </w:r>
      <w:r>
        <w:rPr>
          <w:rFonts w:cs="Arial" w:ascii="Arial" w:hAnsi="Arial"/>
          <w:color w:val="000000"/>
          <w:sz w:val="24"/>
          <w:szCs w:val="24"/>
        </w:rPr>
        <w:t>desse</w:t>
      </w:r>
      <w:r>
        <w:rPr>
          <w:rFonts w:cs="Arial" w:ascii="Arial" w:hAnsi="Arial"/>
          <w:color w:val="000000"/>
          <w:spacing w:val="-1"/>
          <w:sz w:val="24"/>
          <w:szCs w:val="24"/>
        </w:rPr>
        <w:t xml:space="preserve"> Nosocômio</w:t>
      </w:r>
      <w:r>
        <w:rPr>
          <w:rFonts w:cs="Arial" w:ascii="Arial" w:hAnsi="Arial"/>
          <w:color w:val="000000"/>
          <w:sz w:val="24"/>
          <w:szCs w:val="24"/>
        </w:rPr>
        <w:t>.</w:t>
      </w:r>
    </w:p>
    <w:p>
      <w:pPr>
        <w:pStyle w:val="Normal"/>
        <w:numPr>
          <w:ilvl w:val="1"/>
          <w:numId w:val="1"/>
        </w:numPr>
        <w:jc w:val="both"/>
        <w:rPr>
          <w:sz w:val="24"/>
        </w:rPr>
      </w:pPr>
      <w:r>
        <w:rPr>
          <w:rFonts w:cs="Arial" w:ascii="Arial" w:hAnsi="Arial"/>
          <w:i w:val="false"/>
          <w:iCs w:val="false"/>
          <w:color w:val="000000"/>
          <w:sz w:val="24"/>
          <w:szCs w:val="24"/>
        </w:rPr>
        <w:t>O objeto da licitação tem a natureza de serviço comum de Contratação de</w:t>
      </w:r>
      <w:r>
        <w:rPr>
          <w:rFonts w:cs="Arial" w:ascii="Arial" w:hAnsi="Arial"/>
          <w:i w:val="false"/>
          <w:iCs w:val="false"/>
          <w:color w:val="000000"/>
          <w:spacing w:val="1"/>
          <w:sz w:val="24"/>
          <w:szCs w:val="24"/>
        </w:rPr>
        <w:t xml:space="preserve"> </w:t>
      </w:r>
      <w:r>
        <w:rPr>
          <w:rFonts w:cs="Arial" w:ascii="Arial" w:hAnsi="Arial"/>
          <w:i w:val="false"/>
          <w:iCs w:val="false"/>
          <w:color w:val="000000"/>
          <w:sz w:val="24"/>
          <w:szCs w:val="24"/>
        </w:rPr>
        <w:t>empresa especializada</w:t>
      </w:r>
      <w:r>
        <w:rPr>
          <w:rFonts w:cs="Arial" w:ascii="Arial" w:hAnsi="Arial"/>
          <w:i w:val="false"/>
          <w:iCs w:val="false"/>
          <w:color w:val="000000"/>
          <w:spacing w:val="1"/>
          <w:sz w:val="24"/>
          <w:szCs w:val="24"/>
        </w:rPr>
        <w:t xml:space="preserve"> </w:t>
      </w:r>
      <w:r>
        <w:rPr>
          <w:rFonts w:cs="Arial" w:ascii="Arial" w:hAnsi="Arial"/>
          <w:i w:val="false"/>
          <w:iCs w:val="false"/>
          <w:color w:val="000000"/>
          <w:sz w:val="24"/>
          <w:szCs w:val="24"/>
        </w:rPr>
        <w:t>em instalação e aplicação</w:t>
      </w:r>
      <w:r>
        <w:rPr>
          <w:rFonts w:cs="Arial" w:ascii="Arial" w:hAnsi="Arial"/>
          <w:i w:val="false"/>
          <w:iCs w:val="false"/>
          <w:color w:val="000000"/>
          <w:spacing w:val="1"/>
          <w:sz w:val="24"/>
          <w:szCs w:val="24"/>
        </w:rPr>
        <w:t xml:space="preserve"> de Película Blackout</w:t>
      </w:r>
      <w:r>
        <w:rPr>
          <w:rFonts w:cs="Arial" w:ascii="Arial" w:hAnsi="Arial"/>
          <w:i w:val="false"/>
          <w:iCs w:val="false"/>
          <w:color w:val="000000"/>
          <w:sz w:val="24"/>
          <w:szCs w:val="24"/>
        </w:rPr>
        <w:t>.</w:t>
      </w:r>
    </w:p>
    <w:p>
      <w:pPr>
        <w:pStyle w:val="Normal"/>
        <w:numPr>
          <w:ilvl w:val="1"/>
          <w:numId w:val="1"/>
        </w:numPr>
        <w:jc w:val="both"/>
        <w:rPr>
          <w:color w:val="101010"/>
          <w:sz w:val="24"/>
        </w:rPr>
      </w:pPr>
      <w:r>
        <w:rPr>
          <w:rFonts w:cs="Arial" w:ascii="Arial" w:hAnsi="Arial"/>
          <w:color w:val="000000"/>
          <w:sz w:val="24"/>
          <w:szCs w:val="24"/>
        </w:rPr>
        <w:t>O</w:t>
      </w:r>
      <w:r>
        <w:rPr>
          <w:rFonts w:cs="Arial" w:ascii="Arial" w:hAnsi="Arial"/>
          <w:color w:val="000000"/>
          <w:spacing w:val="-3"/>
          <w:sz w:val="24"/>
          <w:szCs w:val="24"/>
        </w:rPr>
        <w:t xml:space="preserve"> </w:t>
      </w:r>
      <w:r>
        <w:rPr>
          <w:rFonts w:cs="Arial" w:ascii="Arial" w:hAnsi="Arial"/>
          <w:color w:val="000000"/>
          <w:sz w:val="24"/>
          <w:szCs w:val="24"/>
        </w:rPr>
        <w:t>quantitativo</w:t>
      </w:r>
      <w:r>
        <w:rPr>
          <w:rFonts w:cs="Arial" w:ascii="Arial" w:hAnsi="Arial"/>
          <w:color w:val="000000"/>
          <w:spacing w:val="-1"/>
          <w:sz w:val="24"/>
          <w:szCs w:val="24"/>
        </w:rPr>
        <w:t xml:space="preserve"> </w:t>
      </w:r>
      <w:r>
        <w:rPr>
          <w:rFonts w:cs="Arial" w:ascii="Arial" w:hAnsi="Arial"/>
          <w:color w:val="000000"/>
          <w:sz w:val="24"/>
          <w:szCs w:val="24"/>
        </w:rPr>
        <w:t>e</w:t>
      </w:r>
      <w:r>
        <w:rPr>
          <w:rFonts w:cs="Arial" w:ascii="Arial" w:hAnsi="Arial"/>
          <w:color w:val="000000"/>
          <w:spacing w:val="-1"/>
          <w:sz w:val="24"/>
          <w:szCs w:val="24"/>
        </w:rPr>
        <w:t xml:space="preserve"> </w:t>
      </w:r>
      <w:r>
        <w:rPr>
          <w:rFonts w:cs="Arial" w:ascii="Arial" w:hAnsi="Arial"/>
          <w:color w:val="000000"/>
          <w:sz w:val="24"/>
          <w:szCs w:val="24"/>
        </w:rPr>
        <w:t>respectivo</w:t>
      </w:r>
      <w:r>
        <w:rPr>
          <w:rFonts w:cs="Arial" w:ascii="Arial" w:hAnsi="Arial"/>
          <w:color w:val="000000"/>
          <w:spacing w:val="-3"/>
          <w:sz w:val="24"/>
          <w:szCs w:val="24"/>
        </w:rPr>
        <w:t xml:space="preserve"> </w:t>
      </w:r>
      <w:r>
        <w:rPr>
          <w:rFonts w:cs="Arial" w:ascii="Arial" w:hAnsi="Arial"/>
          <w:color w:val="000000"/>
          <w:sz w:val="24"/>
          <w:szCs w:val="24"/>
        </w:rPr>
        <w:t>código do</w:t>
      </w:r>
      <w:r>
        <w:rPr>
          <w:rFonts w:cs="Arial" w:ascii="Arial" w:hAnsi="Arial"/>
          <w:color w:val="000000"/>
          <w:spacing w:val="-3"/>
          <w:sz w:val="24"/>
          <w:szCs w:val="24"/>
        </w:rPr>
        <w:t xml:space="preserve"> </w:t>
      </w:r>
      <w:r>
        <w:rPr>
          <w:rFonts w:cs="Arial" w:ascii="Arial" w:hAnsi="Arial"/>
          <w:color w:val="000000"/>
          <w:sz w:val="24"/>
          <w:szCs w:val="24"/>
        </w:rPr>
        <w:t>item é</w:t>
      </w:r>
      <w:r>
        <w:rPr>
          <w:rFonts w:cs="Arial" w:ascii="Arial" w:hAnsi="Arial"/>
          <w:color w:val="000000"/>
          <w:spacing w:val="-3"/>
          <w:sz w:val="24"/>
          <w:szCs w:val="24"/>
        </w:rPr>
        <w:t xml:space="preserve"> </w:t>
      </w:r>
      <w:r>
        <w:rPr>
          <w:rFonts w:cs="Arial" w:ascii="Arial" w:hAnsi="Arial"/>
          <w:color w:val="000000"/>
          <w:sz w:val="24"/>
          <w:szCs w:val="24"/>
        </w:rPr>
        <w:t>o discriminado</w:t>
      </w:r>
      <w:r>
        <w:rPr>
          <w:rFonts w:cs="Arial" w:ascii="Arial" w:hAnsi="Arial"/>
          <w:color w:val="000000"/>
          <w:spacing w:val="-1"/>
          <w:sz w:val="24"/>
          <w:szCs w:val="24"/>
        </w:rPr>
        <w:t xml:space="preserve"> </w:t>
      </w:r>
      <w:r>
        <w:rPr>
          <w:rFonts w:cs="Arial" w:ascii="Arial" w:hAnsi="Arial"/>
          <w:color w:val="000000"/>
          <w:sz w:val="24"/>
          <w:szCs w:val="24"/>
        </w:rPr>
        <w:t>na</w:t>
      </w:r>
      <w:r>
        <w:rPr>
          <w:rFonts w:cs="Arial" w:ascii="Arial" w:hAnsi="Arial"/>
          <w:color w:val="000000"/>
          <w:spacing w:val="-4"/>
          <w:sz w:val="24"/>
          <w:szCs w:val="24"/>
        </w:rPr>
        <w:t xml:space="preserve"> </w:t>
      </w:r>
      <w:r>
        <w:rPr>
          <w:rFonts w:cs="Arial" w:ascii="Arial" w:hAnsi="Arial"/>
          <w:color w:val="000000"/>
          <w:sz w:val="24"/>
          <w:szCs w:val="24"/>
        </w:rPr>
        <w:t>tabela</w:t>
      </w:r>
      <w:r>
        <w:rPr>
          <w:rFonts w:cs="Arial" w:ascii="Arial" w:hAnsi="Arial"/>
          <w:color w:val="000000"/>
          <w:spacing w:val="-1"/>
          <w:sz w:val="24"/>
          <w:szCs w:val="24"/>
        </w:rPr>
        <w:t xml:space="preserve"> </w:t>
      </w:r>
      <w:r>
        <w:rPr>
          <w:rFonts w:cs="Arial" w:ascii="Arial" w:hAnsi="Arial"/>
          <w:color w:val="000000"/>
          <w:sz w:val="24"/>
          <w:szCs w:val="24"/>
        </w:rPr>
        <w:t>acima.</w:t>
      </w:r>
    </w:p>
    <w:p>
      <w:pPr>
        <w:pStyle w:val="Normal"/>
        <w:numPr>
          <w:ilvl w:val="1"/>
          <w:numId w:val="1"/>
        </w:numPr>
        <w:jc w:val="both"/>
        <w:rPr>
          <w:color w:val="101010"/>
          <w:sz w:val="24"/>
        </w:rPr>
      </w:pPr>
      <w:r>
        <w:rPr>
          <w:rFonts w:cs="Arial" w:ascii="Arial" w:hAnsi="Arial"/>
          <w:color w:val="000000"/>
          <w:sz w:val="24"/>
          <w:szCs w:val="24"/>
        </w:rPr>
        <w:t>A presente contratação adotará o regime de execução de empreitada por Preço</w:t>
      </w:r>
      <w:r>
        <w:rPr>
          <w:rFonts w:cs="Arial" w:ascii="Arial" w:hAnsi="Arial"/>
          <w:color w:val="000000"/>
          <w:spacing w:val="1"/>
          <w:sz w:val="24"/>
          <w:szCs w:val="24"/>
        </w:rPr>
        <w:t xml:space="preserve"> </w:t>
      </w:r>
      <w:r>
        <w:rPr>
          <w:rFonts w:cs="Arial" w:ascii="Arial" w:hAnsi="Arial"/>
          <w:color w:val="000000"/>
          <w:sz w:val="24"/>
          <w:szCs w:val="24"/>
        </w:rPr>
        <w:t>Global.</w:t>
      </w:r>
    </w:p>
    <w:p>
      <w:pPr>
        <w:pStyle w:val="Normal"/>
        <w:numPr>
          <w:ilvl w:val="1"/>
          <w:numId w:val="1"/>
        </w:numPr>
        <w:jc w:val="both"/>
        <w:rPr>
          <w:color w:val="101010"/>
          <w:sz w:val="24"/>
        </w:rPr>
      </w:pPr>
      <w:r>
        <w:rPr>
          <w:rFonts w:cs="Arial" w:ascii="Arial" w:hAnsi="Arial"/>
          <w:color w:val="000000"/>
          <w:sz w:val="24"/>
          <w:szCs w:val="24"/>
        </w:rPr>
        <w:t>O</w:t>
      </w:r>
      <w:r>
        <w:rPr>
          <w:rFonts w:cs="Arial" w:ascii="Arial" w:hAnsi="Arial"/>
          <w:color w:val="000000"/>
          <w:spacing w:val="56"/>
          <w:sz w:val="24"/>
          <w:szCs w:val="24"/>
        </w:rPr>
        <w:t xml:space="preserve"> </w:t>
      </w:r>
      <w:r>
        <w:rPr>
          <w:rFonts w:cs="Arial" w:ascii="Arial" w:hAnsi="Arial"/>
          <w:color w:val="000000"/>
          <w:sz w:val="24"/>
          <w:szCs w:val="24"/>
        </w:rPr>
        <w:t>prazo</w:t>
      </w:r>
      <w:r>
        <w:rPr>
          <w:rFonts w:cs="Arial" w:ascii="Arial" w:hAnsi="Arial"/>
          <w:color w:val="000000"/>
          <w:spacing w:val="58"/>
          <w:sz w:val="24"/>
          <w:szCs w:val="24"/>
        </w:rPr>
        <w:t xml:space="preserve"> </w:t>
      </w:r>
      <w:r>
        <w:rPr>
          <w:rFonts w:cs="Arial" w:ascii="Arial" w:hAnsi="Arial"/>
          <w:color w:val="000000"/>
          <w:sz w:val="24"/>
          <w:szCs w:val="24"/>
        </w:rPr>
        <w:t>de</w:t>
      </w:r>
      <w:r>
        <w:rPr>
          <w:rFonts w:cs="Arial" w:ascii="Arial" w:hAnsi="Arial"/>
          <w:color w:val="000000"/>
          <w:spacing w:val="58"/>
          <w:sz w:val="24"/>
          <w:szCs w:val="24"/>
        </w:rPr>
        <w:t xml:space="preserve"> </w:t>
      </w:r>
      <w:r>
        <w:rPr>
          <w:rFonts w:cs="Arial" w:ascii="Arial" w:hAnsi="Arial"/>
          <w:color w:val="000000"/>
          <w:sz w:val="24"/>
          <w:szCs w:val="24"/>
        </w:rPr>
        <w:t>vigência do</w:t>
      </w:r>
      <w:r>
        <w:rPr>
          <w:rFonts w:cs="Arial" w:ascii="Arial" w:hAnsi="Arial"/>
          <w:color w:val="000000"/>
          <w:spacing w:val="55"/>
          <w:sz w:val="24"/>
          <w:szCs w:val="24"/>
        </w:rPr>
        <w:t xml:space="preserve"> </w:t>
      </w:r>
      <w:r>
        <w:rPr>
          <w:rFonts w:cs="Arial" w:ascii="Arial" w:hAnsi="Arial"/>
          <w:color w:val="000000"/>
          <w:sz w:val="24"/>
          <w:szCs w:val="24"/>
        </w:rPr>
        <w:t>contrato é</w:t>
      </w:r>
      <w:r>
        <w:rPr>
          <w:rFonts w:cs="Arial" w:ascii="Arial" w:hAnsi="Arial"/>
          <w:color w:val="000000"/>
          <w:spacing w:val="58"/>
          <w:sz w:val="24"/>
          <w:szCs w:val="24"/>
        </w:rPr>
        <w:t xml:space="preserve"> </w:t>
      </w:r>
      <w:r>
        <w:rPr>
          <w:rFonts w:cs="Arial" w:ascii="Arial" w:hAnsi="Arial"/>
          <w:color w:val="000000"/>
          <w:sz w:val="24"/>
          <w:szCs w:val="24"/>
        </w:rPr>
        <w:t>de</w:t>
      </w:r>
      <w:r>
        <w:rPr>
          <w:rFonts w:cs="Arial" w:ascii="Arial" w:hAnsi="Arial"/>
          <w:color w:val="000000"/>
          <w:spacing w:val="56"/>
          <w:sz w:val="24"/>
          <w:szCs w:val="24"/>
        </w:rPr>
        <w:t xml:space="preserve"> </w:t>
      </w:r>
      <w:r>
        <w:rPr>
          <w:rFonts w:cs="Arial" w:ascii="Arial" w:hAnsi="Arial"/>
          <w:color w:val="000000"/>
          <w:sz w:val="24"/>
          <w:szCs w:val="24"/>
        </w:rPr>
        <w:t>12</w:t>
      </w:r>
      <w:r>
        <w:rPr>
          <w:rFonts w:cs="Arial" w:ascii="Arial" w:hAnsi="Arial"/>
          <w:color w:val="000000"/>
          <w:spacing w:val="58"/>
          <w:sz w:val="24"/>
          <w:szCs w:val="24"/>
        </w:rPr>
        <w:t xml:space="preserve"> </w:t>
      </w:r>
      <w:r>
        <w:rPr>
          <w:rFonts w:cs="Arial" w:ascii="Arial" w:hAnsi="Arial"/>
          <w:color w:val="000000"/>
          <w:sz w:val="24"/>
          <w:szCs w:val="24"/>
        </w:rPr>
        <w:t>(meses),</w:t>
      </w:r>
      <w:r>
        <w:rPr>
          <w:rFonts w:cs="Arial" w:ascii="Arial" w:hAnsi="Arial"/>
          <w:color w:val="000000"/>
          <w:spacing w:val="55"/>
          <w:sz w:val="24"/>
          <w:szCs w:val="24"/>
        </w:rPr>
        <w:t xml:space="preserve"> </w:t>
      </w:r>
      <w:r>
        <w:rPr>
          <w:rFonts w:cs="Arial" w:ascii="Arial" w:hAnsi="Arial"/>
          <w:color w:val="000000"/>
          <w:sz w:val="24"/>
          <w:szCs w:val="24"/>
        </w:rPr>
        <w:t>podendo</w:t>
      </w:r>
      <w:r>
        <w:rPr>
          <w:rFonts w:cs="Arial" w:ascii="Arial" w:hAnsi="Arial"/>
          <w:color w:val="000000"/>
          <w:spacing w:val="58"/>
          <w:sz w:val="24"/>
          <w:szCs w:val="24"/>
        </w:rPr>
        <w:t xml:space="preserve"> </w:t>
      </w:r>
      <w:r>
        <w:rPr>
          <w:rFonts w:cs="Arial" w:ascii="Arial" w:hAnsi="Arial"/>
          <w:color w:val="000000"/>
          <w:sz w:val="24"/>
          <w:szCs w:val="24"/>
        </w:rPr>
        <w:t>ser</w:t>
      </w:r>
      <w:r>
        <w:rPr>
          <w:rFonts w:cs="Arial" w:ascii="Arial" w:hAnsi="Arial"/>
          <w:color w:val="000000"/>
          <w:spacing w:val="58"/>
          <w:sz w:val="24"/>
          <w:szCs w:val="24"/>
        </w:rPr>
        <w:t xml:space="preserve"> </w:t>
      </w:r>
      <w:r>
        <w:rPr>
          <w:rFonts w:cs="Arial" w:ascii="Arial" w:hAnsi="Arial"/>
          <w:color w:val="000000"/>
          <w:sz w:val="24"/>
          <w:szCs w:val="24"/>
        </w:rPr>
        <w:t>prorrogado</w:t>
      </w:r>
      <w:r>
        <w:rPr>
          <w:rFonts w:cs="Arial" w:ascii="Arial" w:hAnsi="Arial"/>
          <w:color w:val="000000"/>
          <w:spacing w:val="56"/>
          <w:sz w:val="24"/>
          <w:szCs w:val="24"/>
        </w:rPr>
        <w:t xml:space="preserve"> </w:t>
      </w:r>
      <w:r>
        <w:rPr>
          <w:rFonts w:cs="Arial" w:ascii="Arial" w:hAnsi="Arial"/>
          <w:color w:val="000000"/>
          <w:sz w:val="24"/>
          <w:szCs w:val="24"/>
        </w:rPr>
        <w:t>por</w:t>
      </w:r>
      <w:r>
        <w:rPr>
          <w:rFonts w:cs="Arial" w:ascii="Arial" w:hAnsi="Arial"/>
          <w:color w:val="000000"/>
          <w:spacing w:val="-58"/>
          <w:sz w:val="24"/>
          <w:szCs w:val="24"/>
        </w:rPr>
        <w:t xml:space="preserve"> </w:t>
      </w:r>
      <w:r>
        <w:rPr>
          <w:rFonts w:cs="Arial" w:ascii="Arial" w:hAnsi="Arial"/>
          <w:color w:val="000000"/>
          <w:sz w:val="24"/>
          <w:szCs w:val="24"/>
        </w:rPr>
        <w:t>interesse das partes até o limite de 60 (sessenta) meses, com base no artigo 57, II, da Lei</w:t>
      </w:r>
      <w:r>
        <w:rPr>
          <w:rFonts w:cs="Arial" w:ascii="Arial" w:hAnsi="Arial"/>
          <w:color w:val="000000"/>
          <w:spacing w:val="1"/>
          <w:sz w:val="24"/>
          <w:szCs w:val="24"/>
        </w:rPr>
        <w:t xml:space="preserve"> </w:t>
      </w:r>
      <w:r>
        <w:rPr>
          <w:rFonts w:cs="Arial" w:ascii="Arial" w:hAnsi="Arial"/>
          <w:color w:val="000000"/>
          <w:sz w:val="24"/>
          <w:szCs w:val="24"/>
        </w:rPr>
        <w:t>8.666, de</w:t>
      </w:r>
      <w:r>
        <w:rPr>
          <w:rFonts w:cs="Arial" w:ascii="Arial" w:hAnsi="Arial"/>
          <w:color w:val="000000"/>
          <w:spacing w:val="-1"/>
          <w:sz w:val="24"/>
          <w:szCs w:val="24"/>
        </w:rPr>
        <w:t xml:space="preserve"> </w:t>
      </w:r>
      <w:r>
        <w:rPr>
          <w:rFonts w:cs="Arial" w:ascii="Arial" w:hAnsi="Arial"/>
          <w:color w:val="000000"/>
          <w:sz w:val="24"/>
          <w:szCs w:val="24"/>
        </w:rPr>
        <w:t>1993.</w:t>
      </w:r>
    </w:p>
    <w:p>
      <w:pPr>
        <w:pStyle w:val="Nivel1"/>
        <w:numPr>
          <w:ilvl w:val="0"/>
          <w:numId w:val="1"/>
        </w:numPr>
        <w:rPr>
          <w:rFonts w:cs="Arial"/>
        </w:rPr>
      </w:pPr>
      <w:r>
        <w:rPr>
          <w:rFonts w:cs="Arial" w:ascii="Arial" w:hAnsi="Arial"/>
          <w:color w:val="000000"/>
          <w:sz w:val="24"/>
          <w:szCs w:val="24"/>
        </w:rPr>
        <w:t xml:space="preserve"> </w:t>
      </w:r>
      <w:r>
        <w:rPr>
          <w:rFonts w:cs="Arial" w:ascii="Arial" w:hAnsi="Arial"/>
          <w:color w:val="000000"/>
          <w:sz w:val="24"/>
          <w:szCs w:val="24"/>
        </w:rPr>
        <w:t>JUSTIFICATIVA E OBJETIVO DA CONTRATAÇÃO</w:t>
      </w:r>
    </w:p>
    <w:p>
      <w:pPr>
        <w:pStyle w:val="Normal"/>
        <w:numPr>
          <w:ilvl w:val="1"/>
          <w:numId w:val="1"/>
        </w:numPr>
        <w:spacing w:lineRule="auto" w:line="276" w:before="120" w:after="120"/>
        <w:jc w:val="both"/>
        <w:rPr>
          <w:rFonts w:cs="Arial"/>
          <w:color w:val="000000"/>
          <w:szCs w:val="20"/>
        </w:rPr>
      </w:pPr>
      <w:r>
        <w:rPr>
          <w:rFonts w:ascii="Arial" w:hAnsi="Arial"/>
          <w:color w:val="000000"/>
          <w:sz w:val="24"/>
          <w:szCs w:val="24"/>
        </w:rPr>
        <w:t>A Justificativa e objetivo da contratação encontram-se pormenorizados em Tópico específico dos Estudos Técnicos Preliminares, apêndice deste Termo de Referência.</w:t>
      </w:r>
    </w:p>
    <w:p>
      <w:pPr>
        <w:pStyle w:val="Nivel1"/>
        <w:numPr>
          <w:ilvl w:val="0"/>
          <w:numId w:val="1"/>
        </w:numPr>
        <w:rPr>
          <w:rFonts w:cs="" w:cstheme="majorBidi"/>
          <w:szCs w:val="32"/>
        </w:rPr>
      </w:pPr>
      <w:r>
        <w:rPr>
          <w:rFonts w:cs="Arial" w:ascii="Arial" w:hAnsi="Arial"/>
          <w:color w:val="000000"/>
          <w:sz w:val="24"/>
          <w:szCs w:val="24"/>
        </w:rPr>
        <w:t>DESCRIÇÃO</w:t>
      </w:r>
      <w:r>
        <w:rPr>
          <w:rFonts w:ascii="Arial" w:hAnsi="Arial"/>
          <w:color w:val="000000"/>
          <w:sz w:val="24"/>
          <w:szCs w:val="24"/>
        </w:rPr>
        <w:t xml:space="preserve"> DA SOLUÇÃO:</w:t>
      </w:r>
    </w:p>
    <w:p>
      <w:pPr>
        <w:pStyle w:val="Normal"/>
        <w:numPr>
          <w:ilvl w:val="1"/>
          <w:numId w:val="6"/>
        </w:numPr>
        <w:spacing w:lineRule="auto" w:line="276" w:before="120" w:after="120"/>
        <w:ind w:left="425" w:hanging="0"/>
        <w:jc w:val="both"/>
        <w:rPr>
          <w:color w:val="101010"/>
          <w:sz w:val="24"/>
        </w:rPr>
      </w:pPr>
      <w:r>
        <w:rPr>
          <w:rFonts w:ascii="Arial" w:hAnsi="Arial"/>
          <w:color w:val="000000"/>
          <w:sz w:val="24"/>
          <w:szCs w:val="24"/>
        </w:rPr>
        <w:t xml:space="preserve">A descrição da solução como um todo, encontra-se pormenorizada em Tópico específico </w:t>
      </w:r>
      <w:r>
        <w:rPr>
          <w:rFonts w:cs="Arial" w:ascii="Arial" w:hAnsi="Arial"/>
          <w:color w:val="000000"/>
          <w:sz w:val="24"/>
          <w:szCs w:val="24"/>
        </w:rPr>
        <w:t>dos</w:t>
      </w:r>
      <w:r>
        <w:rPr>
          <w:rFonts w:ascii="Arial" w:hAnsi="Arial"/>
          <w:color w:val="000000"/>
          <w:sz w:val="24"/>
          <w:szCs w:val="24"/>
        </w:rPr>
        <w:t xml:space="preserve"> Estudos Técnicos Preliminares, apêndice deste Termo de Referência.</w:t>
      </w:r>
    </w:p>
    <w:p>
      <w:pPr>
        <w:pStyle w:val="Nivel1"/>
        <w:numPr>
          <w:ilvl w:val="0"/>
          <w:numId w:val="1"/>
        </w:numPr>
        <w:spacing w:before="195" w:after="0"/>
        <w:rPr>
          <w:rFonts w:ascii="Arial" w:hAnsi="Arial"/>
          <w:sz w:val="24"/>
          <w:szCs w:val="24"/>
        </w:rPr>
      </w:pPr>
      <w:r>
        <w:rPr>
          <w:rFonts w:cs="Arial" w:ascii="Arial" w:hAnsi="Arial"/>
          <w:color w:val="000000"/>
          <w:sz w:val="24"/>
          <w:szCs w:val="24"/>
        </w:rPr>
        <w:t xml:space="preserve">DA CLASSIFICAÇÃO DOS SERVIÇOS </w:t>
      </w:r>
      <w:r>
        <w:rPr>
          <w:rFonts w:cs="Arial" w:ascii="Arial" w:hAnsi="Arial"/>
          <w:bCs/>
          <w:color w:val="000000"/>
          <w:sz w:val="24"/>
          <w:szCs w:val="24"/>
        </w:rPr>
        <w:t>E FORMA DE SELEÇÃO DO FORNECEDOR</w:t>
      </w:r>
    </w:p>
    <w:p>
      <w:pPr>
        <w:pStyle w:val="Normal"/>
        <w:numPr>
          <w:ilvl w:val="1"/>
          <w:numId w:val="1"/>
        </w:numPr>
        <w:spacing w:lineRule="auto" w:line="276" w:before="120" w:after="120"/>
        <w:ind w:left="425" w:hanging="0"/>
        <w:jc w:val="both"/>
        <w:rPr>
          <w:rFonts w:cs="Arial"/>
          <w:iCs/>
          <w:szCs w:val="20"/>
        </w:rPr>
      </w:pPr>
      <w:r>
        <w:rPr>
          <w:rFonts w:cs="Arial" w:ascii="Arial" w:hAnsi="Arial"/>
          <w:iCs/>
          <w:color w:val="000000"/>
          <w:sz w:val="24"/>
          <w:szCs w:val="24"/>
        </w:rPr>
        <w:t>Trata-se de serviço comum, não continuado, a ser contratado mediante licitação, na modalidade, C</w:t>
      </w:r>
      <w:r>
        <w:rPr>
          <w:rFonts w:eastAsia="Times New Roman" w:cs="Arial" w:ascii="Arial" w:hAnsi="Arial"/>
          <w:iCs/>
          <w:color w:val="000000"/>
          <w:kern w:val="0"/>
          <w:sz w:val="24"/>
          <w:szCs w:val="24"/>
          <w:lang w:val="pt-BR" w:eastAsia="pt-BR" w:bidi="ar-SA"/>
        </w:rPr>
        <w:t>otação Eletrônica</w:t>
      </w:r>
      <w:r>
        <w:rPr>
          <w:rFonts w:cs="Arial" w:ascii="Arial" w:hAnsi="Arial"/>
          <w:iCs/>
          <w:color w:val="000000"/>
          <w:sz w:val="24"/>
          <w:szCs w:val="24"/>
        </w:rPr>
        <w:t>.</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Os serviços a serem contratados enquadram-se nos pressupostos do Decreto n° 9.507, de 21 de setembro de 2018, não se constituindo em quaisquer das atividades, previstas no art. 3º do aludido decreto, cuja execução indireta é vedada.</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A prestação dos serviços não gera vínculo empregatício entre os empregados da Contratada e a Administração Contratante, vedando-se qualquer relação entre estes que caracterize pessoalidade e subordinação direta.</w:t>
      </w:r>
    </w:p>
    <w:p>
      <w:pPr>
        <w:pStyle w:val="Nivel1"/>
        <w:numPr>
          <w:ilvl w:val="0"/>
          <w:numId w:val="1"/>
        </w:numPr>
        <w:spacing w:before="195" w:after="0"/>
        <w:rPr>
          <w:rFonts w:ascii="Arial" w:hAnsi="Arial"/>
          <w:sz w:val="24"/>
          <w:szCs w:val="24"/>
        </w:rPr>
      </w:pPr>
      <w:r>
        <w:rPr>
          <w:rFonts w:cs="Arial" w:ascii="Arial" w:hAnsi="Arial"/>
          <w:color w:val="000000"/>
          <w:sz w:val="24"/>
          <w:szCs w:val="24"/>
        </w:rPr>
        <w:t>REQUISITOS DA CONTRATAÇÃO</w:t>
      </w:r>
    </w:p>
    <w:p>
      <w:pPr>
        <w:pStyle w:val="Normal"/>
        <w:suppressAutoHyphens w:val="true"/>
        <w:spacing w:before="0" w:after="120"/>
        <w:ind w:left="716" w:hanging="0"/>
        <w:jc w:val="both"/>
        <w:rPr>
          <w:rFonts w:ascii="Arial" w:hAnsi="Arial" w:cs="Arial"/>
          <w:sz w:val="24"/>
          <w:szCs w:val="24"/>
        </w:rPr>
      </w:pPr>
      <w:r>
        <w:rPr>
          <w:rFonts w:cs="Arial" w:ascii="Arial" w:hAnsi="Arial"/>
          <w:sz w:val="24"/>
          <w:szCs w:val="24"/>
        </w:rPr>
      </w:r>
    </w:p>
    <w:p>
      <w:pPr>
        <w:pStyle w:val="Normal"/>
        <w:numPr>
          <w:ilvl w:val="1"/>
          <w:numId w:val="1"/>
        </w:numPr>
        <w:suppressAutoHyphens w:val="true"/>
        <w:spacing w:before="0" w:after="120"/>
        <w:jc w:val="both"/>
        <w:rPr>
          <w:rFonts w:cs="Arial"/>
          <w:szCs w:val="20"/>
        </w:rPr>
      </w:pPr>
      <w:r>
        <w:rPr>
          <w:rFonts w:cs="Arial" w:ascii="Arial" w:hAnsi="Arial"/>
          <w:color w:val="000000"/>
          <w:sz w:val="24"/>
          <w:szCs w:val="24"/>
        </w:rPr>
        <w:t>Conforme Estudos Preliminares, os requisitos da contratação abrangem o seguinte:</w:t>
      </w:r>
    </w:p>
    <w:p>
      <w:pPr>
        <w:pStyle w:val="Normal"/>
        <w:numPr>
          <w:ilvl w:val="0"/>
          <w:numId w:val="0"/>
        </w:numPr>
        <w:suppressAutoHyphens w:val="true"/>
        <w:spacing w:before="0" w:after="120"/>
        <w:ind w:left="1922" w:hanging="0"/>
        <w:jc w:val="both"/>
        <w:rPr>
          <w:rFonts w:cs="Arial"/>
          <w:i/>
          <w:i/>
          <w:iCs/>
          <w:szCs w:val="20"/>
        </w:rPr>
      </w:pPr>
      <w:r>
        <w:rPr>
          <w:rFonts w:cs="Arial" w:ascii="Arial" w:hAnsi="Arial"/>
          <w:i w:val="false"/>
          <w:iCs w:val="false"/>
          <w:color w:val="000000"/>
          <w:sz w:val="24"/>
          <w:szCs w:val="24"/>
        </w:rPr>
        <w:t>5.1.4. Duração inicial do contrato será de 12 (doze) meses, contados a partir da data de assinatura do Termo de contrato, podendo ser prorrogado por iguais e sucessivos períodos através de Termo Aditivo, caso seja de interesse da Administração, até o limite de 60 (sessenta) meses, conforme inciso II, artigo 57 da Lei 8.666/93.</w:t>
      </w:r>
    </w:p>
    <w:p>
      <w:pPr>
        <w:pStyle w:val="Normal"/>
        <w:numPr>
          <w:ilvl w:val="0"/>
          <w:numId w:val="0"/>
        </w:numPr>
        <w:suppressAutoHyphens w:val="true"/>
        <w:spacing w:before="0" w:after="120"/>
        <w:ind w:left="1922" w:hanging="0"/>
        <w:jc w:val="both"/>
        <w:rPr/>
      </w:pPr>
      <w:r>
        <w:rPr>
          <w:rFonts w:cs="Arial" w:ascii="Arial" w:hAnsi="Arial"/>
          <w:i w:val="false"/>
          <w:iCs w:val="false"/>
          <w:color w:val="000000"/>
          <w:sz w:val="24"/>
          <w:szCs w:val="24"/>
          <w:u w:val="none" w:color="101010"/>
        </w:rPr>
        <w:t>5.1.5. A empresa</w:t>
      </w:r>
      <w:r>
        <w:rPr>
          <w:rFonts w:cs="Arial" w:ascii="Arial" w:hAnsi="Arial"/>
          <w:i w:val="false"/>
          <w:iCs w:val="false"/>
          <w:color w:val="000000"/>
          <w:spacing w:val="1"/>
          <w:sz w:val="24"/>
          <w:szCs w:val="24"/>
        </w:rPr>
        <w:t xml:space="preserve"> </w:t>
      </w:r>
      <w:hyperlink r:id="rId3">
        <w:r>
          <w:rPr>
            <w:rStyle w:val="ListLabel13"/>
            <w:rFonts w:cs="Arial" w:ascii="Arial" w:hAnsi="Arial"/>
            <w:i w:val="false"/>
            <w:iCs w:val="false"/>
            <w:color w:val="000000"/>
            <w:sz w:val="24"/>
            <w:szCs w:val="24"/>
          </w:rPr>
          <w:t xml:space="preserve">contratante providenciará, todo o material a ser utilizado na execução do serviço. </w:t>
        </w:r>
      </w:hyperlink>
    </w:p>
    <w:p>
      <w:pPr>
        <w:pStyle w:val="Normal"/>
        <w:numPr>
          <w:ilvl w:val="0"/>
          <w:numId w:val="0"/>
        </w:numPr>
        <w:suppressAutoHyphens w:val="true"/>
        <w:spacing w:before="0" w:after="120"/>
        <w:ind w:left="1922" w:hanging="0"/>
        <w:jc w:val="both"/>
        <w:rPr>
          <w:rFonts w:cs="Arial"/>
          <w:i/>
          <w:i/>
          <w:iCs/>
          <w:szCs w:val="20"/>
        </w:rPr>
      </w:pPr>
      <w:r>
        <w:rPr>
          <w:rFonts w:cs="Arial" w:ascii="Arial" w:hAnsi="Arial"/>
          <w:i w:val="false"/>
          <w:iCs w:val="false"/>
          <w:color w:val="000000"/>
          <w:sz w:val="24"/>
          <w:szCs w:val="24"/>
        </w:rPr>
        <w:t>5.1.6. A empresa deverá disponibilizar equipamento de proteção individual  (EPI) para seus trabalhadores.</w:t>
      </w:r>
    </w:p>
    <w:p>
      <w:pPr>
        <w:pStyle w:val="Normal"/>
        <w:numPr>
          <w:ilvl w:val="0"/>
          <w:numId w:val="0"/>
        </w:numPr>
        <w:suppressAutoHyphens w:val="true"/>
        <w:spacing w:before="0" w:after="120"/>
        <w:ind w:left="1922" w:hanging="0"/>
        <w:jc w:val="both"/>
        <w:rPr>
          <w:rFonts w:cs="Arial"/>
          <w:i/>
          <w:i/>
          <w:iCs/>
          <w:szCs w:val="20"/>
        </w:rPr>
      </w:pPr>
      <w:r>
        <w:rPr>
          <w:rFonts w:cs="Arial" w:ascii="Arial" w:hAnsi="Arial"/>
          <w:i w:val="false"/>
          <w:iCs w:val="false"/>
          <w:color w:val="000000"/>
          <w:sz w:val="24"/>
          <w:szCs w:val="24"/>
        </w:rPr>
        <w:t>5.1.7. A empresa contratada deverá designar um representante para responsabilizar pela execução do serviço, perante a Contratante.</w:t>
      </w:r>
    </w:p>
    <w:p>
      <w:pPr>
        <w:pStyle w:val="Normal"/>
        <w:numPr>
          <w:ilvl w:val="0"/>
          <w:numId w:val="0"/>
        </w:numPr>
        <w:suppressAutoHyphens w:val="true"/>
        <w:spacing w:before="0" w:after="120"/>
        <w:ind w:left="1922" w:hanging="0"/>
        <w:jc w:val="both"/>
        <w:rPr>
          <w:rFonts w:cs="Arial"/>
          <w:i/>
          <w:i/>
          <w:iCs/>
          <w:szCs w:val="20"/>
        </w:rPr>
      </w:pPr>
      <w:r>
        <w:rPr>
          <w:rFonts w:cs="Arial" w:ascii="Arial" w:hAnsi="Arial"/>
          <w:i w:val="false"/>
          <w:iCs w:val="false"/>
          <w:color w:val="000000"/>
          <w:sz w:val="24"/>
          <w:szCs w:val="24"/>
        </w:rPr>
        <w:t>5.1.8. Os trabalhadores da contratada deverão ter experiência na execução do serviço contratado.</w:t>
      </w:r>
    </w:p>
    <w:p>
      <w:pPr>
        <w:pStyle w:val="Normal"/>
        <w:numPr>
          <w:ilvl w:val="0"/>
          <w:numId w:val="0"/>
        </w:numPr>
        <w:suppressAutoHyphens w:val="true"/>
        <w:spacing w:before="0" w:after="120"/>
        <w:ind w:left="1922" w:hanging="0"/>
        <w:jc w:val="both"/>
        <w:rPr>
          <w:rFonts w:cs="Arial"/>
          <w:i/>
          <w:i/>
          <w:iCs/>
          <w:szCs w:val="20"/>
        </w:rPr>
      </w:pPr>
      <w:r>
        <w:rPr>
          <w:rFonts w:cs="Arial" w:ascii="Arial" w:hAnsi="Arial"/>
          <w:i w:val="false"/>
          <w:iCs w:val="false"/>
          <w:color w:val="000000"/>
          <w:sz w:val="24"/>
          <w:szCs w:val="24"/>
        </w:rPr>
        <w:t xml:space="preserve">5.1.9. O serviço é classificado como não contínuo. </w:t>
      </w:r>
    </w:p>
    <w:p>
      <w:pPr>
        <w:pStyle w:val="ListParagraph"/>
        <w:numPr>
          <w:ilvl w:val="1"/>
          <w:numId w:val="1"/>
        </w:numPr>
        <w:jc w:val="both"/>
        <w:rPr>
          <w:rFonts w:cs="Arial"/>
          <w:szCs w:val="20"/>
        </w:rPr>
      </w:pPr>
      <w:r>
        <w:rPr>
          <w:rFonts w:cs="Arial" w:ascii="Arial" w:hAnsi="Arial"/>
          <w:color w:val="000000"/>
          <w:sz w:val="24"/>
          <w:szCs w:val="24"/>
        </w:rPr>
        <w:t xml:space="preserve"> </w:t>
      </w:r>
      <w:r>
        <w:rPr>
          <w:rFonts w:cs="Arial" w:ascii="Arial" w:hAnsi="Arial"/>
          <w:color w:val="000000"/>
          <w:sz w:val="24"/>
          <w:szCs w:val="24"/>
        </w:rPr>
        <w:t>Além dos pontos acima, o adjudicatário deverá apresentar declaração de que tem pleno conhecimento das condições necessárias para a prestação do serviço como requisito para celebração do contrato.</w:t>
      </w:r>
    </w:p>
    <w:p>
      <w:pPr>
        <w:pStyle w:val="Nivel1"/>
        <w:numPr>
          <w:ilvl w:val="0"/>
          <w:numId w:val="1"/>
        </w:numPr>
        <w:spacing w:before="480" w:after="120"/>
        <w:ind w:left="360" w:hanging="0"/>
        <w:rPr>
          <w:highlight w:val="yellow"/>
        </w:rPr>
      </w:pPr>
      <w:r>
        <w:rPr>
          <w:rFonts w:ascii="Arial" w:hAnsi="Arial"/>
          <w:color w:val="000000"/>
          <w:sz w:val="24"/>
          <w:szCs w:val="24"/>
          <w:highlight w:val="white"/>
        </w:rPr>
        <w:t>CRITÉRIOS DE SUSTENTABILIDADE</w:t>
      </w:r>
      <w:r>
        <w:rPr>
          <w:rFonts w:ascii="Arial" w:hAnsi="Arial"/>
          <w:color w:val="000000"/>
          <w:sz w:val="24"/>
          <w:szCs w:val="24"/>
          <w:highlight w:val="yellow"/>
        </w:rPr>
        <w:t xml:space="preserve"> </w:t>
      </w:r>
    </w:p>
    <w:p>
      <w:pPr>
        <w:pStyle w:val="Normal"/>
        <w:widowControl/>
        <w:numPr>
          <w:ilvl w:val="1"/>
          <w:numId w:val="1"/>
        </w:numPr>
        <w:suppressAutoHyphens w:val="true"/>
        <w:bidi w:val="0"/>
        <w:spacing w:before="0" w:after="120"/>
        <w:ind w:left="737" w:right="0" w:hanging="397"/>
        <w:jc w:val="both"/>
        <w:rPr>
          <w:b/>
          <w:b/>
          <w:bCs/>
          <w:i/>
          <w:i/>
          <w:iCs/>
          <w:color w:val="FF0000"/>
          <w:highlight w:val="yellow"/>
        </w:rPr>
      </w:pPr>
      <w:r>
        <w:rPr>
          <w:rFonts w:ascii="Arial" w:hAnsi="Arial"/>
          <w:bCs/>
          <w:i w:val="false"/>
          <w:iCs w:val="false"/>
          <w:color w:val="000000"/>
          <w:sz w:val="24"/>
          <w:szCs w:val="24"/>
          <w:highlight w:val="white"/>
        </w:rPr>
        <w:t>Os critérios de sustentabilidade são aqueles previstos na IN n° 01/2010 do Ministério, Orçamento, Planejamento e Gestão. Art 4° nos termos do art.12 da lei nº 8.666, de 1993, seguindo o que diz § 2° sobre Projeto de Gerenciamento de resíduo de Construção Civil.</w:t>
      </w:r>
    </w:p>
    <w:p>
      <w:pPr>
        <w:pStyle w:val="Normal"/>
        <w:widowControl/>
        <w:numPr>
          <w:ilvl w:val="0"/>
          <w:numId w:val="0"/>
        </w:numPr>
        <w:suppressAutoHyphens w:val="true"/>
        <w:bidi w:val="0"/>
        <w:spacing w:before="0" w:after="120"/>
        <w:ind w:left="2077" w:right="0" w:hanging="0"/>
        <w:jc w:val="both"/>
        <w:rPr>
          <w:rFonts w:cs="Arial"/>
          <w:color w:val="000000" w:themeColor="text1"/>
          <w:szCs w:val="20"/>
        </w:rPr>
      </w:pPr>
      <w:r>
        <w:rPr>
          <w:rFonts w:cs="Arial" w:ascii="Arial" w:hAnsi="Arial"/>
          <w:b w:val="false"/>
          <w:bCs w:val="false"/>
          <w:i w:val="false"/>
          <w:iCs w:val="false"/>
          <w:color w:val="000000" w:themeColor="text1"/>
          <w:sz w:val="24"/>
          <w:szCs w:val="24"/>
          <w:highlight w:val="white"/>
        </w:rPr>
        <w:t xml:space="preserve">6.1.1. </w:t>
      </w:r>
      <w:r>
        <w:rPr>
          <w:rFonts w:cs="Arial" w:ascii="Arial" w:hAnsi="Arial"/>
          <w:b w:val="false"/>
          <w:bCs w:val="false"/>
          <w:i w:val="false"/>
          <w:iCs w:val="false"/>
          <w:color w:val="000000"/>
          <w:sz w:val="24"/>
          <w:szCs w:val="24"/>
          <w:highlight w:val="white"/>
        </w:rPr>
        <w:t xml:space="preserve">A contratação requer que o(a) fornecedor(a) exerça práticas de sustentabilidade previstas neste Termo de Referência, atendendo ao Guia nacional de contratações sustentáveis 5° Edição, revista, atualizada, ampliada agosto de 2022. Classe B – são os resíduos recicláveis para outras destinações, tais como plásticos, papel, papelão, metais, vidros, madeiras, embalagens vazias de tintas imobiliárias e gesso; (Redação dada pela Resolução nº 469/2015). </w:t>
      </w:r>
    </w:p>
    <w:p>
      <w:pPr>
        <w:pStyle w:val="Nivel1"/>
        <w:keepNext w:val="true"/>
        <w:keepLines/>
        <w:widowControl/>
        <w:numPr>
          <w:ilvl w:val="0"/>
          <w:numId w:val="1"/>
        </w:numPr>
        <w:suppressAutoHyphens w:val="true"/>
        <w:bidi w:val="0"/>
        <w:spacing w:lineRule="auto" w:line="276" w:before="480" w:after="0"/>
        <w:ind w:left="737" w:right="0" w:hanging="454"/>
        <w:jc w:val="both"/>
        <w:rPr>
          <w:rFonts w:cs="Arial"/>
        </w:rPr>
      </w:pPr>
      <w:r>
        <w:rPr>
          <w:rFonts w:cs="Arial" w:ascii="Arial" w:hAnsi="Arial"/>
          <w:bCs/>
          <w:i w:val="false"/>
          <w:iCs w:val="false"/>
          <w:color w:val="000000"/>
          <w:sz w:val="24"/>
          <w:szCs w:val="24"/>
        </w:rPr>
        <w:t>VISTORIA PARA A LICITAÇÃO</w:t>
      </w:r>
    </w:p>
    <w:p>
      <w:pPr>
        <w:pStyle w:val="Normal"/>
        <w:numPr>
          <w:ilvl w:val="1"/>
          <w:numId w:val="1"/>
        </w:numPr>
        <w:suppressAutoHyphens w:val="true"/>
        <w:spacing w:before="0" w:after="120"/>
        <w:jc w:val="both"/>
        <w:rPr>
          <w:rFonts w:cs="Arial"/>
          <w:b/>
          <w:b/>
          <w:i/>
          <w:i/>
          <w:iCs/>
        </w:rPr>
      </w:pPr>
      <w:r>
        <w:rPr>
          <w:rFonts w:cs="Arial" w:ascii="Arial" w:hAnsi="Arial"/>
          <w:i w:val="false"/>
          <w:iCs w:val="false"/>
          <w:color w:val="000000"/>
          <w:sz w:val="24"/>
          <w:szCs w:val="24"/>
        </w:rPr>
        <w:t xml:space="preserve">Para o correto dimensionamento e elaboração de sua proposta, o licitante poderá realizar vistoria nas instalações do (PAMMU), local de execução do serviço, acompanhado por servidor designado para esse fim, de segunda-feira a quinta-feira das 07:00 h às 11:30 h e das 13:00 h às 15:00 h e às sexta-feira, das </w:t>
      </w:r>
      <w:r>
        <w:rPr>
          <w:rFonts w:eastAsia="Times New Roman" w:cs="Arial" w:ascii="Arial" w:hAnsi="Arial"/>
          <w:i w:val="false"/>
          <w:iCs w:val="false"/>
          <w:color w:val="000000"/>
          <w:kern w:val="0"/>
          <w:sz w:val="24"/>
          <w:szCs w:val="24"/>
          <w:lang w:val="pt-BR" w:eastAsia="pt-BR" w:bidi="ar-SA"/>
        </w:rPr>
        <w:t>07:00</w:t>
      </w:r>
      <w:r>
        <w:rPr>
          <w:rFonts w:cs="Arial" w:ascii="Arial" w:hAnsi="Arial"/>
          <w:i w:val="false"/>
          <w:iCs w:val="false"/>
          <w:color w:val="000000"/>
          <w:sz w:val="24"/>
          <w:szCs w:val="24"/>
        </w:rPr>
        <w:t xml:space="preserve"> h às 11:30 h.</w:t>
      </w:r>
    </w:p>
    <w:p>
      <w:pPr>
        <w:pStyle w:val="Normal"/>
        <w:numPr>
          <w:ilvl w:val="0"/>
          <w:numId w:val="0"/>
        </w:numPr>
        <w:suppressAutoHyphens w:val="true"/>
        <w:spacing w:before="0" w:after="120"/>
        <w:ind w:left="716" w:hanging="0"/>
        <w:jc w:val="both"/>
        <w:rPr>
          <w:rFonts w:ascii="Arial" w:hAnsi="Arial" w:cs="Arial"/>
          <w:b/>
          <w:b/>
          <w:i/>
          <w:i/>
          <w:iCs/>
          <w:sz w:val="24"/>
          <w:szCs w:val="24"/>
        </w:rPr>
      </w:pPr>
      <w:r>
        <w:rPr>
          <w:rFonts w:cs="Arial" w:ascii="Arial" w:hAnsi="Arial"/>
          <w:b/>
          <w:i/>
          <w:iCs/>
          <w:sz w:val="24"/>
          <w:szCs w:val="24"/>
        </w:rPr>
      </w:r>
    </w:p>
    <w:p>
      <w:pPr>
        <w:pStyle w:val="Normal"/>
        <w:numPr>
          <w:ilvl w:val="1"/>
          <w:numId w:val="1"/>
        </w:numPr>
        <w:suppressAutoHyphens w:val="true"/>
        <w:spacing w:before="0" w:after="120"/>
        <w:jc w:val="both"/>
        <w:rPr>
          <w:rFonts w:cs="Arial"/>
          <w:i/>
          <w:i/>
          <w:iCs/>
          <w:szCs w:val="20"/>
        </w:rPr>
      </w:pPr>
      <w:r>
        <w:rPr>
          <w:rFonts w:cs="Arial" w:ascii="Arial" w:hAnsi="Arial"/>
          <w:i w:val="false"/>
          <w:iCs w:val="false"/>
          <w:color w:val="000000"/>
          <w:sz w:val="24"/>
          <w:szCs w:val="24"/>
        </w:rPr>
        <w:t>O prazo para vistoria iniciar-se-á no dia útil seguinte ao da publicação do Edital, estendendo-se até o dia útil anterior à data prevista para a abertura da sessão pública.</w:t>
      </w:r>
    </w:p>
    <w:p>
      <w:pPr>
        <w:pStyle w:val="ListParagraph"/>
        <w:widowControl/>
        <w:numPr>
          <w:ilvl w:val="0"/>
          <w:numId w:val="0"/>
        </w:numPr>
        <w:bidi w:val="0"/>
        <w:spacing w:lineRule="auto" w:line="276" w:before="120" w:after="120"/>
        <w:ind w:left="1417" w:right="0" w:hanging="0"/>
        <w:contextualSpacing/>
        <w:jc w:val="both"/>
        <w:rPr>
          <w:rFonts w:cs="Arial"/>
          <w:i/>
          <w:i/>
          <w:color w:val="FF0000"/>
          <w:szCs w:val="20"/>
        </w:rPr>
      </w:pPr>
      <w:r>
        <w:rPr>
          <w:rFonts w:cs="Arial" w:ascii="Arial" w:hAnsi="Arial"/>
          <w:i w:val="false"/>
          <w:iCs w:val="false"/>
          <w:color w:val="000000"/>
          <w:sz w:val="24"/>
          <w:szCs w:val="24"/>
        </w:rPr>
        <w:t>7.2.1. Para a vistoria o licitante, ou o seu representante legal, deverá:</w:t>
      </w:r>
    </w:p>
    <w:p>
      <w:pPr>
        <w:pStyle w:val="ListParagraph"/>
        <w:widowControl/>
        <w:numPr>
          <w:ilvl w:val="0"/>
          <w:numId w:val="0"/>
        </w:numPr>
        <w:bidi w:val="0"/>
        <w:spacing w:lineRule="auto" w:line="276" w:before="120" w:after="120"/>
        <w:ind w:left="1417" w:right="0" w:hanging="0"/>
        <w:contextualSpacing/>
        <w:jc w:val="both"/>
        <w:rPr>
          <w:rFonts w:cs="Arial"/>
          <w:i/>
          <w:i/>
          <w:color w:val="FF0000"/>
          <w:szCs w:val="20"/>
        </w:rPr>
      </w:pPr>
      <w:r>
        <w:rPr>
          <w:rFonts w:cs="Arial" w:ascii="Arial" w:hAnsi="Arial"/>
          <w:i w:val="false"/>
          <w:iCs w:val="false"/>
          <w:color w:val="000000"/>
          <w:sz w:val="24"/>
          <w:szCs w:val="24"/>
        </w:rPr>
        <w:t>7.2.2.Estar devidamente identificado, apresentando documento de identidade civil e documento expedido pela empresa comprovando sua habilitação para a realização da vistoria.</w:t>
      </w:r>
    </w:p>
    <w:p>
      <w:pPr>
        <w:pStyle w:val="ListParagraph"/>
        <w:widowControl/>
        <w:numPr>
          <w:ilvl w:val="0"/>
          <w:numId w:val="0"/>
        </w:numPr>
        <w:bidi w:val="0"/>
        <w:spacing w:lineRule="auto" w:line="276" w:before="120" w:after="120"/>
        <w:ind w:left="1417" w:right="0" w:hanging="0"/>
        <w:contextualSpacing/>
        <w:jc w:val="both"/>
        <w:rPr>
          <w:rFonts w:cs="Arial"/>
          <w:i/>
          <w:i/>
          <w:color w:val="FF0000"/>
          <w:szCs w:val="20"/>
        </w:rPr>
      </w:pPr>
      <w:r>
        <w:rPr>
          <w:rFonts w:cs="Arial" w:ascii="Arial" w:hAnsi="Arial"/>
          <w:i w:val="false"/>
          <w:iCs w:val="false"/>
          <w:color w:val="000000"/>
          <w:sz w:val="24"/>
          <w:szCs w:val="24"/>
        </w:rPr>
        <w:t>7.2.3. Deverá usar</w:t>
      </w:r>
      <w:r>
        <w:rPr>
          <w:rFonts w:eastAsia="Times New Roman" w:cs="Arial" w:ascii="Arial" w:hAnsi="Arial"/>
          <w:i w:val="false"/>
          <w:iCs w:val="false"/>
          <w:color w:val="000000"/>
          <w:kern w:val="0"/>
          <w:sz w:val="24"/>
          <w:szCs w:val="24"/>
          <w:lang w:val="pt-BR" w:eastAsia="pt-BR" w:bidi="ar-SA"/>
        </w:rPr>
        <w:t xml:space="preserve"> uniforme da empresa.</w:t>
      </w:r>
    </w:p>
    <w:p>
      <w:pPr>
        <w:pStyle w:val="ListParagraph"/>
        <w:widowControl/>
        <w:numPr>
          <w:ilvl w:val="0"/>
          <w:numId w:val="0"/>
        </w:numPr>
        <w:bidi w:val="0"/>
        <w:spacing w:lineRule="auto" w:line="276" w:before="120" w:after="120"/>
        <w:ind w:left="1417" w:right="0" w:hanging="0"/>
        <w:contextualSpacing/>
        <w:jc w:val="both"/>
        <w:rPr>
          <w:rFonts w:ascii="Arial" w:hAnsi="Arial" w:cs="Arial"/>
          <w:i/>
          <w:i/>
          <w:color w:val="FF0000"/>
          <w:sz w:val="24"/>
          <w:szCs w:val="24"/>
        </w:rPr>
      </w:pPr>
      <w:r>
        <w:rPr>
          <w:rFonts w:cs="Arial" w:ascii="Arial" w:hAnsi="Arial"/>
          <w:i/>
          <w:color w:val="FF0000"/>
          <w:sz w:val="24"/>
          <w:szCs w:val="24"/>
        </w:rPr>
      </w:r>
    </w:p>
    <w:p>
      <w:pPr>
        <w:pStyle w:val="ListParagraph"/>
        <w:widowControl/>
        <w:numPr>
          <w:ilvl w:val="1"/>
          <w:numId w:val="1"/>
        </w:numPr>
        <w:bidi w:val="0"/>
        <w:spacing w:lineRule="auto" w:line="276" w:before="120" w:after="120"/>
        <w:ind w:left="737" w:right="0" w:hanging="397"/>
        <w:contextualSpacing/>
        <w:jc w:val="both"/>
        <w:rPr>
          <w:rFonts w:cs="Arial"/>
          <w:color w:val="FF0000"/>
          <w:szCs w:val="20"/>
        </w:rPr>
      </w:pPr>
      <w:r>
        <w:rPr>
          <w:rFonts w:cs="Arial" w:ascii="Arial" w:hAnsi="Arial"/>
          <w:i w:val="false"/>
          <w:iCs w:val="false"/>
          <w:color w:val="000000"/>
          <w:sz w:val="24"/>
          <w:szCs w:val="24"/>
        </w:rPr>
        <w:t xml:space="preserve">Por ocasião da vistoria, o licitante, ou ao seu representante legal, poderá ser entregue CD-ROM, “pen-drive” ou outra </w:t>
      </w:r>
      <w:r>
        <w:rPr>
          <w:rFonts w:cs="Arial" w:ascii="Arial" w:hAnsi="Arial"/>
          <w:b/>
          <w:bCs/>
          <w:i w:val="false"/>
          <w:iCs w:val="false"/>
          <w:color w:val="000000"/>
          <w:sz w:val="24"/>
          <w:szCs w:val="24"/>
        </w:rPr>
        <w:t>forma compatível de reprodução</w:t>
      </w:r>
      <w:r>
        <w:rPr>
          <w:rFonts w:cs="Arial" w:ascii="Arial" w:hAnsi="Arial"/>
          <w:i w:val="false"/>
          <w:iCs w:val="false"/>
          <w:color w:val="000000"/>
          <w:sz w:val="24"/>
          <w:szCs w:val="24"/>
        </w:rPr>
        <w:t>, contendo as informações relativas ao objeto da licitação, para que a empresa tenha condições de bem elaborar sua proposta.</w:t>
      </w:r>
    </w:p>
    <w:p>
      <w:pPr>
        <w:pStyle w:val="ListParagraph"/>
        <w:spacing w:lineRule="auto" w:line="276" w:before="120" w:after="120"/>
        <w:ind w:left="432" w:hanging="0"/>
        <w:contextualSpacing/>
        <w:jc w:val="both"/>
        <w:rPr>
          <w:rFonts w:ascii="Arial" w:hAnsi="Arial" w:cs="Arial"/>
          <w:color w:val="FF0000"/>
          <w:sz w:val="24"/>
          <w:szCs w:val="24"/>
        </w:rPr>
      </w:pPr>
      <w:r>
        <w:rPr>
          <w:rFonts w:cs="Arial" w:ascii="Arial" w:hAnsi="Arial"/>
          <w:color w:val="FF0000"/>
          <w:sz w:val="24"/>
          <w:szCs w:val="24"/>
        </w:rPr>
      </w:r>
    </w:p>
    <w:p>
      <w:pPr>
        <w:pStyle w:val="ListParagraph"/>
        <w:numPr>
          <w:ilvl w:val="1"/>
          <w:numId w:val="1"/>
        </w:numPr>
        <w:spacing w:lineRule="auto" w:line="276" w:before="120" w:after="120"/>
        <w:contextualSpacing/>
        <w:jc w:val="both"/>
        <w:rPr>
          <w:rFonts w:cs="Arial"/>
          <w:color w:val="FF0000"/>
          <w:szCs w:val="20"/>
        </w:rPr>
      </w:pPr>
      <w:r>
        <w:rPr>
          <w:rFonts w:cs="Arial" w:ascii="Arial" w:hAnsi="Arial"/>
          <w:i w:val="false"/>
          <w:iCs w:val="false"/>
          <w:color w:val="000000"/>
          <w:sz w:val="24"/>
          <w:szCs w:val="24"/>
        </w:rPr>
        <w:t>A não realização da vistoria não poderá embasar posteriores alegações de desconhecimento das instalações, dúvidas ou esquecimentos de quaisquer detalhes dos locais da prestação do serviço, devendo a licitante vencedora assumir os ônus dos serviços decorrentes.</w:t>
      </w:r>
    </w:p>
    <w:p>
      <w:pPr>
        <w:pStyle w:val="ListParagraph"/>
        <w:rPr>
          <w:rFonts w:ascii="Arial" w:hAnsi="Arial" w:cs="Arial"/>
          <w:strike/>
          <w:color w:val="FF0000"/>
          <w:sz w:val="24"/>
          <w:szCs w:val="24"/>
        </w:rPr>
      </w:pPr>
      <w:r>
        <w:rPr>
          <w:rFonts w:cs="Arial" w:ascii="Arial" w:hAnsi="Arial"/>
          <w:strike/>
          <w:color w:val="FF0000"/>
          <w:sz w:val="24"/>
          <w:szCs w:val="24"/>
        </w:rPr>
      </w:r>
    </w:p>
    <w:p>
      <w:pPr>
        <w:pStyle w:val="ListParagraph"/>
        <w:numPr>
          <w:ilvl w:val="1"/>
          <w:numId w:val="1"/>
        </w:numPr>
        <w:spacing w:lineRule="auto" w:line="276" w:before="120" w:after="120"/>
        <w:contextualSpacing/>
        <w:jc w:val="both"/>
        <w:rPr>
          <w:rFonts w:cs="Arial"/>
          <w:color w:val="FF0000"/>
          <w:szCs w:val="20"/>
        </w:rPr>
      </w:pPr>
      <w:r>
        <w:rPr>
          <w:rFonts w:cs="Arial" w:ascii="Arial" w:hAnsi="Arial"/>
          <w:i w:val="false"/>
          <w:iCs w:val="false"/>
          <w:color w:val="000000"/>
          <w:sz w:val="24"/>
          <w:szCs w:val="24"/>
        </w:rPr>
        <w:t>A licitante deverá declarar que tomou conhecimento de todas as informações e das condições locais para o cumprimento das obrigações objeto da licitação.</w:t>
      </w:r>
    </w:p>
    <w:p>
      <w:pPr>
        <w:pStyle w:val="Nivel1"/>
        <w:numPr>
          <w:ilvl w:val="0"/>
          <w:numId w:val="1"/>
        </w:numPr>
        <w:rPr>
          <w:rFonts w:cs="Arial"/>
        </w:rPr>
      </w:pPr>
      <w:r>
        <w:rPr>
          <w:rFonts w:cs="Arial" w:ascii="Arial" w:hAnsi="Arial"/>
          <w:color w:val="000000"/>
          <w:sz w:val="24"/>
          <w:szCs w:val="24"/>
        </w:rPr>
        <w:t>MODELO DE EXECUÇÃO DO OBJETO</w:t>
      </w:r>
    </w:p>
    <w:p>
      <w:pPr>
        <w:pStyle w:val="Normal"/>
        <w:suppressAutoHyphens w:val="true"/>
        <w:spacing w:lineRule="auto" w:line="276" w:before="0" w:after="120"/>
        <w:ind w:left="716" w:hanging="0"/>
        <w:jc w:val="both"/>
        <w:rPr>
          <w:rFonts w:ascii="Arial" w:hAnsi="Arial" w:cs="Arial"/>
          <w:sz w:val="24"/>
          <w:szCs w:val="24"/>
        </w:rPr>
      </w:pPr>
      <w:r>
        <w:rPr>
          <w:rFonts w:cs="Arial" w:ascii="Arial" w:hAnsi="Arial"/>
          <w:sz w:val="24"/>
          <w:szCs w:val="24"/>
        </w:rPr>
      </w:r>
    </w:p>
    <w:p>
      <w:pPr>
        <w:pStyle w:val="Normal"/>
        <w:numPr>
          <w:ilvl w:val="1"/>
          <w:numId w:val="1"/>
        </w:numPr>
        <w:suppressAutoHyphens w:val="true"/>
        <w:spacing w:lineRule="auto" w:line="276" w:before="0" w:after="120"/>
        <w:jc w:val="both"/>
        <w:rPr>
          <w:rFonts w:cs="Arial"/>
          <w:color w:val="FF0000"/>
          <w:szCs w:val="20"/>
        </w:rPr>
      </w:pPr>
      <w:r>
        <w:rPr>
          <w:rFonts w:cs="Arial" w:ascii="Arial" w:hAnsi="Arial"/>
          <w:color w:val="000000"/>
          <w:sz w:val="24"/>
          <w:szCs w:val="24"/>
        </w:rPr>
        <w:t>A execução do objeto seguirá a seguinte dinâmica:</w:t>
      </w:r>
    </w:p>
    <w:p>
      <w:pPr>
        <w:pStyle w:val="Normal"/>
        <w:widowControl/>
        <w:numPr>
          <w:ilvl w:val="0"/>
          <w:numId w:val="0"/>
        </w:numPr>
        <w:suppressAutoHyphens w:val="true"/>
        <w:bidi w:val="0"/>
        <w:spacing w:lineRule="auto" w:line="276" w:before="0" w:after="120"/>
        <w:ind w:left="1417" w:right="0" w:hanging="0"/>
        <w:jc w:val="both"/>
        <w:rPr/>
      </w:pPr>
      <w:r>
        <w:rPr>
          <w:rFonts w:cs="Arial" w:ascii="Arial" w:hAnsi="Arial"/>
          <w:b w:val="false"/>
          <w:bCs w:val="false"/>
          <w:color w:val="000000"/>
          <w:spacing w:val="1"/>
          <w:sz w:val="24"/>
          <w:szCs w:val="24"/>
        </w:rPr>
        <w:t xml:space="preserve">8.1.1. </w:t>
      </w:r>
      <w:hyperlink r:id="rId4">
        <w:r>
          <w:rPr>
            <w:rStyle w:val="ListLabel14"/>
            <w:rFonts w:cs="Arial" w:ascii="Arial" w:hAnsi="Arial"/>
            <w:b w:val="false"/>
            <w:bCs w:val="false"/>
            <w:color w:val="000000"/>
            <w:spacing w:val="1"/>
            <w:sz w:val="24"/>
            <w:szCs w:val="24"/>
          </w:rPr>
          <w:t>O prazo para início da execução do objeto a partir da emissão da nota de empenho.</w:t>
        </w:r>
      </w:hyperlink>
    </w:p>
    <w:p>
      <w:pPr>
        <w:pStyle w:val="Normal"/>
        <w:widowControl/>
        <w:numPr>
          <w:ilvl w:val="0"/>
          <w:numId w:val="0"/>
        </w:numPr>
        <w:suppressAutoHyphens w:val="true"/>
        <w:bidi w:val="0"/>
        <w:spacing w:lineRule="auto" w:line="276" w:before="0" w:after="120"/>
        <w:ind w:left="1417" w:right="0" w:hanging="0"/>
        <w:jc w:val="both"/>
        <w:rPr/>
      </w:pPr>
      <w:r>
        <w:rPr>
          <w:rFonts w:cs="Arial" w:ascii="Arial" w:hAnsi="Arial"/>
          <w:color w:val="000000"/>
          <w:sz w:val="24"/>
          <w:szCs w:val="24"/>
        </w:rPr>
        <w:t xml:space="preserve">8.1.2. </w:t>
      </w:r>
      <w:hyperlink r:id="rId5">
        <w:r>
          <w:rPr>
            <w:rStyle w:val="ListLabel14"/>
            <w:rFonts w:cs="Arial" w:ascii="Arial" w:hAnsi="Arial"/>
            <w:color w:val="000000"/>
            <w:sz w:val="24"/>
            <w:szCs w:val="24"/>
          </w:rPr>
          <w:t>A</w:t>
        </w:r>
        <w:r>
          <w:rPr>
            <w:rStyle w:val="ListLabel14"/>
            <w:rFonts w:cs="Arial" w:ascii="Arial" w:hAnsi="Arial"/>
            <w:color w:val="000000"/>
            <w:spacing w:val="1"/>
            <w:sz w:val="24"/>
            <w:szCs w:val="24"/>
          </w:rPr>
          <w:t xml:space="preserve"> </w:t>
        </w:r>
        <w:r>
          <w:rPr>
            <w:rStyle w:val="ListLabel14"/>
            <w:rFonts w:cs="Arial" w:ascii="Arial" w:hAnsi="Arial"/>
            <w:color w:val="000000"/>
            <w:sz w:val="24"/>
            <w:szCs w:val="24"/>
          </w:rPr>
          <w:t>execução</w:t>
        </w:r>
        <w:r>
          <w:rPr>
            <w:rStyle w:val="ListLabel14"/>
            <w:rFonts w:cs="Arial" w:ascii="Arial" w:hAnsi="Arial"/>
            <w:color w:val="000000"/>
            <w:spacing w:val="1"/>
            <w:sz w:val="24"/>
            <w:szCs w:val="24"/>
          </w:rPr>
          <w:t xml:space="preserve"> </w:t>
        </w:r>
        <w:r>
          <w:rPr>
            <w:rStyle w:val="ListLabel14"/>
            <w:rFonts w:cs="Arial" w:ascii="Arial" w:hAnsi="Arial"/>
            <w:color w:val="000000"/>
            <w:sz w:val="24"/>
            <w:szCs w:val="24"/>
          </w:rPr>
          <w:t>do</w:t>
        </w:r>
        <w:r>
          <w:rPr>
            <w:rStyle w:val="ListLabel14"/>
            <w:rFonts w:cs="Arial" w:ascii="Arial" w:hAnsi="Arial"/>
            <w:color w:val="000000"/>
            <w:spacing w:val="1"/>
            <w:sz w:val="24"/>
            <w:szCs w:val="24"/>
          </w:rPr>
          <w:t xml:space="preserve"> </w:t>
        </w:r>
        <w:r>
          <w:rPr>
            <w:rStyle w:val="ListLabel14"/>
            <w:rFonts w:cs="Arial" w:ascii="Arial" w:hAnsi="Arial"/>
            <w:color w:val="000000"/>
            <w:sz w:val="24"/>
            <w:szCs w:val="24"/>
          </w:rPr>
          <w:t>serviço</w:t>
        </w:r>
        <w:r>
          <w:rPr>
            <w:rStyle w:val="ListLabel14"/>
            <w:rFonts w:cs="Arial" w:ascii="Arial" w:hAnsi="Arial"/>
            <w:color w:val="000000"/>
            <w:spacing w:val="1"/>
            <w:sz w:val="24"/>
            <w:szCs w:val="24"/>
          </w:rPr>
          <w:t xml:space="preserve"> será na área do PAMMU (Pronto Atendimento Médico Militar de Urgência), </w:t>
        </w:r>
        <w:r>
          <w:rPr>
            <w:rStyle w:val="ListLabel14"/>
            <w:rFonts w:cs="Arial" w:ascii="Arial" w:hAnsi="Arial"/>
            <w:color w:val="000000"/>
            <w:sz w:val="24"/>
            <w:szCs w:val="24"/>
          </w:rPr>
          <w:t>será</w:t>
        </w:r>
        <w:r>
          <w:rPr>
            <w:rStyle w:val="ListLabel14"/>
            <w:rFonts w:cs="Arial" w:ascii="Arial" w:hAnsi="Arial"/>
            <w:color w:val="000000"/>
            <w:spacing w:val="1"/>
            <w:sz w:val="24"/>
            <w:szCs w:val="24"/>
          </w:rPr>
          <w:t xml:space="preserve"> </w:t>
        </w:r>
        <w:r>
          <w:rPr>
            <w:rStyle w:val="ListLabel14"/>
            <w:rFonts w:cs="Arial" w:ascii="Arial" w:hAnsi="Arial"/>
            <w:color w:val="000000"/>
            <w:sz w:val="24"/>
            <w:szCs w:val="24"/>
          </w:rPr>
          <w:t>de</w:t>
        </w:r>
        <w:r>
          <w:rPr>
            <w:rStyle w:val="ListLabel14"/>
            <w:rFonts w:cs="Arial" w:ascii="Arial" w:hAnsi="Arial"/>
            <w:color w:val="000000"/>
            <w:spacing w:val="1"/>
            <w:sz w:val="24"/>
            <w:szCs w:val="24"/>
          </w:rPr>
          <w:t xml:space="preserve"> </w:t>
        </w:r>
        <w:r>
          <w:rPr>
            <w:rStyle w:val="ListLabel14"/>
            <w:rFonts w:cs="Arial" w:ascii="Arial" w:hAnsi="Arial"/>
            <w:b w:val="false"/>
            <w:bCs w:val="false"/>
            <w:color w:val="000000"/>
            <w:sz w:val="24"/>
            <w:szCs w:val="24"/>
          </w:rPr>
          <w:t>segunda-feira</w:t>
        </w:r>
        <w:r>
          <w:rPr>
            <w:rStyle w:val="ListLabel14"/>
            <w:rFonts w:cs="Arial" w:ascii="Arial" w:hAnsi="Arial"/>
            <w:b w:val="false"/>
            <w:bCs w:val="false"/>
            <w:color w:val="000000"/>
            <w:spacing w:val="1"/>
            <w:sz w:val="24"/>
            <w:szCs w:val="24"/>
          </w:rPr>
          <w:t xml:space="preserve"> </w:t>
        </w:r>
        <w:r>
          <w:rPr>
            <w:rStyle w:val="ListLabel14"/>
            <w:rFonts w:cs="Arial" w:ascii="Arial" w:hAnsi="Arial"/>
            <w:b w:val="false"/>
            <w:bCs w:val="false"/>
            <w:color w:val="000000"/>
            <w:sz w:val="24"/>
            <w:szCs w:val="24"/>
          </w:rPr>
          <w:t>a</w:t>
        </w:r>
        <w:r>
          <w:rPr>
            <w:rStyle w:val="ListLabel14"/>
            <w:rFonts w:cs="Arial" w:ascii="Arial" w:hAnsi="Arial"/>
            <w:b w:val="false"/>
            <w:bCs w:val="false"/>
            <w:color w:val="000000"/>
            <w:spacing w:val="1"/>
            <w:sz w:val="24"/>
            <w:szCs w:val="24"/>
          </w:rPr>
          <w:t xml:space="preserve"> </w:t>
        </w:r>
        <w:r>
          <w:rPr>
            <w:rStyle w:val="ListLabel14"/>
            <w:rFonts w:cs="Arial" w:ascii="Arial" w:hAnsi="Arial"/>
            <w:b w:val="false"/>
            <w:bCs w:val="false"/>
            <w:color w:val="000000"/>
            <w:sz w:val="24"/>
            <w:szCs w:val="24"/>
          </w:rPr>
          <w:t>sexta-feira das 08:00 as 17:00 horas.</w:t>
        </w:r>
        <w:r>
          <w:rPr>
            <w:rStyle w:val="ListLabel14"/>
            <w:rFonts w:cs="Arial" w:ascii="Arial" w:hAnsi="Arial"/>
            <w:b w:val="false"/>
            <w:bCs w:val="false"/>
            <w:color w:val="000000"/>
            <w:spacing w:val="1"/>
            <w:sz w:val="24"/>
            <w:szCs w:val="24"/>
          </w:rPr>
          <w:t xml:space="preserve"> </w:t>
        </w:r>
      </w:hyperlink>
      <w:hyperlink r:id="rId6">
        <w:r>
          <w:rPr>
            <w:rStyle w:val="ListLabel17"/>
            <w:rFonts w:cs="Arial" w:ascii="Arial" w:hAnsi="Arial"/>
            <w:b w:val="false"/>
            <w:bCs w:val="false"/>
            <w:color w:val="000000"/>
            <w:sz w:val="24"/>
            <w:szCs w:val="24"/>
          </w:rPr>
          <w:t>Conforme ordem de serviç</w:t>
        </w:r>
      </w:hyperlink>
      <w:r>
        <w:rPr>
          <w:rFonts w:cs="Arial" w:ascii="Arial" w:hAnsi="Arial"/>
          <w:color w:val="000000"/>
          <w:sz w:val="24"/>
          <w:szCs w:val="24"/>
        </w:rPr>
        <w:t>o a ser</w:t>
      </w:r>
      <w:r>
        <w:rPr>
          <w:rFonts w:cs="Arial" w:ascii="Arial" w:hAnsi="Arial"/>
          <w:color w:val="000000"/>
          <w:spacing w:val="1"/>
          <w:sz w:val="24"/>
          <w:szCs w:val="24"/>
        </w:rPr>
        <w:t xml:space="preserve"> </w:t>
      </w:r>
      <w:hyperlink r:id="rId7">
        <w:r>
          <w:rPr>
            <w:rStyle w:val="ListLabel15"/>
            <w:rFonts w:cs="Arial" w:ascii="Arial" w:hAnsi="Arial"/>
            <w:color w:val="000000"/>
            <w:sz w:val="24"/>
            <w:szCs w:val="24"/>
          </w:rPr>
          <w:t>emitida pelo</w:t>
        </w:r>
        <w:r>
          <w:rPr>
            <w:rStyle w:val="ListLabel15"/>
            <w:rFonts w:cs="Arial" w:ascii="Arial" w:hAnsi="Arial"/>
            <w:color w:val="000000"/>
            <w:spacing w:val="1"/>
            <w:sz w:val="24"/>
            <w:szCs w:val="24"/>
          </w:rPr>
          <w:t xml:space="preserve"> </w:t>
        </w:r>
        <w:r>
          <w:rPr>
            <w:rStyle w:val="ListLabel15"/>
            <w:rFonts w:cs="Arial" w:ascii="Arial" w:hAnsi="Arial"/>
            <w:color w:val="000000"/>
            <w:sz w:val="24"/>
            <w:szCs w:val="24"/>
          </w:rPr>
          <w:t>Fiscal</w:t>
        </w:r>
        <w:r>
          <w:rPr>
            <w:rStyle w:val="ListLabel15"/>
            <w:rFonts w:cs="Arial" w:ascii="Arial" w:hAnsi="Arial"/>
            <w:color w:val="000000"/>
            <w:spacing w:val="1"/>
            <w:sz w:val="24"/>
            <w:szCs w:val="24"/>
          </w:rPr>
          <w:t xml:space="preserve"> </w:t>
        </w:r>
        <w:r>
          <w:rPr>
            <w:rStyle w:val="ListLabel15"/>
            <w:rFonts w:cs="Arial" w:ascii="Arial" w:hAnsi="Arial"/>
            <w:color w:val="000000"/>
            <w:sz w:val="24"/>
            <w:szCs w:val="24"/>
          </w:rPr>
          <w:t>Administrativo.</w:t>
        </w:r>
      </w:hyperlink>
    </w:p>
    <w:p>
      <w:pPr>
        <w:pStyle w:val="Normal"/>
        <w:widowControl/>
        <w:numPr>
          <w:ilvl w:val="0"/>
          <w:numId w:val="0"/>
        </w:numPr>
        <w:suppressAutoHyphens w:val="true"/>
        <w:bidi w:val="0"/>
        <w:spacing w:lineRule="auto" w:line="276" w:before="0" w:after="120"/>
        <w:ind w:left="1417" w:right="0" w:hanging="0"/>
        <w:jc w:val="both"/>
        <w:rPr/>
      </w:pPr>
      <w:r>
        <w:rPr>
          <w:rFonts w:cs="Arial" w:ascii="Arial" w:hAnsi="Arial"/>
          <w:color w:val="000000"/>
          <w:sz w:val="24"/>
          <w:szCs w:val="24"/>
        </w:rPr>
        <w:t xml:space="preserve">8.1.4. </w:t>
      </w:r>
      <w:hyperlink r:id="rId8">
        <w:r>
          <w:rPr>
            <w:rStyle w:val="ListLabel18"/>
            <w:rFonts w:cs="Arial" w:ascii="Arial" w:hAnsi="Arial"/>
            <w:color w:val="000000"/>
            <w:sz w:val="24"/>
            <w:szCs w:val="24"/>
          </w:rPr>
          <w:t xml:space="preserve">O serviço será executada nas instalações do </w:t>
        </w:r>
        <w:r>
          <w:rPr>
            <w:rStyle w:val="ListLabel18"/>
            <w:rFonts w:cs="Arial" w:ascii="Arial" w:hAnsi="Arial"/>
            <w:b/>
            <w:color w:val="000000"/>
            <w:sz w:val="24"/>
            <w:szCs w:val="24"/>
          </w:rPr>
          <w:t>Hospital Militar de Área de Campo</w:t>
        </w:r>
      </w:hyperlink>
      <w:r>
        <w:rPr>
          <w:rFonts w:cs="Arial" w:ascii="Arial" w:hAnsi="Arial"/>
          <w:b/>
          <w:color w:val="000000"/>
          <w:spacing w:val="-57"/>
          <w:sz w:val="24"/>
          <w:szCs w:val="24"/>
        </w:rPr>
        <w:t xml:space="preserve"> </w:t>
      </w:r>
      <w:hyperlink r:id="rId9">
        <w:r>
          <w:rPr>
            <w:rStyle w:val="ListLabel18"/>
            <w:rFonts w:cs="Arial" w:ascii="Arial" w:hAnsi="Arial"/>
            <w:b/>
            <w:color w:val="000000"/>
            <w:sz w:val="24"/>
            <w:szCs w:val="24"/>
          </w:rPr>
          <w:t>Grande,</w:t>
        </w:r>
        <w:r>
          <w:rPr>
            <w:rStyle w:val="ListLabel18"/>
            <w:rFonts w:cs="Arial" w:ascii="Arial" w:hAnsi="Arial"/>
            <w:b/>
            <w:color w:val="000000"/>
            <w:spacing w:val="1"/>
            <w:sz w:val="24"/>
            <w:szCs w:val="24"/>
          </w:rPr>
          <w:t xml:space="preserve"> </w:t>
        </w:r>
        <w:r>
          <w:rPr>
            <w:rStyle w:val="ListLabel18"/>
            <w:rFonts w:cs="Arial" w:ascii="Arial" w:hAnsi="Arial"/>
            <w:b/>
            <w:color w:val="000000"/>
            <w:sz w:val="24"/>
            <w:szCs w:val="24"/>
          </w:rPr>
          <w:t>Av.</w:t>
        </w:r>
        <w:r>
          <w:rPr>
            <w:rStyle w:val="ListLabel18"/>
            <w:rFonts w:cs="Arial" w:ascii="Arial" w:hAnsi="Arial"/>
            <w:b/>
            <w:color w:val="000000"/>
            <w:spacing w:val="1"/>
            <w:sz w:val="24"/>
            <w:szCs w:val="24"/>
          </w:rPr>
          <w:t xml:space="preserve"> </w:t>
        </w:r>
        <w:r>
          <w:rPr>
            <w:rStyle w:val="ListLabel18"/>
            <w:rFonts w:cs="Arial" w:ascii="Arial" w:hAnsi="Arial"/>
            <w:b/>
            <w:color w:val="000000"/>
            <w:sz w:val="24"/>
            <w:szCs w:val="24"/>
          </w:rPr>
          <w:t>Duque</w:t>
        </w:r>
        <w:r>
          <w:rPr>
            <w:rStyle w:val="ListLabel18"/>
            <w:rFonts w:cs="Arial" w:ascii="Arial" w:hAnsi="Arial"/>
            <w:b/>
            <w:color w:val="000000"/>
            <w:spacing w:val="1"/>
            <w:sz w:val="24"/>
            <w:szCs w:val="24"/>
          </w:rPr>
          <w:t xml:space="preserve"> </w:t>
        </w:r>
        <w:r>
          <w:rPr>
            <w:rStyle w:val="ListLabel18"/>
            <w:rFonts w:cs="Arial" w:ascii="Arial" w:hAnsi="Arial"/>
            <w:b/>
            <w:color w:val="000000"/>
            <w:sz w:val="24"/>
            <w:szCs w:val="24"/>
          </w:rPr>
          <w:t>de</w:t>
        </w:r>
        <w:r>
          <w:rPr>
            <w:rStyle w:val="ListLabel18"/>
            <w:rFonts w:cs="Arial" w:ascii="Arial" w:hAnsi="Arial"/>
            <w:b/>
            <w:color w:val="000000"/>
            <w:spacing w:val="1"/>
            <w:sz w:val="24"/>
            <w:szCs w:val="24"/>
          </w:rPr>
          <w:t xml:space="preserve"> </w:t>
        </w:r>
        <w:r>
          <w:rPr>
            <w:rStyle w:val="ListLabel18"/>
            <w:rFonts w:cs="Arial" w:ascii="Arial" w:hAnsi="Arial"/>
            <w:b/>
            <w:color w:val="000000"/>
            <w:sz w:val="24"/>
            <w:szCs w:val="24"/>
          </w:rPr>
          <w:t>Caxias</w:t>
        </w:r>
        <w:r>
          <w:rPr>
            <w:rStyle w:val="ListLabel18"/>
            <w:rFonts w:cs="Arial" w:ascii="Arial" w:hAnsi="Arial"/>
            <w:b/>
            <w:color w:val="000000"/>
            <w:spacing w:val="1"/>
            <w:sz w:val="24"/>
            <w:szCs w:val="24"/>
          </w:rPr>
          <w:t xml:space="preserve"> </w:t>
        </w:r>
        <w:r>
          <w:rPr>
            <w:rStyle w:val="ListLabel18"/>
            <w:rFonts w:cs="Arial" w:ascii="Arial" w:hAnsi="Arial"/>
            <w:b/>
            <w:color w:val="000000"/>
            <w:sz w:val="24"/>
            <w:szCs w:val="24"/>
          </w:rPr>
          <w:t>Nr</w:t>
        </w:r>
        <w:r>
          <w:rPr>
            <w:rStyle w:val="ListLabel18"/>
            <w:rFonts w:cs="Arial" w:ascii="Arial" w:hAnsi="Arial"/>
            <w:b/>
            <w:color w:val="000000"/>
            <w:spacing w:val="1"/>
            <w:sz w:val="24"/>
            <w:szCs w:val="24"/>
          </w:rPr>
          <w:t xml:space="preserve"> </w:t>
        </w:r>
        <w:r>
          <w:rPr>
            <w:rStyle w:val="ListLabel18"/>
            <w:rFonts w:cs="Arial" w:ascii="Arial" w:hAnsi="Arial"/>
            <w:b/>
            <w:color w:val="000000"/>
            <w:sz w:val="24"/>
            <w:szCs w:val="24"/>
          </w:rPr>
          <w:t>474,</w:t>
        </w:r>
        <w:r>
          <w:rPr>
            <w:rStyle w:val="ListLabel18"/>
            <w:rFonts w:cs="Arial" w:ascii="Arial" w:hAnsi="Arial"/>
            <w:b/>
            <w:color w:val="000000"/>
            <w:spacing w:val="1"/>
            <w:sz w:val="24"/>
            <w:szCs w:val="24"/>
          </w:rPr>
          <w:t xml:space="preserve"> </w:t>
        </w:r>
        <w:r>
          <w:rPr>
            <w:rStyle w:val="ListLabel18"/>
            <w:rFonts w:cs="Arial" w:ascii="Arial" w:hAnsi="Arial"/>
            <w:b/>
            <w:color w:val="000000"/>
            <w:sz w:val="24"/>
            <w:szCs w:val="24"/>
          </w:rPr>
          <w:t>Bairro</w:t>
        </w:r>
        <w:r>
          <w:rPr>
            <w:rStyle w:val="ListLabel18"/>
            <w:rFonts w:cs="Arial" w:ascii="Arial" w:hAnsi="Arial"/>
            <w:b/>
            <w:color w:val="000000"/>
            <w:spacing w:val="1"/>
            <w:sz w:val="24"/>
            <w:szCs w:val="24"/>
          </w:rPr>
          <w:t xml:space="preserve"> </w:t>
        </w:r>
        <w:r>
          <w:rPr>
            <w:rStyle w:val="ListLabel18"/>
            <w:rFonts w:cs="Arial" w:ascii="Arial" w:hAnsi="Arial"/>
            <w:b/>
            <w:color w:val="000000"/>
            <w:sz w:val="24"/>
            <w:szCs w:val="24"/>
          </w:rPr>
          <w:t>Amambaí,</w:t>
        </w:r>
        <w:r>
          <w:rPr>
            <w:rStyle w:val="ListLabel18"/>
            <w:rFonts w:cs="Arial" w:ascii="Arial" w:hAnsi="Arial"/>
            <w:b/>
            <w:color w:val="000000"/>
            <w:spacing w:val="1"/>
            <w:sz w:val="24"/>
            <w:szCs w:val="24"/>
          </w:rPr>
          <w:t xml:space="preserve"> </w:t>
        </w:r>
        <w:r>
          <w:rPr>
            <w:rStyle w:val="ListLabel18"/>
            <w:rFonts w:cs="Arial" w:ascii="Arial" w:hAnsi="Arial"/>
            <w:b/>
            <w:color w:val="000000"/>
            <w:sz w:val="24"/>
            <w:szCs w:val="24"/>
          </w:rPr>
          <w:t>Campo</w:t>
        </w:r>
        <w:r>
          <w:rPr>
            <w:rStyle w:val="ListLabel18"/>
            <w:rFonts w:cs="Arial" w:ascii="Arial" w:hAnsi="Arial"/>
            <w:b/>
            <w:color w:val="000000"/>
            <w:spacing w:val="1"/>
            <w:sz w:val="24"/>
            <w:szCs w:val="24"/>
          </w:rPr>
          <w:t xml:space="preserve"> </w:t>
        </w:r>
        <w:r>
          <w:rPr>
            <w:rStyle w:val="ListLabel18"/>
            <w:rFonts w:cs="Arial" w:ascii="Arial" w:hAnsi="Arial"/>
            <w:b/>
            <w:color w:val="000000"/>
            <w:sz w:val="24"/>
            <w:szCs w:val="24"/>
          </w:rPr>
          <w:t>Grande-MS,</w:t>
        </w:r>
        <w:r>
          <w:rPr>
            <w:rStyle w:val="ListLabel18"/>
            <w:rFonts w:cs="Arial" w:ascii="Arial" w:hAnsi="Arial"/>
            <w:b/>
            <w:color w:val="000000"/>
            <w:spacing w:val="1"/>
            <w:sz w:val="24"/>
            <w:szCs w:val="24"/>
          </w:rPr>
          <w:t xml:space="preserve"> </w:t>
        </w:r>
        <w:r>
          <w:rPr>
            <w:rStyle w:val="ListLabel18"/>
            <w:rFonts w:cs="Arial" w:ascii="Arial" w:hAnsi="Arial"/>
            <w:b/>
            <w:color w:val="000000"/>
            <w:sz w:val="24"/>
            <w:szCs w:val="24"/>
          </w:rPr>
          <w:t>CEP</w:t>
        </w:r>
      </w:hyperlink>
      <w:r>
        <w:rPr>
          <w:rFonts w:cs="Arial" w:ascii="Arial" w:hAnsi="Arial"/>
          <w:b/>
          <w:color w:val="000000"/>
          <w:spacing w:val="-57"/>
          <w:sz w:val="24"/>
          <w:szCs w:val="24"/>
        </w:rPr>
        <w:t xml:space="preserve"> </w:t>
      </w:r>
      <w:hyperlink r:id="rId10">
        <w:r>
          <w:rPr>
            <w:rStyle w:val="ListLabel18"/>
            <w:rFonts w:cs="Arial" w:ascii="Arial" w:hAnsi="Arial"/>
            <w:b/>
            <w:color w:val="000000"/>
            <w:sz w:val="24"/>
            <w:szCs w:val="24"/>
          </w:rPr>
          <w:t>79100-400.</w:t>
        </w:r>
      </w:hyperlink>
    </w:p>
    <w:p>
      <w:pPr>
        <w:pStyle w:val="ListParagraph"/>
        <w:widowControl/>
        <w:numPr>
          <w:ilvl w:val="1"/>
          <w:numId w:val="1"/>
        </w:numPr>
        <w:tabs>
          <w:tab w:val="left" w:pos="1682" w:leader="none"/>
        </w:tabs>
        <w:suppressAutoHyphens w:val="true"/>
        <w:bidi w:val="0"/>
        <w:spacing w:lineRule="auto" w:line="288" w:before="140" w:after="0"/>
        <w:ind w:left="283" w:right="624" w:hanging="0"/>
        <w:contextualSpacing/>
        <w:jc w:val="both"/>
        <w:rPr/>
      </w:pPr>
      <w:hyperlink r:id="rId11">
        <w:r>
          <w:rPr>
            <w:rStyle w:val="ListLabel17"/>
            <w:rFonts w:cs="Arial" w:ascii="Arial" w:hAnsi="Arial"/>
            <w:b w:val="false"/>
            <w:bCs w:val="false"/>
            <w:color w:val="000000"/>
            <w:sz w:val="24"/>
            <w:szCs w:val="24"/>
          </w:rPr>
          <w:t>A empresa contratada deverá selecionar e preparar rigorosamente os empregados que</w:t>
        </w:r>
      </w:hyperlink>
      <w:r>
        <w:rPr>
          <w:rFonts w:cs="Arial" w:ascii="Arial" w:hAnsi="Arial"/>
          <w:b w:val="false"/>
          <w:bCs w:val="false"/>
          <w:color w:val="000000"/>
          <w:spacing w:val="1"/>
          <w:sz w:val="24"/>
          <w:szCs w:val="24"/>
        </w:rPr>
        <w:t xml:space="preserve"> </w:t>
      </w:r>
      <w:hyperlink r:id="rId12">
        <w:r>
          <w:rPr>
            <w:rStyle w:val="ListLabel17"/>
            <w:rFonts w:cs="Arial" w:ascii="Arial" w:hAnsi="Arial"/>
            <w:b w:val="false"/>
            <w:bCs w:val="false"/>
            <w:color w:val="000000"/>
            <w:sz w:val="24"/>
            <w:szCs w:val="24"/>
          </w:rPr>
          <w:t>prestarão os serviços, encaminhando as pessoas portadoras de atestados de boa conduta e</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demais referências, tendo funções profissionais legalmente registradas em suas carteiras de</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trabalho. Manter seu pessoal uniformizado, identificando-o e provendo-o do Equipamento de</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Proteção Individual – EPI's. Assim como, manter disciplina no local do serviço, por ser uma</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organização militar. A conduta dos funcionários da CONTRATADA deve ser compatível com</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o ambiente, retirando, no prazo máximo de 24 (vinte e quatro) horas após notificação,</w:t>
        </w:r>
      </w:hyperlink>
      <w:r>
        <w:rPr>
          <w:rFonts w:cs="Arial" w:ascii="Arial" w:hAnsi="Arial"/>
          <w:b w:val="false"/>
          <w:bCs w:val="false"/>
          <w:color w:val="000000"/>
          <w:spacing w:val="1"/>
          <w:sz w:val="24"/>
          <w:szCs w:val="24"/>
        </w:rPr>
        <w:t xml:space="preserve"> </w:t>
      </w:r>
      <w:hyperlink r:id="rId13">
        <w:r>
          <w:rPr>
            <w:rStyle w:val="ListLabel17"/>
            <w:rFonts w:cs="Arial" w:ascii="Arial" w:hAnsi="Arial"/>
            <w:b w:val="false"/>
            <w:bCs w:val="false"/>
            <w:color w:val="000000"/>
            <w:sz w:val="24"/>
            <w:szCs w:val="24"/>
          </w:rPr>
          <w:t>qualquer</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empregado considerado com conduta</w:t>
        </w:r>
        <w:r>
          <w:rPr>
            <w:rStyle w:val="ListLabel17"/>
            <w:rFonts w:cs="Arial" w:ascii="Arial" w:hAnsi="Arial"/>
            <w:b w:val="false"/>
            <w:bCs w:val="false"/>
            <w:color w:val="000000"/>
            <w:spacing w:val="-2"/>
            <w:sz w:val="24"/>
            <w:szCs w:val="24"/>
          </w:rPr>
          <w:t xml:space="preserve"> </w:t>
        </w:r>
        <w:r>
          <w:rPr>
            <w:rStyle w:val="ListLabel17"/>
            <w:rFonts w:cs="Arial" w:ascii="Arial" w:hAnsi="Arial"/>
            <w:b w:val="false"/>
            <w:bCs w:val="false"/>
            <w:color w:val="000000"/>
            <w:sz w:val="24"/>
            <w:szCs w:val="24"/>
          </w:rPr>
          <w:t>inconveniente pela Administração.</w:t>
        </w:r>
      </w:hyperlink>
    </w:p>
    <w:p>
      <w:pPr>
        <w:pStyle w:val="ListParagraph"/>
        <w:numPr>
          <w:ilvl w:val="1"/>
          <w:numId w:val="1"/>
        </w:numPr>
        <w:tabs>
          <w:tab w:val="left" w:pos="1544" w:leader="none"/>
        </w:tabs>
        <w:suppressAutoHyphens w:val="true"/>
        <w:spacing w:lineRule="auto" w:line="288" w:before="139" w:after="0"/>
        <w:ind w:left="1184" w:right="610" w:hanging="0"/>
        <w:contextualSpacing/>
        <w:jc w:val="both"/>
        <w:rPr/>
      </w:pPr>
      <w:hyperlink r:id="rId14">
        <w:r>
          <w:rPr>
            <w:rStyle w:val="ListLabel22"/>
            <w:rFonts w:cs="Arial" w:ascii="Arial" w:hAnsi="Arial"/>
            <w:b w:val="false"/>
            <w:bCs w:val="false"/>
            <w:color w:val="000000"/>
            <w:sz w:val="24"/>
            <w:szCs w:val="24"/>
          </w:rPr>
          <w:t xml:space="preserve">O cronograma de realização dos serviços será determinado pelo </w:t>
        </w:r>
        <w:r>
          <w:rPr>
            <w:rStyle w:val="ListLabel22"/>
            <w:rFonts w:cs="Arial" w:ascii="Arial" w:hAnsi="Arial"/>
            <w:b/>
            <w:bCs w:val="false"/>
            <w:color w:val="000000"/>
            <w:sz w:val="24"/>
            <w:szCs w:val="24"/>
          </w:rPr>
          <w:t>Fiscal Administrativo do</w:t>
        </w:r>
      </w:hyperlink>
      <w:r>
        <w:rPr>
          <w:rFonts w:cs="Arial" w:ascii="Arial" w:hAnsi="Arial"/>
          <w:b/>
          <w:bCs w:val="false"/>
          <w:color w:val="000000"/>
          <w:spacing w:val="-57"/>
          <w:sz w:val="24"/>
          <w:szCs w:val="24"/>
        </w:rPr>
        <w:t xml:space="preserve"> </w:t>
      </w:r>
      <w:hyperlink r:id="rId15">
        <w:r>
          <w:rPr>
            <w:rStyle w:val="ListLabel17"/>
            <w:rFonts w:cs="Arial" w:ascii="Arial" w:hAnsi="Arial"/>
            <w:b/>
            <w:bCs w:val="false"/>
            <w:color w:val="000000"/>
            <w:sz w:val="24"/>
            <w:szCs w:val="24"/>
          </w:rPr>
          <w:t xml:space="preserve">Hospital Militar de Área de Campo Grande </w:t>
        </w:r>
        <w:r>
          <w:rPr>
            <w:rStyle w:val="ListLabel17"/>
            <w:rFonts w:cs="Arial" w:ascii="Arial" w:hAnsi="Arial"/>
            <w:b w:val="false"/>
            <w:bCs w:val="false"/>
            <w:color w:val="000000"/>
            <w:sz w:val="24"/>
            <w:szCs w:val="24"/>
          </w:rPr>
          <w:t>e será acompanhado pelo responsável técnico</w:t>
        </w:r>
      </w:hyperlink>
      <w:r>
        <w:rPr>
          <w:rFonts w:cs="Arial" w:ascii="Arial" w:hAnsi="Arial"/>
          <w:b w:val="false"/>
          <w:bCs w:val="false"/>
          <w:color w:val="000000"/>
          <w:spacing w:val="1"/>
          <w:sz w:val="24"/>
          <w:szCs w:val="24"/>
        </w:rPr>
        <w:t xml:space="preserve"> </w:t>
      </w:r>
      <w:hyperlink r:id="rId16">
        <w:r>
          <w:rPr>
            <w:rStyle w:val="ListLabel17"/>
            <w:rFonts w:cs="Arial" w:ascii="Arial" w:hAnsi="Arial"/>
            <w:b w:val="false"/>
            <w:bCs w:val="false"/>
            <w:color w:val="000000"/>
            <w:sz w:val="24"/>
            <w:szCs w:val="24"/>
          </w:rPr>
          <w:t>deste nosocômio.</w:t>
        </w:r>
      </w:hyperlink>
    </w:p>
    <w:p>
      <w:pPr>
        <w:pStyle w:val="ListParagraph"/>
        <w:numPr>
          <w:ilvl w:val="1"/>
          <w:numId w:val="1"/>
        </w:numPr>
        <w:tabs>
          <w:tab w:val="left" w:pos="1654" w:leader="none"/>
        </w:tabs>
        <w:suppressAutoHyphens w:val="true"/>
        <w:spacing w:lineRule="auto" w:line="288" w:before="140" w:after="0"/>
        <w:ind w:left="1184" w:right="609" w:hanging="0"/>
        <w:contextualSpacing/>
        <w:jc w:val="both"/>
        <w:rPr/>
      </w:pPr>
      <w:hyperlink r:id="rId17">
        <w:r>
          <w:rPr>
            <w:rStyle w:val="ListLabel17"/>
            <w:rFonts w:cs="Arial" w:ascii="Arial" w:hAnsi="Arial"/>
            <w:b w:val="false"/>
            <w:bCs w:val="false"/>
            <w:color w:val="000000"/>
            <w:sz w:val="24"/>
            <w:szCs w:val="24"/>
          </w:rPr>
          <w:t>O</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modelo</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de</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Ordem</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de</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Serviço</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que</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será</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utilizado</w:t>
        </w:r>
        <w:r>
          <w:rPr>
            <w:rStyle w:val="ListLabel17"/>
            <w:rFonts w:cs="Arial" w:ascii="Arial" w:hAnsi="Arial"/>
            <w:b w:val="false"/>
            <w:bCs w:val="false"/>
            <w:color w:val="000000"/>
            <w:spacing w:val="1"/>
            <w:sz w:val="24"/>
            <w:szCs w:val="24"/>
          </w:rPr>
          <w:t xml:space="preserve"> apenas uma etapa </w:t>
        </w:r>
        <w:r>
          <w:rPr>
            <w:rStyle w:val="ListLabel17"/>
            <w:rFonts w:cs="Arial" w:ascii="Arial" w:hAnsi="Arial"/>
            <w:b w:val="false"/>
            <w:bCs w:val="false"/>
            <w:color w:val="000000"/>
            <w:sz w:val="24"/>
            <w:szCs w:val="24"/>
          </w:rPr>
          <w:t>de</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solicitação,</w:t>
        </w:r>
      </w:hyperlink>
      <w:r>
        <w:rPr>
          <w:rFonts w:cs="Arial" w:ascii="Arial" w:hAnsi="Arial"/>
          <w:b w:val="false"/>
          <w:bCs w:val="false"/>
          <w:color w:val="000000"/>
          <w:spacing w:val="1"/>
          <w:sz w:val="24"/>
          <w:szCs w:val="24"/>
        </w:rPr>
        <w:t xml:space="preserve"> </w:t>
      </w:r>
      <w:hyperlink r:id="rId18">
        <w:r>
          <w:rPr>
            <w:rStyle w:val="ListLabel17"/>
            <w:rFonts w:cs="Arial" w:ascii="Arial" w:hAnsi="Arial"/>
            <w:b w:val="false"/>
            <w:bCs w:val="false"/>
            <w:color w:val="000000"/>
            <w:sz w:val="24"/>
            <w:szCs w:val="24"/>
          </w:rPr>
          <w:t>acompanhamento,</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avaliação</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e atestação</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dos serviços, por se tratar</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de prestação</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de serviço</w:t>
        </w:r>
        <w:r>
          <w:rPr>
            <w:rStyle w:val="ListLabel17"/>
            <w:rFonts w:cs="Arial" w:ascii="Arial" w:hAnsi="Arial"/>
            <w:b w:val="false"/>
            <w:bCs w:val="false"/>
            <w:color w:val="000000"/>
            <w:spacing w:val="1"/>
            <w:sz w:val="24"/>
            <w:szCs w:val="24"/>
          </w:rPr>
          <w:t xml:space="preserve"> </w:t>
        </w:r>
        <w:r>
          <w:rPr>
            <w:rStyle w:val="ListLabel17"/>
            <w:rFonts w:cs="Arial" w:ascii="Arial" w:hAnsi="Arial"/>
            <w:b w:val="false"/>
            <w:bCs w:val="false"/>
            <w:color w:val="000000"/>
            <w:sz w:val="24"/>
            <w:szCs w:val="24"/>
          </w:rPr>
          <w:t>mais material.</w:t>
        </w:r>
      </w:hyperlink>
    </w:p>
    <w:p>
      <w:pPr>
        <w:pStyle w:val="ListParagraph"/>
        <w:widowControl/>
        <w:numPr>
          <w:ilvl w:val="1"/>
          <w:numId w:val="1"/>
        </w:numPr>
        <w:bidi w:val="0"/>
        <w:spacing w:lineRule="auto" w:line="276" w:before="0" w:after="0"/>
        <w:ind w:left="1644" w:right="0" w:hanging="454"/>
        <w:contextualSpacing/>
        <w:jc w:val="both"/>
        <w:rPr>
          <w:i/>
          <w:i/>
          <w:color w:val="FF0000"/>
        </w:rPr>
      </w:pPr>
      <w:r>
        <w:rPr>
          <w:rFonts w:ascii="Arial" w:hAnsi="Arial"/>
          <w:i w:val="false"/>
          <w:iCs w:val="false"/>
          <w:color w:val="000000"/>
          <w:sz w:val="24"/>
          <w:szCs w:val="24"/>
        </w:rPr>
        <w:t>O prazo de execução com início e fim se dará da seguinte forma:</w:t>
      </w:r>
    </w:p>
    <w:p>
      <w:pPr>
        <w:pStyle w:val="ListParagraph"/>
        <w:widowControl/>
        <w:numPr>
          <w:ilvl w:val="0"/>
          <w:numId w:val="0"/>
        </w:numPr>
        <w:bidi w:val="0"/>
        <w:spacing w:lineRule="auto" w:line="276" w:before="0" w:after="0"/>
        <w:ind w:left="1963" w:right="0" w:hanging="0"/>
        <w:contextualSpacing/>
        <w:jc w:val="both"/>
        <w:rPr>
          <w:i/>
          <w:i/>
          <w:color w:val="FF0000"/>
        </w:rPr>
      </w:pPr>
      <w:r>
        <w:rPr>
          <w:rFonts w:ascii="Arial" w:hAnsi="Arial"/>
          <w:i w:val="false"/>
          <w:iCs w:val="false"/>
          <w:color w:val="000000"/>
          <w:sz w:val="24"/>
          <w:szCs w:val="24"/>
        </w:rPr>
        <w:t>8.6.1.</w:t>
      </w:r>
      <w:r>
        <w:rPr>
          <w:rFonts w:ascii="Arial" w:hAnsi="Arial"/>
          <w:b/>
          <w:bCs/>
          <w:i w:val="false"/>
          <w:iCs w:val="false"/>
          <w:color w:val="000000"/>
          <w:sz w:val="24"/>
          <w:szCs w:val="24"/>
        </w:rPr>
        <w:t xml:space="preserve"> Terá início das obras em 01 (um) dia útil após a celebração do contrato.</w:t>
      </w:r>
    </w:p>
    <w:p>
      <w:pPr>
        <w:pStyle w:val="Nivel1"/>
        <w:numPr>
          <w:ilvl w:val="0"/>
          <w:numId w:val="1"/>
        </w:numPr>
        <w:bidi w:val="0"/>
        <w:jc w:val="left"/>
        <w:rPr>
          <w:rFonts w:cs="Arial"/>
          <w:i/>
          <w:i/>
          <w:iCs/>
          <w:color w:val="FF0000"/>
        </w:rPr>
      </w:pPr>
      <w:r>
        <w:rPr>
          <w:rFonts w:cs="Arial" w:ascii="Arial" w:hAnsi="Arial"/>
          <w:i w:val="false"/>
          <w:iCs w:val="false"/>
          <w:color w:val="000000"/>
          <w:sz w:val="24"/>
          <w:szCs w:val="24"/>
        </w:rPr>
        <w:t>MATERIAIS A SEREM DISPONIBILIZADOS</w:t>
      </w:r>
    </w:p>
    <w:p>
      <w:pPr>
        <w:pStyle w:val="Normal"/>
        <w:widowControl/>
        <w:numPr>
          <w:ilvl w:val="1"/>
          <w:numId w:val="1"/>
        </w:numPr>
        <w:bidi w:val="0"/>
        <w:spacing w:lineRule="auto" w:line="276" w:before="120" w:after="120"/>
        <w:ind w:left="850" w:right="0" w:hanging="0"/>
        <w:jc w:val="both"/>
        <w:rPr>
          <w:rFonts w:cs="Arial"/>
          <w:bCs/>
          <w:i/>
          <w:i/>
          <w:iCs/>
          <w:color w:val="FF0000"/>
          <w:szCs w:val="20"/>
        </w:rPr>
      </w:pPr>
      <w:r>
        <w:rPr>
          <w:rFonts w:cs="Arial" w:ascii="Arial" w:hAnsi="Arial"/>
          <w:bCs/>
          <w:i w:val="false"/>
          <w:iCs w:val="false"/>
          <w:color w:val="000000"/>
          <w:sz w:val="24"/>
          <w:szCs w:val="24"/>
        </w:rPr>
        <w:t>Para a perfeita execução do serviço, a Contratada deverá disponibilizar os materiais, equipamentos, ferramentas e utensílios necessários, nas quantidades estimadas e qualidades a seguir estabelecidas.</w:t>
      </w:r>
    </w:p>
    <w:p>
      <w:pPr>
        <w:pStyle w:val="Nivel1"/>
        <w:numPr>
          <w:ilvl w:val="0"/>
          <w:numId w:val="1"/>
        </w:numPr>
        <w:rPr>
          <w:rFonts w:cs="Arial"/>
          <w:i/>
          <w:i/>
          <w:iCs/>
        </w:rPr>
      </w:pPr>
      <w:r>
        <w:rPr>
          <w:rFonts w:cs="Arial" w:ascii="Arial" w:hAnsi="Arial"/>
          <w:i w:val="false"/>
          <w:iCs w:val="false"/>
          <w:color w:val="000000"/>
          <w:sz w:val="24"/>
          <w:szCs w:val="24"/>
        </w:rPr>
        <w:t>INFORMAÇÕES</w:t>
      </w:r>
      <w:r>
        <w:rPr>
          <w:rFonts w:ascii="Arial" w:hAnsi="Arial"/>
          <w:i w:val="false"/>
          <w:iCs w:val="false"/>
          <w:color w:val="000000"/>
          <w:sz w:val="24"/>
          <w:szCs w:val="24"/>
        </w:rPr>
        <w:t xml:space="preserve"> RELEVANTES PARA O DIMENSIONAMENTO DA PROPOSTA</w:t>
      </w:r>
    </w:p>
    <w:p>
      <w:pPr>
        <w:pStyle w:val="Normal"/>
        <w:widowControl/>
        <w:numPr>
          <w:ilvl w:val="0"/>
          <w:numId w:val="0"/>
        </w:numPr>
        <w:bidi w:val="0"/>
        <w:spacing w:before="0" w:after="0"/>
        <w:ind w:left="850" w:right="0" w:hanging="0"/>
        <w:jc w:val="both"/>
        <w:rPr>
          <w:rFonts w:cs="Arial"/>
          <w:bCs/>
          <w:i/>
          <w:i/>
          <w:iCs/>
          <w:color w:val="FF0000"/>
          <w:szCs w:val="20"/>
        </w:rPr>
      </w:pPr>
      <w:r>
        <w:rPr>
          <w:rFonts w:cs="Arial" w:ascii="Arial" w:hAnsi="Arial"/>
          <w:b/>
          <w:bCs/>
          <w:i w:val="false"/>
          <w:iCs w:val="false"/>
          <w:color w:val="000000"/>
          <w:sz w:val="24"/>
          <w:szCs w:val="24"/>
        </w:rPr>
        <w:t>10.1.</w:t>
      </w:r>
      <w:r>
        <w:rPr>
          <w:rFonts w:cs="Arial" w:ascii="Arial" w:hAnsi="Arial"/>
          <w:bCs/>
          <w:i w:val="false"/>
          <w:iCs w:val="false"/>
          <w:color w:val="000000"/>
          <w:sz w:val="24"/>
          <w:szCs w:val="24"/>
        </w:rPr>
        <w:t xml:space="preserve"> A demanda do órgão tem como base as seguintes características:</w:t>
      </w:r>
    </w:p>
    <w:p>
      <w:pPr>
        <w:pStyle w:val="Normal"/>
        <w:numPr>
          <w:ilvl w:val="0"/>
          <w:numId w:val="0"/>
        </w:numPr>
        <w:ind w:left="1922" w:hanging="0"/>
        <w:jc w:val="both"/>
        <w:rPr>
          <w:rFonts w:cs="Arial"/>
          <w:bCs/>
          <w:i/>
          <w:i/>
          <w:iCs/>
          <w:color w:val="FF0000"/>
          <w:szCs w:val="20"/>
        </w:rPr>
      </w:pPr>
      <w:r>
        <w:rPr>
          <w:rFonts w:ascii="Arial" w:hAnsi="Arial"/>
          <w:b/>
          <w:bCs/>
          <w:color w:val="000000"/>
          <w:sz w:val="24"/>
          <w:szCs w:val="24"/>
        </w:rPr>
        <w:t>10.1.1.</w:t>
      </w:r>
      <w:r>
        <w:rPr>
          <w:rFonts w:ascii="Arial" w:hAnsi="Arial"/>
          <w:color w:val="000000"/>
          <w:sz w:val="24"/>
          <w:szCs w:val="24"/>
        </w:rPr>
        <w:t xml:space="preserve"> A execução do serviço será realizada nas instalações do Hospital Militar de Área de Campo Grande </w:t>
      </w:r>
      <w:r>
        <w:rPr>
          <w:rFonts w:ascii="Arial" w:hAnsi="Arial"/>
          <w:b/>
          <w:bCs/>
          <w:color w:val="000000"/>
          <w:sz w:val="24"/>
          <w:szCs w:val="24"/>
        </w:rPr>
        <w:t>por 8 (oito</w:t>
      </w:r>
      <w:r>
        <w:rPr>
          <w:rFonts w:eastAsia="Times New Roman" w:cs="Tahoma" w:ascii="Arial" w:hAnsi="Arial"/>
          <w:b/>
          <w:bCs/>
          <w:color w:val="000000"/>
          <w:kern w:val="0"/>
          <w:sz w:val="24"/>
          <w:szCs w:val="24"/>
          <w:lang w:val="pt-BR" w:eastAsia="pt-BR" w:bidi="ar-SA"/>
        </w:rPr>
        <w:t>)</w:t>
      </w:r>
      <w:r>
        <w:rPr>
          <w:rFonts w:ascii="Arial" w:hAnsi="Arial"/>
          <w:b/>
          <w:bCs/>
          <w:color w:val="000000"/>
          <w:sz w:val="24"/>
          <w:szCs w:val="24"/>
        </w:rPr>
        <w:t xml:space="preserve"> horas por dia, 2 (dois) dias na semana</w:t>
      </w:r>
      <w:r>
        <w:rPr>
          <w:rFonts w:ascii="Arial" w:hAnsi="Arial"/>
          <w:color w:val="000000"/>
          <w:sz w:val="24"/>
          <w:szCs w:val="24"/>
        </w:rPr>
        <w:t>, determinados pelo órgão, respeitando as jornadas de trabalho, devendo a Contratada colocar à disposição;</w:t>
      </w:r>
    </w:p>
    <w:p>
      <w:pPr>
        <w:pStyle w:val="Normal"/>
        <w:numPr>
          <w:ilvl w:val="0"/>
          <w:numId w:val="0"/>
        </w:numPr>
        <w:ind w:left="1922" w:hanging="0"/>
        <w:jc w:val="both"/>
        <w:rPr>
          <w:rFonts w:cs="Arial"/>
          <w:bCs/>
          <w:i/>
          <w:i/>
          <w:iCs/>
          <w:color w:val="FF0000"/>
          <w:szCs w:val="20"/>
        </w:rPr>
      </w:pPr>
      <w:r>
        <w:rPr>
          <w:rFonts w:ascii="Arial" w:hAnsi="Arial"/>
          <w:b/>
          <w:bCs/>
          <w:color w:val="000000"/>
          <w:sz w:val="24"/>
          <w:szCs w:val="24"/>
        </w:rPr>
        <w:t>10.1.2.</w:t>
      </w:r>
      <w:r>
        <w:rPr>
          <w:rFonts w:ascii="Arial" w:hAnsi="Arial"/>
          <w:color w:val="000000"/>
          <w:sz w:val="24"/>
          <w:szCs w:val="24"/>
        </w:rPr>
        <w:t xml:space="preserve"> O serviço deverá ser executado de acordo com o determinado no instrumento convocatório. A não observância destas condições implicará na não aceitação do mesmo, sem que caiba qualquer tipo de reclamação ou indenização por parte da inadimplente. </w:t>
      </w:r>
    </w:p>
    <w:p>
      <w:pPr>
        <w:pStyle w:val="Normal"/>
        <w:widowControl/>
        <w:suppressAutoHyphens w:val="true"/>
        <w:bidi w:val="0"/>
        <w:spacing w:before="0" w:after="0"/>
        <w:ind w:left="1928" w:right="0" w:hanging="0"/>
        <w:jc w:val="both"/>
        <w:rPr>
          <w:rFonts w:cs="Arial"/>
          <w:bCs/>
          <w:i/>
          <w:i/>
          <w:iCs/>
          <w:color w:val="FF0000"/>
          <w:szCs w:val="20"/>
        </w:rPr>
      </w:pPr>
      <w:r>
        <w:rPr>
          <w:rFonts w:ascii="Arial" w:hAnsi="Arial"/>
          <w:b/>
          <w:bCs/>
          <w:color w:val="000000"/>
          <w:sz w:val="24"/>
          <w:szCs w:val="24"/>
        </w:rPr>
        <w:t>10.2.3.</w:t>
      </w:r>
      <w:r>
        <w:rPr>
          <w:rFonts w:ascii="Arial" w:hAnsi="Arial"/>
          <w:color w:val="000000"/>
          <w:sz w:val="24"/>
          <w:szCs w:val="24"/>
        </w:rPr>
        <w:t xml:space="preserve"> O Contratante designará servidor para proceder à fiscalização e acompanhamento da execução do contrato, devendo o mesmo</w:t>
        <w:br/>
        <w:t>anotar em registro próprio todas as ocorrências a ela relativas, determinando o que for necessário à regularização das faltas ou</w:t>
        <w:br/>
        <w:t>defeitos observados, e entregará à Administração em até 05 (cinco) dias úteis anteriores ao término do mês em curso.</w:t>
      </w:r>
    </w:p>
    <w:p>
      <w:pPr>
        <w:pStyle w:val="Normal"/>
        <w:widowControl/>
        <w:suppressAutoHyphens w:val="true"/>
        <w:bidi w:val="0"/>
        <w:spacing w:before="0" w:after="0"/>
        <w:ind w:left="1928" w:right="0" w:hanging="0"/>
        <w:jc w:val="both"/>
        <w:rPr>
          <w:rFonts w:cs="Arial"/>
          <w:bCs/>
          <w:i/>
          <w:i/>
          <w:iCs/>
          <w:color w:val="FF0000"/>
          <w:szCs w:val="20"/>
        </w:rPr>
      </w:pPr>
      <w:r>
        <w:rPr>
          <w:rFonts w:ascii="Arial" w:hAnsi="Arial"/>
          <w:b/>
          <w:bCs/>
          <w:color w:val="000000"/>
          <w:sz w:val="24"/>
          <w:szCs w:val="24"/>
        </w:rPr>
        <w:t>10.2.4.</w:t>
      </w:r>
      <w:r>
        <w:rPr>
          <w:rFonts w:ascii="Arial" w:hAnsi="Arial"/>
          <w:color w:val="000000"/>
          <w:sz w:val="24"/>
          <w:szCs w:val="24"/>
        </w:rPr>
        <w:t xml:space="preserve"> O serviço executado estará sujeito à aceitação plena do Contratante que, se for o caso, rejeitará ou aceitará definitivamente,</w:t>
        <w:br/>
        <w:t>mediante laudo de inspeção, inclusive ficando a Contratada obrigada a substituir imediatamente a Película Blackout por outra.</w:t>
        <w:br/>
      </w:r>
      <w:r>
        <w:rPr>
          <w:rFonts w:ascii="Arial" w:hAnsi="Arial"/>
          <w:b/>
          <w:bCs/>
          <w:color w:val="000000"/>
          <w:sz w:val="24"/>
          <w:szCs w:val="24"/>
        </w:rPr>
        <w:t>10.2.5.</w:t>
      </w:r>
      <w:r>
        <w:rPr>
          <w:rFonts w:ascii="Arial" w:hAnsi="Arial"/>
          <w:color w:val="000000"/>
          <w:sz w:val="24"/>
          <w:szCs w:val="24"/>
        </w:rPr>
        <w:t xml:space="preserve"> O titular da origem desta licitação designará um servidor, cujo propósito será o acompanhamento da execução do contrato e a</w:t>
        <w:br/>
        <w:t>conferência das parcelas executadas com as especificações contidas no edital e na proposta de preços da Contratada. Caso o serviço</w:t>
        <w:br/>
        <w:t>executado esteja de acordo com aqueles instrumentos, a Comissão emitirá o Termo de Recebimento Definitivo; entretanto, se estiver</w:t>
        <w:br/>
        <w:t>em desacordo, rejeitará o recebimento do mesmo.</w:t>
        <w:br/>
      </w:r>
      <w:r>
        <w:rPr>
          <w:rFonts w:ascii="Arial" w:hAnsi="Arial"/>
          <w:b/>
          <w:bCs/>
          <w:color w:val="000000"/>
          <w:sz w:val="24"/>
          <w:szCs w:val="24"/>
        </w:rPr>
        <w:t>10.2.6.</w:t>
      </w:r>
      <w:r>
        <w:rPr>
          <w:rFonts w:ascii="Arial" w:hAnsi="Arial"/>
          <w:color w:val="000000"/>
          <w:sz w:val="24"/>
          <w:szCs w:val="24"/>
        </w:rPr>
        <w:t xml:space="preserve"> A Contratada ficará obrigada a substituir de imediato, sem ônus para o Contratante, o que vier a ser recusado. </w:t>
      </w:r>
    </w:p>
    <w:p>
      <w:pPr>
        <w:pStyle w:val="Nivel1"/>
        <w:numPr>
          <w:ilvl w:val="0"/>
          <w:numId w:val="1"/>
        </w:numPr>
        <w:spacing w:before="195" w:after="0"/>
        <w:rPr>
          <w:rFonts w:ascii="Arial" w:hAnsi="Arial"/>
          <w:sz w:val="24"/>
          <w:szCs w:val="24"/>
        </w:rPr>
      </w:pPr>
      <w:r>
        <w:rPr>
          <w:rFonts w:cs="Arial" w:ascii="Arial" w:hAnsi="Arial"/>
          <w:color w:val="000000"/>
          <w:sz w:val="24"/>
          <w:szCs w:val="24"/>
          <w:lang w:eastAsia="en-US"/>
        </w:rPr>
        <w:t>OBRIGAÇÕES DA CONTRATANTE</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Exigir o cumprimento de todas as obrigações assumidas pela Contratada, de acordo com as cláusulas contratuais e os termos de sua proposta;</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Pagar à Contratada o valor resultante da prestação do serviço, no prazo e condições estabelecidas neste Termo de Referência;</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Efetuar as retenções tributárias devidas sobre o valor da Nota Fiscal/Fatura da contratada, no que couber, em conformidade com o item 6 do Anexo XI da IN SEGES/MP n. 5/2017.</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Não praticar atos de ingerência na administração da Contratada, tais como:</w:t>
      </w:r>
    </w:p>
    <w:p>
      <w:pPr>
        <w:pStyle w:val="ListParagraph"/>
        <w:numPr>
          <w:ilvl w:val="2"/>
          <w:numId w:val="1"/>
        </w:numPr>
        <w:spacing w:lineRule="auto" w:line="276" w:before="120" w:after="120"/>
        <w:ind w:left="1134" w:hanging="0"/>
        <w:contextualSpacing/>
        <w:jc w:val="both"/>
        <w:rPr>
          <w:rFonts w:cs="Arial"/>
          <w:color w:val="000000"/>
          <w:szCs w:val="20"/>
        </w:rPr>
      </w:pPr>
      <w:r>
        <w:rPr>
          <w:rFonts w:cs="Arial" w:ascii="Arial" w:hAnsi="Arial"/>
          <w:color w:val="000000"/>
          <w:sz w:val="24"/>
          <w:szCs w:val="24"/>
        </w:rPr>
        <w:t>Exercer o poder de mando sobre os empregados da Contratada, devendo reportar-se somente aos prepostos ou responsáveis por ela indicados, exceto quando o objeto da contratação previr o atendimento direto, tais como nos serviços de recepção e apoio ao usuário;</w:t>
      </w:r>
    </w:p>
    <w:p>
      <w:pPr>
        <w:pStyle w:val="ListParagraph"/>
        <w:numPr>
          <w:ilvl w:val="2"/>
          <w:numId w:val="1"/>
        </w:numPr>
        <w:spacing w:lineRule="auto" w:line="276" w:before="120" w:after="120"/>
        <w:ind w:left="1134" w:hanging="0"/>
        <w:contextualSpacing/>
        <w:jc w:val="both"/>
        <w:rPr>
          <w:rFonts w:cs="Arial"/>
          <w:color w:val="000000"/>
          <w:szCs w:val="20"/>
        </w:rPr>
      </w:pPr>
      <w:r>
        <w:rPr>
          <w:rFonts w:cs="Arial" w:ascii="Arial" w:hAnsi="Arial"/>
          <w:color w:val="000000"/>
          <w:sz w:val="24"/>
          <w:szCs w:val="24"/>
        </w:rPr>
        <w:t>Direcionar a contratação de pessoas para trabalhar nas empresas Contratadas;</w:t>
      </w:r>
    </w:p>
    <w:p>
      <w:pPr>
        <w:pStyle w:val="ListParagraph"/>
        <w:numPr>
          <w:ilvl w:val="2"/>
          <w:numId w:val="1"/>
        </w:numPr>
        <w:spacing w:lineRule="auto" w:line="276" w:before="120" w:after="120"/>
        <w:ind w:left="1134" w:hanging="0"/>
        <w:contextualSpacing/>
        <w:jc w:val="both"/>
        <w:rPr>
          <w:rFonts w:cs="Arial"/>
          <w:color w:val="000000"/>
          <w:szCs w:val="20"/>
        </w:rPr>
      </w:pPr>
      <w:r>
        <w:rPr>
          <w:rFonts w:cs="Arial" w:ascii="Arial" w:hAnsi="Arial"/>
          <w:color w:val="000000"/>
          <w:sz w:val="24"/>
          <w:szCs w:val="24"/>
        </w:rPr>
        <w:t>Promover ou aceitar o desvio de funções dos trabalhadores da Contratada, mediante a utilização destes em atividades distintas daquelas previstas no objeto da contratação e em relação à função específica para a qual o trabalhador foi contratado; e</w:t>
      </w:r>
    </w:p>
    <w:p>
      <w:pPr>
        <w:pStyle w:val="ListParagraph"/>
        <w:numPr>
          <w:ilvl w:val="2"/>
          <w:numId w:val="1"/>
        </w:numPr>
        <w:spacing w:lineRule="auto" w:line="276" w:before="120" w:after="120"/>
        <w:ind w:left="1134" w:hanging="0"/>
        <w:contextualSpacing/>
        <w:jc w:val="both"/>
        <w:rPr>
          <w:rFonts w:cs="Arial"/>
          <w:color w:val="000000"/>
          <w:szCs w:val="20"/>
        </w:rPr>
      </w:pPr>
      <w:r>
        <w:rPr>
          <w:rFonts w:cs="Arial" w:ascii="Arial" w:hAnsi="Arial"/>
          <w:color w:val="000000"/>
          <w:sz w:val="24"/>
          <w:szCs w:val="24"/>
        </w:rPr>
        <w:t>Considerar os trabalhadores da Contratada como colaboradores eventuais do próprio órgão ou entidade responsável pela contratação, especialmente para efeito de concessão de diárias e passagens.</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Fornecer por escrito as informações necessárias para o desenvolvimento do serviço. objeto do contrato;</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 xml:space="preserve">Cientificar o órgão de representação judicial da Advocacia-Geral da União para adoção das medidas cabíveis quando do descumprimento das obrigações pela Contratada; </w:t>
      </w:r>
    </w:p>
    <w:p>
      <w:pPr>
        <w:pStyle w:val="Normal"/>
        <w:numPr>
          <w:ilvl w:val="1"/>
          <w:numId w:val="1"/>
        </w:numPr>
        <w:spacing w:lineRule="auto" w:line="276" w:before="120" w:after="120"/>
        <w:ind w:left="425" w:hanging="0"/>
        <w:jc w:val="both"/>
        <w:rPr>
          <w:rFonts w:cs="Arial"/>
          <w:i/>
          <w:i/>
          <w:color w:val="FF0000"/>
          <w:szCs w:val="20"/>
        </w:rPr>
      </w:pPr>
      <w:r>
        <w:rPr>
          <w:rFonts w:cs="Arial" w:ascii="Arial" w:hAnsi="Arial"/>
          <w:i w:val="false"/>
          <w:iCs w:val="false"/>
          <w:color w:val="000000"/>
          <w:sz w:val="24"/>
          <w:szCs w:val="24"/>
        </w:rPr>
        <w:t>Arquivar, entre outros documentos, projetos, "as built", especificações técnicas, orçamentos, termos de recebimento, contratos e aditamentos, relatórios de inspeções técnicas após o recebimento do serviço e notificações expedidas;</w:t>
      </w:r>
    </w:p>
    <w:p>
      <w:pPr>
        <w:pStyle w:val="Normal"/>
        <w:widowControl/>
        <w:numPr>
          <w:ilvl w:val="1"/>
          <w:numId w:val="1"/>
        </w:numPr>
        <w:suppressAutoHyphens w:val="true"/>
        <w:bidi w:val="0"/>
        <w:spacing w:lineRule="auto" w:line="276" w:before="120" w:after="120"/>
        <w:ind w:left="397" w:right="0" w:hanging="0"/>
        <w:jc w:val="both"/>
        <w:rPr>
          <w:rFonts w:cs="Arial"/>
          <w:i/>
          <w:i/>
          <w:szCs w:val="20"/>
        </w:rPr>
      </w:pPr>
      <w:r>
        <w:rPr>
          <w:rFonts w:cs="Arial" w:ascii="Arial" w:hAnsi="Arial"/>
          <w:color w:val="000000"/>
          <w:sz w:val="24"/>
          <w:szCs w:val="24"/>
        </w:rPr>
        <w:t>Fiscalizar o cumprimento dos requisitos legais, quando a contratada houver se beneficiado da preferência estabelecida pelo art. 3º, § 5º, da Lei nº 8.666, de 1993.</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Assegurar que o ambiente de trabalho, inclusive seus equipamentos e instalações, apresentem condições adequadas ao cumprimento, pela contratada, das normas de segurança e saúde no trabalho, quando o serviço for executado em suas dependências, ou em local por ela designado.</w:t>
      </w:r>
    </w:p>
    <w:p>
      <w:pPr>
        <w:pStyle w:val="Nivel1"/>
        <w:numPr>
          <w:ilvl w:val="0"/>
          <w:numId w:val="1"/>
        </w:numPr>
        <w:rPr>
          <w:rFonts w:cs="Arial"/>
        </w:rPr>
      </w:pPr>
      <w:r>
        <w:rPr>
          <w:rFonts w:cs="Arial" w:ascii="Arial" w:hAnsi="Arial"/>
          <w:color w:val="000000"/>
          <w:sz w:val="24"/>
          <w:szCs w:val="24"/>
        </w:rPr>
        <w:t>OBRIGAÇÕES DA CONTRATADA</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Executar o serviço conforme especificações deste Termo de Referência e de sua proposta, com a alocação dos empregados necessários ao perfeito cumprimento das cláusulas contratuais, além de fornecer e instalar e utilizar os materiais e equipamentos, ferramentas e utensílios necessários, na qualidade e quantidade mínimas especificadas neste Termo de Referência e em sua proposta;</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Reparar, corrigir, remover ou substituir, às suas expensas, no total ou em parte, no prazo fixado pelo fiscal do contrato, o serviço efetuado em que se verificarem vícios, defeitos ou incorreções resultantes da execução ou dos materiais empregados;</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Responsabilizar-se pelos vícios e danos decorrentes da execução do objeto, bem como por todo e qualquer dano causado à União ou à entidade federal, devendo ressarcir imediatamente a Administração em sua integralidade, ficando a Contratante autorizada a descontar da garantia, caso exigida no edital, ou dos pagamentos devidos à Contratada, o valor correspondente aos danos sofridos;</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Utilizar empregados habilitados e com conhecimentos básicos do serviço a ser executado, em conformidade com as normas e determinações em vigor;</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Vedar a utilização, na execução do serviço, de empregado que seja familiar de agente público ocupante de cargo em comissão ou função de confiança no órgão Contratante, nos termos do artigo 7° do Decreto n° 7.203, de 2010;</w:t>
      </w:r>
    </w:p>
    <w:p>
      <w:pPr>
        <w:pStyle w:val="Normal"/>
        <w:numPr>
          <w:ilvl w:val="1"/>
          <w:numId w:val="1"/>
        </w:numPr>
        <w:spacing w:lineRule="auto" w:line="276" w:before="120" w:after="120"/>
        <w:ind w:left="425" w:hanging="0"/>
        <w:jc w:val="both"/>
        <w:rPr>
          <w:rFonts w:cs="Arial"/>
          <w:iCs/>
          <w:szCs w:val="20"/>
        </w:rPr>
      </w:pPr>
      <w:r>
        <w:rPr>
          <w:rFonts w:cs="Arial" w:ascii="Arial" w:hAnsi="Arial"/>
          <w:iCs/>
          <w:color w:val="000000"/>
          <w:sz w:val="24"/>
          <w:szCs w:val="24"/>
        </w:rPr>
        <w:t>Quando não for possível a verificação da regularidade no Sistema de Cadastro de Fornecedores – SICAF, a empresa contratada deverá entregar ao setor responsável pela fiscalização do contrato, até o dia trinta do mês seguinte ao da prestação do serviço,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conforme alínea “c” do item 10.2 do Anexo VIII-B da IN SEGES/MP n. 5/2017;</w:t>
      </w:r>
    </w:p>
    <w:p>
      <w:pPr>
        <w:pStyle w:val="Normal"/>
        <w:numPr>
          <w:ilvl w:val="1"/>
          <w:numId w:val="1"/>
        </w:numPr>
        <w:spacing w:lineRule="auto" w:line="276" w:before="120" w:after="120"/>
        <w:ind w:left="425" w:hanging="0"/>
        <w:jc w:val="both"/>
        <w:rPr>
          <w:rFonts w:cs="Arial"/>
          <w:iCs/>
          <w:szCs w:val="20"/>
          <w:lang w:eastAsia="en-US"/>
        </w:rPr>
      </w:pPr>
      <w:r>
        <w:rPr>
          <w:rFonts w:cs="Arial" w:ascii="Arial" w:hAnsi="Arial"/>
          <w:iCs/>
          <w:color w:val="000000"/>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Comunicar ao Fiscal do contrato, no prazo de 24 (vinte e quatro) horas, qualquer ocorrência anormal ou acidente que se verifique no local do serviço.</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Prestar todo esclarecimento ou informação solicitada pela Contratante ou por seus prepostos, garantindo-lhes o acesso, a qualquer tempo, ao local dos trabalhos, bem como aos documentos relativos à execução do empreendimento.</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Paralisar, por determinação da Contratante, qualquer atividade que não esteja sendo executada de acordo com a boa técnica ou que ponha em risco a segurança de pessoas ou bens de terceiros.</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Promover a guarda, manutenção e vigilância de materiais, ferramentas, e tudo o que for necessário à execução do serviço, durante a vigência do contrato.</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Promover a organização técnica e administrativa do serviço, de modo a conduzi-los eficaz e eficientemente, de acordo com os documentos e especificações que integram este Termo de Referência, no prazo determinado.</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Conduzir os trabalhos com estrita observância às normas da legislação pertinente, cumprindo as determinações dos Poderes Públicos, mantendo sempre limpo o local do serviço e nas melhores condições de segurança, higiene e disciplina.</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Submeter previamente, por escrito, à Contratante, para análise e aprovação, quaisquer mudanças nos métodos executivos que fujam às especificações do memorial descritivo.</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 xml:space="preserve"> </w:t>
      </w:r>
      <w:r>
        <w:rPr>
          <w:rFonts w:cs="Arial" w:ascii="Arial" w:hAnsi="Arial"/>
          <w:color w:val="000000"/>
          <w:sz w:val="24"/>
          <w:szCs w:val="24"/>
        </w:rPr>
        <w:t>Manter durante toda a vigência do contrato, em compatibilidade com as obrigações assumidas, todas as condições de habilitação e qualificação exigidas na licitação;</w:t>
      </w:r>
    </w:p>
    <w:p>
      <w:pPr>
        <w:pStyle w:val="ListParagraph"/>
        <w:numPr>
          <w:ilvl w:val="1"/>
          <w:numId w:val="1"/>
        </w:numPr>
        <w:spacing w:lineRule="auto" w:line="276" w:before="120" w:after="120"/>
        <w:ind w:left="425" w:hanging="0"/>
        <w:contextualSpacing/>
        <w:jc w:val="both"/>
        <w:rPr>
          <w:rFonts w:cs="Arial"/>
          <w:color w:val="000000"/>
          <w:szCs w:val="20"/>
        </w:rPr>
      </w:pPr>
      <w:r>
        <w:rPr>
          <w:rFonts w:cs="Arial" w:ascii="Arial" w:hAnsi="Arial"/>
          <w:color w:val="000000" w:themeColor="text1"/>
          <w:sz w:val="24"/>
          <w:szCs w:val="24"/>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r>
        <w:rPr>
          <w:rFonts w:cs="Arial" w:ascii="Arial" w:hAnsi="Arial"/>
          <w:i/>
          <w:iCs/>
          <w:color w:val="000000" w:themeColor="text1"/>
          <w:sz w:val="24"/>
          <w:szCs w:val="24"/>
        </w:rPr>
        <w:t>.</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Guardar sigilo sobre todas as informações obtidas em decorrência do cumprimento do contrato;</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Arcar com o ônus decorrente de eventual equívoco no dimensionamento dos quantitativos de sua proposta, inclusive quanto aos custos variáveis decorrentes de fatores futuros e incertos, tais como os valores providos com o quantitativo de vale-transporte, devendo complementá-los, caso o previsto inicialmente em sua proposta não seja satisfatório para o atendimento do objeto da licitação, exceto quando ocorrer algum dos eventos arrolados nos incisos do § 1º do art. 57 da Lei nº 8.666, de 1993.</w:t>
      </w:r>
    </w:p>
    <w:p>
      <w:pPr>
        <w:pStyle w:val="Normal"/>
        <w:numPr>
          <w:ilvl w:val="1"/>
          <w:numId w:val="1"/>
        </w:numPr>
        <w:spacing w:lineRule="auto" w:line="276" w:before="120" w:after="120"/>
        <w:ind w:left="425" w:hanging="0"/>
        <w:jc w:val="both"/>
        <w:rPr>
          <w:rFonts w:cs="Arial"/>
          <w:color w:val="000000"/>
          <w:szCs w:val="20"/>
        </w:rPr>
      </w:pPr>
      <w:r>
        <w:rPr>
          <w:rFonts w:cs="Arial" w:ascii="Arial" w:hAnsi="Arial"/>
          <w:color w:val="000000"/>
          <w:sz w:val="24"/>
          <w:szCs w:val="24"/>
        </w:rPr>
        <w:t>Cumprir, além dos postulados legais vigentes de âmbito federal, estadual ou municipal, as normas de segurança da Contratante;</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Prestar o serviço dentro dos parâmetros e rotinas estabelecidos, fornecendo todos os materiais, equipamentos e utensílios em quantidade, qualidade e tecnologia adequadas, com a observância às recomendações aceitas pela boa técnica, normas e legislação;</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Assegurar à CONTRATANTE, em conformidade com o previsto no subitem 6.1, “a” e “b”, do Anexo VII – F da Instrução Normativa SEGES/MP nº 5, de 25/05/2017:</w:t>
      </w:r>
    </w:p>
    <w:p>
      <w:pPr>
        <w:pStyle w:val="Normal"/>
        <w:numPr>
          <w:ilvl w:val="2"/>
          <w:numId w:val="1"/>
        </w:numPr>
        <w:spacing w:lineRule="auto" w:line="276" w:before="120" w:after="120"/>
        <w:jc w:val="both"/>
        <w:rPr>
          <w:rFonts w:cs="Arial"/>
          <w:szCs w:val="20"/>
        </w:rPr>
      </w:pPr>
      <w:r>
        <w:rPr>
          <w:rFonts w:cs="Arial" w:ascii="Arial" w:hAnsi="Arial"/>
          <w:color w:val="000000"/>
          <w:sz w:val="24"/>
          <w:szCs w:val="24"/>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pPr>
        <w:pStyle w:val="Normal"/>
        <w:numPr>
          <w:ilvl w:val="2"/>
          <w:numId w:val="1"/>
        </w:numPr>
        <w:spacing w:lineRule="auto" w:line="276" w:before="120" w:after="120"/>
        <w:jc w:val="both"/>
        <w:rPr>
          <w:rFonts w:cs="Arial"/>
          <w:szCs w:val="20"/>
        </w:rPr>
      </w:pPr>
      <w:r>
        <w:rPr>
          <w:rFonts w:cs="Arial" w:ascii="Arial" w:hAnsi="Arial"/>
          <w:color w:val="000000"/>
          <w:sz w:val="24"/>
          <w:szCs w:val="24"/>
        </w:rPr>
        <w:t>Os direitos autorais da solução, do projeto, de suas especificações técnicas, da documentação produzida e congêneres, e de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pPr>
        <w:pStyle w:val="Nivel1"/>
        <w:numPr>
          <w:ilvl w:val="0"/>
          <w:numId w:val="1"/>
        </w:numPr>
        <w:spacing w:lineRule="auto" w:line="240"/>
        <w:rPr>
          <w:rFonts w:cs="Arial"/>
        </w:rPr>
      </w:pPr>
      <w:r>
        <w:rPr>
          <w:rFonts w:cs="Arial" w:ascii="Arial" w:hAnsi="Arial"/>
          <w:color w:val="000000"/>
          <w:sz w:val="24"/>
          <w:szCs w:val="24"/>
        </w:rPr>
        <w:t>DA SUBCONTRATAÇÃO</w:t>
      </w:r>
    </w:p>
    <w:p>
      <w:pPr>
        <w:pStyle w:val="Nivel1"/>
        <w:keepNext w:val="true"/>
        <w:keepLines/>
        <w:widowControl/>
        <w:numPr>
          <w:ilvl w:val="1"/>
          <w:numId w:val="1"/>
        </w:numPr>
        <w:suppressAutoHyphens w:val="true"/>
        <w:bidi w:val="0"/>
        <w:spacing w:lineRule="auto" w:line="240" w:before="480" w:after="120"/>
        <w:ind w:left="737" w:right="0" w:hanging="340"/>
        <w:jc w:val="both"/>
        <w:rPr>
          <w:rFonts w:cs="Arial"/>
          <w:b w:val="false"/>
          <w:b w:val="false"/>
          <w:i/>
          <w:i/>
          <w:color w:val="FF0000"/>
        </w:rPr>
      </w:pPr>
      <w:r>
        <w:rPr>
          <w:rFonts w:cs="Arial" w:ascii="Arial" w:hAnsi="Arial"/>
          <w:b w:val="false"/>
          <w:bCs w:val="false"/>
          <w:i w:val="false"/>
          <w:iCs w:val="false"/>
          <w:color w:val="000000"/>
          <w:sz w:val="24"/>
          <w:szCs w:val="24"/>
        </w:rPr>
        <w:t>Não será admitida a subcontratação do objeto licitatório.</w:t>
      </w:r>
    </w:p>
    <w:p>
      <w:pPr>
        <w:pStyle w:val="Nivel1"/>
        <w:numPr>
          <w:ilvl w:val="0"/>
          <w:numId w:val="1"/>
        </w:numPr>
        <w:rPr>
          <w:rFonts w:cs="Arial"/>
          <w:lang w:eastAsia="en-US"/>
        </w:rPr>
      </w:pPr>
      <w:r>
        <w:rPr>
          <w:rFonts w:cs="Arial" w:ascii="Arial" w:hAnsi="Arial"/>
          <w:color w:val="000000"/>
          <w:sz w:val="24"/>
          <w:szCs w:val="24"/>
          <w:lang w:eastAsia="en-US"/>
        </w:rPr>
        <w:t>ALTERAÇÃO SUBJETIVA</w:t>
      </w:r>
    </w:p>
    <w:p>
      <w:pPr>
        <w:pStyle w:val="Normal"/>
        <w:numPr>
          <w:ilvl w:val="1"/>
          <w:numId w:val="1"/>
        </w:numPr>
        <w:spacing w:lineRule="auto" w:line="276" w:before="120" w:after="120"/>
        <w:ind w:left="425" w:hanging="0"/>
        <w:jc w:val="both"/>
        <w:rPr>
          <w:rFonts w:cs="Arial"/>
          <w:szCs w:val="20"/>
          <w:lang w:eastAsia="en-US"/>
        </w:rPr>
      </w:pPr>
      <w:r>
        <w:rPr>
          <w:rFonts w:cs="Arial" w:ascii="Arial" w:hAnsi="Arial"/>
          <w:color w:val="000000"/>
          <w:sz w:val="24"/>
          <w:szCs w:val="24"/>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Nivel1"/>
        <w:numPr>
          <w:ilvl w:val="0"/>
          <w:numId w:val="1"/>
        </w:numPr>
        <w:rPr>
          <w:rFonts w:cs="Arial"/>
          <w:lang w:eastAsia="en-US"/>
        </w:rPr>
      </w:pPr>
      <w:r>
        <w:rPr>
          <w:rFonts w:cs="Arial" w:ascii="Arial" w:hAnsi="Arial"/>
          <w:color w:val="000000"/>
          <w:sz w:val="24"/>
          <w:szCs w:val="24"/>
          <w:lang w:eastAsia="en-US"/>
        </w:rPr>
        <w:t xml:space="preserve">CONTROLE E FISCALIZAÇÃO DA EXECUÇÃO </w:t>
      </w:r>
    </w:p>
    <w:p>
      <w:pPr>
        <w:pStyle w:val="Normal"/>
        <w:numPr>
          <w:ilvl w:val="1"/>
          <w:numId w:val="1"/>
        </w:numPr>
        <w:spacing w:lineRule="auto" w:line="276" w:before="120" w:after="120"/>
        <w:ind w:left="425" w:hanging="0"/>
        <w:jc w:val="both"/>
        <w:rPr>
          <w:rFonts w:cs="Arial"/>
          <w:szCs w:val="20"/>
          <w:lang w:eastAsia="en-US"/>
        </w:rPr>
      </w:pPr>
      <w:r>
        <w:rPr>
          <w:rFonts w:cs="Arial" w:ascii="Arial" w:hAnsi="Arial"/>
          <w:color w:val="000000"/>
          <w:sz w:val="24"/>
          <w:szCs w:val="24"/>
          <w:lang w:eastAsia="en-US"/>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 1º do artigo 65 da Lei nº 8.666, de 1993.</w:t>
      </w:r>
    </w:p>
    <w:p>
      <w:pPr>
        <w:pStyle w:val="Normal"/>
        <w:numPr>
          <w:ilvl w:val="1"/>
          <w:numId w:val="1"/>
        </w:numPr>
        <w:spacing w:lineRule="auto" w:line="276" w:before="120" w:after="120"/>
        <w:ind w:left="425" w:hanging="0"/>
        <w:jc w:val="both"/>
        <w:rPr>
          <w:rFonts w:cs="Arial"/>
          <w:szCs w:val="20"/>
          <w:lang w:eastAsia="en-US"/>
        </w:rPr>
      </w:pPr>
      <w:r>
        <w:rPr>
          <w:rFonts w:cs="Arial" w:ascii="Arial" w:hAnsi="Arial"/>
          <w:color w:val="000000"/>
          <w:sz w:val="24"/>
          <w:szCs w:val="24"/>
          <w:lang w:eastAsia="en-US"/>
        </w:rPr>
        <w:t>A conformidade do material/técnica/equipamento a ser utilizado na execução do serviço deverá ser verificada acompanhado de documento da Contratada que contenha a relação detalhada dos mesmos, de acordo com o estabelecido neste Termo de Referência, informando as respectivas quantidades e especificações técnicas, tais como: marca, qualidade e forma de uso.</w:t>
      </w:r>
    </w:p>
    <w:p>
      <w:pPr>
        <w:pStyle w:val="Normal"/>
        <w:numPr>
          <w:ilvl w:val="1"/>
          <w:numId w:val="1"/>
        </w:numPr>
        <w:spacing w:lineRule="auto" w:line="276" w:before="120" w:after="120"/>
        <w:ind w:left="425" w:hanging="0"/>
        <w:jc w:val="both"/>
        <w:rPr>
          <w:rFonts w:cs="Arial"/>
          <w:szCs w:val="20"/>
          <w:lang w:eastAsia="en-US"/>
        </w:rPr>
      </w:pPr>
      <w:r>
        <w:rPr>
          <w:rFonts w:cs="Arial" w:ascii="Arial" w:hAnsi="Arial"/>
          <w:color w:val="000000"/>
          <w:sz w:val="24"/>
          <w:szCs w:val="24"/>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pPr>
        <w:pStyle w:val="Normal"/>
        <w:numPr>
          <w:ilvl w:val="1"/>
          <w:numId w:val="1"/>
        </w:numPr>
        <w:spacing w:lineRule="auto" w:line="276" w:before="120" w:after="120"/>
        <w:ind w:left="425" w:hanging="0"/>
        <w:jc w:val="both"/>
        <w:rPr>
          <w:rFonts w:cs="Arial"/>
          <w:szCs w:val="20"/>
          <w:lang w:eastAsia="en-US"/>
        </w:rPr>
      </w:pPr>
      <w:r>
        <w:rPr>
          <w:rFonts w:cs="Arial" w:ascii="Arial" w:hAnsi="Arial"/>
          <w:color w:val="000000"/>
          <w:sz w:val="24"/>
          <w:szCs w:val="24"/>
          <w:lang w:eastAsia="en-US"/>
        </w:rPr>
        <w:t>O descumprimento total ou parcial das obrigações e responsabilidades assumidas pela Contratada ensejará a aplicação de sanções administrativas, previstas neste Termo de Referência e na legislação vigente, podendo culminar em rescisão contratual, conforme disposto nos artigos 77 e 87 da Lei nº 8.666, de 1993.</w:t>
      </w:r>
    </w:p>
    <w:p>
      <w:pPr>
        <w:pStyle w:val="Normal"/>
        <w:numPr>
          <w:ilvl w:val="1"/>
          <w:numId w:val="1"/>
        </w:numPr>
        <w:spacing w:lineRule="auto" w:line="276" w:before="120" w:after="120"/>
        <w:ind w:left="425" w:hanging="0"/>
        <w:jc w:val="both"/>
        <w:rPr>
          <w:rFonts w:cs="Arial"/>
          <w:szCs w:val="20"/>
          <w:lang w:eastAsia="en-US"/>
        </w:rPr>
      </w:pPr>
      <w:r>
        <w:rPr>
          <w:rFonts w:cs="Arial" w:ascii="Arial" w:hAnsi="Arial"/>
          <w:color w:val="000000"/>
          <w:sz w:val="24"/>
          <w:szCs w:val="24"/>
          <w:lang w:eastAsia="en-US"/>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pPr>
        <w:pStyle w:val="Normal"/>
        <w:numPr>
          <w:ilvl w:val="1"/>
          <w:numId w:val="1"/>
        </w:numPr>
        <w:spacing w:lineRule="auto" w:line="276" w:before="120" w:after="120"/>
        <w:ind w:left="425" w:hanging="0"/>
        <w:jc w:val="both"/>
        <w:rPr>
          <w:rFonts w:cs="Arial"/>
          <w:szCs w:val="20"/>
          <w:lang w:eastAsia="en-US"/>
        </w:rPr>
      </w:pPr>
      <w:r>
        <w:rPr>
          <w:rFonts w:cs="Arial" w:ascii="Arial" w:hAnsi="Arial"/>
          <w:color w:val="000000"/>
          <w:sz w:val="24"/>
          <w:szCs w:val="24"/>
          <w:lang w:eastAsia="en-US"/>
        </w:rPr>
        <w:t>A fiscalização técnica dos contratos avaliará constantemente a execução do objeto.</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 xml:space="preserve">Durante a execução do objeto, o fiscal técnico deverá monitorar constantemente o nível de qualidade do serviço para evitar a sua degeneração, devendo intervir para requerer à CONTRATADA a correção das faltas, falhas e irregularidades constatadas. </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 xml:space="preserve">O fiscal técnico deverá apresentar ao preposto da CONTRATADA a avaliação da execução do objeto ou, se for o caso, a avaliação de desempenho e qualidade da prestação do serviço realizada. </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 xml:space="preserve">Em hipótese alguma, será admitido que a própria CONTRATADA materialize a avaliação de desempenho e qualidade da prestação do serviço realizada. </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neste Termo de Referência. </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 xml:space="preserve">O fiscal técnico poderá realizar avaliação diária, semanal ou mensal, desde que o período escolhido seja suficiente para avaliar ou, se for o caso, aferir o desempenho e qualidade da prestação do serviço. </w:t>
      </w:r>
    </w:p>
    <w:p>
      <w:pPr>
        <w:pStyle w:val="Normal"/>
        <w:numPr>
          <w:ilvl w:val="1"/>
          <w:numId w:val="1"/>
        </w:numPr>
        <w:spacing w:lineRule="auto" w:line="276" w:before="120" w:after="120"/>
        <w:ind w:left="425" w:hanging="0"/>
        <w:jc w:val="both"/>
        <w:rPr>
          <w:rFonts w:cs="Arial"/>
          <w:i/>
          <w:i/>
          <w:color w:val="FF0000"/>
          <w:szCs w:val="20"/>
          <w:lang w:eastAsia="en-US"/>
        </w:rPr>
      </w:pPr>
      <w:r>
        <w:rPr>
          <w:rFonts w:cs="Arial" w:ascii="Arial" w:hAnsi="Arial"/>
          <w:i w:val="false"/>
          <w:iCs w:val="false"/>
          <w:color w:val="000000"/>
          <w:sz w:val="24"/>
          <w:szCs w:val="24"/>
          <w:lang w:eastAsia="en-US"/>
        </w:rPr>
        <w:t xml:space="preserve">A </w:t>
      </w:r>
      <w:r>
        <w:rPr>
          <w:rFonts w:cs="Arial" w:ascii="Arial" w:hAnsi="Arial"/>
          <w:i w:val="false"/>
          <w:iCs w:val="false"/>
          <w:color w:val="000000"/>
          <w:sz w:val="24"/>
          <w:szCs w:val="24"/>
        </w:rPr>
        <w:t>fiscalização</w:t>
      </w:r>
      <w:r>
        <w:rPr>
          <w:rFonts w:cs="Arial" w:ascii="Arial" w:hAnsi="Arial"/>
          <w:i w:val="false"/>
          <w:iCs w:val="false"/>
          <w:color w:val="000000"/>
          <w:sz w:val="24"/>
          <w:szCs w:val="24"/>
          <w:lang w:eastAsia="en-US"/>
        </w:rPr>
        <w:t xml:space="preserve"> da execução do serviço abrange, ainda, a seguinte rotina:</w:t>
      </w:r>
    </w:p>
    <w:p>
      <w:pPr>
        <w:pStyle w:val="Normal"/>
        <w:widowControl/>
        <w:numPr>
          <w:ilvl w:val="0"/>
          <w:numId w:val="0"/>
        </w:numPr>
        <w:bidi w:val="0"/>
        <w:spacing w:lineRule="auto" w:line="276" w:before="120" w:after="120"/>
        <w:ind w:left="1736" w:right="0" w:hanging="0"/>
        <w:jc w:val="both"/>
        <w:rPr/>
      </w:pPr>
      <w:r>
        <w:rPr>
          <w:rFonts w:cs="Arial" w:ascii="Arial" w:hAnsi="Arial"/>
          <w:i w:val="false"/>
          <w:iCs w:val="false"/>
          <w:color w:val="000000"/>
          <w:sz w:val="24"/>
          <w:szCs w:val="24"/>
          <w:lang w:eastAsia="en-US"/>
        </w:rPr>
        <w:t xml:space="preserve">15.13.1. </w:t>
      </w:r>
      <w:hyperlink r:id="rId19">
        <w:r>
          <w:rPr>
            <w:rStyle w:val="ListLabel23"/>
            <w:rFonts w:cs="Arial" w:ascii="Arial" w:hAnsi="Arial"/>
            <w:i w:val="false"/>
            <w:iCs w:val="false"/>
            <w:color w:val="000000"/>
            <w:sz w:val="24"/>
            <w:szCs w:val="24"/>
            <w:lang w:eastAsia="en-US"/>
          </w:rPr>
          <w:t>O preposto da contratada deverá</w:t>
        </w:r>
        <w:r>
          <w:rPr>
            <w:rStyle w:val="ListLabel23"/>
            <w:rFonts w:cs="Arial" w:ascii="Arial" w:hAnsi="Arial"/>
            <w:i w:val="false"/>
            <w:iCs w:val="false"/>
            <w:color w:val="000000"/>
            <w:spacing w:val="61"/>
            <w:sz w:val="24"/>
            <w:szCs w:val="24"/>
            <w:lang w:eastAsia="en-US"/>
          </w:rPr>
          <w:t xml:space="preserve"> </w:t>
        </w:r>
        <w:r>
          <w:rPr>
            <w:rStyle w:val="ListLabel23"/>
            <w:rFonts w:cs="Arial" w:ascii="Arial" w:hAnsi="Arial"/>
            <w:i w:val="false"/>
            <w:iCs w:val="false"/>
            <w:color w:val="000000"/>
            <w:sz w:val="24"/>
            <w:szCs w:val="24"/>
            <w:lang w:eastAsia="en-US"/>
          </w:rPr>
          <w:t>se dirigir ao Fiscal Administrativo todos os dias</w:t>
        </w:r>
      </w:hyperlink>
      <w:r>
        <w:rPr>
          <w:rFonts w:cs="Arial" w:ascii="Arial" w:hAnsi="Arial"/>
          <w:i w:val="false"/>
          <w:iCs w:val="false"/>
          <w:color w:val="000000"/>
          <w:spacing w:val="1"/>
          <w:sz w:val="24"/>
          <w:szCs w:val="24"/>
          <w:lang w:eastAsia="en-US"/>
        </w:rPr>
        <w:t xml:space="preserve"> </w:t>
      </w:r>
      <w:hyperlink r:id="rId20">
        <w:r>
          <w:rPr>
            <w:rStyle w:val="ListLabel23"/>
            <w:rFonts w:cs="Arial" w:ascii="Arial" w:hAnsi="Arial"/>
            <w:i w:val="false"/>
            <w:iCs w:val="false"/>
            <w:color w:val="000000"/>
            <w:sz w:val="24"/>
            <w:szCs w:val="24"/>
            <w:lang w:eastAsia="en-US"/>
          </w:rPr>
          <w:t>antes de iniciar o serviço, para que ele possa ter ciência de sua presença, passar as orientações</w:t>
        </w:r>
      </w:hyperlink>
      <w:r>
        <w:rPr>
          <w:rFonts w:cs="Arial" w:ascii="Arial" w:hAnsi="Arial"/>
          <w:i w:val="false"/>
          <w:iCs w:val="false"/>
          <w:color w:val="000000"/>
          <w:spacing w:val="1"/>
          <w:sz w:val="24"/>
          <w:szCs w:val="24"/>
          <w:lang w:eastAsia="en-US"/>
        </w:rPr>
        <w:t xml:space="preserve"> </w:t>
      </w:r>
      <w:hyperlink r:id="rId21">
        <w:r>
          <w:rPr>
            <w:rStyle w:val="ListLabel23"/>
            <w:rFonts w:cs="Arial" w:ascii="Arial" w:hAnsi="Arial"/>
            <w:i w:val="false"/>
            <w:iCs w:val="false"/>
            <w:color w:val="000000"/>
            <w:sz w:val="24"/>
            <w:szCs w:val="24"/>
            <w:lang w:eastAsia="en-US"/>
          </w:rPr>
          <w:t>necessárias</w:t>
        </w:r>
        <w:r>
          <w:rPr>
            <w:rStyle w:val="ListLabel23"/>
            <w:rFonts w:cs="Arial" w:ascii="Arial" w:hAnsi="Arial"/>
            <w:i w:val="false"/>
            <w:iCs w:val="false"/>
            <w:color w:val="000000"/>
            <w:spacing w:val="-2"/>
            <w:sz w:val="24"/>
            <w:szCs w:val="24"/>
            <w:lang w:eastAsia="en-US"/>
          </w:rPr>
          <w:t xml:space="preserve"> </w:t>
        </w:r>
        <w:r>
          <w:rPr>
            <w:rStyle w:val="ListLabel23"/>
            <w:rFonts w:cs="Arial" w:ascii="Arial" w:hAnsi="Arial"/>
            <w:i w:val="false"/>
            <w:iCs w:val="false"/>
            <w:color w:val="000000"/>
            <w:sz w:val="24"/>
            <w:szCs w:val="24"/>
            <w:lang w:eastAsia="en-US"/>
          </w:rPr>
          <w:t>e encaminhar o</w:t>
        </w:r>
        <w:r>
          <w:rPr>
            <w:rStyle w:val="ListLabel23"/>
            <w:rFonts w:cs="Arial" w:ascii="Arial" w:hAnsi="Arial"/>
            <w:i w:val="false"/>
            <w:iCs w:val="false"/>
            <w:color w:val="000000"/>
            <w:spacing w:val="-1"/>
            <w:sz w:val="24"/>
            <w:szCs w:val="24"/>
            <w:lang w:eastAsia="en-US"/>
          </w:rPr>
          <w:t xml:space="preserve"> </w:t>
        </w:r>
        <w:r>
          <w:rPr>
            <w:rStyle w:val="ListLabel23"/>
            <w:rFonts w:cs="Arial" w:ascii="Arial" w:hAnsi="Arial"/>
            <w:i w:val="false"/>
            <w:iCs w:val="false"/>
            <w:color w:val="000000"/>
            <w:sz w:val="24"/>
            <w:szCs w:val="24"/>
            <w:lang w:eastAsia="en-US"/>
          </w:rPr>
          <w:t>responsável</w:t>
        </w:r>
        <w:r>
          <w:rPr>
            <w:rStyle w:val="ListLabel23"/>
            <w:rFonts w:cs="Arial" w:ascii="Arial" w:hAnsi="Arial"/>
            <w:i w:val="false"/>
            <w:iCs w:val="false"/>
            <w:color w:val="000000"/>
            <w:spacing w:val="-1"/>
            <w:sz w:val="24"/>
            <w:szCs w:val="24"/>
            <w:lang w:eastAsia="en-US"/>
          </w:rPr>
          <w:t xml:space="preserve"> </w:t>
        </w:r>
        <w:r>
          <w:rPr>
            <w:rStyle w:val="ListLabel23"/>
            <w:rFonts w:cs="Arial" w:ascii="Arial" w:hAnsi="Arial"/>
            <w:i w:val="false"/>
            <w:iCs w:val="false"/>
            <w:color w:val="000000"/>
            <w:sz w:val="24"/>
            <w:szCs w:val="24"/>
            <w:lang w:eastAsia="en-US"/>
          </w:rPr>
          <w:t>técnico para o</w:t>
        </w:r>
        <w:r>
          <w:rPr>
            <w:rStyle w:val="ListLabel23"/>
            <w:rFonts w:cs="Arial" w:ascii="Arial" w:hAnsi="Arial"/>
            <w:i w:val="false"/>
            <w:iCs w:val="false"/>
            <w:color w:val="000000"/>
            <w:spacing w:val="-1"/>
            <w:sz w:val="24"/>
            <w:szCs w:val="24"/>
            <w:lang w:eastAsia="en-US"/>
          </w:rPr>
          <w:t xml:space="preserve"> </w:t>
        </w:r>
        <w:r>
          <w:rPr>
            <w:rStyle w:val="ListLabel23"/>
            <w:rFonts w:cs="Arial" w:ascii="Arial" w:hAnsi="Arial"/>
            <w:i w:val="false"/>
            <w:iCs w:val="false"/>
            <w:color w:val="000000"/>
            <w:sz w:val="24"/>
            <w:szCs w:val="24"/>
            <w:lang w:eastAsia="en-US"/>
          </w:rPr>
          <w:t>local</w:t>
        </w:r>
        <w:r>
          <w:rPr>
            <w:rStyle w:val="ListLabel23"/>
            <w:rFonts w:cs="Arial" w:ascii="Arial" w:hAnsi="Arial"/>
            <w:i w:val="false"/>
            <w:iCs w:val="false"/>
            <w:color w:val="000000"/>
            <w:spacing w:val="-1"/>
            <w:sz w:val="24"/>
            <w:szCs w:val="24"/>
            <w:lang w:eastAsia="en-US"/>
          </w:rPr>
          <w:t xml:space="preserve"> </w:t>
        </w:r>
        <w:r>
          <w:rPr>
            <w:rStyle w:val="ListLabel23"/>
            <w:rFonts w:cs="Arial" w:ascii="Arial" w:hAnsi="Arial"/>
            <w:i w:val="false"/>
            <w:iCs w:val="false"/>
            <w:color w:val="000000"/>
            <w:sz w:val="24"/>
            <w:szCs w:val="24"/>
            <w:lang w:eastAsia="en-US"/>
          </w:rPr>
          <w:t>a</w:t>
        </w:r>
        <w:r>
          <w:rPr>
            <w:rStyle w:val="ListLabel23"/>
            <w:rFonts w:cs="Arial" w:ascii="Arial" w:hAnsi="Arial"/>
            <w:i w:val="false"/>
            <w:iCs w:val="false"/>
            <w:color w:val="000000"/>
            <w:spacing w:val="-2"/>
            <w:sz w:val="24"/>
            <w:szCs w:val="24"/>
            <w:lang w:eastAsia="en-US"/>
          </w:rPr>
          <w:t xml:space="preserve"> </w:t>
        </w:r>
        <w:r>
          <w:rPr>
            <w:rStyle w:val="ListLabel23"/>
            <w:rFonts w:cs="Arial" w:ascii="Arial" w:hAnsi="Arial"/>
            <w:i w:val="false"/>
            <w:iCs w:val="false"/>
            <w:color w:val="000000"/>
            <w:sz w:val="24"/>
            <w:szCs w:val="24"/>
            <w:lang w:eastAsia="en-US"/>
          </w:rPr>
          <w:t>ser</w:t>
        </w:r>
        <w:r>
          <w:rPr>
            <w:rStyle w:val="ListLabel23"/>
            <w:rFonts w:cs="Arial" w:ascii="Arial" w:hAnsi="Arial"/>
            <w:i w:val="false"/>
            <w:iCs w:val="false"/>
            <w:color w:val="000000"/>
            <w:spacing w:val="-1"/>
            <w:sz w:val="24"/>
            <w:szCs w:val="24"/>
            <w:lang w:eastAsia="en-US"/>
          </w:rPr>
          <w:t xml:space="preserve"> </w:t>
        </w:r>
        <w:r>
          <w:rPr>
            <w:rStyle w:val="ListLabel23"/>
            <w:rFonts w:cs="Arial" w:ascii="Arial" w:hAnsi="Arial"/>
            <w:i w:val="false"/>
            <w:iCs w:val="false"/>
            <w:color w:val="000000"/>
            <w:sz w:val="24"/>
            <w:szCs w:val="24"/>
            <w:lang w:eastAsia="en-US"/>
          </w:rPr>
          <w:t>executado o</w:t>
        </w:r>
        <w:r>
          <w:rPr>
            <w:rStyle w:val="ListLabel23"/>
            <w:rFonts w:cs="Arial" w:ascii="Arial" w:hAnsi="Arial"/>
            <w:i w:val="false"/>
            <w:iCs w:val="false"/>
            <w:color w:val="000000"/>
            <w:spacing w:val="-1"/>
            <w:sz w:val="24"/>
            <w:szCs w:val="24"/>
            <w:lang w:eastAsia="en-US"/>
          </w:rPr>
          <w:t xml:space="preserve"> </w:t>
        </w:r>
        <w:r>
          <w:rPr>
            <w:rStyle w:val="ListLabel23"/>
            <w:rFonts w:cs="Arial" w:ascii="Arial" w:hAnsi="Arial"/>
            <w:i w:val="false"/>
            <w:iCs w:val="false"/>
            <w:color w:val="000000"/>
            <w:sz w:val="24"/>
            <w:szCs w:val="24"/>
            <w:lang w:eastAsia="en-US"/>
          </w:rPr>
          <w:t>serviç</w:t>
        </w:r>
      </w:hyperlink>
      <w:r>
        <w:rPr>
          <w:rFonts w:cs="Arial" w:ascii="Arial" w:hAnsi="Arial"/>
          <w:i w:val="false"/>
          <w:iCs w:val="false"/>
          <w:color w:val="000000"/>
          <w:sz w:val="24"/>
          <w:szCs w:val="24"/>
          <w:lang w:eastAsia="en-US"/>
        </w:rPr>
        <w:t>o.</w:t>
      </w:r>
    </w:p>
    <w:p>
      <w:pPr>
        <w:pStyle w:val="ListParagraph"/>
        <w:numPr>
          <w:ilvl w:val="1"/>
          <w:numId w:val="1"/>
        </w:numPr>
        <w:spacing w:lineRule="auto" w:line="276" w:before="120" w:after="120"/>
        <w:ind w:left="425" w:hanging="0"/>
        <w:contextualSpacing/>
        <w:jc w:val="both"/>
        <w:rPr>
          <w:rFonts w:cs="Arial"/>
          <w:szCs w:val="20"/>
        </w:rPr>
      </w:pPr>
      <w:r>
        <w:rPr>
          <w:rFonts w:cs="Arial" w:ascii="Arial" w:hAnsi="Arial"/>
          <w:color w:val="000000"/>
          <w:sz w:val="24"/>
          <w:szCs w:val="24"/>
        </w:rPr>
        <w:t>As disposições previstas nesta cláusula não excluem o disposto no Anexo VIII da Instrução Normativa SEGES/MP nº 05, de 2017, aplicável no que for pertinente à contratação.</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70 da Lei nº 8.666, de 1993. </w:t>
      </w:r>
    </w:p>
    <w:p>
      <w:pPr>
        <w:pStyle w:val="Nivel1"/>
        <w:numPr>
          <w:ilvl w:val="0"/>
          <w:numId w:val="1"/>
        </w:numPr>
        <w:ind w:left="644" w:hanging="0"/>
        <w:rPr>
          <w:rFonts w:cs="Arial"/>
          <w:highlight w:val="yellow"/>
          <w:lang w:eastAsia="en-US"/>
        </w:rPr>
      </w:pPr>
      <w:r>
        <w:rPr>
          <w:rFonts w:cs="Arial" w:ascii="Arial" w:hAnsi="Arial"/>
          <w:color w:val="000000"/>
          <w:sz w:val="24"/>
          <w:szCs w:val="24"/>
          <w:highlight w:val="white"/>
          <w:lang w:eastAsia="en-US"/>
        </w:rPr>
        <w:t>DOS CRITÉRIOS DE AFERIÇÃO E MEDIÇÃO PARA FATURAMENTO</w:t>
      </w:r>
    </w:p>
    <w:p>
      <w:pPr>
        <w:pStyle w:val="Normal"/>
        <w:numPr>
          <w:ilvl w:val="1"/>
          <w:numId w:val="1"/>
        </w:numPr>
        <w:spacing w:lineRule="auto" w:line="276" w:before="120" w:after="120"/>
        <w:ind w:left="425" w:hanging="0"/>
        <w:jc w:val="both"/>
        <w:rPr>
          <w:rFonts w:cs="Arial"/>
          <w:szCs w:val="20"/>
          <w:highlight w:val="yellow"/>
        </w:rPr>
      </w:pPr>
      <w:r>
        <w:rPr>
          <w:rFonts w:cs="Arial" w:ascii="Arial" w:hAnsi="Arial"/>
          <w:color w:val="000000"/>
          <w:sz w:val="24"/>
          <w:szCs w:val="24"/>
          <w:highlight w:val="white"/>
        </w:rPr>
        <w:t>A avaliação da execução do objeto utilizará</w:t>
      </w:r>
      <w:r>
        <w:rPr>
          <w:rFonts w:cs="Arial" w:ascii="Arial" w:hAnsi="Arial"/>
          <w:i w:val="false"/>
          <w:iCs w:val="false"/>
          <w:color w:val="000000"/>
          <w:sz w:val="24"/>
          <w:szCs w:val="24"/>
          <w:highlight w:val="white"/>
        </w:rPr>
        <w:t xml:space="preserve"> o Instrumento de </w:t>
      </w:r>
      <w:r>
        <w:rPr>
          <w:rFonts w:cs="Arial" w:ascii="Arial" w:hAnsi="Arial"/>
          <w:i w:val="false"/>
          <w:iCs w:val="false"/>
          <w:color w:val="000000"/>
          <w:sz w:val="24"/>
          <w:szCs w:val="24"/>
          <w:highlight w:val="white"/>
          <w:lang w:eastAsia="en-US"/>
        </w:rPr>
        <w:t>Medição</w:t>
      </w:r>
      <w:r>
        <w:rPr>
          <w:rFonts w:cs="Arial" w:ascii="Arial" w:hAnsi="Arial"/>
          <w:i w:val="false"/>
          <w:iCs w:val="false"/>
          <w:color w:val="000000"/>
          <w:sz w:val="24"/>
          <w:szCs w:val="24"/>
          <w:highlight w:val="white"/>
        </w:rPr>
        <w:t xml:space="preserve"> de Resultado (IMR), conforme modelo previsto no Anexo V, devendo haver o redimensionamento no pagamento com base nos indicadores estabelecidos, sempre que a CONTRATADA:</w:t>
      </w:r>
    </w:p>
    <w:p>
      <w:pPr>
        <w:pStyle w:val="Normal"/>
        <w:spacing w:lineRule="auto" w:line="276" w:before="120" w:after="120"/>
        <w:ind w:left="1416" w:hanging="0"/>
        <w:jc w:val="both"/>
        <w:rPr>
          <w:rFonts w:cs="Arial"/>
          <w:szCs w:val="20"/>
          <w:highlight w:val="yellow"/>
        </w:rPr>
      </w:pPr>
      <w:r>
        <w:rPr>
          <w:rFonts w:cs="Arial" w:ascii="Arial" w:hAnsi="Arial"/>
          <w:color w:val="000000"/>
          <w:sz w:val="24"/>
          <w:szCs w:val="24"/>
          <w:highlight w:val="white"/>
        </w:rPr>
        <w:t>a) Não produzir os resultados, deixar de executar, ou não executar com a qualidade mínima exigida as atividades contratadas; ou</w:t>
      </w:r>
    </w:p>
    <w:p>
      <w:pPr>
        <w:pStyle w:val="Normal"/>
        <w:spacing w:lineRule="auto" w:line="276" w:before="120" w:after="120"/>
        <w:ind w:left="1416" w:hanging="0"/>
        <w:jc w:val="both"/>
        <w:rPr>
          <w:rFonts w:cs="Arial"/>
          <w:szCs w:val="20"/>
          <w:highlight w:val="yellow"/>
        </w:rPr>
      </w:pPr>
      <w:r>
        <w:rPr>
          <w:rFonts w:cs="Arial" w:ascii="Arial" w:hAnsi="Arial"/>
          <w:color w:val="000000"/>
          <w:sz w:val="24"/>
          <w:szCs w:val="24"/>
          <w:highlight w:val="white"/>
        </w:rPr>
        <w:t>b) Deixar de utilizar materiais e recursos humanos exigidos para a execução do serviço, ou utilizá-los com qualidade ou quantidade inferior à demandada.</w:t>
      </w:r>
    </w:p>
    <w:p>
      <w:pPr>
        <w:pStyle w:val="Normal"/>
        <w:numPr>
          <w:ilvl w:val="1"/>
          <w:numId w:val="1"/>
        </w:numPr>
        <w:spacing w:lineRule="auto" w:line="276" w:before="120" w:after="120"/>
        <w:ind w:left="425" w:hanging="0"/>
        <w:jc w:val="both"/>
        <w:rPr>
          <w:rFonts w:cs="Arial"/>
          <w:i/>
          <w:i/>
          <w:iCs/>
          <w:color w:val="FF0000"/>
          <w:highlight w:val="yellow"/>
          <w:lang w:eastAsia="en-US"/>
        </w:rPr>
      </w:pPr>
      <w:r>
        <w:rPr>
          <w:rFonts w:cs="Arial" w:ascii="Arial" w:hAnsi="Arial"/>
          <w:i w:val="false"/>
          <w:iCs w:val="false"/>
          <w:color w:val="000000"/>
          <w:sz w:val="24"/>
          <w:szCs w:val="24"/>
          <w:highlight w:val="white"/>
          <w:lang w:eastAsia="en-US"/>
        </w:rPr>
        <w:t>A aferição da execução contratual para fins de pagamento considerará os seguintes critérios</w:t>
      </w:r>
      <w:r>
        <w:rPr>
          <w:rFonts w:ascii="Arial" w:hAnsi="Arial"/>
          <w:color w:val="000000"/>
          <w:sz w:val="24"/>
          <w:szCs w:val="24"/>
          <w:lang w:eastAsia="en-US"/>
        </w:rPr>
        <w:t>:</w:t>
      </w:r>
    </w:p>
    <w:p>
      <w:pPr>
        <w:pStyle w:val="Normal"/>
        <w:widowControl/>
        <w:numPr>
          <w:ilvl w:val="0"/>
          <w:numId w:val="0"/>
        </w:numPr>
        <w:suppressAutoHyphens w:val="true"/>
        <w:bidi w:val="0"/>
        <w:spacing w:lineRule="auto" w:line="276" w:before="120" w:after="120"/>
        <w:ind w:left="1417" w:right="0" w:hanging="0"/>
        <w:jc w:val="both"/>
        <w:rPr>
          <w:rFonts w:cs="Arial"/>
          <w:i/>
          <w:i/>
          <w:iCs/>
          <w:color w:val="FF0000"/>
          <w:highlight w:val="yellow"/>
          <w:lang w:eastAsia="en-US"/>
        </w:rPr>
      </w:pPr>
      <w:r>
        <w:rPr>
          <w:rFonts w:cs="Arial" w:ascii="Arial" w:hAnsi="Arial"/>
          <w:b/>
          <w:bCs/>
          <w:i w:val="false"/>
          <w:iCs w:val="false"/>
          <w:color w:val="000000"/>
          <w:sz w:val="24"/>
          <w:szCs w:val="24"/>
          <w:lang w:eastAsia="en-US"/>
        </w:rPr>
        <w:t>16.2.1.</w:t>
      </w:r>
      <w:r>
        <w:rPr>
          <w:rFonts w:cs="Arial" w:ascii="Arial" w:hAnsi="Arial"/>
          <w:i w:val="false"/>
          <w:iCs w:val="false"/>
          <w:color w:val="000000"/>
          <w:sz w:val="24"/>
          <w:szCs w:val="24"/>
          <w:lang w:eastAsia="en-US"/>
        </w:rPr>
        <w:t xml:space="preserve"> M</w:t>
      </w:r>
      <w:r>
        <w:rPr>
          <w:rFonts w:cs="Arial" w:ascii="Arial" w:hAnsi="Arial"/>
          <w:i w:val="false"/>
          <w:iCs w:val="false"/>
          <w:color w:val="000000"/>
          <w:sz w:val="24"/>
          <w:szCs w:val="24"/>
          <w:highlight w:val="white"/>
          <w:lang w:eastAsia="en-US"/>
        </w:rPr>
        <w:t xml:space="preserve">ensurar o serviço a cada </w:t>
      </w:r>
      <w:r>
        <w:rPr>
          <w:rFonts w:cs="Arial" w:ascii="Arial" w:hAnsi="Arial"/>
          <w:b/>
          <w:bCs/>
          <w:i w:val="false"/>
          <w:iCs w:val="false"/>
          <w:color w:val="000000"/>
          <w:sz w:val="24"/>
          <w:szCs w:val="24"/>
          <w:highlight w:val="white"/>
          <w:lang w:eastAsia="en-US"/>
        </w:rPr>
        <w:t>1 (um) dia útil</w:t>
      </w:r>
      <w:r>
        <w:rPr>
          <w:rFonts w:cs="Arial" w:ascii="Arial" w:hAnsi="Arial"/>
          <w:b w:val="false"/>
          <w:bCs w:val="false"/>
          <w:i w:val="false"/>
          <w:iCs w:val="false"/>
          <w:color w:val="000000"/>
          <w:sz w:val="24"/>
          <w:szCs w:val="24"/>
          <w:highlight w:val="white"/>
          <w:lang w:eastAsia="en-US"/>
        </w:rPr>
        <w:t xml:space="preserve"> de prod</w:t>
      </w:r>
      <w:r>
        <w:rPr>
          <w:rFonts w:cs="Arial" w:ascii="Arial" w:hAnsi="Arial"/>
          <w:i w:val="false"/>
          <w:iCs w:val="false"/>
          <w:color w:val="000000"/>
          <w:sz w:val="24"/>
          <w:szCs w:val="24"/>
          <w:highlight w:val="white"/>
          <w:lang w:eastAsia="en-US"/>
        </w:rPr>
        <w:t>utividade e qualidade do serviço.</w:t>
      </w:r>
    </w:p>
    <w:p>
      <w:pPr>
        <w:pStyle w:val="Normal"/>
        <w:numPr>
          <w:ilvl w:val="0"/>
          <w:numId w:val="0"/>
        </w:numPr>
        <w:spacing w:lineRule="auto" w:line="276" w:before="120" w:after="120"/>
        <w:ind w:left="1141" w:hanging="0"/>
        <w:jc w:val="both"/>
        <w:rPr>
          <w:rFonts w:ascii="Arial" w:hAnsi="Arial" w:cs="Arial"/>
          <w:i/>
          <w:i/>
          <w:iCs/>
          <w:color w:val="FF0000"/>
          <w:sz w:val="24"/>
          <w:szCs w:val="24"/>
          <w:highlight w:val="yellow"/>
          <w:lang w:eastAsia="en-US"/>
        </w:rPr>
      </w:pPr>
      <w:r>
        <w:rPr>
          <w:rFonts w:cs="Arial" w:ascii="Arial" w:hAnsi="Arial"/>
          <w:i/>
          <w:iCs/>
          <w:color w:val="FF0000"/>
          <w:sz w:val="24"/>
          <w:szCs w:val="24"/>
          <w:highlight w:val="yellow"/>
          <w:lang w:eastAsia="en-US"/>
        </w:rPr>
      </w:r>
    </w:p>
    <w:p>
      <w:pPr>
        <w:pStyle w:val="Normal"/>
        <w:numPr>
          <w:ilvl w:val="1"/>
          <w:numId w:val="1"/>
        </w:numPr>
        <w:spacing w:lineRule="auto" w:line="276" w:before="120" w:after="120"/>
        <w:ind w:left="425" w:hanging="0"/>
        <w:jc w:val="both"/>
        <w:rPr>
          <w:rFonts w:cs="Arial"/>
          <w:color w:val="000000"/>
          <w:szCs w:val="20"/>
          <w:highlight w:val="yellow"/>
        </w:rPr>
      </w:pPr>
      <w:r>
        <w:rPr>
          <w:rFonts w:cs="Arial" w:ascii="Arial" w:hAnsi="Arial"/>
          <w:color w:val="000000"/>
          <w:sz w:val="24"/>
          <w:szCs w:val="24"/>
          <w:highlight w:val="white"/>
        </w:rPr>
        <w:t>Nos termos do item 1, do Anexo VIII-A da Instrução Normativa SEGES/MP nº 05, de 2017, será indicada a retenção ou glosa no pagamento, proporcional à irregularidade verificada, sem prejuízo das sanções cabíveis, caso se constate que a Contratada:</w:t>
      </w:r>
    </w:p>
    <w:p>
      <w:pPr>
        <w:pStyle w:val="Normal"/>
        <w:widowControl/>
        <w:numPr>
          <w:ilvl w:val="0"/>
          <w:numId w:val="0"/>
        </w:numPr>
        <w:suppressAutoHyphens w:val="true"/>
        <w:bidi w:val="0"/>
        <w:spacing w:lineRule="auto" w:line="276" w:before="120" w:after="120"/>
        <w:ind w:left="2829" w:right="0" w:hanging="0"/>
        <w:jc w:val="both"/>
        <w:rPr>
          <w:rFonts w:cs="Arial"/>
          <w:color w:val="000000"/>
          <w:szCs w:val="20"/>
          <w:highlight w:val="yellow"/>
        </w:rPr>
      </w:pPr>
      <w:r>
        <w:rPr>
          <w:rFonts w:cs="Arial" w:ascii="Arial" w:hAnsi="Arial"/>
          <w:b/>
          <w:bCs/>
          <w:color w:val="000000"/>
          <w:sz w:val="24"/>
          <w:szCs w:val="24"/>
          <w:highlight w:val="white"/>
        </w:rPr>
        <w:t>16.3.1.</w:t>
      </w:r>
      <w:r>
        <w:rPr>
          <w:rFonts w:cs="Arial" w:ascii="Arial" w:hAnsi="Arial"/>
          <w:color w:val="000000"/>
          <w:sz w:val="24"/>
          <w:szCs w:val="24"/>
          <w:highlight w:val="white"/>
        </w:rPr>
        <w:t xml:space="preserve"> Não produziu os resultados acordados;</w:t>
      </w:r>
    </w:p>
    <w:p>
      <w:pPr>
        <w:pStyle w:val="Normal"/>
        <w:widowControl/>
        <w:numPr>
          <w:ilvl w:val="0"/>
          <w:numId w:val="0"/>
        </w:numPr>
        <w:suppressAutoHyphens w:val="true"/>
        <w:bidi w:val="0"/>
        <w:spacing w:lineRule="auto" w:line="276" w:before="120" w:after="120"/>
        <w:ind w:left="2829" w:right="0" w:hanging="0"/>
        <w:jc w:val="both"/>
        <w:rPr>
          <w:rFonts w:cs="Arial"/>
          <w:color w:val="000000"/>
          <w:szCs w:val="20"/>
          <w:highlight w:val="yellow"/>
        </w:rPr>
      </w:pPr>
      <w:r>
        <w:rPr>
          <w:rFonts w:cs="Arial" w:ascii="Arial" w:hAnsi="Arial"/>
          <w:b/>
          <w:bCs/>
          <w:color w:val="000000"/>
          <w:sz w:val="24"/>
          <w:szCs w:val="24"/>
          <w:highlight w:val="white"/>
        </w:rPr>
        <w:t>16.3.2.</w:t>
      </w:r>
      <w:r>
        <w:rPr>
          <w:rFonts w:cs="Arial" w:ascii="Arial" w:hAnsi="Arial"/>
          <w:color w:val="000000"/>
          <w:sz w:val="24"/>
          <w:szCs w:val="24"/>
          <w:highlight w:val="white"/>
        </w:rPr>
        <w:t xml:space="preserve"> Deixou de executar as atividades contratadas, ou não as executou com a qualidade mínima exigida;</w:t>
      </w:r>
    </w:p>
    <w:p>
      <w:pPr>
        <w:pStyle w:val="Normal"/>
        <w:widowControl/>
        <w:numPr>
          <w:ilvl w:val="0"/>
          <w:numId w:val="0"/>
        </w:numPr>
        <w:suppressAutoHyphens w:val="true"/>
        <w:bidi w:val="0"/>
        <w:spacing w:lineRule="auto" w:line="276" w:before="120" w:after="120"/>
        <w:ind w:left="2829" w:right="0" w:hanging="0"/>
        <w:jc w:val="both"/>
        <w:rPr>
          <w:rFonts w:cs="Arial"/>
          <w:color w:val="000000"/>
          <w:szCs w:val="20"/>
          <w:highlight w:val="yellow"/>
        </w:rPr>
      </w:pPr>
      <w:r>
        <w:rPr>
          <w:rFonts w:cs="Arial" w:ascii="Arial" w:hAnsi="Arial"/>
          <w:b/>
          <w:bCs/>
          <w:color w:val="000000"/>
          <w:sz w:val="24"/>
          <w:szCs w:val="24"/>
          <w:highlight w:val="white"/>
        </w:rPr>
        <w:t>16.3.3.</w:t>
      </w:r>
      <w:r>
        <w:rPr>
          <w:rFonts w:cs="Arial" w:ascii="Arial" w:hAnsi="Arial"/>
          <w:color w:val="000000"/>
          <w:sz w:val="24"/>
          <w:szCs w:val="24"/>
          <w:highlight w:val="white"/>
        </w:rPr>
        <w:t xml:space="preserve"> Deixou de utilizar os materiais e recursos humanos exigidos para a execução do serviço, ou utilizou-os com qualidade ou quantidade inferior à demandada.</w:t>
      </w:r>
    </w:p>
    <w:p>
      <w:pPr>
        <w:pStyle w:val="Nivel1"/>
        <w:numPr>
          <w:ilvl w:val="0"/>
          <w:numId w:val="1"/>
        </w:numPr>
        <w:rPr>
          <w:rFonts w:cs="Arial"/>
          <w:lang w:eastAsia="en-US"/>
        </w:rPr>
      </w:pPr>
      <w:r>
        <w:rPr>
          <w:rFonts w:cs="Arial" w:ascii="Arial" w:hAnsi="Arial"/>
          <w:color w:val="000000"/>
          <w:sz w:val="24"/>
          <w:szCs w:val="24"/>
          <w:highlight w:val="white"/>
        </w:rPr>
        <w:t>DO RECEBIMENTO E ACEITAÇÃO DO OBJETO</w:t>
      </w:r>
    </w:p>
    <w:p>
      <w:pPr>
        <w:pStyle w:val="Normal"/>
        <w:numPr>
          <w:ilvl w:val="1"/>
          <w:numId w:val="1"/>
        </w:numPr>
        <w:spacing w:lineRule="auto" w:line="276" w:before="120" w:after="120"/>
        <w:ind w:left="425" w:hanging="0"/>
        <w:jc w:val="both"/>
        <w:rPr>
          <w:rFonts w:cs="Arial"/>
          <w:color w:val="000000" w:themeColor="text1"/>
          <w:szCs w:val="20"/>
          <w:lang w:eastAsia="en-US"/>
        </w:rPr>
      </w:pPr>
      <w:r>
        <w:rPr>
          <w:rFonts w:cs="Arial" w:ascii="Arial" w:hAnsi="Arial"/>
          <w:iCs/>
          <w:color w:val="000000"/>
          <w:sz w:val="24"/>
          <w:szCs w:val="24"/>
        </w:rPr>
        <w:t xml:space="preserve">A emissão da Nota Fiscal/Fatura deve ser precedida do recebimento definitivo do serviço, nos termos abaixo. </w:t>
      </w:r>
    </w:p>
    <w:p>
      <w:pPr>
        <w:pStyle w:val="Normal"/>
        <w:numPr>
          <w:ilvl w:val="1"/>
          <w:numId w:val="1"/>
        </w:numPr>
        <w:spacing w:lineRule="auto" w:line="276" w:before="120" w:after="120"/>
        <w:ind w:left="425" w:hanging="0"/>
        <w:jc w:val="both"/>
        <w:rPr>
          <w:rFonts w:cs="Arial"/>
          <w:color w:val="000000" w:themeColor="text1"/>
          <w:szCs w:val="20"/>
          <w:lang w:eastAsia="en-US"/>
        </w:rPr>
      </w:pPr>
      <w:r>
        <w:rPr>
          <w:rFonts w:cs="Arial" w:ascii="Arial" w:hAnsi="Arial"/>
          <w:iCs/>
          <w:color w:val="000000"/>
          <w:sz w:val="24"/>
          <w:szCs w:val="24"/>
        </w:rPr>
        <w:t>No</w:t>
      </w:r>
      <w:r>
        <w:rPr>
          <w:rFonts w:cs="Arial" w:ascii="Arial" w:hAnsi="Arial"/>
          <w:color w:val="000000"/>
          <w:sz w:val="24"/>
          <w:szCs w:val="24"/>
          <w:lang w:eastAsia="en-US"/>
        </w:rPr>
        <w:t xml:space="preserve"> prazo de até </w:t>
      </w:r>
      <w:r>
        <w:rPr>
          <w:rFonts w:cs="Arial" w:ascii="Arial" w:hAnsi="Arial"/>
          <w:b/>
          <w:bCs/>
          <w:color w:val="000000"/>
          <w:sz w:val="24"/>
          <w:szCs w:val="24"/>
          <w:lang w:eastAsia="en-US"/>
        </w:rPr>
        <w:t>7 (sete)</w:t>
      </w:r>
      <w:r>
        <w:rPr>
          <w:rFonts w:cs="Arial" w:ascii="Arial" w:hAnsi="Arial"/>
          <w:b/>
          <w:bCs/>
          <w:i/>
          <w:color w:val="000000"/>
          <w:sz w:val="24"/>
          <w:szCs w:val="24"/>
          <w:lang w:eastAsia="en-US"/>
        </w:rPr>
        <w:t xml:space="preserve"> </w:t>
      </w:r>
      <w:r>
        <w:rPr>
          <w:rFonts w:cs="Arial" w:ascii="Arial" w:hAnsi="Arial"/>
          <w:b/>
          <w:bCs/>
          <w:i w:val="false"/>
          <w:iCs w:val="false"/>
          <w:color w:val="000000"/>
          <w:sz w:val="24"/>
          <w:szCs w:val="24"/>
          <w:lang w:eastAsia="en-US"/>
        </w:rPr>
        <w:t>dias corridos</w:t>
      </w:r>
      <w:r>
        <w:rPr>
          <w:rFonts w:cs="Arial" w:ascii="Arial" w:hAnsi="Arial"/>
          <w:i w:val="false"/>
          <w:iCs w:val="false"/>
          <w:color w:val="000000"/>
          <w:sz w:val="24"/>
          <w:szCs w:val="24"/>
          <w:lang w:eastAsia="en-US"/>
        </w:rPr>
        <w:t xml:space="preserve"> </w:t>
      </w:r>
      <w:r>
        <w:rPr>
          <w:rFonts w:cs="Arial" w:ascii="Arial" w:hAnsi="Arial"/>
          <w:color w:val="000000"/>
          <w:sz w:val="24"/>
          <w:szCs w:val="24"/>
          <w:lang w:eastAsia="en-US"/>
        </w:rPr>
        <w:t>do adimplemento da parcela, a CONTRATADA deverá entregar toda a documentação comprobatória do cumprimento da obrigação contratual;</w:t>
      </w:r>
    </w:p>
    <w:p>
      <w:pPr>
        <w:pStyle w:val="Normal"/>
        <w:numPr>
          <w:ilvl w:val="1"/>
          <w:numId w:val="1"/>
        </w:numPr>
        <w:spacing w:lineRule="auto" w:line="276" w:before="120" w:after="120"/>
        <w:ind w:left="425" w:hanging="0"/>
        <w:jc w:val="both"/>
        <w:rPr>
          <w:rFonts w:cs="Arial"/>
          <w:color w:val="000000" w:themeColor="text1"/>
          <w:szCs w:val="20"/>
          <w:lang w:eastAsia="en-US"/>
        </w:rPr>
      </w:pPr>
      <w:r>
        <w:rPr>
          <w:rFonts w:cs="Arial" w:ascii="Arial" w:hAnsi="Arial"/>
          <w:color w:val="000000"/>
          <w:sz w:val="24"/>
          <w:szCs w:val="24"/>
        </w:rPr>
        <w:t>O recebimento provisório será realizado pelo fiscal técnico e setorial ou pela equipe de fiscalização após a entrega da documentação acima, da seguinte forma:</w:t>
      </w:r>
    </w:p>
    <w:p>
      <w:pPr>
        <w:pStyle w:val="Normal"/>
        <w:numPr>
          <w:ilvl w:val="2"/>
          <w:numId w:val="1"/>
        </w:numPr>
        <w:spacing w:lineRule="auto" w:line="276" w:before="120" w:after="120"/>
        <w:jc w:val="both"/>
        <w:rPr>
          <w:rFonts w:cs="Arial"/>
          <w:color w:val="000000" w:themeColor="text1"/>
          <w:szCs w:val="20"/>
          <w:lang w:eastAsia="en-US"/>
        </w:rPr>
      </w:pPr>
      <w:r>
        <w:rPr>
          <w:rFonts w:cs="Arial" w:ascii="Arial" w:hAnsi="Arial"/>
          <w:color w:val="000000"/>
          <w:sz w:val="24"/>
          <w:szCs w:val="24"/>
        </w:rPr>
        <w:t>A contratante realizará inspeção minuciosa de todo o serviço executado, por meio de profissionais técnicos competentes, acompanhados dos profissionais encarregados pelo serviço, com a finalidade de verificar a adequação do serviço e constatar e relacionar os arremates, retoques e revisões finais que se fizerem necessários.</w:t>
      </w:r>
    </w:p>
    <w:p>
      <w:pPr>
        <w:pStyle w:val="Normal"/>
        <w:numPr>
          <w:ilvl w:val="3"/>
          <w:numId w:val="1"/>
        </w:numPr>
        <w:spacing w:lineRule="auto" w:line="276" w:before="120" w:after="120"/>
        <w:jc w:val="both"/>
        <w:rPr>
          <w:rFonts w:cs="Arial"/>
          <w:color w:val="000000" w:themeColor="text1"/>
          <w:szCs w:val="20"/>
          <w:lang w:eastAsia="en-US"/>
        </w:rPr>
      </w:pPr>
      <w:r>
        <w:rPr>
          <w:rFonts w:cs="Arial" w:ascii="Arial" w:hAnsi="Arial"/>
          <w:color w:val="000000"/>
          <w:sz w:val="24"/>
          <w:szCs w:val="24"/>
        </w:rPr>
        <w:t>Para efeito de recebimento provisório, ao final de cada período de faturamento, o fiscal técnico do contrato apurará o resultado das avaliações da execução do objeto e, se for o caso, a análise do desempenho e qualidade da prestação do serviço realizado em consonância com o indicador previsto, que poderá resultar no redimensionamento de valores a serem pagos à contratada, registrando em relatório a ser encaminhado ao gestor do contrato</w:t>
      </w:r>
    </w:p>
    <w:p>
      <w:pPr>
        <w:pStyle w:val="Normal"/>
        <w:numPr>
          <w:ilvl w:val="3"/>
          <w:numId w:val="1"/>
        </w:numPr>
        <w:spacing w:lineRule="auto" w:line="276" w:before="120" w:after="120"/>
        <w:jc w:val="both"/>
        <w:rPr>
          <w:rFonts w:cs="Arial"/>
          <w:color w:val="000000"/>
          <w:szCs w:val="20"/>
          <w:lang w:eastAsia="en-US"/>
        </w:rPr>
      </w:pPr>
      <w:r>
        <w:rPr>
          <w:rFonts w:cs="Arial" w:ascii="Arial" w:hAnsi="Arial"/>
          <w:color w:val="000000"/>
          <w:sz w:val="24"/>
          <w:szCs w:val="24"/>
          <w:lang w:eastAsia="en-US"/>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 até que sejam sanadas todas as eventuais pendências que possam vir a ser apontadas no Recebimento Provisório.</w:t>
      </w:r>
    </w:p>
    <w:p>
      <w:pPr>
        <w:pStyle w:val="ListParagraph"/>
        <w:numPr>
          <w:ilvl w:val="3"/>
          <w:numId w:val="1"/>
        </w:numPr>
        <w:spacing w:lineRule="auto" w:line="276" w:before="120" w:after="120"/>
        <w:contextualSpacing/>
        <w:jc w:val="both"/>
        <w:rPr>
          <w:rFonts w:cs="Arial"/>
          <w:color w:val="000000"/>
          <w:szCs w:val="20"/>
          <w:lang w:eastAsia="en-US"/>
        </w:rPr>
      </w:pPr>
      <w:r>
        <w:rPr>
          <w:rFonts w:cs="Arial" w:ascii="Arial" w:hAnsi="Arial"/>
          <w:color w:val="000000"/>
          <w:sz w:val="24"/>
          <w:szCs w:val="24"/>
          <w:lang w:eastAsia="en-US"/>
        </w:rPr>
        <w:t>O recebimento provisório também ficará sujeito, quando cabível, à conclusão de todos os testes de campo e à entrega dos Manuais e Instruções exigíveis.</w:t>
      </w:r>
    </w:p>
    <w:p>
      <w:pPr>
        <w:pStyle w:val="Normal"/>
        <w:numPr>
          <w:ilvl w:val="2"/>
          <w:numId w:val="1"/>
        </w:numPr>
        <w:spacing w:lineRule="auto" w:line="276" w:before="120" w:after="120"/>
        <w:jc w:val="both"/>
        <w:rPr>
          <w:rFonts w:cs="Arial"/>
          <w:color w:val="000000" w:themeColor="text1"/>
          <w:szCs w:val="20"/>
          <w:lang w:eastAsia="en-US"/>
        </w:rPr>
      </w:pPr>
      <w:r>
        <w:rPr>
          <w:rFonts w:cs="Arial" w:ascii="Arial" w:hAnsi="Arial"/>
          <w:color w:val="000000"/>
          <w:sz w:val="24"/>
          <w:szCs w:val="24"/>
          <w:lang w:eastAsia="en-US"/>
        </w:rPr>
        <w:t xml:space="preserve">No prazo de até </w:t>
      </w:r>
      <w:r>
        <w:rPr>
          <w:rFonts w:cs="Arial" w:ascii="Arial" w:hAnsi="Arial"/>
          <w:b/>
          <w:bCs/>
          <w:i w:val="false"/>
          <w:iCs w:val="false"/>
          <w:color w:val="000000"/>
          <w:sz w:val="24"/>
          <w:szCs w:val="24"/>
          <w:lang w:eastAsia="en-US"/>
        </w:rPr>
        <w:t>10 (dez) dias corridos</w:t>
      </w:r>
      <w:r>
        <w:rPr>
          <w:rFonts w:cs="Arial" w:ascii="Arial" w:hAnsi="Arial"/>
          <w:i w:val="false"/>
          <w:iCs w:val="false"/>
          <w:color w:val="000000"/>
          <w:sz w:val="24"/>
          <w:szCs w:val="24"/>
          <w:lang w:eastAsia="en-US"/>
        </w:rPr>
        <w:t xml:space="preserve"> </w:t>
      </w:r>
      <w:r>
        <w:rPr>
          <w:rFonts w:cs="Arial" w:ascii="Arial" w:hAnsi="Arial"/>
          <w:color w:val="000000"/>
          <w:sz w:val="24"/>
          <w:szCs w:val="24"/>
          <w:lang w:eastAsia="en-US"/>
        </w:rPr>
        <w:t xml:space="preserve">a partir do recebimento dos documentos da CONTRATADA, cada fiscal ou a equipe de fiscalização deverá elaborar Relatório Circunstanciado em consonância com suas atribuições, e encaminhá-lo ao gestor do contrato. </w:t>
      </w:r>
    </w:p>
    <w:p>
      <w:pPr>
        <w:pStyle w:val="Normal"/>
        <w:numPr>
          <w:ilvl w:val="3"/>
          <w:numId w:val="1"/>
        </w:numPr>
        <w:spacing w:lineRule="auto" w:line="276" w:before="120" w:after="120"/>
        <w:jc w:val="both"/>
        <w:rPr>
          <w:rFonts w:cs="Arial"/>
          <w:color w:val="000000" w:themeColor="text1"/>
          <w:szCs w:val="20"/>
          <w:lang w:eastAsia="en-US"/>
        </w:rPr>
      </w:pPr>
      <w:r>
        <w:rPr>
          <w:rFonts w:cs="Arial" w:ascii="Arial" w:hAnsi="Arial"/>
          <w:color w:val="000000"/>
          <w:sz w:val="24"/>
          <w:szCs w:val="24"/>
        </w:rPr>
        <w:t xml:space="preserve">Quando a fiscalização for exercida por um único servidor, o relatório circunstanciado </w:t>
      </w:r>
      <w:r>
        <w:rPr>
          <w:rFonts w:cs="Arial" w:ascii="Arial" w:hAnsi="Arial"/>
          <w:color w:val="000000"/>
          <w:sz w:val="24"/>
          <w:szCs w:val="24"/>
          <w:lang w:eastAsia="en-US"/>
        </w:rPr>
        <w:t>deverá</w:t>
      </w:r>
      <w:r>
        <w:rPr>
          <w:rFonts w:cs="Arial" w:ascii="Arial" w:hAnsi="Arial"/>
          <w:color w:val="000000"/>
          <w:sz w:val="24"/>
          <w:szCs w:val="24"/>
        </w:rPr>
        <w:t xml:space="preserve">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pPr>
        <w:pStyle w:val="Normal"/>
        <w:numPr>
          <w:ilvl w:val="3"/>
          <w:numId w:val="1"/>
        </w:numPr>
        <w:spacing w:lineRule="auto" w:line="276" w:before="120" w:after="120"/>
        <w:jc w:val="both"/>
        <w:rPr>
          <w:rFonts w:cs="Arial"/>
          <w:color w:val="000000" w:themeColor="text1"/>
          <w:szCs w:val="20"/>
          <w:lang w:eastAsia="en-US"/>
        </w:rPr>
      </w:pPr>
      <w:r>
        <w:rPr>
          <w:rFonts w:cs="Arial" w:ascii="Arial" w:hAnsi="Arial"/>
          <w:color w:val="000000"/>
          <w:sz w:val="24"/>
          <w:szCs w:val="24"/>
        </w:rPr>
        <w:t xml:space="preserve">Será considerado como ocorrido o recebimento provisório com a entrega do relatório circunstanciado ou, em havendo mais de um a ser feito, com a entrega do último. </w:t>
      </w:r>
    </w:p>
    <w:p>
      <w:pPr>
        <w:pStyle w:val="ListParagraph"/>
        <w:numPr>
          <w:ilvl w:val="4"/>
          <w:numId w:val="1"/>
        </w:numPr>
        <w:spacing w:lineRule="auto" w:line="276" w:before="120" w:after="120"/>
        <w:contextualSpacing/>
        <w:jc w:val="both"/>
        <w:rPr>
          <w:rFonts w:cs="Arial"/>
          <w:color w:val="000000" w:themeColor="text1"/>
          <w:szCs w:val="20"/>
          <w:lang w:eastAsia="en-US"/>
        </w:rPr>
      </w:pPr>
      <w:r>
        <w:rPr>
          <w:rFonts w:cs="Arial" w:ascii="Arial" w:hAnsi="Arial"/>
          <w:color w:val="000000" w:themeColor="text1"/>
          <w:sz w:val="24"/>
          <w:szCs w:val="24"/>
          <w:lang w:eastAsia="en-US"/>
        </w:rPr>
        <w:t>Na hipótese de a verificação a que se refere o parágrafo anterior não ser procedida tempestivamente, reputar-se-á como realizada, consumando-se o recebimento provisório no dia do esgotamento do prazo.</w:t>
      </w:r>
    </w:p>
    <w:p>
      <w:pPr>
        <w:pStyle w:val="Normal"/>
        <w:numPr>
          <w:ilvl w:val="1"/>
          <w:numId w:val="1"/>
        </w:numPr>
        <w:spacing w:lineRule="auto" w:line="276" w:before="120" w:after="120"/>
        <w:ind w:left="425" w:hanging="0"/>
        <w:jc w:val="both"/>
        <w:rPr>
          <w:rFonts w:cs="Arial"/>
          <w:color w:val="000000" w:themeColor="text1"/>
          <w:szCs w:val="20"/>
          <w:lang w:eastAsia="en-US"/>
        </w:rPr>
      </w:pPr>
      <w:r>
        <w:rPr>
          <w:rFonts w:cs="Arial" w:ascii="Arial" w:hAnsi="Arial"/>
          <w:color w:val="000000"/>
          <w:sz w:val="24"/>
          <w:szCs w:val="24"/>
          <w:lang w:eastAsia="en-US"/>
        </w:rPr>
        <w:t xml:space="preserve">No </w:t>
      </w:r>
      <w:r>
        <w:rPr>
          <w:rFonts w:cs="Arial" w:ascii="Arial" w:hAnsi="Arial"/>
          <w:iCs/>
          <w:color w:val="000000"/>
          <w:sz w:val="24"/>
          <w:szCs w:val="24"/>
        </w:rPr>
        <w:t>prazo</w:t>
      </w:r>
      <w:r>
        <w:rPr>
          <w:rFonts w:cs="Arial" w:ascii="Arial" w:hAnsi="Arial"/>
          <w:color w:val="000000"/>
          <w:sz w:val="24"/>
          <w:szCs w:val="24"/>
          <w:lang w:eastAsia="en-US"/>
        </w:rPr>
        <w:t xml:space="preserve"> de até</w:t>
      </w:r>
      <w:r>
        <w:rPr>
          <w:rFonts w:cs="Arial" w:ascii="Arial" w:hAnsi="Arial"/>
          <w:i w:val="false"/>
          <w:iCs w:val="false"/>
          <w:color w:val="000000"/>
          <w:sz w:val="24"/>
          <w:szCs w:val="24"/>
          <w:lang w:eastAsia="en-US"/>
        </w:rPr>
        <w:t xml:space="preserve"> </w:t>
      </w:r>
      <w:r>
        <w:rPr>
          <w:rFonts w:cs="Arial" w:ascii="Arial" w:hAnsi="Arial"/>
          <w:b/>
          <w:bCs/>
          <w:i w:val="false"/>
          <w:iCs w:val="false"/>
          <w:color w:val="000000"/>
          <w:sz w:val="24"/>
          <w:szCs w:val="24"/>
          <w:lang w:eastAsia="en-US"/>
        </w:rPr>
        <w:t>15 (quinze)</w:t>
      </w:r>
      <w:r>
        <w:rPr>
          <w:rFonts w:cs="Arial" w:ascii="Arial" w:hAnsi="Arial"/>
          <w:i w:val="false"/>
          <w:iCs w:val="false"/>
          <w:color w:val="000000"/>
          <w:sz w:val="24"/>
          <w:szCs w:val="24"/>
          <w:lang w:eastAsia="en-US"/>
        </w:rPr>
        <w:t xml:space="preserve"> </w:t>
      </w:r>
      <w:r>
        <w:rPr>
          <w:rFonts w:cs="Arial" w:ascii="Arial" w:hAnsi="Arial"/>
          <w:b/>
          <w:bCs/>
          <w:i w:val="false"/>
          <w:iCs w:val="false"/>
          <w:color w:val="000000"/>
          <w:sz w:val="24"/>
          <w:szCs w:val="24"/>
          <w:lang w:eastAsia="en-US"/>
        </w:rPr>
        <w:t>dias corridos</w:t>
      </w:r>
      <w:r>
        <w:rPr>
          <w:rFonts w:cs="Arial" w:ascii="Arial" w:hAnsi="Arial"/>
          <w:i w:val="false"/>
          <w:iCs w:val="false"/>
          <w:color w:val="000000"/>
          <w:sz w:val="24"/>
          <w:szCs w:val="24"/>
          <w:lang w:eastAsia="en-US"/>
        </w:rPr>
        <w:t xml:space="preserve"> </w:t>
      </w:r>
      <w:r>
        <w:rPr>
          <w:rFonts w:cs="Arial" w:ascii="Arial" w:hAnsi="Arial"/>
          <w:color w:val="000000"/>
          <w:sz w:val="24"/>
          <w:szCs w:val="24"/>
          <w:lang w:eastAsia="en-US"/>
        </w:rPr>
        <w:t xml:space="preserve">a partir do recebimento provisório do serviço, o Gestor do Contrato deverá providenciar o recebimento definitivo, ato que concretiza o ateste da execução dos serviços, obedecendo as seguintes diretrizes: </w:t>
      </w:r>
    </w:p>
    <w:p>
      <w:pPr>
        <w:pStyle w:val="Normal"/>
        <w:numPr>
          <w:ilvl w:val="2"/>
          <w:numId w:val="1"/>
        </w:numPr>
        <w:spacing w:lineRule="auto" w:line="276" w:before="120" w:after="120"/>
        <w:jc w:val="both"/>
        <w:rPr>
          <w:rFonts w:cs="Arial"/>
          <w:color w:val="000000"/>
          <w:szCs w:val="20"/>
          <w:lang w:eastAsia="en-US"/>
        </w:rPr>
      </w:pPr>
      <w:r>
        <w:rPr>
          <w:rFonts w:cs="Arial" w:ascii="Arial" w:hAnsi="Arial"/>
          <w:color w:val="000000"/>
          <w:sz w:val="24"/>
          <w:szCs w:val="24"/>
          <w:lang w:eastAsia="en-US"/>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pPr>
        <w:pStyle w:val="Normal"/>
        <w:numPr>
          <w:ilvl w:val="2"/>
          <w:numId w:val="1"/>
        </w:numPr>
        <w:spacing w:lineRule="auto" w:line="276" w:before="120" w:after="120"/>
        <w:jc w:val="both"/>
        <w:rPr>
          <w:rFonts w:cs="Arial"/>
          <w:color w:val="000000"/>
          <w:szCs w:val="20"/>
          <w:lang w:eastAsia="en-US"/>
        </w:rPr>
      </w:pPr>
      <w:r>
        <w:rPr>
          <w:rFonts w:cs="Arial" w:ascii="Arial" w:hAnsi="Arial"/>
          <w:color w:val="000000"/>
          <w:sz w:val="24"/>
          <w:szCs w:val="24"/>
          <w:lang w:eastAsia="en-US"/>
        </w:rPr>
        <w:t xml:space="preserve">Emitir Termo Circunstanciado para efeito de recebimento definitivo do serviço prestado, com base nos relatórios e documentações apresentadas; e </w:t>
      </w:r>
    </w:p>
    <w:p>
      <w:pPr>
        <w:pStyle w:val="Normal"/>
        <w:numPr>
          <w:ilvl w:val="2"/>
          <w:numId w:val="1"/>
        </w:numPr>
        <w:spacing w:lineRule="auto" w:line="276" w:before="120" w:after="120"/>
        <w:jc w:val="both"/>
        <w:rPr>
          <w:rFonts w:cs="Arial"/>
          <w:color w:val="000000"/>
          <w:szCs w:val="20"/>
          <w:lang w:eastAsia="en-US"/>
        </w:rPr>
      </w:pPr>
      <w:r>
        <w:rPr>
          <w:rFonts w:cs="Arial" w:ascii="Arial" w:hAnsi="Arial"/>
          <w:color w:val="000000"/>
          <w:sz w:val="24"/>
          <w:szCs w:val="24"/>
          <w:lang w:eastAsia="en-US"/>
        </w:rPr>
        <w:t>Comunicar a empresa para que emita a Nota Fiscal ou Fatura, com o valor exato dimensionado pela fiscalização</w:t>
      </w:r>
      <w:r>
        <w:rPr>
          <w:rFonts w:cs="Arial" w:ascii="Arial" w:hAnsi="Arial"/>
          <w:i/>
          <w:color w:val="000000"/>
          <w:sz w:val="24"/>
          <w:szCs w:val="24"/>
          <w:lang w:eastAsia="en-US"/>
        </w:rPr>
        <w:t xml:space="preserve">, </w:t>
      </w:r>
      <w:r>
        <w:rPr>
          <w:rFonts w:cs="Arial" w:ascii="Arial" w:hAnsi="Arial"/>
          <w:i w:val="false"/>
          <w:iCs w:val="false"/>
          <w:color w:val="000000"/>
          <w:sz w:val="24"/>
          <w:szCs w:val="24"/>
          <w:lang w:eastAsia="en-US"/>
        </w:rPr>
        <w:t>com base no</w:t>
      </w:r>
      <w:r>
        <w:rPr>
          <w:rFonts w:cs="Arial" w:ascii="Arial" w:hAnsi="Arial"/>
          <w:i/>
          <w:color w:val="000000"/>
          <w:sz w:val="24"/>
          <w:szCs w:val="24"/>
          <w:lang w:eastAsia="en-US"/>
        </w:rPr>
        <w:t xml:space="preserve"> </w:t>
      </w:r>
      <w:r>
        <w:rPr>
          <w:rFonts w:cs="Arial" w:ascii="Arial" w:hAnsi="Arial"/>
          <w:i w:val="false"/>
          <w:iCs w:val="false"/>
          <w:color w:val="000000"/>
          <w:sz w:val="24"/>
          <w:szCs w:val="24"/>
          <w:lang w:eastAsia="en-US"/>
        </w:rPr>
        <w:t xml:space="preserve">Instrumento de Medição de Resultado (IMR), ou instrumento substituto. </w:t>
      </w:r>
    </w:p>
    <w:p>
      <w:pPr>
        <w:pStyle w:val="Normal"/>
        <w:numPr>
          <w:ilvl w:val="1"/>
          <w:numId w:val="1"/>
        </w:numPr>
        <w:spacing w:lineRule="auto" w:line="276" w:before="120" w:after="120"/>
        <w:ind w:left="425" w:hanging="0"/>
        <w:jc w:val="both"/>
        <w:rPr>
          <w:rFonts w:cs="Arial"/>
          <w:szCs w:val="20"/>
          <w:highlight w:val="yellow"/>
        </w:rPr>
      </w:pPr>
      <w:r>
        <w:rPr>
          <w:rFonts w:cs="Arial" w:ascii="Arial" w:hAnsi="Arial"/>
          <w:color w:val="000000"/>
          <w:sz w:val="24"/>
          <w:szCs w:val="24"/>
          <w:highlight w:val="white"/>
        </w:rPr>
        <w:t>O recebimento da última etapa da execução equivale ao recebimento do objeto como um todo, e será realizado da seguinte forma:</w:t>
      </w:r>
    </w:p>
    <w:p>
      <w:pPr>
        <w:pStyle w:val="Normal"/>
        <w:spacing w:lineRule="auto" w:line="276" w:before="120" w:after="120"/>
        <w:ind w:left="425" w:hanging="0"/>
        <w:jc w:val="both"/>
        <w:rPr>
          <w:rFonts w:cs="Arial"/>
          <w:szCs w:val="20"/>
          <w:highlight w:val="yellow"/>
        </w:rPr>
      </w:pPr>
      <w:r>
        <w:rPr>
          <w:rFonts w:cs="Arial" w:ascii="Arial" w:hAnsi="Arial"/>
          <w:color w:val="000000"/>
          <w:sz w:val="24"/>
          <w:szCs w:val="24"/>
          <w:highlight w:val="white"/>
        </w:rPr>
        <w:t xml:space="preserve">17.5.1. provisoriamente, pelo responsável por seu acompanhamento e fiscalização, mediante termo circunstanciado, assinado pelas partes em até </w:t>
      </w:r>
      <w:r>
        <w:rPr>
          <w:rFonts w:cs="Arial" w:ascii="Arial" w:hAnsi="Arial"/>
          <w:b/>
          <w:bCs/>
          <w:color w:val="000000"/>
          <w:sz w:val="24"/>
          <w:szCs w:val="24"/>
          <w:highlight w:val="white"/>
        </w:rPr>
        <w:t>15 (quinze) dias corridos</w:t>
      </w:r>
      <w:r>
        <w:rPr>
          <w:rFonts w:cs="Arial" w:ascii="Arial" w:hAnsi="Arial"/>
          <w:color w:val="000000"/>
          <w:sz w:val="24"/>
          <w:szCs w:val="24"/>
          <w:highlight w:val="white"/>
        </w:rPr>
        <w:t xml:space="preserve"> da comunicação escrita do contratado;</w:t>
      </w:r>
    </w:p>
    <w:p>
      <w:pPr>
        <w:pStyle w:val="Normal"/>
        <w:spacing w:lineRule="auto" w:line="276" w:before="120" w:after="120"/>
        <w:ind w:left="425" w:hanging="0"/>
        <w:jc w:val="both"/>
        <w:rPr>
          <w:rFonts w:cs="Arial"/>
          <w:szCs w:val="20"/>
          <w:highlight w:val="yellow"/>
        </w:rPr>
      </w:pPr>
      <w:r>
        <w:rPr>
          <w:rFonts w:cs="Arial" w:ascii="Arial" w:hAnsi="Arial"/>
          <w:color w:val="000000"/>
          <w:sz w:val="24"/>
          <w:szCs w:val="24"/>
          <w:highlight w:val="white"/>
        </w:rPr>
        <w:t>17.5.2. definitivamente, por servidor ou comissão designada pela autoridade competente, mediante termo circunstanciado, assinado pelas partes, após o decurso do prazo de observação, ou vistoria que comprove a adequação do objeto aos termos contratuais, observado o disposto no art. 69 da Lei 8.666/93;</w:t>
      </w:r>
    </w:p>
    <w:p>
      <w:pPr>
        <w:pStyle w:val="Normal"/>
        <w:spacing w:lineRule="auto" w:line="276" w:before="120" w:after="120"/>
        <w:ind w:left="425" w:hanging="0"/>
        <w:jc w:val="both"/>
        <w:rPr>
          <w:rFonts w:cs="Arial"/>
          <w:szCs w:val="20"/>
          <w:highlight w:val="yellow"/>
        </w:rPr>
      </w:pPr>
      <w:r>
        <w:rPr>
          <w:rFonts w:cs="Arial" w:ascii="Arial" w:hAnsi="Arial"/>
          <w:i w:val="false"/>
          <w:iCs w:val="false"/>
          <w:color w:val="000000"/>
          <w:sz w:val="24"/>
          <w:szCs w:val="24"/>
          <w:highlight w:val="white"/>
        </w:rPr>
        <w:t>17.5.3. O prazo para recebimento definitivo será de 15</w:t>
      </w:r>
      <w:r>
        <w:rPr>
          <w:rFonts w:eastAsia="Times New Roman" w:cs="Arial" w:ascii="Arial" w:hAnsi="Arial"/>
          <w:b/>
          <w:bCs/>
          <w:i w:val="false"/>
          <w:iCs w:val="false"/>
          <w:color w:val="000000"/>
          <w:kern w:val="0"/>
          <w:sz w:val="24"/>
          <w:szCs w:val="24"/>
          <w:highlight w:val="white"/>
          <w:lang w:val="pt-BR" w:eastAsia="pt-BR" w:bidi="ar-SA"/>
        </w:rPr>
        <w:t xml:space="preserve"> (quinze)</w:t>
      </w:r>
      <w:r>
        <w:rPr>
          <w:rFonts w:cs="Arial" w:ascii="Arial" w:hAnsi="Arial"/>
          <w:b/>
          <w:bCs/>
          <w:i w:val="false"/>
          <w:iCs w:val="false"/>
          <w:color w:val="000000"/>
          <w:sz w:val="24"/>
          <w:szCs w:val="24"/>
          <w:highlight w:val="white"/>
        </w:rPr>
        <w:t xml:space="preserve"> dias corridos</w:t>
      </w:r>
      <w:r>
        <w:rPr>
          <w:rFonts w:cs="Arial" w:ascii="Arial" w:hAnsi="Arial"/>
          <w:color w:val="000000"/>
          <w:sz w:val="24"/>
          <w:szCs w:val="24"/>
          <w:highlight w:val="white"/>
        </w:rPr>
        <w:t>.</w:t>
      </w:r>
    </w:p>
    <w:p>
      <w:pPr>
        <w:pStyle w:val="Normal"/>
        <w:spacing w:lineRule="auto" w:line="276" w:before="120" w:after="120"/>
        <w:ind w:left="425" w:hanging="0"/>
        <w:jc w:val="both"/>
        <w:rPr>
          <w:rFonts w:cs="Arial"/>
          <w:szCs w:val="20"/>
          <w:highlight w:val="yellow"/>
        </w:rPr>
      </w:pPr>
      <w:r>
        <w:rPr>
          <w:rFonts w:cs="Arial" w:ascii="Arial" w:hAnsi="Arial"/>
          <w:color w:val="000000"/>
          <w:sz w:val="24"/>
          <w:szCs w:val="24"/>
          <w:highlight w:val="white"/>
        </w:rPr>
        <w:t>17.5.4. Na hipótese de a verificação a que se refere o subitem anterior não ser procedida dentro do prazo fixado, reputar-se-á como realizada, consumando-se o recebimento definitivo no dia do esgotamento.</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(Lei n° 10.406, de 2002).</w:t>
      </w:r>
    </w:p>
    <w:p>
      <w:pPr>
        <w:pStyle w:val="Normal"/>
        <w:numPr>
          <w:ilvl w:val="1"/>
          <w:numId w:val="1"/>
        </w:numPr>
        <w:spacing w:lineRule="auto" w:line="276" w:before="120" w:after="120"/>
        <w:ind w:left="425" w:hanging="0"/>
        <w:jc w:val="both"/>
        <w:rPr>
          <w:rFonts w:cs="Arial"/>
          <w:szCs w:val="20"/>
        </w:rPr>
      </w:pPr>
      <w:r>
        <w:rPr>
          <w:rFonts w:cs="Arial" w:ascii="Arial" w:hAnsi="Arial"/>
          <w:color w:val="000000"/>
          <w:sz w:val="24"/>
          <w:szCs w:val="24"/>
        </w:rPr>
        <w:t>O serviço poderá ser rejeitado, no todo ou em parte, quando em desacordo com as especificações constantes neste Termo de Referência e na proposta, devendo ser corrigidos/refeitos/substituídos no prazo fixado pelo fiscal do contrato, às custas da Contratada, sem prejuízo da aplicação de penalidades. DO PAGAMENTO</w:t>
      </w:r>
    </w:p>
    <w:p>
      <w:pPr>
        <w:pStyle w:val="Normal"/>
        <w:numPr>
          <w:ilvl w:val="0"/>
          <w:numId w:val="0"/>
        </w:numPr>
        <w:spacing w:lineRule="auto" w:line="276" w:before="120" w:after="120"/>
        <w:ind w:left="1141" w:hanging="0"/>
        <w:jc w:val="both"/>
        <w:rPr>
          <w:rFonts w:ascii="Arial" w:hAnsi="Arial" w:cs="Arial"/>
          <w:sz w:val="24"/>
          <w:szCs w:val="24"/>
        </w:rPr>
      </w:pPr>
      <w:r>
        <w:rPr>
          <w:rFonts w:cs="Arial" w:ascii="Arial" w:hAnsi="Arial"/>
          <w:sz w:val="24"/>
          <w:szCs w:val="24"/>
        </w:rPr>
      </w:r>
    </w:p>
    <w:p>
      <w:pPr>
        <w:pStyle w:val="Normal"/>
        <w:numPr>
          <w:ilvl w:val="0"/>
          <w:numId w:val="0"/>
        </w:numPr>
        <w:spacing w:lineRule="auto" w:line="276" w:before="120" w:after="120"/>
        <w:ind w:left="1141" w:hanging="0"/>
        <w:jc w:val="both"/>
        <w:rPr>
          <w:rFonts w:cs="Arial"/>
          <w:szCs w:val="20"/>
        </w:rPr>
      </w:pPr>
      <w:r>
        <w:rPr>
          <w:rFonts w:cs="Arial" w:ascii="Arial" w:hAnsi="Arial"/>
          <w:b/>
          <w:bCs/>
          <w:color w:val="000000"/>
          <w:sz w:val="24"/>
          <w:szCs w:val="24"/>
        </w:rPr>
        <w:t>18. DO PAGAMENTO</w:t>
      </w:r>
    </w:p>
    <w:p>
      <w:pPr>
        <w:pStyle w:val="Normal"/>
        <w:numPr>
          <w:ilvl w:val="0"/>
          <w:numId w:val="0"/>
        </w:numPr>
        <w:spacing w:lineRule="auto" w:line="276" w:before="120" w:after="120"/>
        <w:ind w:left="1141" w:hanging="0"/>
        <w:jc w:val="both"/>
        <w:rPr>
          <w:rFonts w:cs="Arial"/>
          <w:szCs w:val="20"/>
        </w:rPr>
      </w:pPr>
      <w:r>
        <w:rPr>
          <w:rFonts w:cs="Arial" w:ascii="Arial" w:hAnsi="Arial"/>
          <w:iCs/>
          <w:color w:val="000000"/>
          <w:sz w:val="24"/>
          <w:szCs w:val="24"/>
        </w:rPr>
        <w:t>18.1. A emissão da Nota Fiscal/Fatura será precedida do recebimento definitivo do serviço, conforme este Termo de Referência.</w:t>
      </w:r>
    </w:p>
    <w:p>
      <w:pPr>
        <w:pStyle w:val="Normal"/>
        <w:numPr>
          <w:ilvl w:val="0"/>
          <w:numId w:val="0"/>
        </w:numPr>
        <w:spacing w:lineRule="auto" w:line="276" w:before="120" w:after="120"/>
        <w:ind w:left="1141" w:hanging="0"/>
        <w:jc w:val="both"/>
        <w:rPr>
          <w:rFonts w:cs="Arial"/>
          <w:szCs w:val="20"/>
        </w:rPr>
      </w:pPr>
      <w:r>
        <w:rPr>
          <w:rFonts w:cs="Arial" w:ascii="Arial" w:hAnsi="Arial"/>
          <w:color w:val="000000"/>
          <w:sz w:val="24"/>
          <w:szCs w:val="24"/>
          <w:highlight w:val="white"/>
        </w:rPr>
        <w:t xml:space="preserve">18.2. Quando houver glosa parcial do serviço, a contratante deverá comunicar a empresa para que emita a nota </w:t>
      </w:r>
      <w:r>
        <w:rPr>
          <w:rFonts w:cs="Arial" w:ascii="Arial" w:hAnsi="Arial"/>
          <w:iCs/>
          <w:color w:val="000000"/>
          <w:sz w:val="24"/>
          <w:szCs w:val="24"/>
          <w:highlight w:val="white"/>
        </w:rPr>
        <w:t>fiscal</w:t>
      </w:r>
      <w:r>
        <w:rPr>
          <w:rFonts w:cs="Arial" w:ascii="Arial" w:hAnsi="Arial"/>
          <w:color w:val="000000"/>
          <w:sz w:val="24"/>
          <w:szCs w:val="24"/>
          <w:highlight w:val="white"/>
        </w:rPr>
        <w:t xml:space="preserve"> ou fatura com o valor exato dimensionado. </w:t>
      </w:r>
    </w:p>
    <w:p>
      <w:pPr>
        <w:pStyle w:val="Normal"/>
        <w:numPr>
          <w:ilvl w:val="0"/>
          <w:numId w:val="0"/>
        </w:numPr>
        <w:spacing w:lineRule="auto" w:line="276" w:before="120" w:after="120"/>
        <w:ind w:left="1141" w:hanging="0"/>
        <w:jc w:val="both"/>
        <w:rPr>
          <w:rFonts w:eastAsia="Arial" w:cs="Arial"/>
          <w:szCs w:val="20"/>
        </w:rPr>
      </w:pPr>
      <w:r>
        <w:rPr>
          <w:rFonts w:cs="Arial" w:ascii="Arial" w:hAnsi="Arial"/>
          <w:color w:val="000000" w:themeColor="text1"/>
          <w:sz w:val="24"/>
          <w:szCs w:val="24"/>
          <w:highlight w:val="white"/>
        </w:rPr>
        <w:t xml:space="preserve">18.3. O </w:t>
      </w:r>
      <w:r>
        <w:rPr>
          <w:rFonts w:cs="Arial" w:ascii="Arial" w:hAnsi="Arial"/>
          <w:color w:val="000000"/>
          <w:sz w:val="24"/>
          <w:szCs w:val="24"/>
          <w:highlight w:val="white"/>
        </w:rPr>
        <w:t>pagamento</w:t>
      </w:r>
      <w:r>
        <w:rPr>
          <w:rFonts w:cs="Arial" w:ascii="Arial" w:hAnsi="Arial"/>
          <w:color w:val="000000" w:themeColor="text1"/>
          <w:sz w:val="24"/>
          <w:szCs w:val="24"/>
          <w:highlight w:val="white"/>
        </w:rPr>
        <w:t xml:space="preserve"> será efetuado pela Contratante </w:t>
      </w:r>
      <w:r>
        <w:rPr>
          <w:rFonts w:cs="Arial" w:ascii="Arial" w:hAnsi="Arial"/>
          <w:color w:val="000000" w:themeColor="text1"/>
          <w:sz w:val="24"/>
          <w:szCs w:val="24"/>
        </w:rPr>
        <w:t>no prazo de</w:t>
      </w:r>
      <w:r>
        <w:rPr>
          <w:rFonts w:eastAsia="Arial" w:cs="Arial" w:ascii="Arial" w:hAnsi="Arial"/>
          <w:color w:val="000000" w:themeColor="text1"/>
          <w:sz w:val="24"/>
          <w:szCs w:val="24"/>
        </w:rPr>
        <w:t xml:space="preserve"> </w:t>
      </w:r>
      <w:r>
        <w:rPr>
          <w:rFonts w:eastAsia="Arial" w:cs="Arial" w:ascii="Arial" w:hAnsi="Arial"/>
          <w:color w:val="000000" w:themeColor="text1"/>
          <w:kern w:val="0"/>
          <w:sz w:val="24"/>
          <w:szCs w:val="24"/>
          <w:lang w:val="pt-BR" w:eastAsia="pt-BR" w:bidi="ar-SA"/>
        </w:rPr>
        <w:t>30</w:t>
      </w:r>
      <w:r>
        <w:rPr>
          <w:rFonts w:eastAsia="Arial" w:cs="Arial" w:ascii="Arial" w:hAnsi="Arial"/>
          <w:color w:val="000000" w:themeColor="text1"/>
          <w:sz w:val="24"/>
          <w:szCs w:val="24"/>
        </w:rPr>
        <w:t xml:space="preserve"> (</w:t>
      </w:r>
      <w:r>
        <w:rPr>
          <w:rFonts w:eastAsia="Arial" w:cs="Arial" w:ascii="Arial" w:hAnsi="Arial"/>
          <w:color w:val="000000" w:themeColor="text1"/>
          <w:kern w:val="0"/>
          <w:sz w:val="24"/>
          <w:szCs w:val="24"/>
          <w:lang w:val="pt-BR" w:eastAsia="pt-BR" w:bidi="ar-SA"/>
        </w:rPr>
        <w:t>trinta</w:t>
      </w:r>
      <w:r>
        <w:rPr>
          <w:rFonts w:eastAsia="Arial" w:cs="Arial" w:ascii="Arial" w:hAnsi="Arial"/>
          <w:color w:val="000000" w:themeColor="text1"/>
          <w:sz w:val="24"/>
          <w:szCs w:val="24"/>
        </w:rPr>
        <w:t xml:space="preserve">) </w:t>
      </w:r>
      <w:r>
        <w:rPr>
          <w:rFonts w:cs="Arial" w:ascii="Arial" w:hAnsi="Arial"/>
          <w:color w:val="000000" w:themeColor="text1"/>
          <w:sz w:val="24"/>
          <w:szCs w:val="24"/>
        </w:rPr>
        <w:t xml:space="preserve">dias uteis, contados do recebimento da Nota Fiscal/Fatura. </w:t>
      </w:r>
    </w:p>
    <w:p>
      <w:pPr>
        <w:pStyle w:val="Normal"/>
        <w:numPr>
          <w:ilvl w:val="0"/>
          <w:numId w:val="0"/>
        </w:numPr>
        <w:spacing w:lineRule="auto" w:line="276" w:before="120" w:after="120"/>
        <w:ind w:left="1922" w:hanging="0"/>
        <w:jc w:val="both"/>
        <w:rPr>
          <w:rFonts w:cs="Arial"/>
          <w:szCs w:val="20"/>
        </w:rPr>
      </w:pPr>
      <w:r>
        <w:rPr>
          <w:rFonts w:cs="Arial" w:ascii="Arial" w:hAnsi="Arial"/>
          <w:color w:val="000000"/>
          <w:sz w:val="24"/>
          <w:szCs w:val="24"/>
          <w:lang w:eastAsia="en-US"/>
        </w:rPr>
        <w:t xml:space="preserve">18.3.1 Os pagamentos decorrentes de despesas cujos valores não ultrapassem o limite </w:t>
      </w:r>
      <w:r>
        <w:rPr>
          <w:rFonts w:cs="Arial" w:ascii="Arial" w:hAnsi="Arial"/>
          <w:color w:val="000000"/>
          <w:sz w:val="24"/>
          <w:szCs w:val="24"/>
        </w:rPr>
        <w:t>de que trata o inciso II do art. 24</w:t>
      </w:r>
      <w:r>
        <w:rPr>
          <w:rFonts w:cs="Arial" w:ascii="Arial" w:hAnsi="Arial"/>
          <w:color w:val="000000"/>
          <w:sz w:val="24"/>
          <w:szCs w:val="24"/>
          <w:lang w:eastAsia="en-US"/>
        </w:rPr>
        <w:t xml:space="preserve"> da Lei 8.666, de 1993, deverão ser efetuados no prazo de até 5 (cinco) dias úteis, contados da data da apresentação da Nota Fiscal/Fatura, nos termos do art. 5º, § 3º, da Lei nº 8.666, de 1993.</w:t>
      </w:r>
    </w:p>
    <w:p>
      <w:pPr>
        <w:pStyle w:val="Normal"/>
        <w:numPr>
          <w:ilvl w:val="0"/>
          <w:numId w:val="0"/>
        </w:numPr>
        <w:spacing w:lineRule="auto" w:line="276" w:before="120" w:after="120"/>
        <w:ind w:left="1141" w:hanging="0"/>
        <w:jc w:val="both"/>
        <w:rPr>
          <w:rFonts w:cs="Arial"/>
          <w:color w:val="000000"/>
          <w:szCs w:val="20"/>
        </w:rPr>
      </w:pPr>
      <w:r>
        <w:rPr>
          <w:rFonts w:cs="Arial" w:ascii="Arial" w:hAnsi="Arial"/>
          <w:color w:val="000000"/>
          <w:sz w:val="24"/>
          <w:szCs w:val="24"/>
        </w:rPr>
        <w:t xml:space="preserve">18.4. A Nota Fiscal ou Fatura deverá ser obrigatoriamente acompanhada da comprovação da regularidade fiscal, constatada por meio de consulta on-line ao SICAF ou, na impossibilidade de acesso </w:t>
      </w:r>
      <w:r>
        <w:rPr>
          <w:rFonts w:cs="Arial" w:ascii="Arial" w:hAnsi="Arial"/>
          <w:color w:val="000000"/>
          <w:sz w:val="24"/>
          <w:szCs w:val="24"/>
          <w:lang w:eastAsia="en-US"/>
        </w:rPr>
        <w:t>ao</w:t>
      </w:r>
      <w:r>
        <w:rPr>
          <w:rFonts w:cs="Arial" w:ascii="Arial" w:hAnsi="Arial"/>
          <w:color w:val="000000"/>
          <w:sz w:val="24"/>
          <w:szCs w:val="24"/>
        </w:rPr>
        <w:t xml:space="preserve"> referido Sistema, mediante consulta aos sítios eletrônicos oficiais ou à documentação mencionada no art. 29 da Lei nº 8.666, de 1993. </w:t>
      </w:r>
    </w:p>
    <w:p>
      <w:pPr>
        <w:pStyle w:val="Normal"/>
        <w:numPr>
          <w:ilvl w:val="0"/>
          <w:numId w:val="0"/>
        </w:numPr>
        <w:spacing w:lineRule="auto" w:line="276" w:before="120" w:after="120"/>
        <w:ind w:left="1922" w:hanging="0"/>
        <w:jc w:val="both"/>
        <w:rPr>
          <w:rFonts w:cs="Arial"/>
          <w:color w:val="000000"/>
          <w:szCs w:val="20"/>
        </w:rPr>
      </w:pPr>
      <w:r>
        <w:rPr>
          <w:rFonts w:cs="Arial" w:ascii="Arial" w:hAnsi="Arial"/>
          <w:color w:val="000000"/>
          <w:sz w:val="24"/>
          <w:szCs w:val="24"/>
        </w:rPr>
        <w:t xml:space="preserve">18.4.1. Constatando-se, junto ao SICAF, a situação de irregularidade do fornecedor contratado, deverão ser tomadas as providências previstas no do art. 31 da Instrução </w:t>
      </w:r>
      <w:r>
        <w:rPr>
          <w:rFonts w:cs="Arial" w:ascii="Arial" w:hAnsi="Arial"/>
          <w:color w:val="000000"/>
          <w:sz w:val="24"/>
          <w:szCs w:val="24"/>
          <w:lang w:eastAsia="en-US"/>
        </w:rPr>
        <w:t>Normativa</w:t>
      </w:r>
      <w:r>
        <w:rPr>
          <w:rFonts w:cs="Arial" w:ascii="Arial" w:hAnsi="Arial"/>
          <w:color w:val="000000"/>
          <w:sz w:val="24"/>
          <w:szCs w:val="24"/>
        </w:rPr>
        <w:t xml:space="preserve"> nº 3, de 26 de abril de 2018.</w:t>
      </w:r>
    </w:p>
    <w:p>
      <w:pPr>
        <w:pStyle w:val="Normal"/>
        <w:numPr>
          <w:ilvl w:val="0"/>
          <w:numId w:val="0"/>
        </w:numPr>
        <w:spacing w:lineRule="auto" w:line="276" w:before="120" w:after="120"/>
        <w:ind w:left="1141" w:hanging="0"/>
        <w:jc w:val="both"/>
        <w:rPr>
          <w:rFonts w:cs="Arial"/>
          <w:color w:val="000000" w:themeColor="text1"/>
          <w:szCs w:val="20"/>
        </w:rPr>
      </w:pPr>
      <w:r>
        <w:rPr>
          <w:rFonts w:cs="Arial" w:ascii="Arial" w:hAnsi="Arial"/>
          <w:color w:val="000000"/>
          <w:sz w:val="24"/>
          <w:szCs w:val="24"/>
        </w:rPr>
        <w:t xml:space="preserve">18.5. O setor competente para proceder o pagamento deve verificar se a Nota Fiscal ou Fatura apresentada expressa os elementos necessários e essenciais do documento, tais como: </w:t>
      </w:r>
    </w:p>
    <w:p>
      <w:pPr>
        <w:pStyle w:val="Normal"/>
        <w:numPr>
          <w:ilvl w:val="0"/>
          <w:numId w:val="0"/>
        </w:numPr>
        <w:spacing w:lineRule="auto" w:line="276" w:before="120" w:after="120"/>
        <w:ind w:left="1922" w:hanging="0"/>
        <w:jc w:val="both"/>
        <w:rPr>
          <w:rFonts w:cs="Arial"/>
          <w:color w:val="000000"/>
          <w:szCs w:val="20"/>
        </w:rPr>
      </w:pPr>
      <w:r>
        <w:rPr>
          <w:rFonts w:cs="Arial" w:ascii="Arial" w:hAnsi="Arial"/>
          <w:color w:val="000000"/>
          <w:sz w:val="24"/>
          <w:szCs w:val="24"/>
        </w:rPr>
        <w:t xml:space="preserve">18.5.1. O prazo de validade; </w:t>
      </w:r>
    </w:p>
    <w:p>
      <w:pPr>
        <w:pStyle w:val="Normal"/>
        <w:numPr>
          <w:ilvl w:val="0"/>
          <w:numId w:val="0"/>
        </w:numPr>
        <w:spacing w:lineRule="auto" w:line="276" w:before="120" w:after="120"/>
        <w:ind w:left="1922" w:hanging="0"/>
        <w:jc w:val="both"/>
        <w:rPr>
          <w:rFonts w:cs="Arial"/>
          <w:color w:val="000000"/>
          <w:szCs w:val="20"/>
        </w:rPr>
      </w:pPr>
      <w:r>
        <w:rPr>
          <w:rFonts w:cs="Arial" w:ascii="Arial" w:hAnsi="Arial"/>
          <w:color w:val="000000"/>
          <w:sz w:val="24"/>
          <w:szCs w:val="24"/>
        </w:rPr>
        <w:t xml:space="preserve">18.5.2. A data da emissão; </w:t>
      </w:r>
    </w:p>
    <w:p>
      <w:pPr>
        <w:pStyle w:val="Normal"/>
        <w:numPr>
          <w:ilvl w:val="0"/>
          <w:numId w:val="0"/>
        </w:numPr>
        <w:spacing w:lineRule="auto" w:line="276" w:before="120" w:after="120"/>
        <w:ind w:left="1922" w:hanging="0"/>
        <w:jc w:val="both"/>
        <w:rPr>
          <w:rFonts w:cs="Arial"/>
          <w:color w:val="000000"/>
          <w:szCs w:val="20"/>
        </w:rPr>
      </w:pPr>
      <w:r>
        <w:rPr>
          <w:rFonts w:cs="Arial" w:ascii="Arial" w:hAnsi="Arial"/>
          <w:color w:val="000000"/>
          <w:sz w:val="24"/>
          <w:szCs w:val="24"/>
        </w:rPr>
        <w:t xml:space="preserve">18.5.3. Os dados do contrato e do órgão contratante; </w:t>
      </w:r>
    </w:p>
    <w:p>
      <w:pPr>
        <w:pStyle w:val="Normal"/>
        <w:numPr>
          <w:ilvl w:val="0"/>
          <w:numId w:val="0"/>
        </w:numPr>
        <w:spacing w:lineRule="auto" w:line="276" w:before="120" w:after="120"/>
        <w:ind w:left="1922" w:hanging="0"/>
        <w:jc w:val="both"/>
        <w:rPr>
          <w:rFonts w:cs="Arial"/>
          <w:color w:val="000000"/>
          <w:szCs w:val="20"/>
        </w:rPr>
      </w:pPr>
      <w:r>
        <w:rPr>
          <w:rFonts w:cs="Arial" w:ascii="Arial" w:hAnsi="Arial"/>
          <w:color w:val="000000"/>
          <w:sz w:val="24"/>
          <w:szCs w:val="24"/>
        </w:rPr>
        <w:t xml:space="preserve">18.5.4. O período de prestação do serviço; </w:t>
      </w:r>
    </w:p>
    <w:p>
      <w:pPr>
        <w:pStyle w:val="Normal"/>
        <w:numPr>
          <w:ilvl w:val="0"/>
          <w:numId w:val="0"/>
        </w:numPr>
        <w:spacing w:lineRule="auto" w:line="276" w:before="120" w:after="120"/>
        <w:ind w:left="1922" w:hanging="0"/>
        <w:jc w:val="both"/>
        <w:rPr>
          <w:rFonts w:cs="Arial"/>
          <w:color w:val="000000"/>
          <w:szCs w:val="20"/>
        </w:rPr>
      </w:pPr>
      <w:r>
        <w:rPr>
          <w:rFonts w:cs="Arial" w:ascii="Arial" w:hAnsi="Arial"/>
          <w:color w:val="000000"/>
          <w:sz w:val="24"/>
          <w:szCs w:val="24"/>
        </w:rPr>
        <w:t xml:space="preserve">18.5.5. O valor a pagar; e </w:t>
      </w:r>
    </w:p>
    <w:p>
      <w:pPr>
        <w:pStyle w:val="Normal"/>
        <w:numPr>
          <w:ilvl w:val="0"/>
          <w:numId w:val="0"/>
        </w:numPr>
        <w:spacing w:lineRule="auto" w:line="276" w:before="120" w:after="120"/>
        <w:ind w:left="1922" w:hanging="0"/>
        <w:jc w:val="both"/>
        <w:rPr>
          <w:rFonts w:cs="Arial"/>
          <w:color w:val="000000"/>
          <w:szCs w:val="20"/>
        </w:rPr>
      </w:pPr>
      <w:r>
        <w:rPr>
          <w:rFonts w:cs="Arial" w:ascii="Arial" w:hAnsi="Arial"/>
          <w:color w:val="000000"/>
          <w:sz w:val="24"/>
          <w:szCs w:val="24"/>
        </w:rPr>
        <w:t>18.5.6. Eventual destaque do valor de retenções tributárias cabíveis.</w:t>
      </w:r>
    </w:p>
    <w:p>
      <w:pPr>
        <w:pStyle w:val="Normal"/>
        <w:numPr>
          <w:ilvl w:val="0"/>
          <w:numId w:val="0"/>
        </w:numPr>
        <w:spacing w:lineRule="auto" w:line="276" w:before="120" w:after="120"/>
        <w:ind w:left="1141" w:hanging="0"/>
        <w:jc w:val="both"/>
        <w:rPr>
          <w:rFonts w:cs="Arial"/>
          <w:szCs w:val="20"/>
          <w:lang w:eastAsia="en-US"/>
        </w:rPr>
      </w:pPr>
      <w:r>
        <w:rPr>
          <w:rFonts w:cs="Arial" w:ascii="Arial" w:hAnsi="Arial"/>
          <w:iCs/>
          <w:color w:val="000000"/>
          <w:sz w:val="24"/>
          <w:szCs w:val="24"/>
        </w:rPr>
        <w:t xml:space="preserve">18.6. Havendo erro </w:t>
      </w:r>
      <w:r>
        <w:rPr>
          <w:rFonts w:cs="Arial" w:ascii="Arial" w:hAnsi="Arial"/>
          <w:color w:val="000000"/>
          <w:sz w:val="24"/>
          <w:szCs w:val="24"/>
        </w:rPr>
        <w:t>na</w:t>
      </w:r>
      <w:r>
        <w:rPr>
          <w:rFonts w:cs="Arial" w:ascii="Arial" w:hAnsi="Arial"/>
          <w:iCs/>
          <w:color w:val="000000"/>
          <w:sz w:val="24"/>
          <w:szCs w:val="24"/>
        </w:rPr>
        <w:t xml:space="preserve">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numPr>
          <w:ilvl w:val="0"/>
          <w:numId w:val="0"/>
        </w:numPr>
        <w:spacing w:lineRule="auto" w:line="276" w:before="120" w:after="120"/>
        <w:ind w:left="1141" w:hanging="0"/>
        <w:jc w:val="both"/>
        <w:rPr>
          <w:rFonts w:cs="Arial"/>
          <w:szCs w:val="20"/>
          <w:lang w:eastAsia="en-US"/>
        </w:rPr>
      </w:pPr>
      <w:r>
        <w:rPr>
          <w:rFonts w:cs="Arial" w:ascii="Arial" w:hAnsi="Arial"/>
          <w:color w:val="000000"/>
          <w:sz w:val="24"/>
          <w:szCs w:val="24"/>
          <w:lang w:eastAsia="en-US"/>
        </w:rPr>
        <w:t>18.7. Será considerada data do pagamento o dia em que constar como emitida a ordem bancária para pagamento.</w:t>
      </w:r>
    </w:p>
    <w:p>
      <w:pPr>
        <w:pStyle w:val="Normal"/>
        <w:numPr>
          <w:ilvl w:val="0"/>
          <w:numId w:val="0"/>
        </w:numPr>
        <w:spacing w:lineRule="auto" w:line="276" w:before="120" w:after="120"/>
        <w:ind w:left="1141" w:hanging="0"/>
        <w:jc w:val="both"/>
        <w:rPr>
          <w:rFonts w:cs="Arial"/>
          <w:szCs w:val="20"/>
          <w:lang w:eastAsia="en-US"/>
        </w:rPr>
      </w:pPr>
      <w:r>
        <w:rPr>
          <w:rFonts w:cs="Arial" w:ascii="Arial" w:hAnsi="Arial"/>
          <w:color w:val="000000"/>
          <w:sz w:val="24"/>
          <w:szCs w:val="24"/>
          <w:lang w:eastAsia="en-US"/>
        </w:rPr>
        <w:t xml:space="preserve">18.8. Antes de cada pagamento à contratada, será realizada consulta ao SICAF para verificar a manutenção das condições de habilitação exigidas no edital. </w:t>
      </w:r>
    </w:p>
    <w:p>
      <w:pPr>
        <w:pStyle w:val="Normal"/>
        <w:numPr>
          <w:ilvl w:val="0"/>
          <w:numId w:val="0"/>
        </w:numPr>
        <w:spacing w:lineRule="auto" w:line="276" w:before="120" w:after="120"/>
        <w:ind w:left="1141" w:hanging="0"/>
        <w:jc w:val="both"/>
        <w:rPr>
          <w:rFonts w:cs="Arial"/>
          <w:szCs w:val="20"/>
          <w:lang w:eastAsia="en-US"/>
        </w:rPr>
      </w:pPr>
      <w:r>
        <w:rPr>
          <w:rFonts w:cs="Arial" w:ascii="Arial" w:hAnsi="Arial"/>
          <w:color w:val="000000"/>
          <w:sz w:val="24"/>
          <w:szCs w:val="24"/>
          <w:lang w:eastAsia="en-US"/>
        </w:rPr>
        <w:t>18.9.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Normal"/>
        <w:numPr>
          <w:ilvl w:val="0"/>
          <w:numId w:val="0"/>
        </w:numPr>
        <w:spacing w:lineRule="auto" w:line="276" w:before="120" w:after="120"/>
        <w:ind w:left="1141" w:hanging="0"/>
        <w:jc w:val="both"/>
        <w:rPr>
          <w:rFonts w:cs="Arial"/>
          <w:szCs w:val="20"/>
          <w:lang w:eastAsia="en-US"/>
        </w:rPr>
      </w:pPr>
      <w:r>
        <w:rPr>
          <w:rFonts w:cs="Arial" w:ascii="Arial" w:hAnsi="Arial"/>
          <w:color w:val="000000"/>
          <w:sz w:val="24"/>
          <w:szCs w:val="24"/>
          <w:lang w:eastAsia="en-US"/>
        </w:rPr>
        <w:t>18.10.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pPr>
        <w:pStyle w:val="Normal"/>
        <w:numPr>
          <w:ilvl w:val="0"/>
          <w:numId w:val="0"/>
        </w:numPr>
        <w:spacing w:lineRule="auto" w:line="276" w:before="120" w:after="120"/>
        <w:ind w:left="1141" w:hanging="0"/>
        <w:jc w:val="both"/>
        <w:rPr>
          <w:rFonts w:cs="Arial"/>
          <w:szCs w:val="20"/>
          <w:lang w:eastAsia="en-US"/>
        </w:rPr>
      </w:pPr>
      <w:r>
        <w:rPr>
          <w:rFonts w:cs="Arial" w:ascii="Arial" w:hAnsi="Arial"/>
          <w:color w:val="000000"/>
          <w:sz w:val="24"/>
          <w:szCs w:val="24"/>
          <w:lang w:eastAsia="en-US"/>
        </w:rPr>
        <w:t>18.11.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pStyle w:val="Normal"/>
        <w:numPr>
          <w:ilvl w:val="0"/>
          <w:numId w:val="0"/>
        </w:numPr>
        <w:spacing w:lineRule="auto" w:line="276" w:before="120" w:after="120"/>
        <w:ind w:left="1141" w:hanging="0"/>
        <w:jc w:val="both"/>
        <w:rPr>
          <w:rFonts w:cs="Arial"/>
          <w:szCs w:val="20"/>
          <w:lang w:eastAsia="en-US"/>
        </w:rPr>
      </w:pPr>
      <w:r>
        <w:rPr>
          <w:rFonts w:cs="Arial" w:ascii="Arial" w:hAnsi="Arial"/>
          <w:color w:val="000000"/>
          <w:sz w:val="24"/>
          <w:szCs w:val="24"/>
          <w:lang w:eastAsia="en-US"/>
        </w:rPr>
        <w:t xml:space="preserve">18.12. Persistindo a irregularidade, a contratante deverá adotar as medidas necessárias à rescisão contratual nos autos do processo administrativo correspondente, assegurada à contratada a ampla defesa. </w:t>
      </w:r>
    </w:p>
    <w:p>
      <w:pPr>
        <w:pStyle w:val="Normal"/>
        <w:numPr>
          <w:ilvl w:val="0"/>
          <w:numId w:val="0"/>
        </w:numPr>
        <w:spacing w:lineRule="auto" w:line="276" w:before="120" w:after="120"/>
        <w:ind w:left="1141" w:hanging="0"/>
        <w:jc w:val="both"/>
        <w:rPr>
          <w:rFonts w:cs="Arial"/>
          <w:szCs w:val="20"/>
          <w:lang w:eastAsia="en-US"/>
        </w:rPr>
      </w:pPr>
      <w:r>
        <w:rPr>
          <w:rFonts w:cs="Arial" w:ascii="Arial" w:hAnsi="Arial"/>
          <w:color w:val="000000"/>
          <w:sz w:val="24"/>
          <w:szCs w:val="24"/>
          <w:lang w:eastAsia="en-US"/>
        </w:rPr>
        <w:t>18.13. Havendo a efetiva execução do objeto, os pagamentos serão realizados normalmente, até que se decida pela rescisão do contrato, caso a contratada não regularize sua situação junto ao SICAF.</w:t>
      </w:r>
    </w:p>
    <w:p>
      <w:pPr>
        <w:pStyle w:val="Normal"/>
        <w:numPr>
          <w:ilvl w:val="0"/>
          <w:numId w:val="0"/>
        </w:numPr>
        <w:spacing w:lineRule="auto" w:line="276" w:before="120" w:after="120"/>
        <w:ind w:left="1922" w:hanging="0"/>
        <w:jc w:val="both"/>
        <w:rPr>
          <w:rFonts w:cs="Arial"/>
          <w:szCs w:val="20"/>
          <w:lang w:eastAsia="en-US"/>
        </w:rPr>
      </w:pPr>
      <w:r>
        <w:rPr>
          <w:rFonts w:cs="Arial" w:ascii="Arial" w:hAnsi="Arial"/>
          <w:color w:val="000000"/>
          <w:sz w:val="24"/>
          <w:szCs w:val="24"/>
          <w:lang w:eastAsia="en-US"/>
        </w:rPr>
        <w:t xml:space="preserve">18.13.1.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pPr>
        <w:pStyle w:val="Normal"/>
        <w:numPr>
          <w:ilvl w:val="0"/>
          <w:numId w:val="0"/>
        </w:numPr>
        <w:spacing w:lineRule="auto" w:line="276" w:before="120" w:after="120"/>
        <w:ind w:left="1141" w:hanging="0"/>
        <w:jc w:val="both"/>
        <w:rPr>
          <w:rFonts w:cs="Arial"/>
          <w:szCs w:val="20"/>
          <w:lang w:eastAsia="en-US"/>
        </w:rPr>
      </w:pPr>
      <w:r>
        <w:rPr>
          <w:rFonts w:cs="Arial" w:ascii="Arial" w:hAnsi="Arial"/>
          <w:color w:val="000000"/>
          <w:sz w:val="24"/>
          <w:szCs w:val="24"/>
          <w:lang w:eastAsia="en-US"/>
        </w:rPr>
        <w:t>18.14. Quando do pagamento, será efetuada a retenção tributária prevista na legislação aplicável, em especial a prevista no artigo 31 da Lei 8.212, de 1993, nos termos do item 6 do Anexo XI da IN SEGES/MP n. 5/2017, quando couber.</w:t>
      </w:r>
    </w:p>
    <w:p>
      <w:pPr>
        <w:pStyle w:val="Normal"/>
        <w:numPr>
          <w:ilvl w:val="0"/>
          <w:numId w:val="0"/>
        </w:numPr>
        <w:spacing w:lineRule="auto" w:line="276" w:before="120" w:after="120"/>
        <w:ind w:left="1141" w:hanging="0"/>
        <w:jc w:val="both"/>
        <w:rPr>
          <w:rFonts w:cs="Arial"/>
          <w:szCs w:val="20"/>
          <w:lang w:eastAsia="en-US"/>
        </w:rPr>
      </w:pPr>
      <w:r>
        <w:rPr>
          <w:rFonts w:cs="Arial" w:ascii="Arial" w:hAnsi="Arial"/>
          <w:color w:val="000000"/>
          <w:sz w:val="24"/>
          <w:szCs w:val="24"/>
          <w:lang w:eastAsia="en-US"/>
        </w:rPr>
        <w:t>18.15. Vedado o pagamento, a qualquer título, por serviço prestado, à empresa privada que tenha em seu quadro societário servidor público da ativa do órgão contratante, com fundamento na Lei de Diretrizes Orçamentárias vigente.</w:t>
      </w:r>
    </w:p>
    <w:p>
      <w:pPr>
        <w:pStyle w:val="Normal"/>
        <w:numPr>
          <w:ilvl w:val="0"/>
          <w:numId w:val="0"/>
        </w:numPr>
        <w:spacing w:lineRule="auto" w:line="276" w:before="120" w:after="120"/>
        <w:ind w:left="1141" w:hanging="0"/>
        <w:jc w:val="both"/>
        <w:rPr>
          <w:rFonts w:cs="Arial"/>
          <w:szCs w:val="20"/>
          <w:highlight w:val="yellow"/>
          <w:lang w:eastAsia="en-US"/>
        </w:rPr>
      </w:pPr>
      <w:r>
        <w:rPr>
          <w:rFonts w:cs="Arial" w:ascii="Arial" w:hAnsi="Arial"/>
          <w:color w:val="000000"/>
          <w:sz w:val="24"/>
          <w:szCs w:val="24"/>
          <w:highlight w:val="white"/>
          <w:lang w:eastAsia="en-US"/>
        </w:rPr>
        <w:t>18.16.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pPr>
        <w:pStyle w:val="Normal"/>
        <w:spacing w:lineRule="auto" w:line="276"/>
        <w:ind w:left="426" w:firstLine="708"/>
        <w:jc w:val="both"/>
        <w:rPr>
          <w:rFonts w:cs="Arial"/>
          <w:szCs w:val="20"/>
        </w:rPr>
      </w:pPr>
      <w:r>
        <w:rPr>
          <w:rFonts w:cs="Arial" w:ascii="Arial" w:hAnsi="Arial"/>
          <w:color w:val="000000"/>
          <w:sz w:val="24"/>
          <w:szCs w:val="24"/>
        </w:rPr>
        <w:t>EM = I x N x VP, sendo:</w:t>
      </w:r>
    </w:p>
    <w:p>
      <w:pPr>
        <w:pStyle w:val="Normal"/>
        <w:tabs>
          <w:tab w:val="left" w:pos="1701" w:leader="none"/>
        </w:tabs>
        <w:spacing w:lineRule="auto" w:line="276"/>
        <w:ind w:firstLine="1134"/>
        <w:jc w:val="both"/>
        <w:rPr>
          <w:rFonts w:cs="Arial"/>
          <w:color w:val="000000"/>
          <w:szCs w:val="20"/>
        </w:rPr>
      </w:pPr>
      <w:r>
        <w:rPr>
          <w:rFonts w:cs="Arial" w:ascii="Arial" w:hAnsi="Arial"/>
          <w:color w:val="000000"/>
          <w:sz w:val="24"/>
          <w:szCs w:val="24"/>
        </w:rPr>
        <w:t>EM = Encargos moratórios;</w:t>
      </w:r>
    </w:p>
    <w:p>
      <w:pPr>
        <w:pStyle w:val="Normal"/>
        <w:tabs>
          <w:tab w:val="left" w:pos="1701" w:leader="none"/>
        </w:tabs>
        <w:spacing w:lineRule="auto" w:line="276"/>
        <w:ind w:firstLine="1134"/>
        <w:jc w:val="both"/>
        <w:rPr>
          <w:rFonts w:cs="Arial"/>
          <w:color w:val="000000"/>
          <w:szCs w:val="20"/>
        </w:rPr>
      </w:pPr>
      <w:r>
        <w:rPr>
          <w:rFonts w:cs="Arial" w:ascii="Arial" w:hAnsi="Arial"/>
          <w:color w:val="000000"/>
          <w:sz w:val="24"/>
          <w:szCs w:val="24"/>
        </w:rPr>
        <w:t>N = Número de dias entre a data prevista para o pagamento e a do efetivo pagamento;</w:t>
      </w:r>
    </w:p>
    <w:p>
      <w:pPr>
        <w:pStyle w:val="Normal"/>
        <w:tabs>
          <w:tab w:val="left" w:pos="1701" w:leader="none"/>
        </w:tabs>
        <w:spacing w:lineRule="auto" w:line="276"/>
        <w:ind w:firstLine="1134"/>
        <w:jc w:val="both"/>
        <w:rPr>
          <w:rFonts w:cs="Arial"/>
          <w:color w:val="000000"/>
          <w:szCs w:val="20"/>
        </w:rPr>
      </w:pPr>
      <w:r>
        <w:rPr>
          <w:rFonts w:cs="Arial" w:ascii="Arial" w:hAnsi="Arial"/>
          <w:color w:val="000000"/>
          <w:sz w:val="24"/>
          <w:szCs w:val="24"/>
        </w:rPr>
        <w:t>VP = Valor da parcela a ser paga.</w:t>
      </w:r>
    </w:p>
    <w:p>
      <w:pPr>
        <w:pStyle w:val="Normal"/>
        <w:tabs>
          <w:tab w:val="left" w:pos="1701" w:leader="none"/>
        </w:tabs>
        <w:spacing w:lineRule="auto" w:line="276"/>
        <w:ind w:firstLine="1134"/>
        <w:jc w:val="both"/>
        <w:rPr>
          <w:rFonts w:ascii="Arial" w:hAnsi="Arial"/>
          <w:sz w:val="24"/>
          <w:szCs w:val="24"/>
        </w:rPr>
      </w:pPr>
      <w:r>
        <w:rPr>
          <w:rFonts w:cs="Arial" w:ascii="Arial" w:hAnsi="Arial"/>
          <w:color w:val="000000"/>
          <w:sz w:val="24"/>
          <w:szCs w:val="24"/>
        </w:rPr>
        <w:t>I = Índice de compensação financeira = 0,00016438, assim apurado:</w:t>
      </w:r>
    </w:p>
    <w:p>
      <w:pPr>
        <w:pStyle w:val="Normal"/>
        <w:tabs>
          <w:tab w:val="left" w:pos="1701" w:leader="none"/>
        </w:tabs>
        <w:spacing w:lineRule="auto" w:line="276"/>
        <w:ind w:firstLine="1134"/>
        <w:jc w:val="both"/>
        <w:rPr>
          <w:rFonts w:cs="Arial"/>
          <w:color w:val="000000"/>
          <w:szCs w:val="20"/>
        </w:rPr>
      </w:pPr>
      <w:r>
        <w:rPr>
          <w:rFonts w:ascii="Arial" w:hAnsi="Arial"/>
          <w:sz w:val="24"/>
          <w:szCs w:val="24"/>
        </w:rPr>
      </w:r>
    </w:p>
    <w:tbl>
      <w:tblPr>
        <w:tblStyle w:val="Tabelacomgrade"/>
        <w:tblW w:w="8647" w:type="dxa"/>
        <w:jc w:val="left"/>
        <w:tblInd w:w="425" w:type="dxa"/>
        <w:tblCellMar>
          <w:top w:w="0" w:type="dxa"/>
          <w:left w:w="113" w:type="dxa"/>
          <w:bottom w:w="0" w:type="dxa"/>
          <w:right w:w="108" w:type="dxa"/>
        </w:tblCellMar>
        <w:tblLook w:firstRow="1" w:noVBand="1" w:lastRow="0" w:firstColumn="1" w:lastColumn="0" w:noHBand="0" w:val="04a0"/>
      </w:tblPr>
      <w:tblGrid>
        <w:gridCol w:w="2045"/>
        <w:gridCol w:w="543"/>
        <w:gridCol w:w="1248"/>
        <w:gridCol w:w="4810"/>
      </w:tblGrid>
      <w:tr>
        <w:trPr/>
        <w:tc>
          <w:tcPr>
            <w:tcW w:w="2045" w:type="dxa"/>
            <w:vMerge w:val="restart"/>
            <w:tcBorders>
              <w:top w:val="nil"/>
              <w:left w:val="nil"/>
              <w:bottom w:val="nil"/>
              <w:right w:val="nil"/>
              <w:insideH w:val="nil"/>
              <w:insideV w:val="nil"/>
            </w:tcBorders>
            <w:shd w:fill="auto" w:val="clear"/>
            <w:vAlign w:val="center"/>
          </w:tcPr>
          <w:p>
            <w:pPr>
              <w:pStyle w:val="Normal"/>
              <w:tabs>
                <w:tab w:val="left" w:pos="1701" w:leader="none"/>
              </w:tabs>
              <w:spacing w:lineRule="auto" w:line="276"/>
              <w:jc w:val="both"/>
              <w:rPr>
                <w:rFonts w:cs="Arial"/>
                <w:color w:val="000000"/>
                <w:szCs w:val="20"/>
              </w:rPr>
            </w:pPr>
            <w:r>
              <w:rPr>
                <w:rFonts w:eastAsia="" w:cs="Arial" w:ascii="Arial" w:hAnsi="Arial" w:eastAsiaTheme="minorEastAsia"/>
                <w:color w:val="000000"/>
                <w:szCs w:val="20"/>
                <w:lang w:eastAsia="en-US"/>
              </w:rPr>
              <w:t>I = (TX)</w:t>
            </w:r>
          </w:p>
        </w:tc>
        <w:tc>
          <w:tcPr>
            <w:tcW w:w="543" w:type="dxa"/>
            <w:vMerge w:val="restart"/>
            <w:tcBorders>
              <w:top w:val="nil"/>
              <w:left w:val="nil"/>
              <w:bottom w:val="nil"/>
              <w:right w:val="nil"/>
              <w:insideH w:val="nil"/>
              <w:insideV w:val="nil"/>
            </w:tcBorders>
            <w:shd w:fill="auto" w:val="clear"/>
            <w:vAlign w:val="center"/>
          </w:tcPr>
          <w:p>
            <w:pPr>
              <w:pStyle w:val="Normal"/>
              <w:tabs>
                <w:tab w:val="left" w:pos="1701" w:leader="none"/>
              </w:tabs>
              <w:spacing w:lineRule="auto" w:line="276"/>
              <w:jc w:val="both"/>
              <w:rPr>
                <w:rFonts w:cs="Arial"/>
                <w:color w:val="000000"/>
                <w:szCs w:val="20"/>
              </w:rPr>
            </w:pPr>
            <w:r>
              <w:rPr>
                <w:rFonts w:eastAsia="" w:cs="Arial" w:ascii="Arial" w:hAnsi="Arial" w:eastAsiaTheme="minorEastAsia"/>
                <w:color w:val="000000"/>
                <w:szCs w:val="20"/>
                <w:lang w:eastAsia="en-US"/>
              </w:rPr>
              <w:t xml:space="preserve">I = </w:t>
            </w:r>
          </w:p>
        </w:tc>
        <w:tc>
          <w:tcPr>
            <w:tcW w:w="1248" w:type="dxa"/>
            <w:tcBorders>
              <w:top w:val="nil"/>
              <w:left w:val="nil"/>
              <w:right w:val="nil"/>
              <w:insideV w:val="nil"/>
            </w:tcBorders>
            <w:shd w:fill="auto" w:val="clear"/>
          </w:tcPr>
          <w:p>
            <w:pPr>
              <w:pStyle w:val="Normal"/>
              <w:tabs>
                <w:tab w:val="left" w:pos="1701" w:leader="none"/>
              </w:tabs>
              <w:spacing w:lineRule="auto" w:line="276"/>
              <w:jc w:val="both"/>
              <w:rPr>
                <w:rFonts w:ascii="Arial" w:hAnsi="Arial" w:cs="Arial"/>
                <w:color w:val="000000"/>
                <w:szCs w:val="20"/>
              </w:rPr>
            </w:pPr>
            <w:r>
              <w:rPr>
                <w:rFonts w:cs="Arial" w:ascii="Arial" w:hAnsi="Arial"/>
                <w:color w:val="000000"/>
                <w:szCs w:val="20"/>
              </w:rPr>
            </w:r>
          </w:p>
          <w:p>
            <w:pPr>
              <w:pStyle w:val="Normal"/>
              <w:tabs>
                <w:tab w:val="left" w:pos="1701" w:leader="none"/>
              </w:tabs>
              <w:spacing w:lineRule="auto" w:line="276"/>
              <w:jc w:val="center"/>
              <w:rPr>
                <w:rFonts w:cs="Arial"/>
                <w:color w:val="000000"/>
                <w:szCs w:val="20"/>
              </w:rPr>
            </w:pPr>
            <w:r>
              <w:rPr>
                <w:rFonts w:eastAsia="" w:cs="Arial" w:ascii="Arial" w:hAnsi="Arial" w:eastAsiaTheme="minorEastAsia"/>
                <w:color w:val="000000"/>
                <w:szCs w:val="20"/>
                <w:lang w:eastAsia="en-US"/>
              </w:rPr>
              <w:t>(6 / 100)</w:t>
            </w:r>
          </w:p>
        </w:tc>
        <w:tc>
          <w:tcPr>
            <w:tcW w:w="4810" w:type="dxa"/>
            <w:vMerge w:val="restart"/>
            <w:tcBorders>
              <w:top w:val="nil"/>
              <w:left w:val="nil"/>
              <w:bottom w:val="nil"/>
              <w:right w:val="nil"/>
              <w:insideH w:val="nil"/>
              <w:insideV w:val="nil"/>
            </w:tcBorders>
            <w:shd w:fill="auto" w:val="clear"/>
            <w:vAlign w:val="center"/>
          </w:tcPr>
          <w:p>
            <w:pPr>
              <w:pStyle w:val="Normal"/>
              <w:tabs>
                <w:tab w:val="left" w:pos="1701" w:leader="none"/>
              </w:tabs>
              <w:spacing w:lineRule="auto" w:line="276"/>
              <w:ind w:left="742" w:hanging="0"/>
              <w:jc w:val="both"/>
              <w:rPr>
                <w:rFonts w:cs="Arial"/>
                <w:color w:val="000000"/>
                <w:szCs w:val="20"/>
              </w:rPr>
            </w:pPr>
            <w:r>
              <w:rPr>
                <w:rFonts w:eastAsia="" w:cs="Arial" w:ascii="Arial" w:hAnsi="Arial" w:eastAsiaTheme="minorEastAsia"/>
                <w:color w:val="000000"/>
                <w:szCs w:val="20"/>
                <w:lang w:eastAsia="en-US"/>
              </w:rPr>
              <w:t>I = 0,00016438</w:t>
            </w:r>
          </w:p>
          <w:p>
            <w:pPr>
              <w:pStyle w:val="Normal"/>
              <w:tabs>
                <w:tab w:val="left" w:pos="1701" w:leader="none"/>
              </w:tabs>
              <w:spacing w:lineRule="auto" w:line="276"/>
              <w:ind w:left="742" w:hanging="0"/>
              <w:jc w:val="both"/>
              <w:rPr>
                <w:rFonts w:cs="Arial"/>
                <w:color w:val="000000"/>
                <w:szCs w:val="20"/>
              </w:rPr>
            </w:pPr>
            <w:r>
              <w:rPr>
                <w:rFonts w:eastAsia="" w:cs="Arial" w:ascii="Arial" w:hAnsi="Arial" w:eastAsiaTheme="minorEastAsia"/>
                <w:color w:val="000000"/>
                <w:szCs w:val="20"/>
                <w:lang w:eastAsia="en-US"/>
              </w:rPr>
              <w:t>TX = Percentual da taxa anual = 6%</w:t>
            </w:r>
          </w:p>
        </w:tc>
      </w:tr>
      <w:tr>
        <w:trPr>
          <w:trHeight w:val="312" w:hRule="atLeast"/>
        </w:trPr>
        <w:tc>
          <w:tcPr>
            <w:tcW w:w="2045" w:type="dxa"/>
            <w:vMerge w:val="continue"/>
            <w:tcBorders>
              <w:top w:val="nil"/>
              <w:left w:val="nil"/>
              <w:bottom w:val="nil"/>
              <w:right w:val="nil"/>
              <w:insideH w:val="nil"/>
              <w:insideV w:val="nil"/>
            </w:tcBorders>
            <w:shd w:fill="auto" w:val="clear"/>
            <w:vAlign w:val="center"/>
          </w:tcPr>
          <w:p>
            <w:pPr>
              <w:pStyle w:val="Normal"/>
              <w:rPr>
                <w:rFonts w:ascii="Arial" w:hAnsi="Arial" w:eastAsia="" w:cs="Arial" w:eastAsiaTheme="minorEastAsia"/>
                <w:color w:val="000000"/>
                <w:szCs w:val="20"/>
                <w:lang w:eastAsia="en-US"/>
              </w:rPr>
            </w:pPr>
            <w:r>
              <w:rPr>
                <w:rFonts w:eastAsia="" w:cs="Arial" w:eastAsiaTheme="minorEastAsia" w:ascii="Arial" w:hAnsi="Arial"/>
                <w:color w:val="000000"/>
                <w:szCs w:val="20"/>
                <w:lang w:eastAsia="en-US"/>
              </w:rPr>
            </w:r>
          </w:p>
        </w:tc>
        <w:tc>
          <w:tcPr>
            <w:tcW w:w="543" w:type="dxa"/>
            <w:vMerge w:val="continue"/>
            <w:tcBorders>
              <w:top w:val="nil"/>
              <w:left w:val="nil"/>
              <w:bottom w:val="nil"/>
              <w:right w:val="nil"/>
              <w:insideH w:val="nil"/>
              <w:insideV w:val="nil"/>
            </w:tcBorders>
            <w:shd w:fill="auto" w:val="clear"/>
            <w:vAlign w:val="center"/>
          </w:tcPr>
          <w:p>
            <w:pPr>
              <w:pStyle w:val="Normal"/>
              <w:rPr>
                <w:rFonts w:ascii="Arial" w:hAnsi="Arial" w:eastAsia="" w:cs="Arial" w:eastAsiaTheme="minorEastAsia"/>
                <w:color w:val="000000"/>
                <w:szCs w:val="20"/>
                <w:lang w:eastAsia="en-US"/>
              </w:rPr>
            </w:pPr>
            <w:r>
              <w:rPr>
                <w:rFonts w:eastAsia="" w:cs="Arial" w:eastAsiaTheme="minorEastAsia" w:ascii="Arial" w:hAnsi="Arial"/>
                <w:color w:val="000000"/>
                <w:szCs w:val="20"/>
                <w:lang w:eastAsia="en-US"/>
              </w:rPr>
            </w:r>
          </w:p>
        </w:tc>
        <w:tc>
          <w:tcPr>
            <w:tcW w:w="1248" w:type="dxa"/>
            <w:tcBorders>
              <w:left w:val="nil"/>
              <w:bottom w:val="nil"/>
              <w:right w:val="nil"/>
              <w:insideH w:val="nil"/>
              <w:insideV w:val="nil"/>
            </w:tcBorders>
            <w:shd w:fill="auto" w:val="clear"/>
          </w:tcPr>
          <w:p>
            <w:pPr>
              <w:pStyle w:val="Normal"/>
              <w:tabs>
                <w:tab w:val="left" w:pos="1701" w:leader="none"/>
              </w:tabs>
              <w:spacing w:lineRule="auto" w:line="276"/>
              <w:jc w:val="center"/>
              <w:rPr>
                <w:rFonts w:cs="Arial"/>
                <w:color w:val="000000"/>
                <w:szCs w:val="20"/>
              </w:rPr>
            </w:pPr>
            <w:r>
              <w:rPr>
                <w:rFonts w:eastAsia="" w:cs="Arial" w:ascii="Arial" w:hAnsi="Arial" w:eastAsiaTheme="minorEastAsia"/>
                <w:color w:val="000000"/>
                <w:szCs w:val="20"/>
                <w:lang w:eastAsia="en-US"/>
              </w:rPr>
              <w:t>365</w:t>
            </w:r>
          </w:p>
        </w:tc>
        <w:tc>
          <w:tcPr>
            <w:tcW w:w="4810" w:type="dxa"/>
            <w:vMerge w:val="continue"/>
            <w:tcBorders>
              <w:top w:val="nil"/>
              <w:left w:val="nil"/>
              <w:bottom w:val="nil"/>
              <w:right w:val="nil"/>
              <w:insideH w:val="nil"/>
              <w:insideV w:val="nil"/>
            </w:tcBorders>
            <w:shd w:fill="auto" w:val="clear"/>
            <w:vAlign w:val="center"/>
          </w:tcPr>
          <w:p>
            <w:pPr>
              <w:pStyle w:val="Normal"/>
              <w:rPr>
                <w:rFonts w:ascii="Arial" w:hAnsi="Arial" w:eastAsia="" w:cs="Arial" w:eastAsiaTheme="minorEastAsia"/>
                <w:color w:val="000000"/>
                <w:szCs w:val="20"/>
                <w:lang w:eastAsia="en-US"/>
              </w:rPr>
            </w:pPr>
            <w:r>
              <w:rPr>
                <w:rFonts w:eastAsia="" w:cs="Arial" w:eastAsiaTheme="minorEastAsia" w:ascii="Arial" w:hAnsi="Arial"/>
                <w:color w:val="000000"/>
                <w:szCs w:val="20"/>
                <w:lang w:eastAsia="en-US"/>
              </w:rPr>
            </w:r>
          </w:p>
        </w:tc>
      </w:tr>
    </w:tbl>
    <w:p>
      <w:pPr>
        <w:pStyle w:val="Nivel1"/>
        <w:numPr>
          <w:ilvl w:val="0"/>
          <w:numId w:val="2"/>
        </w:numPr>
        <w:rPr>
          <w:rFonts w:cs="Arial"/>
          <w:color w:val="00000A"/>
          <w:sz w:val="24"/>
          <w:szCs w:val="24"/>
        </w:rPr>
      </w:pPr>
      <w:r>
        <w:rPr>
          <w:rFonts w:cs="Arial" w:ascii="Arial" w:hAnsi="Arial"/>
          <w:color w:val="000000"/>
          <w:sz w:val="24"/>
          <w:szCs w:val="24"/>
        </w:rPr>
        <w:t>REAJUSTE</w:t>
      </w:r>
    </w:p>
    <w:p>
      <w:pPr>
        <w:pStyle w:val="ListParagraph"/>
        <w:widowControl/>
        <w:numPr>
          <w:ilvl w:val="1"/>
          <w:numId w:val="2"/>
        </w:numPr>
        <w:suppressAutoHyphens w:val="true"/>
        <w:bidi w:val="0"/>
        <w:spacing w:lineRule="auto" w:line="276" w:before="120" w:after="120"/>
        <w:ind w:left="794" w:right="0" w:hanging="397"/>
        <w:contextualSpacing/>
        <w:jc w:val="both"/>
        <w:rPr>
          <w:rFonts w:cs="Arial"/>
          <w:szCs w:val="20"/>
        </w:rPr>
      </w:pPr>
      <w:r>
        <w:rPr>
          <w:rFonts w:cs="Arial" w:ascii="Arial" w:hAnsi="Arial"/>
          <w:color w:val="000000"/>
          <w:sz w:val="24"/>
          <w:szCs w:val="24"/>
        </w:rPr>
        <w:t xml:space="preserve">Os preços </w:t>
      </w:r>
      <w:r>
        <w:rPr>
          <w:rFonts w:cs="Arial" w:ascii="Arial" w:hAnsi="Arial"/>
          <w:color w:val="000000"/>
          <w:sz w:val="24"/>
          <w:szCs w:val="24"/>
          <w:highlight w:val="white"/>
        </w:rPr>
        <w:t xml:space="preserve">inicialmente contratados </w:t>
      </w:r>
      <w:r>
        <w:rPr>
          <w:rFonts w:cs="Arial" w:ascii="Arial" w:hAnsi="Arial"/>
          <w:color w:val="000000"/>
          <w:sz w:val="24"/>
          <w:szCs w:val="24"/>
        </w:rPr>
        <w:t>são fixos e irreajustáveis no prazo de um ano contado da data limite para a apresentação das propostas.</w:t>
      </w:r>
    </w:p>
    <w:p>
      <w:pPr>
        <w:pStyle w:val="ListParagraph"/>
        <w:numPr>
          <w:ilvl w:val="1"/>
          <w:numId w:val="2"/>
        </w:numPr>
        <w:spacing w:lineRule="auto" w:line="276" w:before="120" w:after="120"/>
        <w:contextualSpacing/>
        <w:jc w:val="both"/>
        <w:rPr>
          <w:rFonts w:cs="Arial"/>
          <w:szCs w:val="20"/>
          <w:highlight w:val="yellow"/>
        </w:rPr>
      </w:pPr>
      <w:r>
        <w:rPr>
          <w:rFonts w:cs="Arial" w:ascii="Arial" w:hAnsi="Arial"/>
          <w:color w:val="000000"/>
          <w:sz w:val="24"/>
          <w:szCs w:val="24"/>
          <w:highlight w:val="white"/>
        </w:rPr>
        <w:t xml:space="preserve">Após o interregno de um ano, e independentemente de pedido da CONTRATADA, os preços iniciais serão reajustados, mediante a aplicação, pela CONTRATANTE, do índice IGPM </w:t>
      </w:r>
      <w:r>
        <w:rPr>
          <w:rFonts w:cs="Arial" w:ascii="Arial" w:hAnsi="Arial"/>
          <w:i/>
          <w:iCs/>
          <w:color w:val="000000"/>
          <w:sz w:val="24"/>
          <w:szCs w:val="24"/>
          <w:highlight w:val="white"/>
        </w:rPr>
        <w:t>(</w:t>
      </w:r>
      <w:r>
        <w:rPr>
          <w:rFonts w:cs="Arial" w:ascii="Arial" w:hAnsi="Arial"/>
          <w:b w:val="false"/>
          <w:bCs w:val="false"/>
          <w:i w:val="false"/>
          <w:iCs w:val="false"/>
          <w:color w:val="000000"/>
          <w:sz w:val="24"/>
          <w:szCs w:val="24"/>
          <w:lang w:val="pt-PT"/>
        </w:rPr>
        <w:t>Índice Geral de Preços de Mercado</w:t>
      </w:r>
      <w:r>
        <w:rPr>
          <w:rFonts w:cs="Arial" w:ascii="Arial" w:hAnsi="Arial"/>
          <w:i/>
          <w:iCs/>
          <w:color w:val="000000"/>
          <w:sz w:val="24"/>
          <w:szCs w:val="24"/>
          <w:highlight w:val="white"/>
        </w:rPr>
        <w:t>),</w:t>
      </w:r>
      <w:r>
        <w:rPr>
          <w:rFonts w:cs="Arial" w:ascii="Arial" w:hAnsi="Arial"/>
          <w:color w:val="000000"/>
          <w:sz w:val="24"/>
          <w:szCs w:val="24"/>
          <w:highlight w:val="white"/>
        </w:rPr>
        <w:t xml:space="preserve"> exclusivamente para as obrigações iniciadas e concluídas após a ocorrência da anualidade, com base na seguinte fórmula (art. 5º do Decreto n.º 1.054, de 1994): </w:t>
      </w:r>
    </w:p>
    <w:p>
      <w:pPr>
        <w:pStyle w:val="Normal"/>
        <w:spacing w:lineRule="auto" w:line="276" w:before="120" w:after="120"/>
        <w:ind w:left="1418" w:hanging="0"/>
        <w:jc w:val="both"/>
        <w:rPr>
          <w:rFonts w:cs="Arial"/>
          <w:szCs w:val="20"/>
          <w:highlight w:val="yellow"/>
        </w:rPr>
      </w:pPr>
      <w:r>
        <w:rPr>
          <w:rFonts w:cs="Arial" w:ascii="Arial" w:hAnsi="Arial"/>
          <w:color w:val="000000"/>
          <w:szCs w:val="20"/>
          <w:highlight w:val="white"/>
        </w:rPr>
        <w:t>R = V (I – Iº) / Iº, onde:</w:t>
      </w:r>
    </w:p>
    <w:p>
      <w:pPr>
        <w:pStyle w:val="Normal"/>
        <w:spacing w:lineRule="auto" w:line="276" w:before="120" w:after="120"/>
        <w:ind w:left="1418" w:hanging="0"/>
        <w:jc w:val="both"/>
        <w:rPr>
          <w:rFonts w:cs="Arial"/>
          <w:szCs w:val="20"/>
          <w:highlight w:val="yellow"/>
        </w:rPr>
      </w:pPr>
      <w:r>
        <w:rPr>
          <w:rFonts w:cs="Arial" w:ascii="Arial" w:hAnsi="Arial"/>
          <w:color w:val="000000"/>
          <w:szCs w:val="20"/>
          <w:highlight w:val="white"/>
        </w:rPr>
        <w:t>R = Valor do reajuste procurado;</w:t>
      </w:r>
    </w:p>
    <w:p>
      <w:pPr>
        <w:pStyle w:val="Normal"/>
        <w:spacing w:lineRule="auto" w:line="276" w:before="120" w:after="120"/>
        <w:ind w:left="1418" w:hanging="0"/>
        <w:jc w:val="both"/>
        <w:rPr>
          <w:rFonts w:cs="Arial"/>
          <w:szCs w:val="20"/>
          <w:highlight w:val="yellow"/>
        </w:rPr>
      </w:pPr>
      <w:r>
        <w:rPr>
          <w:rFonts w:cs="Arial" w:ascii="Arial" w:hAnsi="Arial"/>
          <w:color w:val="000000"/>
          <w:szCs w:val="20"/>
          <w:highlight w:val="white"/>
        </w:rPr>
        <w:t>V = Valor contratual a ser reajustado;</w:t>
      </w:r>
    </w:p>
    <w:p>
      <w:pPr>
        <w:pStyle w:val="Normal"/>
        <w:spacing w:lineRule="auto" w:line="276" w:before="120" w:after="120"/>
        <w:ind w:left="1418" w:hanging="0"/>
        <w:jc w:val="both"/>
        <w:rPr>
          <w:rFonts w:cs="Arial"/>
          <w:szCs w:val="20"/>
          <w:highlight w:val="yellow"/>
        </w:rPr>
      </w:pPr>
      <w:r>
        <w:rPr>
          <w:rFonts w:cs="Arial" w:ascii="Arial" w:hAnsi="Arial"/>
          <w:color w:val="000000"/>
          <w:szCs w:val="20"/>
          <w:highlight w:val="white"/>
        </w:rPr>
        <w:t>Iº = índice inicial – refere-se ao índice de custos ou de preços correspondente à data fixada para entrega da proposta na licitação;</w:t>
      </w:r>
    </w:p>
    <w:p>
      <w:pPr>
        <w:pStyle w:val="Normal"/>
        <w:spacing w:lineRule="auto" w:line="276" w:before="120" w:after="120"/>
        <w:ind w:left="1418" w:hanging="0"/>
        <w:jc w:val="both"/>
        <w:rPr>
          <w:rFonts w:cs="Arial"/>
          <w:sz w:val="24"/>
          <w:szCs w:val="24"/>
        </w:rPr>
      </w:pPr>
      <w:r>
        <w:rPr>
          <w:rFonts w:cs="Arial" w:ascii="Arial" w:hAnsi="Arial"/>
          <w:color w:val="000000"/>
          <w:szCs w:val="20"/>
          <w:highlight w:val="white"/>
        </w:rPr>
        <w:t>I = Índice relativo ao mês do reajustamento;</w:t>
      </w:r>
    </w:p>
    <w:p>
      <w:pPr>
        <w:pStyle w:val="ListParagraph"/>
        <w:numPr>
          <w:ilvl w:val="1"/>
          <w:numId w:val="2"/>
        </w:numPr>
        <w:spacing w:lineRule="auto" w:line="276" w:before="120" w:after="120"/>
        <w:contextualSpacing/>
        <w:jc w:val="both"/>
        <w:rPr>
          <w:rFonts w:cs="Arial"/>
          <w:szCs w:val="20"/>
        </w:rPr>
      </w:pPr>
      <w:r>
        <w:rPr>
          <w:rFonts w:cs="Arial" w:ascii="Arial" w:hAnsi="Arial"/>
          <w:color w:val="000000"/>
          <w:sz w:val="24"/>
          <w:szCs w:val="24"/>
        </w:rPr>
        <w:t>Nos reajustes subsequentes ao primeiro, o interregno mínimo de um ano será contado a partir dos efeitos financeiros do último reajuste.</w:t>
      </w:r>
    </w:p>
    <w:p>
      <w:pPr>
        <w:pStyle w:val="ListParagraph"/>
        <w:numPr>
          <w:ilvl w:val="1"/>
          <w:numId w:val="2"/>
        </w:numPr>
        <w:spacing w:lineRule="auto" w:line="276" w:before="120" w:after="120"/>
        <w:contextualSpacing/>
        <w:jc w:val="both"/>
        <w:rPr>
          <w:rFonts w:cs="Arial"/>
          <w:szCs w:val="20"/>
        </w:rPr>
      </w:pPr>
      <w:r>
        <w:rPr>
          <w:rFonts w:cs="Arial" w:ascii="Arial" w:hAnsi="Arial"/>
          <w:color w:val="000000"/>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pPr>
        <w:pStyle w:val="ListParagraph"/>
        <w:numPr>
          <w:ilvl w:val="1"/>
          <w:numId w:val="2"/>
        </w:numPr>
        <w:spacing w:lineRule="auto" w:line="276" w:before="120" w:after="120"/>
        <w:contextualSpacing/>
        <w:jc w:val="both"/>
        <w:rPr>
          <w:rFonts w:cs="Arial"/>
          <w:szCs w:val="20"/>
        </w:rPr>
      </w:pPr>
      <w:r>
        <w:rPr>
          <w:rFonts w:cs="Arial" w:ascii="Arial" w:hAnsi="Arial"/>
          <w:color w:val="000000"/>
          <w:sz w:val="24"/>
          <w:szCs w:val="24"/>
        </w:rPr>
        <w:t>Nas aferições finais, o índice utilizado para reajuste será, obrigatoriamente, o definitivo.</w:t>
      </w:r>
    </w:p>
    <w:p>
      <w:pPr>
        <w:pStyle w:val="ListParagraph"/>
        <w:numPr>
          <w:ilvl w:val="1"/>
          <w:numId w:val="2"/>
        </w:numPr>
        <w:spacing w:lineRule="auto" w:line="276" w:before="120" w:after="120"/>
        <w:contextualSpacing/>
        <w:jc w:val="both"/>
        <w:rPr>
          <w:rFonts w:cs="Arial"/>
          <w:szCs w:val="20"/>
        </w:rPr>
      </w:pPr>
      <w:r>
        <w:rPr>
          <w:rFonts w:cs="Arial" w:ascii="Arial" w:hAnsi="Arial"/>
          <w:color w:val="000000"/>
          <w:sz w:val="24"/>
          <w:szCs w:val="24"/>
        </w:rPr>
        <w:t>Caso o índice estabelecido para reajustamento venha a ser extinto ou de qualquer forma não possa mais ser utilizado, será adotado, em substituição, o que vier a ser determinado pela legislação então em vigor.</w:t>
      </w:r>
    </w:p>
    <w:p>
      <w:pPr>
        <w:pStyle w:val="ListParagraph"/>
        <w:numPr>
          <w:ilvl w:val="1"/>
          <w:numId w:val="2"/>
        </w:numPr>
        <w:spacing w:lineRule="auto" w:line="276" w:before="120" w:after="120"/>
        <w:contextualSpacing/>
        <w:jc w:val="both"/>
        <w:rPr>
          <w:rFonts w:cs="Arial"/>
          <w:szCs w:val="20"/>
        </w:rPr>
      </w:pPr>
      <w:r>
        <w:rPr>
          <w:rFonts w:cs="Arial" w:ascii="Arial" w:hAnsi="Arial"/>
          <w:color w:val="000000"/>
          <w:sz w:val="24"/>
          <w:szCs w:val="24"/>
        </w:rPr>
        <w:t xml:space="preserve">Na ausência de previsão legal quanto ao índice substituto, as partes elegerão novo índice oficial, para reajustamento do preço do valor remanescente, por meio de termo aditivo. </w:t>
      </w:r>
    </w:p>
    <w:p>
      <w:pPr>
        <w:pStyle w:val="ListParagraph"/>
        <w:numPr>
          <w:ilvl w:val="1"/>
          <w:numId w:val="2"/>
        </w:numPr>
        <w:spacing w:lineRule="auto" w:line="276" w:before="120" w:after="120"/>
        <w:contextualSpacing/>
        <w:jc w:val="both"/>
        <w:rPr>
          <w:rFonts w:cs="Arial"/>
          <w:szCs w:val="20"/>
        </w:rPr>
      </w:pPr>
      <w:r>
        <w:rPr>
          <w:rFonts w:cs="Arial" w:ascii="Arial" w:hAnsi="Arial"/>
          <w:color w:val="000000"/>
          <w:sz w:val="24"/>
          <w:szCs w:val="24"/>
        </w:rPr>
        <w:t>O reajuste será realizado por apostilamento.</w:t>
      </w:r>
    </w:p>
    <w:p>
      <w:pPr>
        <w:pStyle w:val="Nivel1"/>
        <w:numPr>
          <w:ilvl w:val="0"/>
          <w:numId w:val="2"/>
        </w:numPr>
        <w:rPr>
          <w:rFonts w:cs="Arial"/>
          <w:color w:val="00000A"/>
        </w:rPr>
      </w:pPr>
      <w:r>
        <w:rPr>
          <w:rFonts w:cs="Arial" w:ascii="Arial" w:hAnsi="Arial"/>
          <w:color w:val="000000"/>
          <w:sz w:val="24"/>
          <w:szCs w:val="24"/>
        </w:rPr>
        <w:t>GARANTIA DA EXECUÇÃO</w:t>
      </w:r>
    </w:p>
    <w:p>
      <w:pPr>
        <w:pStyle w:val="Normal"/>
        <w:spacing w:lineRule="auto" w:line="276"/>
        <w:rPr>
          <w:rFonts w:ascii="Arial" w:hAnsi="Arial" w:cs="Arial"/>
          <w:i/>
          <w:i/>
          <w:color w:val="FF0000"/>
          <w:sz w:val="24"/>
          <w:szCs w:val="24"/>
        </w:rPr>
      </w:pPr>
      <w:r>
        <w:rPr>
          <w:rFonts w:cs="Arial" w:ascii="Arial" w:hAnsi="Arial"/>
          <w:i/>
          <w:color w:val="FF0000"/>
          <w:sz w:val="24"/>
          <w:szCs w:val="24"/>
        </w:rPr>
      </w:r>
    </w:p>
    <w:p>
      <w:pPr>
        <w:pStyle w:val="ListParagraph"/>
        <w:numPr>
          <w:ilvl w:val="1"/>
          <w:numId w:val="2"/>
        </w:numPr>
        <w:spacing w:lineRule="auto" w:line="276" w:before="120" w:after="120"/>
        <w:contextualSpacing/>
        <w:jc w:val="both"/>
        <w:rPr>
          <w:rFonts w:cs="Arial"/>
          <w:i/>
          <w:i/>
          <w:color w:val="FF0000"/>
          <w:szCs w:val="20"/>
        </w:rPr>
      </w:pPr>
      <w:r>
        <w:rPr>
          <w:rFonts w:cs="Arial" w:ascii="Arial" w:hAnsi="Arial"/>
          <w:i w:val="false"/>
          <w:iCs w:val="false"/>
          <w:color w:val="000000"/>
          <w:sz w:val="24"/>
          <w:szCs w:val="24"/>
        </w:rPr>
        <w:t>Haverá exigência de garantia contratual da execução, pelas razões abaixo justificadas:</w:t>
      </w:r>
    </w:p>
    <w:p>
      <w:pPr>
        <w:pStyle w:val="ListParagraph"/>
        <w:numPr>
          <w:ilvl w:val="0"/>
          <w:numId w:val="0"/>
        </w:numPr>
        <w:tabs>
          <w:tab w:val="left" w:pos="1678" w:leader="none"/>
        </w:tabs>
        <w:spacing w:lineRule="auto" w:line="288" w:before="196" w:after="0"/>
        <w:ind w:left="1976" w:right="610" w:hanging="0"/>
        <w:contextualSpacing/>
        <w:jc w:val="both"/>
        <w:rPr/>
      </w:pPr>
      <w:r>
        <w:rPr>
          <w:rFonts w:ascii="Arial" w:hAnsi="Arial"/>
          <w:i w:val="false"/>
          <w:iCs w:val="false"/>
          <w:color w:val="000000"/>
          <w:sz w:val="24"/>
          <w:szCs w:val="24"/>
        </w:rPr>
        <w:t>20.1.1.</w:t>
      </w:r>
      <w:hyperlink r:id="rId22">
        <w:r>
          <w:rPr>
            <w:rStyle w:val="ListLabel31"/>
            <w:rFonts w:ascii="Arial" w:hAnsi="Arial"/>
            <w:i w:val="false"/>
            <w:iCs w:val="false"/>
            <w:color w:val="000000"/>
            <w:sz w:val="24"/>
            <w:szCs w:val="24"/>
          </w:rPr>
          <w:t>O</w:t>
        </w:r>
        <w:r>
          <w:rPr>
            <w:rStyle w:val="ListLabel31"/>
            <w:rFonts w:ascii="Arial" w:hAnsi="Arial"/>
            <w:i w:val="false"/>
            <w:iCs w:val="false"/>
            <w:color w:val="000000"/>
            <w:spacing w:val="11"/>
            <w:sz w:val="24"/>
            <w:szCs w:val="24"/>
          </w:rPr>
          <w:t xml:space="preserve"> </w:t>
        </w:r>
        <w:r>
          <w:rPr>
            <w:rStyle w:val="ListLabel31"/>
            <w:rFonts w:ascii="Arial" w:hAnsi="Arial"/>
            <w:i w:val="false"/>
            <w:iCs w:val="false"/>
            <w:color w:val="000000"/>
            <w:sz w:val="24"/>
            <w:szCs w:val="24"/>
          </w:rPr>
          <w:t>adjudicatário</w:t>
        </w:r>
        <w:r>
          <w:rPr>
            <w:rStyle w:val="ListLabel31"/>
            <w:rFonts w:ascii="Arial" w:hAnsi="Arial"/>
            <w:i w:val="false"/>
            <w:iCs w:val="false"/>
            <w:color w:val="000000"/>
            <w:spacing w:val="13"/>
            <w:sz w:val="24"/>
            <w:szCs w:val="24"/>
          </w:rPr>
          <w:t xml:space="preserve"> </w:t>
        </w:r>
        <w:r>
          <w:rPr>
            <w:rStyle w:val="ListLabel31"/>
            <w:rFonts w:ascii="Arial" w:hAnsi="Arial"/>
            <w:i w:val="false"/>
            <w:iCs w:val="false"/>
            <w:color w:val="000000"/>
            <w:sz w:val="24"/>
            <w:szCs w:val="24"/>
          </w:rPr>
          <w:t>prestará</w:t>
        </w:r>
        <w:r>
          <w:rPr>
            <w:rStyle w:val="ListLabel31"/>
            <w:rFonts w:ascii="Arial" w:hAnsi="Arial"/>
            <w:i w:val="false"/>
            <w:iCs w:val="false"/>
            <w:color w:val="000000"/>
            <w:spacing w:val="13"/>
            <w:sz w:val="24"/>
            <w:szCs w:val="24"/>
          </w:rPr>
          <w:t xml:space="preserve"> </w:t>
        </w:r>
        <w:r>
          <w:rPr>
            <w:rStyle w:val="ListLabel31"/>
            <w:rFonts w:ascii="Arial" w:hAnsi="Arial"/>
            <w:i w:val="false"/>
            <w:iCs w:val="false"/>
            <w:color w:val="000000"/>
            <w:sz w:val="24"/>
            <w:szCs w:val="24"/>
          </w:rPr>
          <w:t>garantia</w:t>
        </w:r>
        <w:r>
          <w:rPr>
            <w:rStyle w:val="ListLabel31"/>
            <w:rFonts w:ascii="Arial" w:hAnsi="Arial"/>
            <w:i w:val="false"/>
            <w:iCs w:val="false"/>
            <w:color w:val="000000"/>
            <w:spacing w:val="12"/>
            <w:sz w:val="24"/>
            <w:szCs w:val="24"/>
          </w:rPr>
          <w:t xml:space="preserve"> </w:t>
        </w:r>
        <w:r>
          <w:rPr>
            <w:rStyle w:val="ListLabel31"/>
            <w:rFonts w:ascii="Arial" w:hAnsi="Arial"/>
            <w:i w:val="false"/>
            <w:iCs w:val="false"/>
            <w:color w:val="000000"/>
            <w:sz w:val="24"/>
            <w:szCs w:val="24"/>
          </w:rPr>
          <w:t>de</w:t>
        </w:r>
        <w:r>
          <w:rPr>
            <w:rStyle w:val="ListLabel31"/>
            <w:rFonts w:ascii="Arial" w:hAnsi="Arial"/>
            <w:i w:val="false"/>
            <w:iCs w:val="false"/>
            <w:color w:val="000000"/>
            <w:spacing w:val="13"/>
            <w:sz w:val="24"/>
            <w:szCs w:val="24"/>
          </w:rPr>
          <w:t xml:space="preserve"> </w:t>
        </w:r>
        <w:r>
          <w:rPr>
            <w:rStyle w:val="ListLabel31"/>
            <w:rFonts w:ascii="Arial" w:hAnsi="Arial"/>
            <w:i w:val="false"/>
            <w:iCs w:val="false"/>
            <w:color w:val="000000"/>
            <w:sz w:val="24"/>
            <w:szCs w:val="24"/>
          </w:rPr>
          <w:t>execução</w:t>
        </w:r>
        <w:r>
          <w:rPr>
            <w:rStyle w:val="ListLabel31"/>
            <w:rFonts w:ascii="Arial" w:hAnsi="Arial"/>
            <w:i w:val="false"/>
            <w:iCs w:val="false"/>
            <w:color w:val="000000"/>
            <w:spacing w:val="13"/>
            <w:sz w:val="24"/>
            <w:szCs w:val="24"/>
          </w:rPr>
          <w:t xml:space="preserve"> </w:t>
        </w:r>
        <w:r>
          <w:rPr>
            <w:rStyle w:val="ListLabel31"/>
            <w:rFonts w:ascii="Arial" w:hAnsi="Arial"/>
            <w:i w:val="false"/>
            <w:iCs w:val="false"/>
            <w:color w:val="000000"/>
            <w:sz w:val="24"/>
            <w:szCs w:val="24"/>
          </w:rPr>
          <w:t>do</w:t>
        </w:r>
        <w:r>
          <w:rPr>
            <w:rStyle w:val="ListLabel31"/>
            <w:rFonts w:ascii="Arial" w:hAnsi="Arial"/>
            <w:i w:val="false"/>
            <w:iCs w:val="false"/>
            <w:color w:val="000000"/>
            <w:spacing w:val="11"/>
            <w:sz w:val="24"/>
            <w:szCs w:val="24"/>
          </w:rPr>
          <w:t xml:space="preserve"> </w:t>
        </w:r>
        <w:r>
          <w:rPr>
            <w:rStyle w:val="ListLabel31"/>
            <w:rFonts w:ascii="Arial" w:hAnsi="Arial"/>
            <w:i w:val="false"/>
            <w:iCs w:val="false"/>
            <w:color w:val="000000"/>
            <w:sz w:val="24"/>
            <w:szCs w:val="24"/>
          </w:rPr>
          <w:t>contrato,</w:t>
        </w:r>
        <w:r>
          <w:rPr>
            <w:rStyle w:val="ListLabel31"/>
            <w:rFonts w:ascii="Arial" w:hAnsi="Arial"/>
            <w:i w:val="false"/>
            <w:iCs w:val="false"/>
            <w:color w:val="000000"/>
            <w:spacing w:val="13"/>
            <w:sz w:val="24"/>
            <w:szCs w:val="24"/>
          </w:rPr>
          <w:t xml:space="preserve"> </w:t>
        </w:r>
        <w:r>
          <w:rPr>
            <w:rStyle w:val="ListLabel31"/>
            <w:rFonts w:ascii="Arial" w:hAnsi="Arial"/>
            <w:i w:val="false"/>
            <w:iCs w:val="false"/>
            <w:color w:val="000000"/>
            <w:sz w:val="24"/>
            <w:szCs w:val="24"/>
          </w:rPr>
          <w:t>nos</w:t>
        </w:r>
        <w:r>
          <w:rPr>
            <w:rStyle w:val="ListLabel31"/>
            <w:rFonts w:ascii="Arial" w:hAnsi="Arial"/>
            <w:i w:val="false"/>
            <w:iCs w:val="false"/>
            <w:color w:val="000000"/>
            <w:spacing w:val="12"/>
            <w:sz w:val="24"/>
            <w:szCs w:val="24"/>
          </w:rPr>
          <w:t xml:space="preserve"> </w:t>
        </w:r>
        <w:r>
          <w:rPr>
            <w:rStyle w:val="ListLabel31"/>
            <w:rFonts w:ascii="Arial" w:hAnsi="Arial"/>
            <w:i w:val="false"/>
            <w:iCs w:val="false"/>
            <w:color w:val="000000"/>
            <w:sz w:val="24"/>
            <w:szCs w:val="24"/>
          </w:rPr>
          <w:t>moldes</w:t>
        </w:r>
        <w:r>
          <w:rPr>
            <w:rStyle w:val="ListLabel31"/>
            <w:rFonts w:ascii="Arial" w:hAnsi="Arial"/>
            <w:i w:val="false"/>
            <w:iCs w:val="false"/>
            <w:color w:val="000000"/>
            <w:spacing w:val="12"/>
            <w:sz w:val="24"/>
            <w:szCs w:val="24"/>
          </w:rPr>
          <w:t xml:space="preserve"> </w:t>
        </w:r>
        <w:r>
          <w:rPr>
            <w:rStyle w:val="ListLabel31"/>
            <w:rFonts w:ascii="Arial" w:hAnsi="Arial"/>
            <w:i w:val="false"/>
            <w:iCs w:val="false"/>
            <w:color w:val="000000"/>
            <w:sz w:val="24"/>
            <w:szCs w:val="24"/>
          </w:rPr>
          <w:t>do</w:t>
        </w:r>
        <w:r>
          <w:rPr>
            <w:rStyle w:val="ListLabel31"/>
            <w:rFonts w:ascii="Arial" w:hAnsi="Arial"/>
            <w:i w:val="false"/>
            <w:iCs w:val="false"/>
            <w:color w:val="000000"/>
            <w:spacing w:val="11"/>
            <w:sz w:val="24"/>
            <w:szCs w:val="24"/>
          </w:rPr>
          <w:t xml:space="preserve"> </w:t>
        </w:r>
        <w:r>
          <w:rPr>
            <w:rStyle w:val="ListLabel31"/>
            <w:rFonts w:ascii="Arial" w:hAnsi="Arial"/>
            <w:i w:val="false"/>
            <w:iCs w:val="false"/>
            <w:color w:val="000000"/>
            <w:sz w:val="24"/>
            <w:szCs w:val="24"/>
          </w:rPr>
          <w:t>art.</w:t>
        </w:r>
        <w:r>
          <w:rPr>
            <w:rStyle w:val="ListLabel31"/>
            <w:rFonts w:ascii="Arial" w:hAnsi="Arial"/>
            <w:i w:val="false"/>
            <w:iCs w:val="false"/>
            <w:color w:val="000000"/>
            <w:spacing w:val="13"/>
            <w:sz w:val="24"/>
            <w:szCs w:val="24"/>
          </w:rPr>
          <w:t xml:space="preserve"> </w:t>
        </w:r>
        <w:r>
          <w:rPr>
            <w:rStyle w:val="ListLabel31"/>
            <w:rFonts w:ascii="Arial" w:hAnsi="Arial"/>
            <w:i w:val="false"/>
            <w:iCs w:val="false"/>
            <w:color w:val="000000"/>
            <w:sz w:val="24"/>
            <w:szCs w:val="24"/>
          </w:rPr>
          <w:t>56</w:t>
        </w:r>
        <w:r>
          <w:rPr>
            <w:rStyle w:val="ListLabel31"/>
            <w:rFonts w:ascii="Arial" w:hAnsi="Arial"/>
            <w:i w:val="false"/>
            <w:iCs w:val="false"/>
            <w:color w:val="000000"/>
            <w:spacing w:val="11"/>
            <w:sz w:val="24"/>
            <w:szCs w:val="24"/>
          </w:rPr>
          <w:t xml:space="preserve"> </w:t>
        </w:r>
        <w:r>
          <w:rPr>
            <w:rStyle w:val="ListLabel31"/>
            <w:rFonts w:ascii="Arial" w:hAnsi="Arial"/>
            <w:i w:val="false"/>
            <w:iCs w:val="false"/>
            <w:color w:val="000000"/>
            <w:sz w:val="24"/>
            <w:szCs w:val="24"/>
          </w:rPr>
          <w:t>da</w:t>
        </w:r>
        <w:r>
          <w:rPr>
            <w:rStyle w:val="ListLabel31"/>
            <w:rFonts w:ascii="Arial" w:hAnsi="Arial"/>
            <w:i w:val="false"/>
            <w:iCs w:val="false"/>
            <w:color w:val="000000"/>
            <w:spacing w:val="11"/>
            <w:sz w:val="24"/>
            <w:szCs w:val="24"/>
          </w:rPr>
          <w:t xml:space="preserve"> </w:t>
        </w:r>
        <w:r>
          <w:rPr>
            <w:rStyle w:val="ListLabel31"/>
            <w:rFonts w:ascii="Arial" w:hAnsi="Arial"/>
            <w:i w:val="false"/>
            <w:iCs w:val="false"/>
            <w:color w:val="000000"/>
            <w:sz w:val="24"/>
            <w:szCs w:val="24"/>
          </w:rPr>
          <w:t>L</w:t>
        </w:r>
        <w:r>
          <w:rPr>
            <w:rStyle w:val="ListLabel31"/>
            <w:rFonts w:ascii="Arial" w:hAnsi="Arial"/>
            <w:color w:val="000000"/>
            <w:sz w:val="24"/>
            <w:szCs w:val="24"/>
          </w:rPr>
          <w:t>ei</w:t>
        </w:r>
      </w:hyperlink>
      <w:r>
        <w:rPr>
          <w:rFonts w:ascii="Arial" w:hAnsi="Arial"/>
          <w:color w:val="000000"/>
          <w:spacing w:val="-58"/>
          <w:sz w:val="24"/>
          <w:szCs w:val="24"/>
        </w:rPr>
        <w:t xml:space="preserve"> </w:t>
      </w:r>
      <w:hyperlink r:id="rId23">
        <w:r>
          <w:rPr>
            <w:rStyle w:val="ListLabel32"/>
            <w:rFonts w:ascii="Arial" w:hAnsi="Arial"/>
            <w:color w:val="000000"/>
            <w:sz w:val="24"/>
            <w:szCs w:val="24"/>
          </w:rPr>
          <w:t>nº 8.666, de 1993, com validade durante a execução do contrato e por 15</w:t>
        </w:r>
        <w:r>
          <w:rPr>
            <w:rStyle w:val="ListLabel32"/>
            <w:rFonts w:ascii="Arial" w:hAnsi="Arial"/>
            <w:b/>
            <w:color w:val="000000"/>
            <w:sz w:val="24"/>
            <w:szCs w:val="24"/>
          </w:rPr>
          <w:t xml:space="preserve"> (quinze) dias</w:t>
        </w:r>
        <w:r>
          <w:rPr>
            <w:rStyle w:val="ListLabel32"/>
            <w:rFonts w:ascii="Arial" w:hAnsi="Arial"/>
            <w:b/>
            <w:color w:val="000000"/>
            <w:spacing w:val="1"/>
            <w:sz w:val="24"/>
            <w:szCs w:val="24"/>
          </w:rPr>
          <w:t xml:space="preserve"> </w:t>
        </w:r>
        <w:r>
          <w:rPr>
            <w:rStyle w:val="ListLabel32"/>
            <w:rFonts w:ascii="Arial" w:hAnsi="Arial"/>
            <w:b/>
            <w:color w:val="000000"/>
            <w:sz w:val="24"/>
            <w:szCs w:val="24"/>
          </w:rPr>
          <w:t xml:space="preserve">corridos </w:t>
        </w:r>
        <w:r>
          <w:rPr>
            <w:rStyle w:val="ListLabel32"/>
            <w:rFonts w:ascii="Arial" w:hAnsi="Arial"/>
            <w:color w:val="000000"/>
            <w:sz w:val="24"/>
            <w:szCs w:val="24"/>
          </w:rPr>
          <w:t xml:space="preserve">após o término da vigência contratual, em valor correspondente a </w:t>
        </w:r>
        <w:r>
          <w:rPr>
            <w:rStyle w:val="ListLabel32"/>
            <w:rFonts w:ascii="Arial" w:hAnsi="Arial"/>
            <w:b/>
            <w:color w:val="000000"/>
            <w:sz w:val="24"/>
            <w:szCs w:val="24"/>
          </w:rPr>
          <w:t>5% (cinco por</w:t>
        </w:r>
      </w:hyperlink>
      <w:r>
        <w:rPr>
          <w:rFonts w:ascii="Arial" w:hAnsi="Arial"/>
          <w:b/>
          <w:color w:val="000000"/>
          <w:spacing w:val="1"/>
          <w:sz w:val="24"/>
          <w:szCs w:val="24"/>
        </w:rPr>
        <w:t xml:space="preserve"> </w:t>
      </w:r>
      <w:hyperlink r:id="rId24">
        <w:r>
          <w:rPr>
            <w:rStyle w:val="ListLabel31"/>
            <w:rFonts w:ascii="Arial" w:hAnsi="Arial"/>
            <w:b/>
            <w:color w:val="000000"/>
            <w:sz w:val="24"/>
            <w:szCs w:val="24"/>
          </w:rPr>
          <w:t>cento)</w:t>
        </w:r>
        <w:r>
          <w:rPr>
            <w:rStyle w:val="ListLabel31"/>
            <w:rFonts w:ascii="Arial" w:hAnsi="Arial"/>
            <w:b/>
            <w:color w:val="000000"/>
            <w:spacing w:val="-1"/>
            <w:sz w:val="24"/>
            <w:szCs w:val="24"/>
          </w:rPr>
          <w:t xml:space="preserve"> </w:t>
        </w:r>
        <w:r>
          <w:rPr>
            <w:rStyle w:val="ListLabel31"/>
            <w:rFonts w:ascii="Arial" w:hAnsi="Arial"/>
            <w:color w:val="000000"/>
            <w:sz w:val="24"/>
            <w:szCs w:val="24"/>
          </w:rPr>
          <w:t>do valor total</w:t>
        </w:r>
        <w:r>
          <w:rPr>
            <w:rStyle w:val="ListLabel31"/>
            <w:rFonts w:ascii="Arial" w:hAnsi="Arial"/>
            <w:color w:val="000000"/>
            <w:spacing w:val="3"/>
            <w:sz w:val="24"/>
            <w:szCs w:val="24"/>
          </w:rPr>
          <w:t xml:space="preserve"> </w:t>
        </w:r>
        <w:r>
          <w:rPr>
            <w:rStyle w:val="ListLabel31"/>
            <w:rFonts w:ascii="Arial" w:hAnsi="Arial"/>
            <w:color w:val="000000"/>
            <w:sz w:val="24"/>
            <w:szCs w:val="24"/>
          </w:rPr>
          <w:t>do contrato.</w:t>
        </w:r>
      </w:hyperlink>
      <w:r>
        <w:rPr>
          <w:rFonts w:ascii="Arial" w:hAnsi="Arial"/>
          <w:color w:val="000000"/>
          <w:sz w:val="24"/>
          <w:szCs w:val="24"/>
        </w:rPr>
        <w:t xml:space="preserve"> </w:t>
      </w:r>
    </w:p>
    <w:p>
      <w:pPr>
        <w:pStyle w:val="ListParagraph"/>
        <w:numPr>
          <w:ilvl w:val="0"/>
          <w:numId w:val="0"/>
        </w:numPr>
        <w:tabs>
          <w:tab w:val="left" w:pos="1678" w:leader="none"/>
        </w:tabs>
        <w:spacing w:lineRule="auto" w:line="288" w:before="196" w:after="0"/>
        <w:ind w:left="1976" w:right="610" w:hanging="0"/>
        <w:contextualSpacing/>
        <w:jc w:val="both"/>
        <w:rPr/>
      </w:pPr>
      <w:r>
        <w:rPr>
          <w:rFonts w:ascii="Arial" w:hAnsi="Arial"/>
          <w:color w:val="000000"/>
          <w:sz w:val="24"/>
          <w:szCs w:val="24"/>
        </w:rPr>
        <w:t xml:space="preserve">20.1.2. </w:t>
      </w:r>
      <w:hyperlink r:id="rId25">
        <w:r>
          <w:rPr>
            <w:rStyle w:val="ListLabel31"/>
            <w:rFonts w:ascii="Arial" w:hAnsi="Arial"/>
            <w:color w:val="000000"/>
            <w:sz w:val="24"/>
            <w:szCs w:val="24"/>
          </w:rPr>
          <w:t xml:space="preserve">No prazo máximo de </w:t>
        </w:r>
        <w:r>
          <w:rPr>
            <w:rStyle w:val="ListLabel31"/>
            <w:rFonts w:ascii="Arial" w:hAnsi="Arial"/>
            <w:b/>
            <w:color w:val="000000"/>
            <w:sz w:val="24"/>
            <w:szCs w:val="24"/>
          </w:rPr>
          <w:t>10 (dez) dias úteis</w:t>
        </w:r>
        <w:r>
          <w:rPr>
            <w:rStyle w:val="ListLabel31"/>
            <w:rFonts w:ascii="Arial" w:hAnsi="Arial"/>
            <w:color w:val="000000"/>
            <w:sz w:val="24"/>
            <w:szCs w:val="24"/>
          </w:rPr>
          <w:t>, prorrogáveis por igual período, a critério do</w:t>
        </w:r>
      </w:hyperlink>
      <w:r>
        <w:rPr>
          <w:rFonts w:ascii="Arial" w:hAnsi="Arial"/>
          <w:color w:val="000000"/>
          <w:spacing w:val="1"/>
          <w:sz w:val="24"/>
          <w:szCs w:val="24"/>
        </w:rPr>
        <w:t xml:space="preserve"> </w:t>
      </w:r>
      <w:hyperlink r:id="rId26">
        <w:r>
          <w:rPr>
            <w:rStyle w:val="ListLabel31"/>
            <w:rFonts w:ascii="Arial" w:hAnsi="Arial"/>
            <w:color w:val="000000"/>
            <w:sz w:val="24"/>
            <w:szCs w:val="24"/>
          </w:rPr>
          <w:t>contratante,</w:t>
        </w:r>
        <w:r>
          <w:rPr>
            <w:rStyle w:val="ListLabel31"/>
            <w:rFonts w:ascii="Arial" w:hAnsi="Arial"/>
            <w:color w:val="000000"/>
            <w:spacing w:val="21"/>
            <w:sz w:val="24"/>
            <w:szCs w:val="24"/>
          </w:rPr>
          <w:t xml:space="preserve"> </w:t>
        </w:r>
        <w:r>
          <w:rPr>
            <w:rStyle w:val="ListLabel31"/>
            <w:rFonts w:ascii="Arial" w:hAnsi="Arial"/>
            <w:color w:val="000000"/>
            <w:sz w:val="24"/>
            <w:szCs w:val="24"/>
          </w:rPr>
          <w:t>contados</w:t>
        </w:r>
        <w:r>
          <w:rPr>
            <w:rStyle w:val="ListLabel31"/>
            <w:rFonts w:ascii="Arial" w:hAnsi="Arial"/>
            <w:color w:val="000000"/>
            <w:spacing w:val="21"/>
            <w:sz w:val="24"/>
            <w:szCs w:val="24"/>
          </w:rPr>
          <w:t xml:space="preserve"> </w:t>
        </w:r>
        <w:r>
          <w:rPr>
            <w:rStyle w:val="ListLabel31"/>
            <w:rFonts w:ascii="Arial" w:hAnsi="Arial"/>
            <w:color w:val="000000"/>
            <w:sz w:val="24"/>
            <w:szCs w:val="24"/>
          </w:rPr>
          <w:t>da</w:t>
        </w:r>
        <w:r>
          <w:rPr>
            <w:rStyle w:val="ListLabel31"/>
            <w:rFonts w:ascii="Arial" w:hAnsi="Arial"/>
            <w:color w:val="000000"/>
            <w:spacing w:val="19"/>
            <w:sz w:val="24"/>
            <w:szCs w:val="24"/>
          </w:rPr>
          <w:t xml:space="preserve"> </w:t>
        </w:r>
        <w:r>
          <w:rPr>
            <w:rStyle w:val="ListLabel31"/>
            <w:rFonts w:ascii="Arial" w:hAnsi="Arial"/>
            <w:color w:val="000000"/>
            <w:sz w:val="24"/>
            <w:szCs w:val="24"/>
          </w:rPr>
          <w:t>assinatura</w:t>
        </w:r>
        <w:r>
          <w:rPr>
            <w:rStyle w:val="ListLabel31"/>
            <w:rFonts w:ascii="Arial" w:hAnsi="Arial"/>
            <w:color w:val="000000"/>
            <w:spacing w:val="22"/>
            <w:sz w:val="24"/>
            <w:szCs w:val="24"/>
          </w:rPr>
          <w:t xml:space="preserve"> </w:t>
        </w:r>
        <w:r>
          <w:rPr>
            <w:rStyle w:val="ListLabel31"/>
            <w:rFonts w:ascii="Arial" w:hAnsi="Arial"/>
            <w:color w:val="000000"/>
            <w:sz w:val="24"/>
            <w:szCs w:val="24"/>
          </w:rPr>
          <w:t>do</w:t>
        </w:r>
        <w:r>
          <w:rPr>
            <w:rStyle w:val="ListLabel31"/>
            <w:rFonts w:ascii="Arial" w:hAnsi="Arial"/>
            <w:color w:val="000000"/>
            <w:spacing w:val="18"/>
            <w:sz w:val="24"/>
            <w:szCs w:val="24"/>
          </w:rPr>
          <w:t xml:space="preserve"> </w:t>
        </w:r>
        <w:r>
          <w:rPr>
            <w:rStyle w:val="ListLabel31"/>
            <w:rFonts w:ascii="Arial" w:hAnsi="Arial"/>
            <w:color w:val="000000"/>
            <w:sz w:val="24"/>
            <w:szCs w:val="24"/>
          </w:rPr>
          <w:t>contrato,</w:t>
        </w:r>
        <w:r>
          <w:rPr>
            <w:rStyle w:val="ListLabel31"/>
            <w:rFonts w:ascii="Arial" w:hAnsi="Arial"/>
            <w:color w:val="000000"/>
            <w:spacing w:val="21"/>
            <w:sz w:val="24"/>
            <w:szCs w:val="24"/>
          </w:rPr>
          <w:t xml:space="preserve"> </w:t>
        </w:r>
        <w:r>
          <w:rPr>
            <w:rStyle w:val="ListLabel31"/>
            <w:rFonts w:ascii="Arial" w:hAnsi="Arial"/>
            <w:color w:val="000000"/>
            <w:sz w:val="24"/>
            <w:szCs w:val="24"/>
          </w:rPr>
          <w:t>a</w:t>
        </w:r>
        <w:r>
          <w:rPr>
            <w:rStyle w:val="ListLabel31"/>
            <w:rFonts w:ascii="Arial" w:hAnsi="Arial"/>
            <w:color w:val="000000"/>
            <w:spacing w:val="20"/>
            <w:sz w:val="24"/>
            <w:szCs w:val="24"/>
          </w:rPr>
          <w:t xml:space="preserve"> </w:t>
        </w:r>
        <w:r>
          <w:rPr>
            <w:rStyle w:val="ListLabel31"/>
            <w:rFonts w:ascii="Arial" w:hAnsi="Arial"/>
            <w:color w:val="000000"/>
            <w:sz w:val="24"/>
            <w:szCs w:val="24"/>
          </w:rPr>
          <w:t>contratada</w:t>
        </w:r>
        <w:r>
          <w:rPr>
            <w:rStyle w:val="ListLabel31"/>
            <w:rFonts w:ascii="Arial" w:hAnsi="Arial"/>
            <w:color w:val="000000"/>
            <w:spacing w:val="22"/>
            <w:sz w:val="24"/>
            <w:szCs w:val="24"/>
          </w:rPr>
          <w:t xml:space="preserve"> </w:t>
        </w:r>
        <w:r>
          <w:rPr>
            <w:rStyle w:val="ListLabel31"/>
            <w:rFonts w:ascii="Arial" w:hAnsi="Arial"/>
            <w:color w:val="000000"/>
            <w:sz w:val="24"/>
            <w:szCs w:val="24"/>
          </w:rPr>
          <w:t>deverá</w:t>
        </w:r>
        <w:r>
          <w:rPr>
            <w:rStyle w:val="ListLabel31"/>
            <w:rFonts w:ascii="Arial" w:hAnsi="Arial"/>
            <w:color w:val="000000"/>
            <w:spacing w:val="19"/>
            <w:sz w:val="24"/>
            <w:szCs w:val="24"/>
          </w:rPr>
          <w:t xml:space="preserve"> </w:t>
        </w:r>
        <w:r>
          <w:rPr>
            <w:rStyle w:val="ListLabel31"/>
            <w:rFonts w:ascii="Arial" w:hAnsi="Arial"/>
            <w:color w:val="000000"/>
            <w:sz w:val="24"/>
            <w:szCs w:val="24"/>
          </w:rPr>
          <w:t>apresentar</w:t>
        </w:r>
        <w:r>
          <w:rPr>
            <w:rStyle w:val="ListLabel31"/>
            <w:rFonts w:ascii="Arial" w:hAnsi="Arial"/>
            <w:color w:val="000000"/>
            <w:spacing w:val="22"/>
            <w:sz w:val="24"/>
            <w:szCs w:val="24"/>
          </w:rPr>
          <w:t xml:space="preserve"> </w:t>
        </w:r>
        <w:r>
          <w:rPr>
            <w:rStyle w:val="ListLabel31"/>
            <w:rFonts w:ascii="Arial" w:hAnsi="Arial"/>
            <w:color w:val="000000"/>
            <w:sz w:val="24"/>
            <w:szCs w:val="24"/>
          </w:rPr>
          <w:t>comprovante</w:t>
        </w:r>
        <w:r>
          <w:rPr>
            <w:rStyle w:val="ListLabel31"/>
            <w:rFonts w:ascii="Arial" w:hAnsi="Arial"/>
            <w:color w:val="000000"/>
            <w:spacing w:val="-58"/>
            <w:sz w:val="24"/>
            <w:szCs w:val="24"/>
          </w:rPr>
          <w:t xml:space="preserve"> </w:t>
        </w:r>
        <w:r>
          <w:rPr>
            <w:rStyle w:val="ListLabel31"/>
            <w:rFonts w:ascii="Arial" w:hAnsi="Arial"/>
            <w:color w:val="000000"/>
            <w:sz w:val="24"/>
            <w:szCs w:val="24"/>
          </w:rPr>
          <w:t>de prestação de garantia, podendo optar por caução em dinheiro ou títulos da dívida pública,</w:t>
        </w:r>
      </w:hyperlink>
      <w:r>
        <w:rPr>
          <w:rFonts w:ascii="Arial" w:hAnsi="Arial"/>
          <w:color w:val="000000"/>
          <w:spacing w:val="1"/>
          <w:sz w:val="24"/>
          <w:szCs w:val="24"/>
        </w:rPr>
        <w:t xml:space="preserve"> </w:t>
      </w:r>
      <w:hyperlink r:id="rId27">
        <w:r>
          <w:rPr>
            <w:rStyle w:val="ListLabel31"/>
            <w:rFonts w:ascii="Arial" w:hAnsi="Arial"/>
            <w:color w:val="000000"/>
            <w:sz w:val="24"/>
            <w:szCs w:val="24"/>
          </w:rPr>
          <w:t>seguro-garantia</w:t>
        </w:r>
        <w:r>
          <w:rPr>
            <w:rStyle w:val="ListLabel31"/>
            <w:rFonts w:ascii="Arial" w:hAnsi="Arial"/>
            <w:color w:val="000000"/>
            <w:spacing w:val="2"/>
            <w:sz w:val="24"/>
            <w:szCs w:val="24"/>
          </w:rPr>
          <w:t xml:space="preserve"> </w:t>
        </w:r>
        <w:r>
          <w:rPr>
            <w:rStyle w:val="ListLabel31"/>
            <w:rFonts w:ascii="Arial" w:hAnsi="Arial"/>
            <w:color w:val="000000"/>
            <w:sz w:val="24"/>
            <w:szCs w:val="24"/>
          </w:rPr>
          <w:t>ou fiança</w:t>
        </w:r>
        <w:r>
          <w:rPr>
            <w:rStyle w:val="ListLabel31"/>
            <w:rFonts w:ascii="Arial" w:hAnsi="Arial"/>
            <w:color w:val="000000"/>
            <w:spacing w:val="1"/>
            <w:sz w:val="24"/>
            <w:szCs w:val="24"/>
          </w:rPr>
          <w:t xml:space="preserve"> </w:t>
        </w:r>
        <w:r>
          <w:rPr>
            <w:rStyle w:val="ListLabel31"/>
            <w:rFonts w:ascii="Arial" w:hAnsi="Arial"/>
            <w:color w:val="000000"/>
            <w:sz w:val="24"/>
            <w:szCs w:val="24"/>
          </w:rPr>
          <w:t>bancária.</w:t>
        </w:r>
      </w:hyperlink>
    </w:p>
    <w:p>
      <w:pPr>
        <w:pStyle w:val="ListParagraph"/>
        <w:widowControl/>
        <w:numPr>
          <w:ilvl w:val="0"/>
          <w:numId w:val="0"/>
        </w:numPr>
        <w:tabs>
          <w:tab w:val="left" w:pos="1864" w:leader="none"/>
        </w:tabs>
        <w:suppressAutoHyphens w:val="true"/>
        <w:bidi w:val="0"/>
        <w:spacing w:lineRule="auto" w:line="288" w:before="140" w:after="0"/>
        <w:ind w:left="1984" w:right="624" w:hanging="0"/>
        <w:contextualSpacing/>
        <w:jc w:val="both"/>
        <w:rPr/>
      </w:pPr>
      <w:r>
        <w:rPr>
          <w:rFonts w:ascii="Arial" w:hAnsi="Arial"/>
          <w:color w:val="000000"/>
          <w:sz w:val="24"/>
          <w:szCs w:val="24"/>
        </w:rPr>
        <w:t xml:space="preserve">20.1.3. </w:t>
      </w:r>
      <w:hyperlink r:id="rId28">
        <w:r>
          <w:rPr>
            <w:rStyle w:val="ListLabel31"/>
            <w:rFonts w:ascii="Arial" w:hAnsi="Arial"/>
            <w:color w:val="000000"/>
            <w:sz w:val="24"/>
            <w:szCs w:val="24"/>
          </w:rPr>
          <w:t>A</w:t>
        </w:r>
        <w:r>
          <w:rPr>
            <w:rStyle w:val="ListLabel31"/>
            <w:rFonts w:ascii="Arial" w:hAnsi="Arial"/>
            <w:color w:val="000000"/>
            <w:spacing w:val="17"/>
            <w:sz w:val="24"/>
            <w:szCs w:val="24"/>
          </w:rPr>
          <w:t xml:space="preserve"> </w:t>
        </w:r>
        <w:r>
          <w:rPr>
            <w:rStyle w:val="ListLabel31"/>
            <w:rFonts w:ascii="Arial" w:hAnsi="Arial"/>
            <w:color w:val="000000"/>
            <w:sz w:val="24"/>
            <w:szCs w:val="24"/>
          </w:rPr>
          <w:t>inobservância</w:t>
        </w:r>
        <w:r>
          <w:rPr>
            <w:rStyle w:val="ListLabel31"/>
            <w:rFonts w:ascii="Arial" w:hAnsi="Arial"/>
            <w:color w:val="000000"/>
            <w:spacing w:val="18"/>
            <w:sz w:val="24"/>
            <w:szCs w:val="24"/>
          </w:rPr>
          <w:t xml:space="preserve"> </w:t>
        </w:r>
        <w:r>
          <w:rPr>
            <w:rStyle w:val="ListLabel31"/>
            <w:rFonts w:ascii="Arial" w:hAnsi="Arial"/>
            <w:color w:val="000000"/>
            <w:sz w:val="24"/>
            <w:szCs w:val="24"/>
          </w:rPr>
          <w:t>do</w:t>
        </w:r>
        <w:r>
          <w:rPr>
            <w:rStyle w:val="ListLabel31"/>
            <w:rFonts w:ascii="Arial" w:hAnsi="Arial"/>
            <w:color w:val="000000"/>
            <w:spacing w:val="16"/>
            <w:sz w:val="24"/>
            <w:szCs w:val="24"/>
          </w:rPr>
          <w:t xml:space="preserve"> </w:t>
        </w:r>
        <w:r>
          <w:rPr>
            <w:rStyle w:val="ListLabel31"/>
            <w:rFonts w:ascii="Arial" w:hAnsi="Arial"/>
            <w:color w:val="000000"/>
            <w:sz w:val="24"/>
            <w:szCs w:val="24"/>
          </w:rPr>
          <w:t>prazo</w:t>
        </w:r>
        <w:r>
          <w:rPr>
            <w:rStyle w:val="ListLabel31"/>
            <w:rFonts w:ascii="Arial" w:hAnsi="Arial"/>
            <w:color w:val="000000"/>
            <w:spacing w:val="18"/>
            <w:sz w:val="24"/>
            <w:szCs w:val="24"/>
          </w:rPr>
          <w:t xml:space="preserve"> </w:t>
        </w:r>
        <w:r>
          <w:rPr>
            <w:rStyle w:val="ListLabel31"/>
            <w:rFonts w:ascii="Arial" w:hAnsi="Arial"/>
            <w:color w:val="000000"/>
            <w:sz w:val="24"/>
            <w:szCs w:val="24"/>
          </w:rPr>
          <w:t>fixado</w:t>
        </w:r>
        <w:r>
          <w:rPr>
            <w:rStyle w:val="ListLabel31"/>
            <w:rFonts w:ascii="Arial" w:hAnsi="Arial"/>
            <w:color w:val="000000"/>
            <w:spacing w:val="17"/>
            <w:sz w:val="24"/>
            <w:szCs w:val="24"/>
          </w:rPr>
          <w:t xml:space="preserve"> </w:t>
        </w:r>
        <w:r>
          <w:rPr>
            <w:rStyle w:val="ListLabel31"/>
            <w:rFonts w:ascii="Arial" w:hAnsi="Arial"/>
            <w:color w:val="000000"/>
            <w:sz w:val="24"/>
            <w:szCs w:val="24"/>
          </w:rPr>
          <w:t>para</w:t>
        </w:r>
        <w:r>
          <w:rPr>
            <w:rStyle w:val="ListLabel31"/>
            <w:rFonts w:ascii="Arial" w:hAnsi="Arial"/>
            <w:color w:val="000000"/>
            <w:spacing w:val="18"/>
            <w:sz w:val="24"/>
            <w:szCs w:val="24"/>
          </w:rPr>
          <w:t xml:space="preserve"> </w:t>
        </w:r>
        <w:r>
          <w:rPr>
            <w:rStyle w:val="ListLabel31"/>
            <w:rFonts w:ascii="Arial" w:hAnsi="Arial"/>
            <w:color w:val="000000"/>
            <w:sz w:val="24"/>
            <w:szCs w:val="24"/>
          </w:rPr>
          <w:t>apresentação</w:t>
        </w:r>
        <w:r>
          <w:rPr>
            <w:rStyle w:val="ListLabel31"/>
            <w:rFonts w:ascii="Arial" w:hAnsi="Arial"/>
            <w:color w:val="000000"/>
            <w:spacing w:val="18"/>
            <w:sz w:val="24"/>
            <w:szCs w:val="24"/>
          </w:rPr>
          <w:t xml:space="preserve"> </w:t>
        </w:r>
        <w:r>
          <w:rPr>
            <w:rStyle w:val="ListLabel31"/>
            <w:rFonts w:ascii="Arial" w:hAnsi="Arial"/>
            <w:color w:val="000000"/>
            <w:sz w:val="24"/>
            <w:szCs w:val="24"/>
          </w:rPr>
          <w:t>da</w:t>
        </w:r>
        <w:r>
          <w:rPr>
            <w:rStyle w:val="ListLabel31"/>
            <w:rFonts w:ascii="Arial" w:hAnsi="Arial"/>
            <w:color w:val="000000"/>
            <w:spacing w:val="18"/>
            <w:sz w:val="24"/>
            <w:szCs w:val="24"/>
          </w:rPr>
          <w:t xml:space="preserve"> </w:t>
        </w:r>
        <w:r>
          <w:rPr>
            <w:rStyle w:val="ListLabel31"/>
            <w:rFonts w:ascii="Arial" w:hAnsi="Arial"/>
            <w:color w:val="000000"/>
            <w:sz w:val="24"/>
            <w:szCs w:val="24"/>
          </w:rPr>
          <w:t>garantia</w:t>
        </w:r>
        <w:r>
          <w:rPr>
            <w:rStyle w:val="ListLabel31"/>
            <w:rFonts w:ascii="Arial" w:hAnsi="Arial"/>
            <w:color w:val="000000"/>
            <w:spacing w:val="18"/>
            <w:sz w:val="24"/>
            <w:szCs w:val="24"/>
          </w:rPr>
          <w:t xml:space="preserve"> </w:t>
        </w:r>
        <w:r>
          <w:rPr>
            <w:rStyle w:val="ListLabel31"/>
            <w:rFonts w:ascii="Arial" w:hAnsi="Arial"/>
            <w:color w:val="000000"/>
            <w:sz w:val="24"/>
            <w:szCs w:val="24"/>
          </w:rPr>
          <w:t>acarretará</w:t>
        </w:r>
        <w:r>
          <w:rPr>
            <w:rStyle w:val="ListLabel31"/>
            <w:rFonts w:ascii="Arial" w:hAnsi="Arial"/>
            <w:color w:val="000000"/>
            <w:spacing w:val="20"/>
            <w:sz w:val="24"/>
            <w:szCs w:val="24"/>
          </w:rPr>
          <w:t xml:space="preserve"> </w:t>
        </w:r>
        <w:r>
          <w:rPr>
            <w:rStyle w:val="ListLabel31"/>
            <w:rFonts w:ascii="Arial" w:hAnsi="Arial"/>
            <w:color w:val="000000"/>
            <w:sz w:val="24"/>
            <w:szCs w:val="24"/>
          </w:rPr>
          <w:t>a</w:t>
        </w:r>
        <w:r>
          <w:rPr>
            <w:rStyle w:val="ListLabel31"/>
            <w:rFonts w:ascii="Arial" w:hAnsi="Arial"/>
            <w:color w:val="000000"/>
            <w:spacing w:val="17"/>
            <w:sz w:val="24"/>
            <w:szCs w:val="24"/>
          </w:rPr>
          <w:t xml:space="preserve"> </w:t>
        </w:r>
        <w:r>
          <w:rPr>
            <w:rStyle w:val="ListLabel31"/>
            <w:rFonts w:ascii="Arial" w:hAnsi="Arial"/>
            <w:color w:val="000000"/>
            <w:sz w:val="24"/>
            <w:szCs w:val="24"/>
          </w:rPr>
          <w:t>aplicação</w:t>
        </w:r>
      </w:hyperlink>
      <w:r>
        <w:rPr>
          <w:rFonts w:ascii="Arial" w:hAnsi="Arial"/>
          <w:color w:val="000000"/>
          <w:spacing w:val="-58"/>
          <w:sz w:val="24"/>
          <w:szCs w:val="24"/>
        </w:rPr>
        <w:t xml:space="preserve"> </w:t>
      </w:r>
      <w:hyperlink r:id="rId29">
        <w:r>
          <w:rPr>
            <w:rStyle w:val="ListLabel31"/>
            <w:rFonts w:ascii="Arial" w:hAnsi="Arial"/>
            <w:color w:val="000000"/>
            <w:sz w:val="24"/>
            <w:szCs w:val="24"/>
          </w:rPr>
          <w:t xml:space="preserve">de multa de </w:t>
        </w:r>
        <w:r>
          <w:rPr>
            <w:rStyle w:val="ListLabel31"/>
            <w:rFonts w:ascii="Arial" w:hAnsi="Arial"/>
            <w:b/>
            <w:color w:val="000000"/>
            <w:sz w:val="24"/>
            <w:szCs w:val="24"/>
          </w:rPr>
          <w:t xml:space="preserve">0,07% (sete centésimos por cento) </w:t>
        </w:r>
        <w:r>
          <w:rPr>
            <w:rStyle w:val="ListLabel31"/>
            <w:rFonts w:ascii="Arial" w:hAnsi="Arial"/>
            <w:color w:val="000000"/>
            <w:sz w:val="24"/>
            <w:szCs w:val="24"/>
          </w:rPr>
          <w:t>do valor total do contrato por dia de atraso,</w:t>
        </w:r>
      </w:hyperlink>
      <w:r>
        <w:rPr>
          <w:rFonts w:ascii="Arial" w:hAnsi="Arial"/>
          <w:color w:val="000000"/>
          <w:spacing w:val="1"/>
          <w:sz w:val="24"/>
          <w:szCs w:val="24"/>
        </w:rPr>
        <w:t xml:space="preserve"> </w:t>
      </w:r>
      <w:hyperlink r:id="rId30">
        <w:r>
          <w:rPr>
            <w:rStyle w:val="ListLabel31"/>
            <w:rFonts w:ascii="Arial" w:hAnsi="Arial"/>
            <w:color w:val="000000"/>
            <w:sz w:val="24"/>
            <w:szCs w:val="24"/>
          </w:rPr>
          <w:t>até o máximo</w:t>
        </w:r>
        <w:r>
          <w:rPr>
            <w:rStyle w:val="ListLabel31"/>
            <w:rFonts w:ascii="Arial" w:hAnsi="Arial"/>
            <w:color w:val="000000"/>
            <w:spacing w:val="1"/>
            <w:sz w:val="24"/>
            <w:szCs w:val="24"/>
          </w:rPr>
          <w:t xml:space="preserve"> </w:t>
        </w:r>
        <w:r>
          <w:rPr>
            <w:rStyle w:val="ListLabel31"/>
            <w:rFonts w:ascii="Arial" w:hAnsi="Arial"/>
            <w:color w:val="000000"/>
            <w:sz w:val="24"/>
            <w:szCs w:val="24"/>
          </w:rPr>
          <w:t>de</w:t>
        </w:r>
        <w:r>
          <w:rPr>
            <w:rStyle w:val="ListLabel31"/>
            <w:rFonts w:ascii="Arial" w:hAnsi="Arial"/>
            <w:color w:val="000000"/>
            <w:spacing w:val="-1"/>
            <w:sz w:val="24"/>
            <w:szCs w:val="24"/>
          </w:rPr>
          <w:t xml:space="preserve"> </w:t>
        </w:r>
        <w:r>
          <w:rPr>
            <w:rStyle w:val="ListLabel31"/>
            <w:rFonts w:ascii="Arial" w:hAnsi="Arial"/>
            <w:b/>
            <w:color w:val="000000"/>
            <w:sz w:val="24"/>
            <w:szCs w:val="24"/>
          </w:rPr>
          <w:t>2% (dois por</w:t>
        </w:r>
        <w:r>
          <w:rPr>
            <w:rStyle w:val="ListLabel31"/>
            <w:rFonts w:ascii="Arial" w:hAnsi="Arial"/>
            <w:b/>
            <w:color w:val="000000"/>
            <w:spacing w:val="1"/>
            <w:sz w:val="24"/>
            <w:szCs w:val="24"/>
          </w:rPr>
          <w:t xml:space="preserve"> </w:t>
        </w:r>
        <w:r>
          <w:rPr>
            <w:rStyle w:val="ListLabel31"/>
            <w:rFonts w:ascii="Arial" w:hAnsi="Arial"/>
            <w:b/>
            <w:color w:val="000000"/>
            <w:sz w:val="24"/>
            <w:szCs w:val="24"/>
          </w:rPr>
          <w:t>cento)</w:t>
        </w:r>
        <w:r>
          <w:rPr>
            <w:rStyle w:val="ListLabel31"/>
            <w:rFonts w:ascii="Arial" w:hAnsi="Arial"/>
            <w:color w:val="000000"/>
            <w:sz w:val="24"/>
            <w:szCs w:val="24"/>
          </w:rPr>
          <w:t>.</w:t>
        </w:r>
      </w:hyperlink>
    </w:p>
    <w:p>
      <w:pPr>
        <w:pStyle w:val="ListParagraph"/>
        <w:widowControl/>
        <w:numPr>
          <w:ilvl w:val="0"/>
          <w:numId w:val="0"/>
        </w:numPr>
        <w:tabs>
          <w:tab w:val="left" w:pos="1900" w:leader="none"/>
        </w:tabs>
        <w:suppressAutoHyphens w:val="true"/>
        <w:bidi w:val="0"/>
        <w:spacing w:lineRule="auto" w:line="288" w:before="138" w:after="0"/>
        <w:ind w:left="1984" w:right="624" w:hanging="0"/>
        <w:contextualSpacing/>
        <w:jc w:val="both"/>
        <w:rPr/>
      </w:pPr>
      <w:r>
        <w:rPr>
          <w:rFonts w:ascii="Arial" w:hAnsi="Arial"/>
          <w:color w:val="000000"/>
          <w:sz w:val="24"/>
          <w:szCs w:val="24"/>
        </w:rPr>
        <w:t xml:space="preserve">20.1.4. </w:t>
      </w:r>
      <w:hyperlink r:id="rId31">
        <w:r>
          <w:rPr>
            <w:rStyle w:val="ListLabel31"/>
            <w:rFonts w:ascii="Arial" w:hAnsi="Arial"/>
            <w:color w:val="000000"/>
            <w:sz w:val="24"/>
            <w:szCs w:val="24"/>
          </w:rPr>
          <w:t>O atraso superior a 15</w:t>
        </w:r>
        <w:r>
          <w:rPr>
            <w:rStyle w:val="ListLabel31"/>
            <w:rFonts w:ascii="Arial" w:hAnsi="Arial"/>
            <w:b/>
            <w:color w:val="000000"/>
            <w:sz w:val="24"/>
            <w:szCs w:val="24"/>
          </w:rPr>
          <w:t xml:space="preserve"> (</w:t>
        </w:r>
        <w:r>
          <w:rPr>
            <w:rStyle w:val="ListLabel31"/>
            <w:rFonts w:eastAsia="Times New Roman" w:cs="Tahoma" w:ascii="Arial" w:hAnsi="Arial"/>
            <w:b/>
            <w:color w:val="000000"/>
            <w:kern w:val="0"/>
            <w:sz w:val="24"/>
            <w:szCs w:val="24"/>
            <w:lang w:val="pt-BR" w:eastAsia="pt-BR" w:bidi="ar-SA"/>
          </w:rPr>
          <w:t>quinze</w:t>
        </w:r>
        <w:r>
          <w:rPr>
            <w:rStyle w:val="ListLabel31"/>
            <w:rFonts w:ascii="Arial" w:hAnsi="Arial"/>
            <w:b/>
            <w:color w:val="000000"/>
            <w:sz w:val="24"/>
            <w:szCs w:val="24"/>
          </w:rPr>
          <w:t>) dias corridos</w:t>
        </w:r>
        <w:r>
          <w:rPr>
            <w:rStyle w:val="ListLabel31"/>
            <w:rFonts w:ascii="Arial" w:hAnsi="Arial"/>
            <w:b/>
            <w:color w:val="000000"/>
            <w:spacing w:val="1"/>
            <w:sz w:val="24"/>
            <w:szCs w:val="24"/>
          </w:rPr>
          <w:t xml:space="preserve"> </w:t>
        </w:r>
        <w:r>
          <w:rPr>
            <w:rStyle w:val="ListLabel31"/>
            <w:rFonts w:ascii="Arial" w:hAnsi="Arial"/>
            <w:color w:val="000000"/>
            <w:sz w:val="24"/>
            <w:szCs w:val="24"/>
          </w:rPr>
          <w:t>autoriza a Administração a</w:t>
        </w:r>
      </w:hyperlink>
      <w:r>
        <w:rPr>
          <w:rFonts w:ascii="Arial" w:hAnsi="Arial"/>
          <w:color w:val="000000"/>
          <w:spacing w:val="1"/>
          <w:sz w:val="24"/>
          <w:szCs w:val="24"/>
        </w:rPr>
        <w:t xml:space="preserve"> </w:t>
      </w:r>
      <w:hyperlink r:id="rId32">
        <w:r>
          <w:rPr>
            <w:rStyle w:val="ListLabel31"/>
            <w:rFonts w:ascii="Arial" w:hAnsi="Arial"/>
            <w:color w:val="000000"/>
            <w:sz w:val="24"/>
            <w:szCs w:val="24"/>
          </w:rPr>
          <w:t>promover</w:t>
        </w:r>
        <w:r>
          <w:rPr>
            <w:rStyle w:val="ListLabel31"/>
            <w:rFonts w:ascii="Arial" w:hAnsi="Arial"/>
            <w:color w:val="000000"/>
            <w:spacing w:val="1"/>
            <w:sz w:val="24"/>
            <w:szCs w:val="24"/>
          </w:rPr>
          <w:t xml:space="preserve"> </w:t>
        </w:r>
        <w:r>
          <w:rPr>
            <w:rStyle w:val="ListLabel31"/>
            <w:rFonts w:ascii="Arial" w:hAnsi="Arial"/>
            <w:color w:val="000000"/>
            <w:sz w:val="24"/>
            <w:szCs w:val="24"/>
          </w:rPr>
          <w:t>a</w:t>
        </w:r>
        <w:r>
          <w:rPr>
            <w:rStyle w:val="ListLabel31"/>
            <w:rFonts w:ascii="Arial" w:hAnsi="Arial"/>
            <w:color w:val="000000"/>
            <w:spacing w:val="1"/>
            <w:sz w:val="24"/>
            <w:szCs w:val="24"/>
          </w:rPr>
          <w:t xml:space="preserve"> </w:t>
        </w:r>
        <w:r>
          <w:rPr>
            <w:rStyle w:val="ListLabel31"/>
            <w:rFonts w:ascii="Arial" w:hAnsi="Arial"/>
            <w:color w:val="000000"/>
            <w:sz w:val="24"/>
            <w:szCs w:val="24"/>
          </w:rPr>
          <w:t>rescisão</w:t>
        </w:r>
        <w:r>
          <w:rPr>
            <w:rStyle w:val="ListLabel31"/>
            <w:rFonts w:ascii="Arial" w:hAnsi="Arial"/>
            <w:color w:val="000000"/>
            <w:spacing w:val="1"/>
            <w:sz w:val="24"/>
            <w:szCs w:val="24"/>
          </w:rPr>
          <w:t xml:space="preserve"> </w:t>
        </w:r>
        <w:r>
          <w:rPr>
            <w:rStyle w:val="ListLabel31"/>
            <w:rFonts w:ascii="Arial" w:hAnsi="Arial"/>
            <w:color w:val="000000"/>
            <w:sz w:val="24"/>
            <w:szCs w:val="24"/>
          </w:rPr>
          <w:t>do</w:t>
        </w:r>
        <w:r>
          <w:rPr>
            <w:rStyle w:val="ListLabel31"/>
            <w:rFonts w:ascii="Arial" w:hAnsi="Arial"/>
            <w:color w:val="000000"/>
            <w:spacing w:val="1"/>
            <w:sz w:val="24"/>
            <w:szCs w:val="24"/>
          </w:rPr>
          <w:t xml:space="preserve"> </w:t>
        </w:r>
        <w:r>
          <w:rPr>
            <w:rStyle w:val="ListLabel31"/>
            <w:rFonts w:ascii="Arial" w:hAnsi="Arial"/>
            <w:color w:val="000000"/>
            <w:sz w:val="24"/>
            <w:szCs w:val="24"/>
          </w:rPr>
          <w:t>contrato</w:t>
        </w:r>
        <w:r>
          <w:rPr>
            <w:rStyle w:val="ListLabel31"/>
            <w:rFonts w:ascii="Arial" w:hAnsi="Arial"/>
            <w:color w:val="000000"/>
            <w:spacing w:val="1"/>
            <w:sz w:val="24"/>
            <w:szCs w:val="24"/>
          </w:rPr>
          <w:t xml:space="preserve"> </w:t>
        </w:r>
        <w:r>
          <w:rPr>
            <w:rStyle w:val="ListLabel31"/>
            <w:rFonts w:ascii="Arial" w:hAnsi="Arial"/>
            <w:color w:val="000000"/>
            <w:sz w:val="24"/>
            <w:szCs w:val="24"/>
          </w:rPr>
          <w:t>por</w:t>
        </w:r>
        <w:r>
          <w:rPr>
            <w:rStyle w:val="ListLabel31"/>
            <w:rFonts w:ascii="Arial" w:hAnsi="Arial"/>
            <w:color w:val="000000"/>
            <w:spacing w:val="1"/>
            <w:sz w:val="24"/>
            <w:szCs w:val="24"/>
          </w:rPr>
          <w:t xml:space="preserve"> </w:t>
        </w:r>
        <w:r>
          <w:rPr>
            <w:rStyle w:val="ListLabel31"/>
            <w:rFonts w:ascii="Arial" w:hAnsi="Arial"/>
            <w:color w:val="000000"/>
            <w:sz w:val="24"/>
            <w:szCs w:val="24"/>
          </w:rPr>
          <w:t>descumprimento</w:t>
        </w:r>
        <w:r>
          <w:rPr>
            <w:rStyle w:val="ListLabel31"/>
            <w:rFonts w:ascii="Arial" w:hAnsi="Arial"/>
            <w:color w:val="000000"/>
            <w:spacing w:val="1"/>
            <w:sz w:val="24"/>
            <w:szCs w:val="24"/>
          </w:rPr>
          <w:t xml:space="preserve"> </w:t>
        </w:r>
        <w:r>
          <w:rPr>
            <w:rStyle w:val="ListLabel31"/>
            <w:rFonts w:ascii="Arial" w:hAnsi="Arial"/>
            <w:color w:val="000000"/>
            <w:sz w:val="24"/>
            <w:szCs w:val="24"/>
          </w:rPr>
          <w:t>ou</w:t>
        </w:r>
        <w:r>
          <w:rPr>
            <w:rStyle w:val="ListLabel31"/>
            <w:rFonts w:ascii="Arial" w:hAnsi="Arial"/>
            <w:color w:val="000000"/>
            <w:spacing w:val="1"/>
            <w:sz w:val="24"/>
            <w:szCs w:val="24"/>
          </w:rPr>
          <w:t xml:space="preserve"> </w:t>
        </w:r>
        <w:r>
          <w:rPr>
            <w:rStyle w:val="ListLabel31"/>
            <w:rFonts w:ascii="Arial" w:hAnsi="Arial"/>
            <w:color w:val="000000"/>
            <w:sz w:val="24"/>
            <w:szCs w:val="24"/>
          </w:rPr>
          <w:t>cumprimento</w:t>
        </w:r>
        <w:r>
          <w:rPr>
            <w:rStyle w:val="ListLabel31"/>
            <w:rFonts w:ascii="Arial" w:hAnsi="Arial"/>
            <w:color w:val="000000"/>
            <w:spacing w:val="1"/>
            <w:sz w:val="24"/>
            <w:szCs w:val="24"/>
          </w:rPr>
          <w:t xml:space="preserve"> </w:t>
        </w:r>
        <w:r>
          <w:rPr>
            <w:rStyle w:val="ListLabel31"/>
            <w:rFonts w:ascii="Arial" w:hAnsi="Arial"/>
            <w:color w:val="000000"/>
            <w:sz w:val="24"/>
            <w:szCs w:val="24"/>
          </w:rPr>
          <w:t>irregular</w:t>
        </w:r>
        <w:r>
          <w:rPr>
            <w:rStyle w:val="ListLabel31"/>
            <w:rFonts w:ascii="Arial" w:hAnsi="Arial"/>
            <w:color w:val="000000"/>
            <w:spacing w:val="1"/>
            <w:sz w:val="24"/>
            <w:szCs w:val="24"/>
          </w:rPr>
          <w:t xml:space="preserve"> </w:t>
        </w:r>
        <w:r>
          <w:rPr>
            <w:rStyle w:val="ListLabel31"/>
            <w:rFonts w:ascii="Arial" w:hAnsi="Arial"/>
            <w:color w:val="000000"/>
            <w:sz w:val="24"/>
            <w:szCs w:val="24"/>
          </w:rPr>
          <w:t>de</w:t>
        </w:r>
        <w:r>
          <w:rPr>
            <w:rStyle w:val="ListLabel31"/>
            <w:rFonts w:ascii="Arial" w:hAnsi="Arial"/>
            <w:color w:val="000000"/>
            <w:spacing w:val="1"/>
            <w:sz w:val="24"/>
            <w:szCs w:val="24"/>
          </w:rPr>
          <w:t xml:space="preserve"> </w:t>
        </w:r>
        <w:r>
          <w:rPr>
            <w:rStyle w:val="ListLabel31"/>
            <w:rFonts w:ascii="Arial" w:hAnsi="Arial"/>
            <w:color w:val="000000"/>
            <w:sz w:val="24"/>
            <w:szCs w:val="24"/>
          </w:rPr>
          <w:t>suas</w:t>
        </w:r>
      </w:hyperlink>
      <w:r>
        <w:rPr>
          <w:rFonts w:ascii="Arial" w:hAnsi="Arial"/>
          <w:color w:val="000000"/>
          <w:spacing w:val="-57"/>
          <w:sz w:val="24"/>
          <w:szCs w:val="24"/>
        </w:rPr>
        <w:t xml:space="preserve"> </w:t>
      </w:r>
      <w:hyperlink r:id="rId33">
        <w:r>
          <w:rPr>
            <w:rStyle w:val="ListLabel31"/>
            <w:rFonts w:ascii="Arial" w:hAnsi="Arial"/>
            <w:color w:val="000000"/>
            <w:sz w:val="24"/>
            <w:szCs w:val="24"/>
          </w:rPr>
          <w:t>cláusulas, conforme</w:t>
        </w:r>
        <w:r>
          <w:rPr>
            <w:rStyle w:val="ListLabel31"/>
            <w:rFonts w:ascii="Arial" w:hAnsi="Arial"/>
            <w:color w:val="000000"/>
            <w:spacing w:val="1"/>
            <w:sz w:val="24"/>
            <w:szCs w:val="24"/>
          </w:rPr>
          <w:t xml:space="preserve"> </w:t>
        </w:r>
        <w:r>
          <w:rPr>
            <w:rStyle w:val="ListLabel31"/>
            <w:rFonts w:ascii="Arial" w:hAnsi="Arial"/>
            <w:color w:val="000000"/>
            <w:sz w:val="24"/>
            <w:szCs w:val="24"/>
          </w:rPr>
          <w:t>dispõem</w:t>
        </w:r>
        <w:r>
          <w:rPr>
            <w:rStyle w:val="ListLabel31"/>
            <w:rFonts w:ascii="Arial" w:hAnsi="Arial"/>
            <w:color w:val="000000"/>
            <w:spacing w:val="-2"/>
            <w:sz w:val="24"/>
            <w:szCs w:val="24"/>
          </w:rPr>
          <w:t xml:space="preserve"> </w:t>
        </w:r>
        <w:r>
          <w:rPr>
            <w:rStyle w:val="ListLabel31"/>
            <w:rFonts w:ascii="Arial" w:hAnsi="Arial"/>
            <w:color w:val="000000"/>
            <w:sz w:val="24"/>
            <w:szCs w:val="24"/>
          </w:rPr>
          <w:t>os incisos</w:t>
        </w:r>
        <w:r>
          <w:rPr>
            <w:rStyle w:val="ListLabel31"/>
            <w:rFonts w:ascii="Arial" w:hAnsi="Arial"/>
            <w:color w:val="000000"/>
            <w:spacing w:val="-1"/>
            <w:sz w:val="24"/>
            <w:szCs w:val="24"/>
          </w:rPr>
          <w:t xml:space="preserve"> </w:t>
        </w:r>
        <w:r>
          <w:rPr>
            <w:rStyle w:val="ListLabel31"/>
            <w:rFonts w:ascii="Arial" w:hAnsi="Arial"/>
            <w:color w:val="000000"/>
            <w:sz w:val="24"/>
            <w:szCs w:val="24"/>
          </w:rPr>
          <w:t>I e</w:t>
        </w:r>
        <w:r>
          <w:rPr>
            <w:rStyle w:val="ListLabel31"/>
            <w:rFonts w:ascii="Arial" w:hAnsi="Arial"/>
            <w:color w:val="000000"/>
            <w:spacing w:val="1"/>
            <w:sz w:val="24"/>
            <w:szCs w:val="24"/>
          </w:rPr>
          <w:t xml:space="preserve"> </w:t>
        </w:r>
        <w:r>
          <w:rPr>
            <w:rStyle w:val="ListLabel31"/>
            <w:rFonts w:ascii="Arial" w:hAnsi="Arial"/>
            <w:color w:val="000000"/>
            <w:sz w:val="24"/>
            <w:szCs w:val="24"/>
          </w:rPr>
          <w:t>II</w:t>
        </w:r>
        <w:r>
          <w:rPr>
            <w:rStyle w:val="ListLabel31"/>
            <w:rFonts w:ascii="Arial" w:hAnsi="Arial"/>
            <w:color w:val="000000"/>
            <w:spacing w:val="-1"/>
            <w:sz w:val="24"/>
            <w:szCs w:val="24"/>
          </w:rPr>
          <w:t xml:space="preserve"> </w:t>
        </w:r>
        <w:r>
          <w:rPr>
            <w:rStyle w:val="ListLabel31"/>
            <w:rFonts w:ascii="Arial" w:hAnsi="Arial"/>
            <w:color w:val="000000"/>
            <w:sz w:val="24"/>
            <w:szCs w:val="24"/>
          </w:rPr>
          <w:t>do art.</w:t>
        </w:r>
        <w:r>
          <w:rPr>
            <w:rStyle w:val="ListLabel31"/>
            <w:rFonts w:ascii="Arial" w:hAnsi="Arial"/>
            <w:color w:val="000000"/>
            <w:spacing w:val="-1"/>
            <w:sz w:val="24"/>
            <w:szCs w:val="24"/>
          </w:rPr>
          <w:t xml:space="preserve"> </w:t>
        </w:r>
        <w:r>
          <w:rPr>
            <w:rStyle w:val="ListLabel31"/>
            <w:rFonts w:ascii="Arial" w:hAnsi="Arial"/>
            <w:color w:val="000000"/>
            <w:sz w:val="24"/>
            <w:szCs w:val="24"/>
          </w:rPr>
          <w:t>78 da</w:t>
        </w:r>
        <w:r>
          <w:rPr>
            <w:rStyle w:val="ListLabel31"/>
            <w:rFonts w:ascii="Arial" w:hAnsi="Arial"/>
            <w:color w:val="000000"/>
            <w:spacing w:val="-1"/>
            <w:sz w:val="24"/>
            <w:szCs w:val="24"/>
          </w:rPr>
          <w:t xml:space="preserve"> </w:t>
        </w:r>
        <w:r>
          <w:rPr>
            <w:rStyle w:val="ListLabel31"/>
            <w:rFonts w:ascii="Arial" w:hAnsi="Arial"/>
            <w:color w:val="000000"/>
            <w:sz w:val="24"/>
            <w:szCs w:val="24"/>
          </w:rPr>
          <w:t>Lei n. 8.666</w:t>
        </w:r>
        <w:r>
          <w:rPr>
            <w:rStyle w:val="ListLabel31"/>
            <w:rFonts w:ascii="Arial" w:hAnsi="Arial"/>
            <w:color w:val="000000"/>
            <w:spacing w:val="-1"/>
            <w:sz w:val="24"/>
            <w:szCs w:val="24"/>
          </w:rPr>
          <w:t xml:space="preserve"> </w:t>
        </w:r>
        <w:r>
          <w:rPr>
            <w:rStyle w:val="ListLabel31"/>
            <w:rFonts w:ascii="Arial" w:hAnsi="Arial"/>
            <w:color w:val="000000"/>
            <w:sz w:val="24"/>
            <w:szCs w:val="24"/>
          </w:rPr>
          <w:t>de</w:t>
        </w:r>
        <w:r>
          <w:rPr>
            <w:rStyle w:val="ListLabel31"/>
            <w:rFonts w:ascii="Arial" w:hAnsi="Arial"/>
            <w:color w:val="000000"/>
            <w:spacing w:val="1"/>
            <w:sz w:val="24"/>
            <w:szCs w:val="24"/>
          </w:rPr>
          <w:t xml:space="preserve"> </w:t>
        </w:r>
        <w:r>
          <w:rPr>
            <w:rStyle w:val="ListLabel31"/>
            <w:rFonts w:ascii="Arial" w:hAnsi="Arial"/>
            <w:color w:val="000000"/>
            <w:sz w:val="24"/>
            <w:szCs w:val="24"/>
          </w:rPr>
          <w:t>1993.</w:t>
        </w:r>
      </w:hyperlink>
    </w:p>
    <w:p>
      <w:pPr>
        <w:pStyle w:val="ListParagraph"/>
        <w:numPr>
          <w:ilvl w:val="0"/>
          <w:numId w:val="0"/>
        </w:numPr>
        <w:tabs>
          <w:tab w:val="left" w:pos="1686" w:leader="none"/>
        </w:tabs>
        <w:spacing w:lineRule="auto" w:line="288" w:before="140" w:after="0"/>
        <w:ind w:left="1976" w:right="611" w:hanging="0"/>
        <w:contextualSpacing/>
        <w:jc w:val="both"/>
        <w:rPr/>
      </w:pPr>
      <w:r>
        <w:rPr>
          <w:rFonts w:ascii="Arial" w:hAnsi="Arial"/>
          <w:color w:val="000000"/>
          <w:sz w:val="24"/>
          <w:szCs w:val="24"/>
        </w:rPr>
        <w:t xml:space="preserve">20.1.5. </w:t>
      </w:r>
      <w:hyperlink r:id="rId34">
        <w:r>
          <w:rPr>
            <w:rStyle w:val="ListLabel31"/>
            <w:rFonts w:ascii="Arial" w:hAnsi="Arial"/>
            <w:color w:val="000000"/>
            <w:sz w:val="24"/>
            <w:szCs w:val="24"/>
          </w:rPr>
          <w:t>A validade da garantia, qualquer que seja a modalidade escolhida, deverá abranger um</w:t>
        </w:r>
      </w:hyperlink>
      <w:r>
        <w:rPr>
          <w:rFonts w:ascii="Arial" w:hAnsi="Arial"/>
          <w:color w:val="000000"/>
          <w:spacing w:val="1"/>
          <w:sz w:val="24"/>
          <w:szCs w:val="24"/>
        </w:rPr>
        <w:t xml:space="preserve"> </w:t>
      </w:r>
      <w:hyperlink r:id="rId35">
        <w:r>
          <w:rPr>
            <w:rStyle w:val="ListLabel31"/>
            <w:rFonts w:ascii="Arial" w:hAnsi="Arial"/>
            <w:color w:val="000000"/>
            <w:sz w:val="24"/>
            <w:szCs w:val="24"/>
          </w:rPr>
          <w:t>período de 90 dias após o término da vigência contratual, conforme item 3.1 do Anexo VII-F</w:t>
        </w:r>
      </w:hyperlink>
      <w:r>
        <w:rPr>
          <w:rFonts w:ascii="Arial" w:hAnsi="Arial"/>
          <w:color w:val="000000"/>
          <w:spacing w:val="1"/>
          <w:sz w:val="24"/>
          <w:szCs w:val="24"/>
        </w:rPr>
        <w:t xml:space="preserve"> </w:t>
      </w:r>
      <w:hyperlink r:id="rId36">
        <w:r>
          <w:rPr>
            <w:rStyle w:val="ListLabel31"/>
            <w:rFonts w:ascii="Arial" w:hAnsi="Arial"/>
            <w:color w:val="000000"/>
            <w:sz w:val="24"/>
            <w:szCs w:val="24"/>
          </w:rPr>
          <w:t>da IN SEGES/MP nº</w:t>
        </w:r>
        <w:r>
          <w:rPr>
            <w:rStyle w:val="ListLabel31"/>
            <w:rFonts w:ascii="Arial" w:hAnsi="Arial"/>
            <w:color w:val="000000"/>
            <w:spacing w:val="-1"/>
            <w:sz w:val="24"/>
            <w:szCs w:val="24"/>
          </w:rPr>
          <w:t xml:space="preserve"> </w:t>
        </w:r>
        <w:r>
          <w:rPr>
            <w:rStyle w:val="ListLabel31"/>
            <w:rFonts w:ascii="Arial" w:hAnsi="Arial"/>
            <w:color w:val="000000"/>
            <w:sz w:val="24"/>
            <w:szCs w:val="24"/>
          </w:rPr>
          <w:t>5/2017.</w:t>
        </w:r>
      </w:hyperlink>
    </w:p>
    <w:p>
      <w:pPr>
        <w:pStyle w:val="Normal"/>
        <w:widowControl/>
        <w:numPr>
          <w:ilvl w:val="0"/>
          <w:numId w:val="0"/>
        </w:numPr>
        <w:suppressAutoHyphens w:val="true"/>
        <w:bidi w:val="0"/>
        <w:spacing w:lineRule="auto" w:line="276" w:before="120" w:after="120"/>
        <w:ind w:left="340" w:right="0" w:hanging="0"/>
        <w:jc w:val="both"/>
        <w:rPr>
          <w:rFonts w:cs="Arial"/>
          <w:bCs/>
          <w:i/>
          <w:i/>
          <w:iCs/>
          <w:color w:val="FF0000"/>
          <w:szCs w:val="20"/>
        </w:rPr>
      </w:pPr>
      <w:r>
        <w:rPr>
          <w:rFonts w:cs="Arial" w:ascii="Arial" w:hAnsi="Arial"/>
          <w:bCs/>
          <w:i w:val="false"/>
          <w:iCs w:val="false"/>
          <w:color w:val="000000"/>
          <w:sz w:val="24"/>
          <w:szCs w:val="24"/>
        </w:rPr>
        <w:t xml:space="preserve">20.2. A garantia assegurará, qualquer que seja a modalidade escolhida, o pagamento de: </w:t>
      </w:r>
    </w:p>
    <w:p>
      <w:pPr>
        <w:pStyle w:val="Normal"/>
        <w:widowControl/>
        <w:numPr>
          <w:ilvl w:val="0"/>
          <w:numId w:val="0"/>
        </w:numPr>
        <w:tabs>
          <w:tab w:val="left" w:pos="1440" w:leader="none"/>
        </w:tabs>
        <w:suppressAutoHyphens w:val="true"/>
        <w:bidi w:val="0"/>
        <w:snapToGrid w:val="false"/>
        <w:spacing w:lineRule="auto" w:line="276" w:before="120" w:after="120"/>
        <w:ind w:left="1984" w:right="0" w:hanging="0"/>
        <w:jc w:val="both"/>
        <w:rPr>
          <w:rFonts w:cs="Arial"/>
          <w:bCs/>
          <w:i/>
          <w:i/>
          <w:iCs/>
          <w:color w:val="FF0000"/>
          <w:szCs w:val="20"/>
        </w:rPr>
      </w:pPr>
      <w:r>
        <w:rPr>
          <w:rFonts w:cs="Arial" w:ascii="Arial" w:hAnsi="Arial"/>
          <w:bCs/>
          <w:i w:val="false"/>
          <w:iCs w:val="false"/>
          <w:color w:val="000000"/>
          <w:sz w:val="24"/>
          <w:szCs w:val="24"/>
        </w:rPr>
        <w:t xml:space="preserve">20.2.1. Prejuízos advindos do não cumprimento do objeto do contrato e do não adimplemento das demais obrigações nele previstas; </w:t>
      </w:r>
    </w:p>
    <w:p>
      <w:pPr>
        <w:pStyle w:val="Normal"/>
        <w:widowControl/>
        <w:numPr>
          <w:ilvl w:val="0"/>
          <w:numId w:val="0"/>
        </w:numPr>
        <w:tabs>
          <w:tab w:val="left" w:pos="1440" w:leader="none"/>
        </w:tabs>
        <w:suppressAutoHyphens w:val="true"/>
        <w:bidi w:val="0"/>
        <w:snapToGrid w:val="false"/>
        <w:spacing w:lineRule="auto" w:line="276" w:before="120" w:after="120"/>
        <w:ind w:left="1984" w:right="0" w:hanging="0"/>
        <w:jc w:val="both"/>
        <w:rPr>
          <w:rFonts w:cs="Arial"/>
          <w:bCs/>
          <w:i/>
          <w:i/>
          <w:iCs/>
          <w:color w:val="FF0000"/>
          <w:szCs w:val="20"/>
        </w:rPr>
      </w:pPr>
      <w:r>
        <w:rPr>
          <w:rFonts w:cs="Arial" w:ascii="Arial" w:hAnsi="Arial"/>
          <w:bCs/>
          <w:i w:val="false"/>
          <w:iCs w:val="false"/>
          <w:color w:val="000000"/>
          <w:sz w:val="24"/>
          <w:szCs w:val="24"/>
        </w:rPr>
        <w:t>20.2.2. Prejuízos diretos causados à Administrações decorrentes de culpa ou dolo durante a execução do contrato;</w:t>
      </w:r>
    </w:p>
    <w:p>
      <w:pPr>
        <w:pStyle w:val="Normal"/>
        <w:widowControl/>
        <w:numPr>
          <w:ilvl w:val="0"/>
          <w:numId w:val="0"/>
        </w:numPr>
        <w:tabs>
          <w:tab w:val="left" w:pos="1440" w:leader="none"/>
        </w:tabs>
        <w:suppressAutoHyphens w:val="true"/>
        <w:bidi w:val="0"/>
        <w:snapToGrid w:val="false"/>
        <w:spacing w:lineRule="auto" w:line="276" w:before="120" w:after="120"/>
        <w:ind w:left="1984" w:right="0" w:hanging="0"/>
        <w:jc w:val="both"/>
        <w:rPr>
          <w:rFonts w:cs="Arial"/>
          <w:bCs/>
          <w:i/>
          <w:i/>
          <w:iCs/>
          <w:color w:val="FF0000"/>
          <w:szCs w:val="20"/>
        </w:rPr>
      </w:pPr>
      <w:r>
        <w:rPr>
          <w:rFonts w:cs="Arial" w:ascii="Arial" w:hAnsi="Arial"/>
          <w:bCs/>
          <w:i w:val="false"/>
          <w:iCs w:val="false"/>
          <w:color w:val="000000"/>
          <w:sz w:val="24"/>
          <w:szCs w:val="24"/>
        </w:rPr>
        <w:t>20.2.3. Multas moratórias e punitivas aplicadas pela Administração à contratada; e</w:t>
      </w:r>
    </w:p>
    <w:p>
      <w:pPr>
        <w:pStyle w:val="Normal"/>
        <w:widowControl/>
        <w:numPr>
          <w:ilvl w:val="0"/>
          <w:numId w:val="0"/>
        </w:numPr>
        <w:tabs>
          <w:tab w:val="left" w:pos="1440" w:leader="none"/>
        </w:tabs>
        <w:suppressAutoHyphens w:val="true"/>
        <w:bidi w:val="0"/>
        <w:snapToGrid w:val="false"/>
        <w:spacing w:lineRule="auto" w:line="276" w:before="120" w:after="120"/>
        <w:ind w:left="1984" w:right="0" w:hanging="0"/>
        <w:jc w:val="both"/>
        <w:rPr>
          <w:rFonts w:cs="Arial"/>
          <w:bCs/>
          <w:i/>
          <w:i/>
          <w:iCs/>
          <w:color w:val="FF0000"/>
          <w:szCs w:val="20"/>
        </w:rPr>
      </w:pPr>
      <w:r>
        <w:rPr>
          <w:rFonts w:cs="Arial" w:ascii="Arial" w:hAnsi="Arial"/>
          <w:bCs/>
          <w:i w:val="false"/>
          <w:iCs w:val="false"/>
          <w:color w:val="000000"/>
          <w:sz w:val="24"/>
          <w:szCs w:val="24"/>
        </w:rPr>
        <w:t>20.2.4. Obrigações trabalhistas e previdenciárias de qualquer natureza e para com o FGTS, não adimplidas pela contratada, quando couber.</w:t>
      </w:r>
    </w:p>
    <w:p>
      <w:pPr>
        <w:pStyle w:val="Normal"/>
        <w:widowControl/>
        <w:numPr>
          <w:ilvl w:val="0"/>
          <w:numId w:val="0"/>
        </w:numPr>
        <w:suppressAutoHyphens w:val="true"/>
        <w:bidi w:val="0"/>
        <w:spacing w:lineRule="auto" w:line="276" w:before="120" w:after="120"/>
        <w:ind w:left="340" w:right="0" w:hanging="0"/>
        <w:jc w:val="both"/>
        <w:rPr>
          <w:rFonts w:cs="Arial"/>
          <w:i/>
          <w:i/>
          <w:color w:val="FF0000"/>
          <w:szCs w:val="20"/>
        </w:rPr>
      </w:pPr>
      <w:r>
        <w:rPr>
          <w:rFonts w:cs="Arial" w:ascii="Arial" w:hAnsi="Arial"/>
          <w:i w:val="false"/>
          <w:iCs w:val="false"/>
          <w:color w:val="000000"/>
          <w:sz w:val="24"/>
          <w:szCs w:val="24"/>
        </w:rPr>
        <w:t>20.3. A modalidade seguro-garantia somente será aceita se contemplar todos os eventos indicados no item anterior, observada a legislação que rege a matéria.</w:t>
      </w:r>
    </w:p>
    <w:p>
      <w:pPr>
        <w:pStyle w:val="Normal"/>
        <w:widowControl/>
        <w:numPr>
          <w:ilvl w:val="0"/>
          <w:numId w:val="0"/>
        </w:numPr>
        <w:suppressAutoHyphens w:val="true"/>
        <w:bidi w:val="0"/>
        <w:spacing w:lineRule="auto" w:line="276" w:before="120" w:after="120"/>
        <w:ind w:left="340" w:right="0" w:hanging="0"/>
        <w:jc w:val="both"/>
        <w:rPr>
          <w:rFonts w:cs="Arial"/>
          <w:i/>
          <w:i/>
          <w:color w:val="FF0000"/>
          <w:szCs w:val="20"/>
        </w:rPr>
      </w:pPr>
      <w:r>
        <w:rPr>
          <w:rFonts w:cs="Arial" w:ascii="Arial" w:hAnsi="Arial"/>
          <w:i w:val="false"/>
          <w:iCs w:val="false"/>
          <w:color w:val="000000"/>
          <w:sz w:val="24"/>
          <w:szCs w:val="24"/>
        </w:rPr>
        <w:t>20.4. A garantia em dinheiro deverá ser efetuada em favor da Contratante, em conta específica na Caixa Econômica Federal, com correção monetária.</w:t>
      </w:r>
    </w:p>
    <w:p>
      <w:pPr>
        <w:pStyle w:val="Normal"/>
        <w:widowControl/>
        <w:numPr>
          <w:ilvl w:val="0"/>
          <w:numId w:val="0"/>
        </w:numPr>
        <w:suppressAutoHyphens w:val="true"/>
        <w:bidi w:val="0"/>
        <w:spacing w:lineRule="auto" w:line="276" w:before="120" w:after="120"/>
        <w:ind w:left="340" w:right="0" w:hanging="0"/>
        <w:jc w:val="both"/>
        <w:rPr>
          <w:rFonts w:cs="Arial"/>
          <w:bCs/>
          <w:i/>
          <w:i/>
          <w:iCs/>
          <w:color w:val="FF0000"/>
          <w:szCs w:val="20"/>
        </w:rPr>
      </w:pPr>
      <w:r>
        <w:rPr>
          <w:rFonts w:cs="Arial" w:ascii="Arial" w:hAnsi="Arial"/>
          <w:bCs/>
          <w:i w:val="false"/>
          <w:iCs w:val="false"/>
          <w:color w:val="000000"/>
          <w:sz w:val="24"/>
          <w:szCs w:val="24"/>
        </w:rPr>
        <w:t>20.5.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pPr>
        <w:pStyle w:val="Normal"/>
        <w:widowControl/>
        <w:numPr>
          <w:ilvl w:val="0"/>
          <w:numId w:val="0"/>
        </w:numPr>
        <w:suppressAutoHyphens w:val="true"/>
        <w:bidi w:val="0"/>
        <w:spacing w:lineRule="auto" w:line="276" w:before="120" w:after="120"/>
        <w:ind w:left="340" w:right="0" w:hanging="0"/>
        <w:jc w:val="both"/>
        <w:rPr>
          <w:rFonts w:cs="Arial"/>
          <w:bCs/>
          <w:i/>
          <w:i/>
          <w:iCs/>
          <w:color w:val="FF0000"/>
          <w:szCs w:val="20"/>
        </w:rPr>
      </w:pPr>
      <w:r>
        <w:rPr>
          <w:rFonts w:cs="Arial" w:ascii="Arial" w:hAnsi="Arial"/>
          <w:bCs/>
          <w:i w:val="false"/>
          <w:iCs w:val="false"/>
          <w:color w:val="000000"/>
          <w:sz w:val="24"/>
          <w:szCs w:val="24"/>
        </w:rPr>
        <w:t>20.6. No caso de garantia na modalidade de fiança bancária, deverá constar expressa renúncia do fiador aos benefícios do artigo 827 do Código Civil.</w:t>
      </w:r>
    </w:p>
    <w:p>
      <w:pPr>
        <w:pStyle w:val="Normal"/>
        <w:widowControl/>
        <w:numPr>
          <w:ilvl w:val="0"/>
          <w:numId w:val="0"/>
        </w:numPr>
        <w:suppressAutoHyphens w:val="true"/>
        <w:bidi w:val="0"/>
        <w:spacing w:lineRule="auto" w:line="276" w:before="120" w:after="120"/>
        <w:ind w:left="340" w:right="0" w:hanging="0"/>
        <w:jc w:val="both"/>
        <w:rPr>
          <w:rFonts w:cs="Arial"/>
          <w:bCs/>
          <w:i/>
          <w:i/>
          <w:iCs/>
          <w:color w:val="FF0000"/>
          <w:szCs w:val="20"/>
        </w:rPr>
      </w:pPr>
      <w:r>
        <w:rPr>
          <w:rFonts w:cs="Arial" w:ascii="Arial" w:hAnsi="Arial"/>
          <w:i w:val="false"/>
          <w:iCs w:val="false"/>
          <w:color w:val="000000"/>
          <w:sz w:val="24"/>
          <w:szCs w:val="24"/>
          <w:lang w:eastAsia="en-US"/>
        </w:rPr>
        <w:t xml:space="preserve">20.7. No caso de alteração do valor do contrato, ou prorrogação de sua vigência, a garantia deverá ser ajustada à nova situação ou renovada, seguindo os mesmos parâmetros utilizados quando da contratação. </w:t>
      </w:r>
    </w:p>
    <w:p>
      <w:pPr>
        <w:pStyle w:val="Normal"/>
        <w:widowControl/>
        <w:numPr>
          <w:ilvl w:val="0"/>
          <w:numId w:val="0"/>
        </w:numPr>
        <w:suppressAutoHyphens w:val="true"/>
        <w:bidi w:val="0"/>
        <w:spacing w:lineRule="auto" w:line="276" w:before="120" w:after="120"/>
        <w:ind w:left="340" w:right="0" w:hanging="0"/>
        <w:jc w:val="both"/>
        <w:rPr>
          <w:rFonts w:cs="Arial"/>
          <w:bCs/>
          <w:i/>
          <w:i/>
          <w:iCs/>
          <w:color w:val="FF0000"/>
          <w:szCs w:val="20"/>
        </w:rPr>
      </w:pPr>
      <w:r>
        <w:rPr>
          <w:rFonts w:cs="Arial" w:ascii="Arial" w:hAnsi="Arial"/>
          <w:bCs/>
          <w:i w:val="false"/>
          <w:iCs w:val="false"/>
          <w:color w:val="000000"/>
          <w:sz w:val="24"/>
          <w:szCs w:val="24"/>
        </w:rPr>
        <w:t>20.8. Se o valor da garantia for utilizado total ou parcialmente em pagamento de qualquer obrigação, a Contratada obriga-se a fazer a respectiva reposição no prazo máximo de 10 (dez) dias úteis, contados da data em que for notificada.</w:t>
      </w:r>
    </w:p>
    <w:p>
      <w:pPr>
        <w:pStyle w:val="Normal"/>
        <w:widowControl/>
        <w:numPr>
          <w:ilvl w:val="0"/>
          <w:numId w:val="0"/>
        </w:numPr>
        <w:suppressAutoHyphens w:val="true"/>
        <w:bidi w:val="0"/>
        <w:spacing w:lineRule="auto" w:line="276" w:before="120" w:after="120"/>
        <w:ind w:left="340" w:right="0" w:hanging="0"/>
        <w:jc w:val="both"/>
        <w:rPr>
          <w:rFonts w:cs="Arial"/>
          <w:bCs/>
          <w:i/>
          <w:i/>
          <w:iCs/>
          <w:color w:val="FF0000"/>
          <w:szCs w:val="20"/>
        </w:rPr>
      </w:pPr>
      <w:r>
        <w:rPr>
          <w:rFonts w:cs="Arial" w:ascii="Arial" w:hAnsi="Arial"/>
          <w:bCs/>
          <w:i w:val="false"/>
          <w:iCs w:val="false"/>
          <w:color w:val="000000"/>
          <w:sz w:val="24"/>
          <w:szCs w:val="24"/>
        </w:rPr>
        <w:t>20.9. A Contratante executará a garantia na forma prevista na legislação que rege a matéria.</w:t>
      </w:r>
    </w:p>
    <w:p>
      <w:pPr>
        <w:pStyle w:val="Normal"/>
        <w:widowControl/>
        <w:numPr>
          <w:ilvl w:val="0"/>
          <w:numId w:val="0"/>
        </w:numPr>
        <w:suppressAutoHyphens w:val="true"/>
        <w:bidi w:val="0"/>
        <w:spacing w:lineRule="auto" w:line="276" w:before="120" w:after="120"/>
        <w:ind w:left="340" w:right="0" w:hanging="0"/>
        <w:jc w:val="both"/>
        <w:rPr>
          <w:rFonts w:cs="Arial"/>
          <w:bCs/>
          <w:i/>
          <w:i/>
          <w:iCs/>
          <w:color w:val="FF0000"/>
          <w:szCs w:val="20"/>
        </w:rPr>
      </w:pPr>
      <w:r>
        <w:rPr>
          <w:rFonts w:cs="Arial" w:ascii="Arial" w:hAnsi="Arial"/>
          <w:bCs/>
          <w:i w:val="false"/>
          <w:iCs w:val="false"/>
          <w:color w:val="000000"/>
          <w:sz w:val="24"/>
          <w:szCs w:val="24"/>
        </w:rPr>
        <w:t>20.10. Será considerada extinta a garantia:</w:t>
      </w:r>
      <w:r>
        <w:rPr>
          <w:rFonts w:cs="Arial" w:ascii="Arial" w:hAnsi="Arial"/>
          <w:i w:val="false"/>
          <w:iCs w:val="false"/>
          <w:color w:val="000000"/>
          <w:sz w:val="24"/>
          <w:szCs w:val="24"/>
        </w:rPr>
        <w:t xml:space="preserve"> </w:t>
      </w:r>
    </w:p>
    <w:p>
      <w:pPr>
        <w:pStyle w:val="Normal"/>
        <w:widowControl/>
        <w:numPr>
          <w:ilvl w:val="0"/>
          <w:numId w:val="0"/>
        </w:numPr>
        <w:tabs>
          <w:tab w:val="left" w:pos="1440" w:leader="none"/>
        </w:tabs>
        <w:suppressAutoHyphens w:val="true"/>
        <w:bidi w:val="0"/>
        <w:snapToGrid w:val="false"/>
        <w:spacing w:lineRule="auto" w:line="276" w:before="120" w:after="120"/>
        <w:ind w:left="1984" w:right="0" w:hanging="0"/>
        <w:jc w:val="both"/>
        <w:rPr>
          <w:rFonts w:cs="Arial"/>
          <w:bCs/>
          <w:i/>
          <w:i/>
          <w:iCs/>
          <w:color w:val="FF0000"/>
          <w:szCs w:val="20"/>
        </w:rPr>
      </w:pPr>
      <w:r>
        <w:rPr>
          <w:rFonts w:cs="Arial" w:ascii="Arial" w:hAnsi="Arial"/>
          <w:bCs/>
          <w:i w:val="false"/>
          <w:iCs w:val="false"/>
          <w:color w:val="000000"/>
          <w:sz w:val="24"/>
          <w:szCs w:val="24"/>
        </w:rPr>
        <w:t xml:space="preserve">20.10.1. Com a devolução da apólice, carta fiança ou autorização para o levantamento de importâncias depositadas em dinheiro a título de garantia, acompanhada de declaração da Contratante, mediante termo circunstanciado, de que a Contratada cumpriu todas as cláusulas do contrato; </w:t>
      </w:r>
    </w:p>
    <w:p>
      <w:pPr>
        <w:pStyle w:val="Normal"/>
        <w:widowControl/>
        <w:numPr>
          <w:ilvl w:val="0"/>
          <w:numId w:val="0"/>
        </w:numPr>
        <w:tabs>
          <w:tab w:val="left" w:pos="1440" w:leader="none"/>
        </w:tabs>
        <w:suppressAutoHyphens w:val="true"/>
        <w:bidi w:val="0"/>
        <w:snapToGrid w:val="false"/>
        <w:spacing w:lineRule="auto" w:line="276" w:before="120" w:after="120"/>
        <w:ind w:left="1984" w:right="0" w:hanging="0"/>
        <w:jc w:val="both"/>
        <w:rPr>
          <w:rFonts w:cs="Arial"/>
          <w:bCs/>
          <w:i/>
          <w:i/>
          <w:iCs/>
          <w:color w:val="FF0000"/>
          <w:szCs w:val="20"/>
        </w:rPr>
      </w:pPr>
      <w:r>
        <w:rPr>
          <w:rFonts w:cs="Arial" w:ascii="Arial" w:hAnsi="Arial"/>
          <w:bCs/>
          <w:i w:val="false"/>
          <w:iCs w:val="false"/>
          <w:color w:val="000000"/>
          <w:sz w:val="24"/>
          <w:szCs w:val="24"/>
        </w:rPr>
        <w:t xml:space="preserve">20.10.2. </w:t>
      </w:r>
      <w:r>
        <w:rPr>
          <w:rFonts w:eastAsia="Times New Roman" w:cs="Arial" w:ascii="Arial" w:hAnsi="Arial"/>
          <w:bCs/>
          <w:i w:val="false"/>
          <w:iCs w:val="false"/>
          <w:color w:val="000000"/>
          <w:kern w:val="0"/>
          <w:sz w:val="24"/>
          <w:szCs w:val="24"/>
          <w:lang w:val="pt-BR" w:eastAsia="pt-BR" w:bidi="ar-SA"/>
        </w:rPr>
        <w:t>N</w:t>
      </w:r>
      <w:r>
        <w:rPr>
          <w:rFonts w:cs="Arial" w:ascii="Arial" w:hAnsi="Arial"/>
          <w:bCs/>
          <w:i w:val="false"/>
          <w:iCs w:val="false"/>
          <w:color w:val="000000"/>
          <w:sz w:val="24"/>
          <w:szCs w:val="24"/>
        </w:rPr>
        <w:t xml:space="preserve">o prazo de 90 (noventa) dias após o término da vigência do contrato, caso a Administração não comunique a ocorrência de sinistros, quando o prazo será ampliado, nos termos da comunicação, conforme estabelecido na alínea "h2"do item 3.1 do Anexo  VII-F da IN SEGES/MP n. 05/2017. </w:t>
      </w:r>
    </w:p>
    <w:p>
      <w:pPr>
        <w:pStyle w:val="Normal"/>
        <w:widowControl/>
        <w:numPr>
          <w:ilvl w:val="0"/>
          <w:numId w:val="0"/>
        </w:numPr>
        <w:suppressAutoHyphens w:val="true"/>
        <w:bidi w:val="0"/>
        <w:spacing w:lineRule="auto" w:line="276" w:before="120" w:after="120"/>
        <w:ind w:left="340" w:right="0" w:hanging="0"/>
        <w:jc w:val="both"/>
        <w:rPr>
          <w:rFonts w:cs="Arial"/>
          <w:i/>
          <w:i/>
          <w:color w:val="FF0000"/>
          <w:szCs w:val="20"/>
        </w:rPr>
      </w:pPr>
      <w:r>
        <w:rPr>
          <w:rFonts w:eastAsia="Calibri" w:cs="Arial" w:ascii="Arial" w:hAnsi="Arial"/>
          <w:i w:val="false"/>
          <w:iCs w:val="false"/>
          <w:color w:val="000000"/>
          <w:sz w:val="24"/>
          <w:szCs w:val="24"/>
          <w:lang w:eastAsia="en-US"/>
        </w:rPr>
        <w:t xml:space="preserve">20.11. O garantidor não é parte para figurar em processo administrativo instaurado pela </w:t>
      </w:r>
      <w:r>
        <w:rPr>
          <w:rFonts w:cs="Arial" w:ascii="Arial" w:hAnsi="Arial"/>
          <w:i w:val="false"/>
          <w:iCs w:val="false"/>
          <w:color w:val="000000"/>
          <w:sz w:val="24"/>
          <w:szCs w:val="24"/>
        </w:rPr>
        <w:t xml:space="preserve">contratante com o objetivo de apurar prejuízos e/ou aplicar sanções à contratada. </w:t>
      </w:r>
    </w:p>
    <w:p>
      <w:pPr>
        <w:pStyle w:val="Normal"/>
        <w:widowControl/>
        <w:numPr>
          <w:ilvl w:val="0"/>
          <w:numId w:val="0"/>
        </w:numPr>
        <w:suppressAutoHyphens w:val="true"/>
        <w:bidi w:val="0"/>
        <w:spacing w:lineRule="auto" w:line="276" w:before="120" w:after="120"/>
        <w:ind w:left="340" w:right="0" w:hanging="0"/>
        <w:jc w:val="both"/>
        <w:rPr>
          <w:rFonts w:eastAsia="Calibri" w:cs="Arial"/>
          <w:i/>
          <w:i/>
          <w:color w:val="FF0000"/>
          <w:szCs w:val="20"/>
          <w:lang w:eastAsia="en-US"/>
        </w:rPr>
      </w:pPr>
      <w:r>
        <w:rPr>
          <w:rFonts w:eastAsia="Calibri" w:cs="Arial" w:ascii="Arial" w:hAnsi="Arial"/>
          <w:i w:val="false"/>
          <w:iCs w:val="false"/>
          <w:color w:val="000000"/>
          <w:sz w:val="24"/>
          <w:szCs w:val="24"/>
          <w:lang w:eastAsia="en-US"/>
        </w:rPr>
        <w:t>20.12. A contratada autoriza a contratante a reter, a qualquer tempo, a garantia, na forma prevista no neste Edital e no Contrato.</w:t>
      </w:r>
    </w:p>
    <w:p>
      <w:pPr>
        <w:pStyle w:val="Normal"/>
        <w:spacing w:lineRule="auto" w:line="276" w:before="120" w:after="120"/>
        <w:jc w:val="both"/>
        <w:rPr>
          <w:rFonts w:ascii="Arial" w:hAnsi="Arial" w:cs="Arial"/>
          <w:sz w:val="24"/>
          <w:szCs w:val="24"/>
        </w:rPr>
      </w:pPr>
      <w:r>
        <w:rPr>
          <w:rFonts w:cs="Arial" w:ascii="Arial" w:hAnsi="Arial"/>
          <w:sz w:val="24"/>
          <w:szCs w:val="24"/>
        </w:rPr>
      </w:r>
    </w:p>
    <w:p>
      <w:pPr>
        <w:pStyle w:val="Nivel1"/>
        <w:numPr>
          <w:ilvl w:val="0"/>
          <w:numId w:val="2"/>
        </w:numPr>
        <w:rPr>
          <w:rFonts w:cs="Arial"/>
        </w:rPr>
      </w:pPr>
      <w:r>
        <w:rPr>
          <w:rFonts w:cs="Arial" w:ascii="Arial" w:hAnsi="Arial"/>
          <w:sz w:val="24"/>
          <w:szCs w:val="24"/>
        </w:rPr>
        <w:t>DAS SANÇÕES ADMINISTRATIVAS</w:t>
      </w:r>
    </w:p>
    <w:p>
      <w:pPr>
        <w:pStyle w:val="ListParagraph"/>
        <w:numPr>
          <w:ilvl w:val="1"/>
          <w:numId w:val="2"/>
        </w:numPr>
        <w:spacing w:lineRule="auto" w:line="276" w:before="120" w:after="120"/>
        <w:contextualSpacing/>
        <w:jc w:val="both"/>
        <w:rPr>
          <w:rFonts w:cs="Arial"/>
          <w:szCs w:val="20"/>
        </w:rPr>
      </w:pPr>
      <w:r>
        <w:rPr>
          <w:rFonts w:cs="Arial" w:ascii="Arial" w:hAnsi="Arial"/>
          <w:sz w:val="24"/>
          <w:szCs w:val="24"/>
        </w:rPr>
        <w:t>Comete infração administrativa nos termos da Lei nº 10.520, de 2002, a CONTRATADA que:</w:t>
      </w:r>
    </w:p>
    <w:p>
      <w:pPr>
        <w:pStyle w:val="Normal"/>
        <w:numPr>
          <w:ilvl w:val="2"/>
          <w:numId w:val="3"/>
        </w:numPr>
        <w:spacing w:lineRule="auto" w:line="276" w:before="120" w:after="120"/>
        <w:ind w:left="1224" w:right="-30" w:hanging="504"/>
        <w:jc w:val="both"/>
        <w:rPr>
          <w:rFonts w:cs="Arial"/>
          <w:szCs w:val="20"/>
        </w:rPr>
      </w:pPr>
      <w:r>
        <w:rPr>
          <w:rFonts w:cs="Arial" w:ascii="Arial" w:hAnsi="Arial"/>
          <w:sz w:val="24"/>
          <w:szCs w:val="24"/>
        </w:rPr>
        <w:t>Falhar na execução do contrato, pela inexecução, total ou parcial, de quaisquer das obrigações assumidas na contratação;</w:t>
      </w:r>
    </w:p>
    <w:p>
      <w:pPr>
        <w:pStyle w:val="Normal"/>
        <w:numPr>
          <w:ilvl w:val="2"/>
          <w:numId w:val="3"/>
        </w:numPr>
        <w:spacing w:lineRule="auto" w:line="276" w:before="120" w:after="120"/>
        <w:ind w:left="1224" w:right="-30" w:hanging="504"/>
        <w:jc w:val="both"/>
        <w:rPr>
          <w:rFonts w:cs="Arial"/>
          <w:szCs w:val="20"/>
        </w:rPr>
      </w:pPr>
      <w:r>
        <w:rPr>
          <w:rFonts w:cs="Arial" w:ascii="Arial" w:hAnsi="Arial"/>
          <w:sz w:val="24"/>
          <w:szCs w:val="24"/>
        </w:rPr>
        <w:t>Ensejar o retardamento da execução do objeto;</w:t>
      </w:r>
    </w:p>
    <w:p>
      <w:pPr>
        <w:pStyle w:val="Normal"/>
        <w:numPr>
          <w:ilvl w:val="2"/>
          <w:numId w:val="3"/>
        </w:numPr>
        <w:spacing w:lineRule="auto" w:line="276" w:before="120" w:after="120"/>
        <w:ind w:left="1224" w:right="-30" w:hanging="504"/>
        <w:jc w:val="both"/>
        <w:rPr>
          <w:rFonts w:cs="Arial"/>
          <w:szCs w:val="20"/>
        </w:rPr>
      </w:pPr>
      <w:r>
        <w:rPr>
          <w:rFonts w:cs="Arial" w:ascii="Arial" w:hAnsi="Arial"/>
          <w:sz w:val="24"/>
          <w:szCs w:val="24"/>
        </w:rPr>
        <w:t>Fraudar na execução do contrato;</w:t>
      </w:r>
    </w:p>
    <w:p>
      <w:pPr>
        <w:pStyle w:val="Normal"/>
        <w:numPr>
          <w:ilvl w:val="2"/>
          <w:numId w:val="3"/>
        </w:numPr>
        <w:spacing w:lineRule="auto" w:line="276" w:before="120" w:after="120"/>
        <w:ind w:left="1224" w:right="-30" w:hanging="504"/>
        <w:jc w:val="both"/>
        <w:rPr>
          <w:rFonts w:cs="Arial"/>
          <w:szCs w:val="20"/>
        </w:rPr>
      </w:pPr>
      <w:r>
        <w:rPr>
          <w:rFonts w:cs="Arial" w:ascii="Arial" w:hAnsi="Arial"/>
          <w:sz w:val="24"/>
          <w:szCs w:val="24"/>
        </w:rPr>
        <w:t>Comportar-se de modo inidôneo; ou</w:t>
      </w:r>
    </w:p>
    <w:p>
      <w:pPr>
        <w:pStyle w:val="Normal"/>
        <w:numPr>
          <w:ilvl w:val="2"/>
          <w:numId w:val="3"/>
        </w:numPr>
        <w:spacing w:lineRule="auto" w:line="276" w:before="120" w:after="120"/>
        <w:ind w:left="1224" w:right="-30" w:hanging="504"/>
        <w:jc w:val="both"/>
        <w:rPr>
          <w:rFonts w:cs="Arial"/>
          <w:szCs w:val="20"/>
        </w:rPr>
      </w:pPr>
      <w:r>
        <w:rPr>
          <w:rFonts w:cs="Arial" w:ascii="Arial" w:hAnsi="Arial"/>
          <w:sz w:val="24"/>
          <w:szCs w:val="24"/>
        </w:rPr>
        <w:t>Cometer fraude fiscal.</w:t>
      </w:r>
    </w:p>
    <w:p>
      <w:pPr>
        <w:pStyle w:val="ListParagraph"/>
        <w:numPr>
          <w:ilvl w:val="1"/>
          <w:numId w:val="2"/>
        </w:numPr>
        <w:spacing w:lineRule="auto" w:line="276" w:before="120" w:after="120"/>
        <w:contextualSpacing/>
        <w:jc w:val="both"/>
        <w:rPr>
          <w:rFonts w:cs="Arial"/>
          <w:szCs w:val="20"/>
        </w:rPr>
      </w:pPr>
      <w:r>
        <w:rPr>
          <w:rFonts w:cs="Arial" w:ascii="Arial" w:hAnsi="Arial"/>
          <w:sz w:val="24"/>
          <w:szCs w:val="24"/>
        </w:rPr>
        <w:t xml:space="preserve">Pela inexecução </w:t>
      </w:r>
      <w:r>
        <w:rPr>
          <w:rFonts w:cs="Arial" w:ascii="Arial" w:hAnsi="Arial"/>
          <w:sz w:val="24"/>
          <w:szCs w:val="24"/>
          <w:u w:val="single"/>
        </w:rPr>
        <w:t>total ou parcial</w:t>
      </w:r>
      <w:r>
        <w:rPr>
          <w:rFonts w:cs="Arial" w:ascii="Arial" w:hAnsi="Arial"/>
          <w:sz w:val="24"/>
          <w:szCs w:val="24"/>
        </w:rPr>
        <w:t xml:space="preserve"> do objeto deste contrato, a Administração pode aplicar à CONTRATADA as seguintes sanções:</w:t>
      </w:r>
    </w:p>
    <w:p>
      <w:pPr>
        <w:pStyle w:val="Normal"/>
        <w:numPr>
          <w:ilvl w:val="2"/>
          <w:numId w:val="4"/>
        </w:numPr>
        <w:spacing w:lineRule="auto" w:line="276" w:before="120" w:after="120"/>
        <w:jc w:val="both"/>
        <w:rPr>
          <w:rFonts w:cs="Arial"/>
          <w:szCs w:val="20"/>
        </w:rPr>
      </w:pPr>
      <w:r>
        <w:rPr>
          <w:rFonts w:cs="Arial" w:ascii="Arial" w:hAnsi="Arial"/>
          <w:b/>
          <w:bCs/>
          <w:sz w:val="24"/>
          <w:szCs w:val="24"/>
        </w:rPr>
        <w:t>Advertência por escrito</w:t>
      </w:r>
      <w:r>
        <w:rPr>
          <w:rFonts w:cs="Arial" w:ascii="Arial" w:hAnsi="Arial"/>
          <w:sz w:val="24"/>
          <w:szCs w:val="24"/>
        </w:rPr>
        <w:t>, quando do não cumprimento de quaisquer das obrigações contratuais consideradas faltas leves, assim entendidas aquelas que não acarretam prejuízos significativos para o serviço contratado;</w:t>
      </w:r>
    </w:p>
    <w:p>
      <w:pPr>
        <w:pStyle w:val="Normal"/>
        <w:numPr>
          <w:ilvl w:val="2"/>
          <w:numId w:val="4"/>
        </w:numPr>
        <w:spacing w:lineRule="auto" w:line="276" w:before="120" w:after="120"/>
        <w:jc w:val="both"/>
        <w:rPr>
          <w:rFonts w:cs="Arial"/>
          <w:szCs w:val="20"/>
        </w:rPr>
      </w:pPr>
      <w:r>
        <w:rPr>
          <w:rFonts w:cs="Arial" w:ascii="Arial" w:hAnsi="Arial"/>
          <w:b/>
          <w:bCs/>
          <w:sz w:val="24"/>
          <w:szCs w:val="24"/>
        </w:rPr>
        <w:t>Multa de</w:t>
      </w:r>
      <w:r>
        <w:rPr>
          <w:rFonts w:cs="Arial" w:ascii="Arial" w:hAnsi="Arial"/>
          <w:sz w:val="24"/>
          <w:szCs w:val="24"/>
        </w:rPr>
        <w:t xml:space="preserve">: </w:t>
      </w:r>
    </w:p>
    <w:p>
      <w:pPr>
        <w:pStyle w:val="Normal"/>
        <w:numPr>
          <w:ilvl w:val="3"/>
          <w:numId w:val="4"/>
        </w:numPr>
        <w:spacing w:lineRule="auto" w:line="276" w:before="120" w:after="120"/>
        <w:jc w:val="both"/>
        <w:rPr>
          <w:rFonts w:cs="Arial"/>
          <w:szCs w:val="20"/>
        </w:rPr>
      </w:pPr>
      <w:r>
        <w:rPr>
          <w:rFonts w:cs="Arial" w:ascii="Arial" w:hAnsi="Arial"/>
          <w:sz w:val="24"/>
          <w:szCs w:val="24"/>
        </w:rPr>
        <w:t xml:space="preserve">0,1% (um décimo por cento) até 0,2% (dois décimos por cento) por dia sobre o valor adjudicado em caso de atraso na execução do serviço, limitada a incidência </w:t>
      </w:r>
      <w:r>
        <w:rPr>
          <w:rFonts w:cs="Arial" w:ascii="Arial" w:hAnsi="Arial"/>
          <w:color w:val="000000"/>
          <w:sz w:val="24"/>
          <w:szCs w:val="24"/>
        </w:rPr>
        <w:t>a 15 (quinze) dias</w:t>
      </w:r>
      <w:r>
        <w:rPr>
          <w:rFonts w:cs="Arial" w:ascii="Arial" w:hAnsi="Arial"/>
          <w:sz w:val="24"/>
          <w:szCs w:val="24"/>
        </w:rPr>
        <w:t xml:space="preserve"> corridos.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pPr>
        <w:pStyle w:val="Normal"/>
        <w:numPr>
          <w:ilvl w:val="3"/>
          <w:numId w:val="4"/>
        </w:numPr>
        <w:spacing w:lineRule="auto" w:line="276" w:before="120" w:after="120"/>
        <w:jc w:val="both"/>
        <w:rPr>
          <w:rFonts w:cs="Arial"/>
          <w:szCs w:val="20"/>
        </w:rPr>
      </w:pPr>
      <w:r>
        <w:rPr>
          <w:rFonts w:cs="Arial" w:ascii="Arial" w:hAnsi="Arial"/>
          <w:sz w:val="24"/>
          <w:szCs w:val="24"/>
        </w:rPr>
        <w:t>0,1% (um décimo por cento) até 10% (dez por cento) sobre o valor adjudicado, em caso de atraso na execução do objeto, por período superior ao previsto no subitem acima, ou de inexecução parcial da obrigação assumida;</w:t>
      </w:r>
    </w:p>
    <w:p>
      <w:pPr>
        <w:pStyle w:val="Normal"/>
        <w:numPr>
          <w:ilvl w:val="3"/>
          <w:numId w:val="4"/>
        </w:numPr>
        <w:spacing w:lineRule="auto" w:line="276" w:before="120" w:after="120"/>
        <w:jc w:val="both"/>
        <w:rPr>
          <w:rFonts w:cs="Arial"/>
          <w:szCs w:val="20"/>
        </w:rPr>
      </w:pPr>
      <w:r>
        <w:rPr>
          <w:rFonts w:cs="Arial" w:ascii="Arial" w:hAnsi="Arial"/>
          <w:sz w:val="24"/>
          <w:szCs w:val="24"/>
        </w:rPr>
        <w:t>0,1% (um décimo por cento) até 15% (quinze por cento) sobre o valor adjudicado, em caso de inexecução total da obrigação assumida;</w:t>
      </w:r>
    </w:p>
    <w:p>
      <w:pPr>
        <w:pStyle w:val="Normal"/>
        <w:numPr>
          <w:ilvl w:val="3"/>
          <w:numId w:val="4"/>
        </w:numPr>
        <w:spacing w:lineRule="auto" w:line="276" w:before="120" w:after="120"/>
        <w:jc w:val="both"/>
        <w:rPr>
          <w:rFonts w:cs="Arial"/>
          <w:szCs w:val="20"/>
        </w:rPr>
      </w:pPr>
      <w:r>
        <w:rPr>
          <w:rFonts w:cs="Arial" w:ascii="Arial" w:hAnsi="Arial"/>
          <w:sz w:val="24"/>
          <w:szCs w:val="24"/>
        </w:rPr>
        <w:t xml:space="preserve">0,2% a 3,2% por dia sobre o valor mensal do contrato, conforme detalhamento constante das </w:t>
      </w:r>
      <w:r>
        <w:rPr>
          <w:rFonts w:cs="Arial" w:ascii="Arial" w:hAnsi="Arial"/>
          <w:b/>
          <w:bCs/>
          <w:sz w:val="24"/>
          <w:szCs w:val="24"/>
        </w:rPr>
        <w:t>tabelas 1 e 2</w:t>
      </w:r>
      <w:r>
        <w:rPr>
          <w:rFonts w:cs="Arial" w:ascii="Arial" w:hAnsi="Arial"/>
          <w:sz w:val="24"/>
          <w:szCs w:val="24"/>
        </w:rPr>
        <w:t>, abaixo; e</w:t>
      </w:r>
    </w:p>
    <w:p>
      <w:pPr>
        <w:pStyle w:val="Normal"/>
        <w:numPr>
          <w:ilvl w:val="3"/>
          <w:numId w:val="4"/>
        </w:numPr>
        <w:spacing w:lineRule="auto" w:line="276" w:before="120" w:after="120"/>
        <w:jc w:val="both"/>
        <w:rPr>
          <w:rFonts w:cs="Arial"/>
          <w:szCs w:val="20"/>
        </w:rPr>
      </w:pPr>
      <w:r>
        <w:rPr>
          <w:rFonts w:cs="Arial" w:ascii="Arial" w:hAnsi="Arial"/>
          <w:sz w:val="24"/>
          <w:szCs w:val="24"/>
        </w:rPr>
        <w:t>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pPr>
        <w:pStyle w:val="Normal"/>
        <w:numPr>
          <w:ilvl w:val="3"/>
          <w:numId w:val="4"/>
        </w:numPr>
        <w:spacing w:lineRule="auto" w:line="276" w:before="120" w:after="120"/>
        <w:jc w:val="both"/>
        <w:rPr>
          <w:rFonts w:cs="Arial"/>
          <w:szCs w:val="20"/>
        </w:rPr>
      </w:pPr>
      <w:r>
        <w:rPr>
          <w:rFonts w:cs="Arial" w:ascii="Arial" w:hAnsi="Arial"/>
          <w:sz w:val="24"/>
          <w:szCs w:val="24"/>
        </w:rPr>
        <w:t>As penalidades de multa decorrentes de fatos diversos serão consideradas independentes entre si.</w:t>
      </w:r>
    </w:p>
    <w:p>
      <w:pPr>
        <w:pStyle w:val="Normal"/>
        <w:numPr>
          <w:ilvl w:val="2"/>
          <w:numId w:val="4"/>
        </w:numPr>
        <w:spacing w:before="0" w:after="0"/>
        <w:contextualSpacing/>
        <w:jc w:val="both"/>
        <w:rPr>
          <w:rFonts w:cs="Arial"/>
          <w:szCs w:val="20"/>
        </w:rPr>
      </w:pPr>
      <w:r>
        <w:rPr>
          <w:rFonts w:cs="Arial" w:ascii="Arial" w:hAnsi="Arial"/>
          <w:sz w:val="24"/>
          <w:szCs w:val="24"/>
        </w:rPr>
        <w:t xml:space="preserve">Suspensão de licitar e impedimento de contratar com o órgão, entidade ou unidade administrativa pela </w:t>
      </w:r>
      <w:r>
        <w:rPr>
          <w:rFonts w:cs="Arial" w:ascii="Arial" w:hAnsi="Arial"/>
          <w:bCs/>
          <w:sz w:val="24"/>
          <w:szCs w:val="24"/>
        </w:rPr>
        <w:t>qual</w:t>
      </w:r>
      <w:r>
        <w:rPr>
          <w:rFonts w:cs="Arial" w:ascii="Arial" w:hAnsi="Arial"/>
          <w:sz w:val="24"/>
          <w:szCs w:val="24"/>
        </w:rPr>
        <w:t xml:space="preserve"> a Administração Pública opera e atua concretamente, pelo prazo de até dois anos;</w:t>
      </w:r>
    </w:p>
    <w:p>
      <w:pPr>
        <w:pStyle w:val="Normal"/>
        <w:ind w:left="720" w:hanging="0"/>
        <w:jc w:val="both"/>
        <w:rPr>
          <w:rFonts w:ascii="Arial" w:hAnsi="Arial" w:cs="Arial"/>
          <w:sz w:val="24"/>
          <w:szCs w:val="24"/>
        </w:rPr>
      </w:pPr>
      <w:r>
        <w:rPr>
          <w:rFonts w:cs="Arial" w:ascii="Arial" w:hAnsi="Arial"/>
          <w:sz w:val="24"/>
          <w:szCs w:val="24"/>
        </w:rPr>
      </w:r>
    </w:p>
    <w:p>
      <w:pPr>
        <w:pStyle w:val="Normal"/>
        <w:numPr>
          <w:ilvl w:val="2"/>
          <w:numId w:val="4"/>
        </w:numPr>
        <w:spacing w:before="0" w:after="0"/>
        <w:contextualSpacing/>
        <w:jc w:val="both"/>
        <w:rPr>
          <w:rFonts w:cs="Arial"/>
          <w:szCs w:val="20"/>
        </w:rPr>
      </w:pPr>
      <w:r>
        <w:rPr>
          <w:rFonts w:cs="Arial" w:ascii="Arial" w:hAnsi="Arial"/>
          <w:sz w:val="24"/>
          <w:szCs w:val="24"/>
        </w:rPr>
        <w:t>Sanção de impedimento de licitar e contratar com órgãos e entidades da União, com o consequente descredenciamento no SICAF pelo prazo de até cinco anos.</w:t>
      </w:r>
    </w:p>
    <w:p>
      <w:pPr>
        <w:pStyle w:val="Normal"/>
        <w:jc w:val="both"/>
        <w:rPr>
          <w:rFonts w:ascii="Arial" w:hAnsi="Arial" w:cs="Arial"/>
          <w:sz w:val="24"/>
          <w:szCs w:val="24"/>
        </w:rPr>
      </w:pPr>
      <w:r>
        <w:rPr>
          <w:rFonts w:cs="Arial" w:ascii="Arial" w:hAnsi="Arial"/>
          <w:sz w:val="24"/>
          <w:szCs w:val="24"/>
        </w:rPr>
      </w:r>
    </w:p>
    <w:p>
      <w:pPr>
        <w:pStyle w:val="Normal"/>
        <w:numPr>
          <w:ilvl w:val="2"/>
          <w:numId w:val="4"/>
        </w:numPr>
        <w:spacing w:before="0" w:after="0"/>
        <w:contextualSpacing/>
        <w:jc w:val="both"/>
        <w:rPr>
          <w:rFonts w:cs="Arial"/>
          <w:szCs w:val="20"/>
        </w:rPr>
      </w:pPr>
      <w:r>
        <w:rPr>
          <w:rFonts w:cs="Arial" w:ascii="Arial" w:hAnsi="Arial"/>
          <w:sz w:val="24"/>
          <w:szCs w:val="24"/>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pPr>
        <w:pStyle w:val="ListParagraph"/>
        <w:numPr>
          <w:ilvl w:val="1"/>
          <w:numId w:val="2"/>
        </w:numPr>
        <w:spacing w:lineRule="auto" w:line="276" w:before="120" w:after="120"/>
        <w:contextualSpacing/>
        <w:jc w:val="both"/>
        <w:rPr>
          <w:rFonts w:cs="Arial"/>
          <w:szCs w:val="20"/>
        </w:rPr>
      </w:pPr>
      <w:r>
        <w:rPr>
          <w:rFonts w:cs="Arial" w:ascii="Arial" w:hAnsi="Arial"/>
          <w:sz w:val="24"/>
          <w:szCs w:val="24"/>
        </w:rPr>
        <w:t>A Sanção de impedimento de licitar e contratar prevista no subitem “iv” também é aplicável em quaisquer das hipóteses previstas como infração administrativa neste Termo de Referência.</w:t>
      </w:r>
    </w:p>
    <w:p>
      <w:pPr>
        <w:pStyle w:val="ListParagraph"/>
        <w:numPr>
          <w:ilvl w:val="1"/>
          <w:numId w:val="2"/>
        </w:numPr>
        <w:spacing w:lineRule="auto" w:line="276" w:before="120" w:after="120"/>
        <w:contextualSpacing/>
        <w:jc w:val="both"/>
        <w:rPr>
          <w:rFonts w:cs="Arial"/>
          <w:szCs w:val="20"/>
        </w:rPr>
      </w:pPr>
      <w:r>
        <w:rPr>
          <w:rFonts w:cs="Arial" w:ascii="Arial" w:hAnsi="Arial"/>
          <w:sz w:val="24"/>
          <w:szCs w:val="24"/>
        </w:rPr>
        <w:t>As sanções previstas nos subitens “i”, “iii”, “iv” e “v” poderão ser aplicadas à CONTRATADA acompanhado de  multa, descontando-a dos pagamentos a serem efetuados.</w:t>
      </w:r>
    </w:p>
    <w:p>
      <w:pPr>
        <w:pStyle w:val="Normal"/>
        <w:numPr>
          <w:ilvl w:val="1"/>
          <w:numId w:val="2"/>
        </w:numPr>
        <w:spacing w:lineRule="auto" w:line="276" w:before="120" w:after="120"/>
        <w:ind w:left="792" w:right="-30" w:hanging="432"/>
        <w:jc w:val="both"/>
        <w:rPr>
          <w:rFonts w:cs="Arial"/>
          <w:szCs w:val="20"/>
        </w:rPr>
      </w:pPr>
      <w:r>
        <w:rPr>
          <w:rFonts w:cs="Arial" w:ascii="Arial" w:hAnsi="Arial"/>
          <w:sz w:val="24"/>
          <w:szCs w:val="24"/>
        </w:rPr>
        <w:t>Para efeito de aplicação de multas, às infrações são atribuídos graus, de acordo com as tabelas 1 e 2:</w:t>
      </w:r>
    </w:p>
    <w:p>
      <w:pPr>
        <w:pStyle w:val="Normal"/>
        <w:spacing w:lineRule="auto" w:line="276" w:before="120" w:after="120"/>
        <w:ind w:right="-30" w:hanging="0"/>
        <w:jc w:val="center"/>
        <w:rPr>
          <w:rFonts w:cs="Arial"/>
          <w:b/>
          <w:b/>
          <w:bCs/>
          <w:szCs w:val="20"/>
        </w:rPr>
      </w:pPr>
      <w:r>
        <w:rPr>
          <w:rFonts w:cs="Arial" w:ascii="Arial" w:hAnsi="Arial"/>
          <w:b/>
          <w:bCs/>
          <w:sz w:val="24"/>
          <w:szCs w:val="24"/>
        </w:rPr>
        <w:t>Tabela 1</w:t>
      </w:r>
    </w:p>
    <w:tbl>
      <w:tblPr>
        <w:tblW w:w="9180" w:type="dxa"/>
        <w:jc w:val="left"/>
        <w:tblInd w:w="90" w:type="dxa"/>
        <w:tblBorders>
          <w:top w:val="outset" w:sz="6" w:space="0" w:color="000001"/>
          <w:left w:val="outset" w:sz="6" w:space="0" w:color="000001"/>
          <w:bottom w:val="outset" w:sz="6" w:space="0" w:color="000001"/>
          <w:right w:val="outset" w:sz="6" w:space="0" w:color="000001"/>
          <w:insideH w:val="outset" w:sz="6" w:space="0" w:color="000001"/>
          <w:insideV w:val="outset" w:sz="6" w:space="0" w:color="000001"/>
        </w:tblBorders>
        <w:tblCellMar>
          <w:top w:w="75" w:type="dxa"/>
          <w:left w:w="52" w:type="dxa"/>
          <w:bottom w:w="75" w:type="dxa"/>
          <w:right w:w="75" w:type="dxa"/>
        </w:tblCellMar>
        <w:tblLook w:firstRow="0" w:noVBand="0" w:lastRow="0" w:firstColumn="0" w:lastColumn="0" w:noHBand="0" w:val="0000"/>
      </w:tblPr>
      <w:tblGrid>
        <w:gridCol w:w="3576"/>
        <w:gridCol w:w="5603"/>
      </w:tblGrid>
      <w:tr>
        <w:trPr>
          <w:trHeight w:val="180" w:hRule="atLeast"/>
        </w:trPr>
        <w:tc>
          <w:tcPr>
            <w:tcW w:w="3576"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b/>
                <w:bCs/>
                <w:szCs w:val="20"/>
              </w:rPr>
              <w:t>GRAU</w:t>
            </w:r>
          </w:p>
        </w:tc>
        <w:tc>
          <w:tcPr>
            <w:tcW w:w="5603"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b/>
                <w:bCs/>
                <w:szCs w:val="20"/>
              </w:rPr>
              <w:t>CORRESPONDÊNCIA</w:t>
            </w:r>
          </w:p>
        </w:tc>
      </w:tr>
      <w:tr>
        <w:trPr/>
        <w:tc>
          <w:tcPr>
            <w:tcW w:w="3576"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1</w:t>
            </w:r>
          </w:p>
        </w:tc>
        <w:tc>
          <w:tcPr>
            <w:tcW w:w="5603"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0,2% ao dia sobre o valor mensal do contrato</w:t>
            </w:r>
          </w:p>
        </w:tc>
      </w:tr>
      <w:tr>
        <w:trPr/>
        <w:tc>
          <w:tcPr>
            <w:tcW w:w="3576"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2</w:t>
            </w:r>
          </w:p>
        </w:tc>
        <w:tc>
          <w:tcPr>
            <w:tcW w:w="5603"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0,4% ao dia sobre o valor mensal do contrato</w:t>
            </w:r>
          </w:p>
        </w:tc>
      </w:tr>
      <w:tr>
        <w:trPr/>
        <w:tc>
          <w:tcPr>
            <w:tcW w:w="3576"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3</w:t>
            </w:r>
          </w:p>
        </w:tc>
        <w:tc>
          <w:tcPr>
            <w:tcW w:w="5603"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0,8% ao dia sobre o valor mensal do contrato</w:t>
            </w:r>
          </w:p>
        </w:tc>
      </w:tr>
      <w:tr>
        <w:trPr/>
        <w:tc>
          <w:tcPr>
            <w:tcW w:w="3576"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4</w:t>
            </w:r>
          </w:p>
        </w:tc>
        <w:tc>
          <w:tcPr>
            <w:tcW w:w="5603"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1,6% ao dia sobre o valor mensal do contrato</w:t>
            </w:r>
          </w:p>
        </w:tc>
      </w:tr>
      <w:tr>
        <w:trPr/>
        <w:tc>
          <w:tcPr>
            <w:tcW w:w="3576"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5</w:t>
            </w:r>
          </w:p>
        </w:tc>
        <w:tc>
          <w:tcPr>
            <w:tcW w:w="5603"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3,2% ao dia sobre o valor mensal do contrato</w:t>
            </w:r>
          </w:p>
        </w:tc>
      </w:tr>
    </w:tbl>
    <w:p>
      <w:pPr>
        <w:pStyle w:val="Normal"/>
        <w:spacing w:lineRule="auto" w:line="276" w:before="120" w:after="120"/>
        <w:ind w:right="-30" w:hanging="0"/>
        <w:jc w:val="center"/>
        <w:rPr>
          <w:rFonts w:cs="Arial"/>
          <w:szCs w:val="20"/>
        </w:rPr>
      </w:pPr>
      <w:r>
        <w:rPr>
          <w:rFonts w:cs="Arial" w:ascii="Arial" w:hAnsi="Arial"/>
          <w:b/>
          <w:bCs/>
          <w:szCs w:val="20"/>
        </w:rPr>
        <w:t>Tabela 2</w:t>
      </w:r>
    </w:p>
    <w:tbl>
      <w:tblPr>
        <w:tblW w:w="9180" w:type="dxa"/>
        <w:jc w:val="left"/>
        <w:tblInd w:w="90" w:type="dxa"/>
        <w:tblBorders>
          <w:top w:val="outset" w:sz="6" w:space="0" w:color="000001"/>
          <w:left w:val="outset" w:sz="6" w:space="0" w:color="000001"/>
          <w:bottom w:val="outset" w:sz="6" w:space="0" w:color="000001"/>
          <w:right w:val="outset" w:sz="6" w:space="0" w:color="000001"/>
          <w:insideH w:val="outset" w:sz="6" w:space="0" w:color="000001"/>
          <w:insideV w:val="outset" w:sz="6" w:space="0" w:color="000001"/>
        </w:tblBorders>
        <w:tblCellMar>
          <w:top w:w="75" w:type="dxa"/>
          <w:left w:w="52" w:type="dxa"/>
          <w:bottom w:w="75" w:type="dxa"/>
          <w:right w:w="75" w:type="dxa"/>
        </w:tblCellMar>
        <w:tblLook w:firstRow="0" w:noVBand="0" w:lastRow="0" w:firstColumn="0" w:lastColumn="0" w:noHBand="0" w:val="0000"/>
      </w:tblPr>
      <w:tblGrid>
        <w:gridCol w:w="2239"/>
        <w:gridCol w:w="4981"/>
        <w:gridCol w:w="1960"/>
      </w:tblGrid>
      <w:tr>
        <w:trPr>
          <w:trHeight w:val="60" w:hRule="atLeast"/>
        </w:trPr>
        <w:tc>
          <w:tcPr>
            <w:tcW w:w="9180" w:type="dxa"/>
            <w:gridSpan w:val="3"/>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b/>
                <w:bCs/>
                <w:szCs w:val="20"/>
              </w:rPr>
              <w:t>INFRAÇÃO</w:t>
            </w:r>
          </w:p>
        </w:tc>
      </w:tr>
      <w:tr>
        <w:trPr/>
        <w:tc>
          <w:tcPr>
            <w:tcW w:w="2239"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b/>
                <w:bCs/>
                <w:szCs w:val="20"/>
              </w:rPr>
              <w:t>ITEM</w:t>
            </w:r>
          </w:p>
        </w:tc>
        <w:tc>
          <w:tcPr>
            <w:tcW w:w="4981"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b/>
                <w:bCs/>
                <w:szCs w:val="20"/>
              </w:rPr>
              <w:t>DESCRIÇÃO</w:t>
            </w:r>
          </w:p>
        </w:tc>
        <w:tc>
          <w:tcPr>
            <w:tcW w:w="1960"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b/>
                <w:bCs/>
                <w:szCs w:val="20"/>
              </w:rPr>
              <w:t>GRAU</w:t>
            </w:r>
          </w:p>
        </w:tc>
      </w:tr>
      <w:tr>
        <w:trPr/>
        <w:tc>
          <w:tcPr>
            <w:tcW w:w="2239"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1</w:t>
            </w:r>
          </w:p>
        </w:tc>
        <w:tc>
          <w:tcPr>
            <w:tcW w:w="4981"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Permitir situação que crie a possibilidade de causar dano físico, lesão corporal ou consequências letais, por ocorrência;</w:t>
            </w:r>
          </w:p>
        </w:tc>
        <w:tc>
          <w:tcPr>
            <w:tcW w:w="1960"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05</w:t>
            </w:r>
          </w:p>
        </w:tc>
      </w:tr>
      <w:tr>
        <w:trPr/>
        <w:tc>
          <w:tcPr>
            <w:tcW w:w="2239"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2</w:t>
            </w:r>
          </w:p>
        </w:tc>
        <w:tc>
          <w:tcPr>
            <w:tcW w:w="4981"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Suspender ou interromper, salvo motivo de força maior ou caso fortuito, os serviços contratuais por dia e por unidade de atendimento;</w:t>
            </w:r>
          </w:p>
        </w:tc>
        <w:tc>
          <w:tcPr>
            <w:tcW w:w="1960"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04</w:t>
            </w:r>
          </w:p>
        </w:tc>
      </w:tr>
      <w:tr>
        <w:trPr/>
        <w:tc>
          <w:tcPr>
            <w:tcW w:w="2239"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3</w:t>
            </w:r>
          </w:p>
        </w:tc>
        <w:tc>
          <w:tcPr>
            <w:tcW w:w="4981"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Manter funcionário sem qualificação para executar os serviços contratados, por empregado e por dia;</w:t>
            </w:r>
          </w:p>
        </w:tc>
        <w:tc>
          <w:tcPr>
            <w:tcW w:w="1960"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03</w:t>
            </w:r>
          </w:p>
        </w:tc>
      </w:tr>
      <w:tr>
        <w:trPr/>
        <w:tc>
          <w:tcPr>
            <w:tcW w:w="2239"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4</w:t>
            </w:r>
          </w:p>
        </w:tc>
        <w:tc>
          <w:tcPr>
            <w:tcW w:w="4981"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Recusar-se a executar serviço determinado pela fiscalização, por serviço e por dia;</w:t>
            </w:r>
          </w:p>
        </w:tc>
        <w:tc>
          <w:tcPr>
            <w:tcW w:w="1960"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02</w:t>
            </w:r>
          </w:p>
        </w:tc>
      </w:tr>
      <w:tr>
        <w:trPr/>
        <w:tc>
          <w:tcPr>
            <w:tcW w:w="2239"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5</w:t>
            </w:r>
          </w:p>
        </w:tc>
        <w:tc>
          <w:tcPr>
            <w:tcW w:w="4981"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Retirar funcionários ou encarregados do serviço durante o expediente, sem a anuência prévia do CONTRATANTE, por empregado e por dia;</w:t>
            </w:r>
          </w:p>
        </w:tc>
        <w:tc>
          <w:tcPr>
            <w:tcW w:w="1960"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03</w:t>
            </w:r>
          </w:p>
        </w:tc>
      </w:tr>
      <w:tr>
        <w:trPr>
          <w:trHeight w:val="225" w:hRule="atLeast"/>
        </w:trPr>
        <w:tc>
          <w:tcPr>
            <w:tcW w:w="9180" w:type="dxa"/>
            <w:gridSpan w:val="3"/>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b/>
                <w:bCs/>
                <w:szCs w:val="20"/>
              </w:rPr>
              <w:t>Para os itens a seguir, deixar de:</w:t>
            </w:r>
          </w:p>
        </w:tc>
      </w:tr>
      <w:tr>
        <w:trPr/>
        <w:tc>
          <w:tcPr>
            <w:tcW w:w="2239"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6</w:t>
            </w:r>
          </w:p>
        </w:tc>
        <w:tc>
          <w:tcPr>
            <w:tcW w:w="4981"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Registrar e controlar, diariamente, a assiduidade e a pontualidade de seu pessoal, por funcionário e por dia;</w:t>
            </w:r>
          </w:p>
        </w:tc>
        <w:tc>
          <w:tcPr>
            <w:tcW w:w="1960"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01</w:t>
            </w:r>
          </w:p>
        </w:tc>
      </w:tr>
      <w:tr>
        <w:trPr/>
        <w:tc>
          <w:tcPr>
            <w:tcW w:w="2239"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7</w:t>
            </w:r>
          </w:p>
        </w:tc>
        <w:tc>
          <w:tcPr>
            <w:tcW w:w="4981"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Cumprir determinação formal ou instrução complementar do órgão fiscalizador, por ocorrência;</w:t>
            </w:r>
          </w:p>
        </w:tc>
        <w:tc>
          <w:tcPr>
            <w:tcW w:w="1960"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02</w:t>
            </w:r>
          </w:p>
        </w:tc>
      </w:tr>
      <w:tr>
        <w:trPr/>
        <w:tc>
          <w:tcPr>
            <w:tcW w:w="2239"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8</w:t>
            </w:r>
          </w:p>
        </w:tc>
        <w:tc>
          <w:tcPr>
            <w:tcW w:w="4981"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Substituir empregado que se conduza de modo inconveniente ou não atenda às necessidades do serviço, por funcionário e por dia;</w:t>
            </w:r>
          </w:p>
        </w:tc>
        <w:tc>
          <w:tcPr>
            <w:tcW w:w="1960"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01</w:t>
            </w:r>
          </w:p>
        </w:tc>
      </w:tr>
      <w:tr>
        <w:trPr/>
        <w:tc>
          <w:tcPr>
            <w:tcW w:w="2239"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9</w:t>
            </w:r>
          </w:p>
        </w:tc>
        <w:tc>
          <w:tcPr>
            <w:tcW w:w="4981"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Cumprir quaisquer dos itens do Edital e seus Anexos não previstos nesta tabela de multas, após reincidência formalmente notificada pelo órgão fiscalizador, por item e por ocorrência;</w:t>
            </w:r>
          </w:p>
        </w:tc>
        <w:tc>
          <w:tcPr>
            <w:tcW w:w="1960"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03</w:t>
            </w:r>
          </w:p>
        </w:tc>
      </w:tr>
      <w:tr>
        <w:trPr/>
        <w:tc>
          <w:tcPr>
            <w:tcW w:w="2239"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10</w:t>
            </w:r>
          </w:p>
        </w:tc>
        <w:tc>
          <w:tcPr>
            <w:tcW w:w="4981"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Indicar e manter durante a execução do contrato os prepostos previstos no edital/contrato;</w:t>
            </w:r>
          </w:p>
        </w:tc>
        <w:tc>
          <w:tcPr>
            <w:tcW w:w="1960"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01</w:t>
            </w:r>
          </w:p>
        </w:tc>
      </w:tr>
      <w:tr>
        <w:trPr/>
        <w:tc>
          <w:tcPr>
            <w:tcW w:w="2239"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11</w:t>
            </w:r>
          </w:p>
        </w:tc>
        <w:tc>
          <w:tcPr>
            <w:tcW w:w="4981"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tcPr>
          <w:p>
            <w:pPr>
              <w:pStyle w:val="Normal"/>
              <w:spacing w:lineRule="auto" w:line="276" w:before="120" w:after="120"/>
              <w:ind w:right="-30" w:hanging="0"/>
              <w:jc w:val="center"/>
              <w:rPr>
                <w:rFonts w:cs="Arial"/>
                <w:szCs w:val="20"/>
              </w:rPr>
            </w:pPr>
            <w:r>
              <w:rPr>
                <w:rFonts w:cs="Arial" w:ascii="Arial" w:hAnsi="Arial"/>
                <w:szCs w:val="20"/>
              </w:rPr>
              <w:t>Providenciar treinamento para seus funcionários conforme previsto na relação de obrigações da CONTRATADA</w:t>
            </w:r>
          </w:p>
        </w:tc>
        <w:tc>
          <w:tcPr>
            <w:tcW w:w="1960" w:type="dxa"/>
            <w:tcBorders>
              <w:top w:val="outset" w:sz="6" w:space="0" w:color="000001"/>
              <w:left w:val="outset" w:sz="6" w:space="0" w:color="000001"/>
              <w:bottom w:val="outset" w:sz="6" w:space="0" w:color="000001"/>
              <w:right w:val="outset" w:sz="6" w:space="0" w:color="000001"/>
              <w:insideH w:val="outset" w:sz="6" w:space="0" w:color="000001"/>
              <w:insideV w:val="outset" w:sz="6" w:space="0" w:color="000001"/>
            </w:tcBorders>
            <w:shd w:fill="auto" w:val="clear"/>
            <w:vAlign w:val="center"/>
          </w:tcPr>
          <w:p>
            <w:pPr>
              <w:pStyle w:val="Normal"/>
              <w:spacing w:lineRule="auto" w:line="276" w:before="120" w:after="120"/>
              <w:ind w:right="-30" w:hanging="0"/>
              <w:jc w:val="center"/>
              <w:rPr>
                <w:rFonts w:cs="Arial"/>
                <w:szCs w:val="20"/>
              </w:rPr>
            </w:pPr>
            <w:r>
              <w:rPr>
                <w:rFonts w:cs="Arial" w:ascii="Arial" w:hAnsi="Arial"/>
                <w:szCs w:val="20"/>
              </w:rPr>
              <w:t>01</w:t>
            </w:r>
          </w:p>
        </w:tc>
      </w:tr>
    </w:tbl>
    <w:p>
      <w:pPr>
        <w:pStyle w:val="Normal"/>
        <w:numPr>
          <w:ilvl w:val="1"/>
          <w:numId w:val="2"/>
        </w:numPr>
        <w:spacing w:lineRule="auto" w:line="276" w:before="120" w:after="120"/>
        <w:ind w:left="792" w:right="-30" w:hanging="432"/>
        <w:jc w:val="both"/>
        <w:rPr>
          <w:rFonts w:cs="Arial"/>
          <w:szCs w:val="20"/>
        </w:rPr>
      </w:pPr>
      <w:r>
        <w:rPr>
          <w:rFonts w:cs="Arial" w:ascii="Arial" w:hAnsi="Arial"/>
          <w:sz w:val="24"/>
          <w:szCs w:val="24"/>
        </w:rPr>
        <w:t>Também ficam sujeitas às penalidades do art. 87, III e IV da Lei nº 8.666, de 1993, as empresas ou profissionais que:</w:t>
      </w:r>
    </w:p>
    <w:p>
      <w:pPr>
        <w:pStyle w:val="Normal"/>
        <w:widowControl/>
        <w:numPr>
          <w:ilvl w:val="2"/>
          <w:numId w:val="2"/>
        </w:numPr>
        <w:suppressAutoHyphens w:val="true"/>
        <w:bidi w:val="0"/>
        <w:spacing w:lineRule="auto" w:line="276" w:before="120" w:after="120"/>
        <w:ind w:left="1984" w:right="0" w:hanging="0"/>
        <w:jc w:val="both"/>
        <w:rPr>
          <w:rFonts w:cs="Arial"/>
          <w:szCs w:val="20"/>
        </w:rPr>
      </w:pPr>
      <w:r>
        <w:rPr>
          <w:rFonts w:cs="Arial" w:ascii="Arial" w:hAnsi="Arial"/>
          <w:sz w:val="24"/>
          <w:szCs w:val="24"/>
        </w:rPr>
        <w:t>Tenham sofrido condenação definitiva por praticar, por meio dolosos, fraude fiscal no recolhimento de quaisquer tributos;</w:t>
      </w:r>
    </w:p>
    <w:p>
      <w:pPr>
        <w:pStyle w:val="Normal"/>
        <w:widowControl/>
        <w:numPr>
          <w:ilvl w:val="2"/>
          <w:numId w:val="2"/>
        </w:numPr>
        <w:suppressAutoHyphens w:val="true"/>
        <w:bidi w:val="0"/>
        <w:spacing w:lineRule="auto" w:line="276" w:before="120" w:after="120"/>
        <w:ind w:left="1984" w:right="0" w:hanging="0"/>
        <w:jc w:val="both"/>
        <w:rPr>
          <w:rFonts w:cs="Arial"/>
          <w:szCs w:val="20"/>
        </w:rPr>
      </w:pPr>
      <w:r>
        <w:rPr>
          <w:rFonts w:cs="Arial" w:ascii="Arial" w:hAnsi="Arial"/>
          <w:sz w:val="24"/>
          <w:szCs w:val="24"/>
        </w:rPr>
        <w:t>Tenham praticado atos ilícitos visando a frustrar os objetivos da licitação;</w:t>
      </w:r>
    </w:p>
    <w:p>
      <w:pPr>
        <w:pStyle w:val="Normal"/>
        <w:widowControl/>
        <w:numPr>
          <w:ilvl w:val="2"/>
          <w:numId w:val="2"/>
        </w:numPr>
        <w:suppressAutoHyphens w:val="true"/>
        <w:bidi w:val="0"/>
        <w:spacing w:lineRule="auto" w:line="276" w:before="120" w:after="120"/>
        <w:ind w:left="1984" w:right="0" w:hanging="0"/>
        <w:jc w:val="both"/>
        <w:rPr>
          <w:rFonts w:cs="Arial"/>
          <w:szCs w:val="20"/>
        </w:rPr>
      </w:pPr>
      <w:r>
        <w:rPr>
          <w:rFonts w:cs="Arial" w:ascii="Arial" w:hAnsi="Arial"/>
          <w:sz w:val="24"/>
          <w:szCs w:val="24"/>
        </w:rPr>
        <w:t xml:space="preserve">Demonstrem não possuir idoneidade para contratar com a Administração em virtude de atos ilícitos praticados. </w:t>
      </w:r>
    </w:p>
    <w:p>
      <w:pPr>
        <w:pStyle w:val="Normal"/>
        <w:numPr>
          <w:ilvl w:val="1"/>
          <w:numId w:val="2"/>
        </w:numPr>
        <w:spacing w:lineRule="auto" w:line="276" w:before="120" w:after="120"/>
        <w:ind w:left="792" w:right="-30" w:hanging="432"/>
        <w:jc w:val="both"/>
        <w:rPr>
          <w:rFonts w:cs="Arial"/>
          <w:szCs w:val="20"/>
        </w:rPr>
      </w:pPr>
      <w:r>
        <w:rPr>
          <w:rFonts w:cs="Arial" w:ascii="Arial" w:hAnsi="Arial"/>
          <w:sz w:val="24"/>
          <w:szCs w:val="24"/>
        </w:rPr>
        <w:t>A aplicação de qualquer das penalidades previstas realizar-se-á em processo administrativo que assegurará o contraditório e a ampla defesa à CONTRATADA, observando-se o procedimento previsto na Lei nº 8.666, de 1993, e subsidiariamente a Lei nº 9.784, de 1999.</w:t>
      </w:r>
    </w:p>
    <w:p>
      <w:pPr>
        <w:pStyle w:val="Normal"/>
        <w:numPr>
          <w:ilvl w:val="1"/>
          <w:numId w:val="2"/>
        </w:numPr>
        <w:spacing w:lineRule="auto" w:line="276" w:before="120" w:after="120"/>
        <w:ind w:left="792" w:right="-30" w:hanging="432"/>
        <w:jc w:val="both"/>
        <w:rPr>
          <w:color w:val="101010"/>
          <w:sz w:val="24"/>
        </w:rPr>
      </w:pPr>
      <w:r>
        <w:rPr>
          <w:rFonts w:ascii="Arial" w:hAnsi="Arial"/>
          <w:sz w:val="24"/>
          <w:szCs w:val="24"/>
        </w:rPr>
        <w:t>As multas devidas e/ou prejuízos causados à Contratante serão deduzidos dos valores a serem pagos, ou recolhidos em favor da União, ou deduzidos da garantia, ou ainda, quando for o caso, serão inscritos na Dívida Ativa da União e cobrados judicialmente.</w:t>
      </w:r>
    </w:p>
    <w:p>
      <w:pPr>
        <w:pStyle w:val="Normal"/>
        <w:widowControl/>
        <w:numPr>
          <w:ilvl w:val="2"/>
          <w:numId w:val="2"/>
        </w:numPr>
        <w:suppressAutoHyphens w:val="true"/>
        <w:bidi w:val="0"/>
        <w:spacing w:lineRule="auto" w:line="276" w:before="120" w:after="120"/>
        <w:ind w:left="1984" w:right="0" w:hanging="0"/>
        <w:jc w:val="both"/>
        <w:rPr>
          <w:color w:val="101010"/>
          <w:sz w:val="24"/>
        </w:rPr>
      </w:pPr>
      <w:r>
        <w:rPr>
          <w:rFonts w:ascii="Arial" w:hAnsi="Arial"/>
          <w:sz w:val="24"/>
          <w:szCs w:val="24"/>
        </w:rPr>
        <w:t xml:space="preserve">Caso a Contratante determine, a multa deverá ser recolhida no prazo máximo de </w:t>
      </w:r>
      <w:r>
        <w:rPr>
          <w:rFonts w:eastAsia="Times New Roman" w:cs="Tahoma" w:ascii="Arial" w:hAnsi="Arial"/>
          <w:color w:val="000000"/>
          <w:kern w:val="0"/>
          <w:sz w:val="24"/>
          <w:szCs w:val="24"/>
          <w:lang w:val="pt-BR" w:eastAsia="pt-BR" w:bidi="ar-SA"/>
        </w:rPr>
        <w:t xml:space="preserve">10 </w:t>
      </w:r>
      <w:r>
        <w:rPr>
          <w:rFonts w:ascii="Arial" w:hAnsi="Arial"/>
          <w:color w:val="000000"/>
          <w:sz w:val="24"/>
          <w:szCs w:val="24"/>
        </w:rPr>
        <w:t>(</w:t>
      </w:r>
      <w:r>
        <w:rPr>
          <w:rFonts w:eastAsia="Times New Roman" w:cs="Tahoma" w:ascii="Arial" w:hAnsi="Arial"/>
          <w:color w:val="000000"/>
          <w:kern w:val="0"/>
          <w:sz w:val="24"/>
          <w:szCs w:val="24"/>
          <w:lang w:val="pt-BR" w:eastAsia="pt-BR" w:bidi="ar-SA"/>
        </w:rPr>
        <w:t>dez</w:t>
      </w:r>
      <w:r>
        <w:rPr>
          <w:rFonts w:ascii="Arial" w:hAnsi="Arial"/>
          <w:color w:val="000000"/>
          <w:sz w:val="24"/>
          <w:szCs w:val="24"/>
        </w:rPr>
        <w:t>)</w:t>
      </w:r>
      <w:r>
        <w:rPr>
          <w:rFonts w:ascii="Arial" w:hAnsi="Arial"/>
          <w:sz w:val="24"/>
          <w:szCs w:val="24"/>
        </w:rPr>
        <w:t xml:space="preserve"> dias, a contar da data do recebimento da comunicação enviada pela autoridade competente.</w:t>
      </w:r>
    </w:p>
    <w:p>
      <w:pPr>
        <w:pStyle w:val="Normal"/>
        <w:numPr>
          <w:ilvl w:val="1"/>
          <w:numId w:val="2"/>
        </w:numPr>
        <w:spacing w:lineRule="auto" w:line="276" w:before="120" w:after="120"/>
        <w:ind w:left="792" w:right="-30" w:hanging="432"/>
        <w:jc w:val="both"/>
        <w:rPr>
          <w:color w:val="101010"/>
          <w:sz w:val="24"/>
        </w:rPr>
      </w:pPr>
      <w:r>
        <w:rPr>
          <w:rFonts w:ascii="Arial" w:hAnsi="Arial"/>
          <w:sz w:val="24"/>
          <w:szCs w:val="24"/>
        </w:rPr>
        <w:t>Caso o valor da multa não seja suficiente para cobrir os prejuízos causados pela conduta do licitante, a União ou Entidade poderá cobrar o valor remanescente judicialmente, conforme artigo 419 do Código Civil.</w:t>
      </w:r>
    </w:p>
    <w:p>
      <w:pPr>
        <w:pStyle w:val="Normal"/>
        <w:numPr>
          <w:ilvl w:val="1"/>
          <w:numId w:val="2"/>
        </w:numPr>
        <w:spacing w:lineRule="auto" w:line="276" w:before="120" w:after="120"/>
        <w:ind w:left="792" w:right="-30" w:hanging="432"/>
        <w:jc w:val="both"/>
        <w:rPr>
          <w:color w:val="101010"/>
          <w:sz w:val="24"/>
        </w:rPr>
      </w:pPr>
      <w:r>
        <w:rPr>
          <w:rFonts w:ascii="Arial" w:hAnsi="Arial"/>
          <w:sz w:val="24"/>
          <w:szCs w:val="24"/>
        </w:rPr>
        <w:t>A autoridade competente, na aplicação das sanções, levará em consideração a gravidade da conduta do infrator, o caráter educativo da pena, bem como o dano causado à Administração, observado o princípio da proporcionalidade.</w:t>
      </w:r>
    </w:p>
    <w:p>
      <w:pPr>
        <w:pStyle w:val="Nivel2"/>
        <w:numPr>
          <w:ilvl w:val="1"/>
          <w:numId w:val="2"/>
        </w:numPr>
        <w:rPr>
          <w:rFonts w:ascii="Arial" w:hAnsi="Arial" w:cs="Arial"/>
        </w:rPr>
      </w:pPr>
      <w:r>
        <w:rPr>
          <w:rFonts w:cs="Arial" w:ascii="Arial" w:hAnsi="Arial"/>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dos processos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ivel2"/>
        <w:numPr>
          <w:ilvl w:val="1"/>
          <w:numId w:val="2"/>
        </w:numPr>
        <w:rPr>
          <w:rFonts w:ascii="Arial" w:hAnsi="Arial" w:cs="Arial"/>
        </w:rPr>
      </w:pPr>
      <w:r>
        <w:rPr>
          <w:rFonts w:cs="Arial" w:ascii="Arial" w:hAnsi="Arial"/>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ivel2"/>
        <w:numPr>
          <w:ilvl w:val="1"/>
          <w:numId w:val="2"/>
        </w:numPr>
        <w:rPr>
          <w:rFonts w:ascii="Arial" w:hAnsi="Arial" w:cs="Arial"/>
        </w:rPr>
      </w:pPr>
      <w:r>
        <w:rPr>
          <w:rFonts w:cs="Arial" w:ascii="Arial" w:hAnsi="Arial"/>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2"/>
        </w:numPr>
        <w:spacing w:lineRule="auto" w:line="276" w:before="120" w:after="120"/>
        <w:ind w:left="792" w:right="-30" w:hanging="432"/>
        <w:jc w:val="both"/>
        <w:rPr>
          <w:rFonts w:cs="Arial"/>
          <w:szCs w:val="20"/>
        </w:rPr>
      </w:pPr>
      <w:r>
        <w:rPr>
          <w:rFonts w:cs="Arial" w:ascii="Arial" w:hAnsi="Arial"/>
          <w:sz w:val="24"/>
          <w:szCs w:val="24"/>
        </w:rPr>
        <w:t>As penalidades serão obrigatoriamente registradas no SICAF.</w:t>
      </w:r>
    </w:p>
    <w:p>
      <w:pPr>
        <w:pStyle w:val="ListParagraph"/>
        <w:numPr>
          <w:ilvl w:val="0"/>
          <w:numId w:val="2"/>
        </w:numPr>
        <w:spacing w:lineRule="auto" w:line="276" w:before="120" w:after="120"/>
        <w:ind w:left="360" w:right="-30" w:hanging="360"/>
        <w:contextualSpacing/>
        <w:jc w:val="both"/>
        <w:rPr>
          <w:rFonts w:cs="Arial"/>
          <w:b/>
          <w:b/>
          <w:bCs/>
          <w:szCs w:val="20"/>
        </w:rPr>
      </w:pPr>
      <w:r>
        <w:rPr>
          <w:rFonts w:cs="Arial" w:ascii="Arial" w:hAnsi="Arial"/>
          <w:b/>
          <w:bCs/>
          <w:sz w:val="24"/>
          <w:szCs w:val="24"/>
        </w:rPr>
        <w:t>CRITÉRIOS DE SELEÇÃO DO FORNECEDOR.</w:t>
      </w:r>
    </w:p>
    <w:p>
      <w:pPr>
        <w:pStyle w:val="Normal"/>
        <w:numPr>
          <w:ilvl w:val="1"/>
          <w:numId w:val="2"/>
        </w:numPr>
        <w:spacing w:lineRule="auto" w:line="276" w:before="120" w:after="120"/>
        <w:ind w:left="792" w:right="-30" w:hanging="432"/>
        <w:jc w:val="both"/>
        <w:rPr>
          <w:rFonts w:cs="Arial"/>
          <w:szCs w:val="20"/>
        </w:rPr>
      </w:pPr>
      <w:r>
        <w:rPr>
          <w:rFonts w:cs="Arial" w:ascii="Arial" w:hAnsi="Arial"/>
          <w:sz w:val="24"/>
          <w:szCs w:val="24"/>
        </w:rPr>
        <w:t>As exigências de habilitação jurídica e de regularidade fiscal e trabalhista são as usuais para a generalidade dos objetos, conforme disciplinado no edital.</w:t>
      </w:r>
    </w:p>
    <w:p>
      <w:pPr>
        <w:pStyle w:val="Normal"/>
        <w:numPr>
          <w:ilvl w:val="1"/>
          <w:numId w:val="2"/>
        </w:numPr>
        <w:spacing w:lineRule="auto" w:line="276" w:before="120" w:after="120"/>
        <w:ind w:left="792" w:right="-30" w:hanging="432"/>
        <w:jc w:val="both"/>
        <w:rPr>
          <w:rFonts w:cs="Arial"/>
          <w:szCs w:val="20"/>
        </w:rPr>
      </w:pPr>
      <w:r>
        <w:rPr>
          <w:rFonts w:cs="Arial" w:ascii="Arial" w:hAnsi="Arial"/>
          <w:sz w:val="24"/>
          <w:szCs w:val="24"/>
        </w:rPr>
        <w:t>Os critérios de qualificação econômico-financeira a serem atendidos pelo fornecedor estão previstos no edital.</w:t>
      </w:r>
    </w:p>
    <w:p>
      <w:pPr>
        <w:pStyle w:val="Normal"/>
        <w:numPr>
          <w:ilvl w:val="1"/>
          <w:numId w:val="2"/>
        </w:numPr>
        <w:spacing w:lineRule="auto" w:line="276" w:before="120" w:after="120"/>
        <w:ind w:left="792" w:right="-30" w:hanging="432"/>
        <w:jc w:val="both"/>
        <w:rPr>
          <w:rFonts w:cs="Arial"/>
          <w:szCs w:val="20"/>
        </w:rPr>
      </w:pPr>
      <w:r>
        <w:rPr>
          <w:rFonts w:cs="Arial" w:ascii="Arial" w:hAnsi="Arial"/>
          <w:sz w:val="24"/>
          <w:szCs w:val="24"/>
        </w:rPr>
        <w:t>Os critérios de qualificação técnica a serem atendidos pelo fornecedor serão:</w:t>
      </w:r>
    </w:p>
    <w:p>
      <w:pPr>
        <w:pStyle w:val="ListParagraph"/>
        <w:widowControl/>
        <w:numPr>
          <w:ilvl w:val="2"/>
          <w:numId w:val="2"/>
        </w:numPr>
        <w:suppressAutoHyphens w:val="true"/>
        <w:bidi w:val="0"/>
        <w:spacing w:lineRule="auto" w:line="276" w:before="120" w:after="120"/>
        <w:ind w:left="1984" w:right="0" w:hanging="0"/>
        <w:contextualSpacing/>
        <w:jc w:val="both"/>
        <w:rPr>
          <w:rFonts w:cs="Arial"/>
          <w:bCs/>
          <w:color w:val="000000"/>
          <w:szCs w:val="20"/>
          <w:highlight w:val="yellow"/>
        </w:rPr>
      </w:pPr>
      <w:bookmarkStart w:id="0" w:name="_Hlk519176340"/>
      <w:bookmarkEnd w:id="0"/>
      <w:r>
        <w:rPr>
          <w:rFonts w:cs="Arial" w:ascii="Arial" w:hAnsi="Arial"/>
          <w:color w:val="000000"/>
          <w:sz w:val="24"/>
          <w:szCs w:val="24"/>
          <w:highlight w:val="white"/>
        </w:rPr>
        <w:t xml:space="preserve">Comprovação de aptidão para a prestação do serviço em características, quantidades e prazos compatíveis com o objeto desta licitação, ou com o item pertinente, mediante a apresentação de atestado(s) fornecido(s) por pessoas jurídicas de direito público ou privado. </w:t>
      </w:r>
    </w:p>
    <w:p>
      <w:pPr>
        <w:pStyle w:val="Normal"/>
        <w:widowControl/>
        <w:numPr>
          <w:ilvl w:val="3"/>
          <w:numId w:val="2"/>
        </w:numPr>
        <w:tabs>
          <w:tab w:val="left" w:pos="1440" w:leader="none"/>
        </w:tabs>
        <w:suppressAutoHyphens w:val="true"/>
        <w:bidi w:val="0"/>
        <w:snapToGrid w:val="false"/>
        <w:spacing w:lineRule="auto" w:line="276" w:before="120" w:after="120"/>
        <w:ind w:left="2778" w:right="0" w:hanging="0"/>
        <w:jc w:val="both"/>
        <w:rPr>
          <w:rFonts w:cs="Arial"/>
          <w:bCs/>
          <w:color w:val="000000"/>
          <w:szCs w:val="20"/>
          <w:highlight w:val="yellow"/>
        </w:rPr>
      </w:pPr>
      <w:r>
        <w:rPr>
          <w:rFonts w:cs="Arial" w:ascii="Arial" w:hAnsi="Arial"/>
          <w:color w:val="000000"/>
          <w:sz w:val="24"/>
          <w:szCs w:val="24"/>
          <w:highlight w:val="white"/>
        </w:rPr>
        <w:t>Para fins da comprovação de que trata este subitem, os atestados deverão dizer respeito a serviço executado com as seguintes características mínimas:</w:t>
      </w:r>
    </w:p>
    <w:p>
      <w:pPr>
        <w:pStyle w:val="ListParagraph"/>
        <w:widowControl/>
        <w:numPr>
          <w:ilvl w:val="0"/>
          <w:numId w:val="0"/>
        </w:numPr>
        <w:suppressAutoHyphens w:val="true"/>
        <w:bidi w:val="0"/>
        <w:spacing w:before="0" w:after="0"/>
        <w:ind w:left="2778" w:right="0" w:hanging="0"/>
        <w:contextualSpacing/>
        <w:jc w:val="both"/>
        <w:rPr>
          <w:rFonts w:cs="Arial"/>
          <w:color w:val="FF0000"/>
          <w:szCs w:val="20"/>
          <w:highlight w:val="yellow"/>
        </w:rPr>
      </w:pPr>
      <w:r>
        <w:rPr>
          <w:rFonts w:cs="Arial" w:ascii="Arial" w:hAnsi="Arial"/>
          <w:color w:val="000000"/>
          <w:sz w:val="24"/>
          <w:szCs w:val="24"/>
          <w:highlight w:val="white"/>
        </w:rPr>
        <w:t xml:space="preserve">22.3.1.2. Deverá haver a comprovação da experiência mínima de 1 (um) ano na prestação do serviço, sendo aceito o somatório de atestados de períodos diferentes, não havendo obrigatoriedade de 2 (dois) anos serem ininterruptos, conforme item 10.7.1 do Anexo VII-A da IN </w:t>
      </w:r>
      <w:r>
        <w:rPr>
          <w:rFonts w:cs="Arial" w:ascii="Arial" w:hAnsi="Arial"/>
          <w:i w:val="false"/>
          <w:iCs w:val="false"/>
          <w:color w:val="000000"/>
          <w:sz w:val="24"/>
          <w:szCs w:val="24"/>
          <w:highlight w:val="white"/>
        </w:rPr>
        <w:t>SEGES/MPDG n. 5/2017.</w:t>
      </w:r>
    </w:p>
    <w:p>
      <w:pPr>
        <w:pStyle w:val="Normal"/>
        <w:widowControl/>
        <w:numPr>
          <w:ilvl w:val="0"/>
          <w:numId w:val="0"/>
        </w:numPr>
        <w:suppressAutoHyphens w:val="true"/>
        <w:bidi w:val="0"/>
        <w:spacing w:lineRule="auto" w:line="276" w:before="120" w:after="120"/>
        <w:ind w:left="2778" w:right="0" w:hanging="0"/>
        <w:jc w:val="both"/>
        <w:rPr>
          <w:rFonts w:cs="Arial"/>
          <w:color w:val="000000"/>
          <w:szCs w:val="20"/>
          <w:highlight w:val="yellow"/>
        </w:rPr>
      </w:pPr>
      <w:bookmarkStart w:id="1" w:name="_Hlk5191763401"/>
      <w:bookmarkEnd w:id="1"/>
      <w:r>
        <w:rPr>
          <w:rFonts w:cs="Arial" w:ascii="Arial" w:hAnsi="Arial"/>
          <w:i w:val="false"/>
          <w:iCs w:val="false"/>
          <w:color w:val="000000"/>
          <w:sz w:val="24"/>
          <w:szCs w:val="24"/>
          <w:highlight w:val="white"/>
        </w:rPr>
        <w:t xml:space="preserve">22.3.1.3. Os atestados deverão referir-se a serviço prestado no âmbito de sua atividade econômica principal ou secundária especificadas no contrato social vigente; </w:t>
      </w:r>
    </w:p>
    <w:p>
      <w:pPr>
        <w:pStyle w:val="Normal"/>
        <w:widowControl/>
        <w:numPr>
          <w:ilvl w:val="0"/>
          <w:numId w:val="0"/>
        </w:numPr>
        <w:suppressAutoHyphens w:val="true"/>
        <w:bidi w:val="0"/>
        <w:spacing w:lineRule="auto" w:line="276" w:before="120" w:after="120"/>
        <w:ind w:left="2778" w:right="0" w:hanging="0"/>
        <w:jc w:val="both"/>
        <w:rPr>
          <w:rFonts w:cs="Arial"/>
          <w:i/>
          <w:i/>
          <w:color w:val="FF0000"/>
          <w:szCs w:val="20"/>
          <w:highlight w:val="yellow"/>
        </w:rPr>
      </w:pPr>
      <w:r>
        <w:rPr>
          <w:rFonts w:cs="Arial" w:ascii="Arial" w:hAnsi="Arial"/>
          <w:i w:val="false"/>
          <w:iCs w:val="false"/>
          <w:color w:val="000000"/>
          <w:sz w:val="24"/>
          <w:szCs w:val="24"/>
          <w:highlight w:val="white"/>
        </w:rPr>
        <w:t>22.3.1.4. Somente serão aceitos atestados expedidos após a conclusão do contrato ou se decorrido, pelo menos, um ano do início de sua execução, exceto se firmado para ser executado em prazo inferior, conforme item 10.8 do Anexo VII-A da IN SEGES/MP n. 5, de 2017.</w:t>
      </w:r>
      <w:bookmarkStart w:id="2" w:name="_Hlk519177818"/>
      <w:bookmarkEnd w:id="2"/>
    </w:p>
    <w:p>
      <w:pPr>
        <w:pStyle w:val="Normal"/>
        <w:widowControl/>
        <w:numPr>
          <w:ilvl w:val="0"/>
          <w:numId w:val="0"/>
        </w:numPr>
        <w:suppressAutoHyphens w:val="true"/>
        <w:bidi w:val="0"/>
        <w:spacing w:lineRule="auto" w:line="276" w:before="120" w:after="120"/>
        <w:ind w:left="2778" w:right="0" w:hanging="0"/>
        <w:jc w:val="both"/>
        <w:rPr>
          <w:rFonts w:cs="Arial"/>
          <w:i/>
          <w:i/>
          <w:color w:val="FF0000"/>
          <w:szCs w:val="20"/>
          <w:highlight w:val="yellow"/>
        </w:rPr>
      </w:pPr>
      <w:r>
        <w:rPr>
          <w:rFonts w:cs="Arial" w:ascii="Arial" w:hAnsi="Arial"/>
          <w:i w:val="false"/>
          <w:iCs w:val="false"/>
          <w:color w:val="000000"/>
          <w:sz w:val="24"/>
          <w:szCs w:val="24"/>
          <w:highlight w:val="white"/>
        </w:rPr>
        <w:t>22.3.1.5. Poderá ser admitida, para fins de comprovação de quantitativo mínimo do serviço, a apresentação de diferentes atestados de serviço executado de forma concomitante, pois essa situação se equivale, para fins de comprovação de capacidade técnico-operacional, a uma única contratação, nos termos do item 10.9 do Anexo VII-A da IN SEGES/MP n. 5/2017.</w:t>
      </w:r>
      <w:bookmarkStart w:id="3" w:name="_Hlk519177062"/>
      <w:bookmarkEnd w:id="3"/>
    </w:p>
    <w:p>
      <w:pPr>
        <w:pStyle w:val="Normal"/>
        <w:widowControl/>
        <w:numPr>
          <w:ilvl w:val="0"/>
          <w:numId w:val="0"/>
        </w:numPr>
        <w:suppressAutoHyphens w:val="true"/>
        <w:bidi w:val="0"/>
        <w:spacing w:lineRule="auto" w:line="276" w:before="120" w:after="120"/>
        <w:ind w:left="2778" w:right="0" w:hanging="0"/>
        <w:jc w:val="both"/>
        <w:rPr>
          <w:rFonts w:cs="Arial"/>
          <w:color w:val="000000"/>
          <w:szCs w:val="20"/>
          <w:highlight w:val="yellow"/>
        </w:rPr>
      </w:pPr>
      <w:r>
        <w:rPr>
          <w:rFonts w:cs="Arial" w:ascii="Arial" w:hAnsi="Arial"/>
          <w:i w:val="false"/>
          <w:iCs w:val="false"/>
          <w:color w:val="000000"/>
          <w:sz w:val="24"/>
          <w:szCs w:val="24"/>
          <w:highlight w:val="white"/>
        </w:rPr>
        <w:t>22.3.1.6. 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consoante o disposto no item 10.10 do Anexo VII-A da IN SEGES/MP n. 5/2017.</w:t>
      </w:r>
    </w:p>
    <w:p>
      <w:pPr>
        <w:pStyle w:val="Normal"/>
        <w:widowControl/>
        <w:numPr>
          <w:ilvl w:val="0"/>
          <w:numId w:val="0"/>
        </w:numPr>
        <w:suppressAutoHyphens w:val="true"/>
        <w:bidi w:val="0"/>
        <w:spacing w:lineRule="auto" w:line="276" w:before="120" w:after="120"/>
        <w:ind w:left="1984" w:right="0" w:hanging="0"/>
        <w:jc w:val="both"/>
        <w:rPr>
          <w:rFonts w:cs="Arial"/>
          <w:bCs/>
          <w:i/>
          <w:i/>
          <w:color w:val="FF0000"/>
          <w:szCs w:val="20"/>
          <w:highlight w:val="yellow"/>
        </w:rPr>
      </w:pPr>
      <w:r>
        <w:rPr>
          <w:rFonts w:cs="Arial" w:ascii="Arial" w:hAnsi="Arial"/>
          <w:bCs/>
          <w:i w:val="false"/>
          <w:iCs w:val="false"/>
          <w:color w:val="000000"/>
          <w:sz w:val="24"/>
          <w:szCs w:val="24"/>
          <w:highlight w:val="white"/>
        </w:rPr>
        <w:t xml:space="preserve">22.3.2. As </w:t>
      </w:r>
      <w:r>
        <w:rPr>
          <w:rFonts w:ascii="Arial" w:hAnsi="Arial"/>
          <w:i w:val="false"/>
          <w:iCs w:val="false"/>
          <w:color w:val="000000"/>
          <w:sz w:val="24"/>
          <w:szCs w:val="24"/>
          <w:highlight w:val="white"/>
        </w:rPr>
        <w:t>empresas</w:t>
      </w:r>
      <w:r>
        <w:rPr>
          <w:rFonts w:cs="Arial" w:ascii="Arial" w:hAnsi="Arial"/>
          <w:bCs/>
          <w:i w:val="false"/>
          <w:iCs w:val="false"/>
          <w:color w:val="000000"/>
          <w:sz w:val="24"/>
          <w:szCs w:val="24"/>
          <w:highlight w:val="white"/>
        </w:rPr>
        <w:t>, cadastradas ou não no SICAF, deverão apresentar atestado de vistoria assinado pelo servidor responsável</w:t>
      </w:r>
    </w:p>
    <w:p>
      <w:pPr>
        <w:pStyle w:val="Normal"/>
        <w:widowControl/>
        <w:numPr>
          <w:ilvl w:val="0"/>
          <w:numId w:val="0"/>
        </w:numPr>
        <w:suppressAutoHyphens w:val="true"/>
        <w:bidi w:val="0"/>
        <w:spacing w:lineRule="auto" w:line="276" w:before="120" w:after="120"/>
        <w:ind w:left="1984" w:right="0" w:hanging="0"/>
        <w:jc w:val="both"/>
        <w:rPr>
          <w:rFonts w:cs="Arial"/>
          <w:bCs/>
          <w:i/>
          <w:i/>
          <w:color w:val="FF0000"/>
          <w:szCs w:val="20"/>
          <w:highlight w:val="yellow"/>
        </w:rPr>
      </w:pPr>
      <w:r>
        <w:rPr>
          <w:rFonts w:cs="Arial" w:ascii="Arial" w:hAnsi="Arial"/>
          <w:bCs/>
          <w:i w:val="false"/>
          <w:iCs w:val="false"/>
          <w:color w:val="000000"/>
          <w:sz w:val="24"/>
          <w:szCs w:val="24"/>
          <w:highlight w:val="white"/>
        </w:rPr>
        <w:t>22.3.3. 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assume total responsabilidade por este fato e não utilizará deste para quaisquer questionamentos futuros que ensejem desavenças técnicas ou financeiras com a contratante.</w:t>
      </w:r>
      <w:bookmarkStart w:id="4" w:name="_Hlk518983267"/>
      <w:bookmarkEnd w:id="4"/>
    </w:p>
    <w:p>
      <w:pPr>
        <w:pStyle w:val="Normal"/>
        <w:widowControl/>
        <w:numPr>
          <w:ilvl w:val="0"/>
          <w:numId w:val="0"/>
        </w:numPr>
        <w:suppressAutoHyphens w:val="true"/>
        <w:bidi w:val="0"/>
        <w:spacing w:lineRule="auto" w:line="276" w:before="120" w:after="120"/>
        <w:ind w:left="340" w:right="0" w:hanging="0"/>
        <w:jc w:val="both"/>
        <w:rPr>
          <w:i/>
          <w:i/>
          <w:color w:val="FF0000"/>
          <w:szCs w:val="20"/>
        </w:rPr>
      </w:pPr>
      <w:r>
        <w:rPr>
          <w:rFonts w:ascii="Arial" w:hAnsi="Arial"/>
          <w:i w:val="false"/>
          <w:iCs w:val="false"/>
          <w:color w:val="000000"/>
          <w:sz w:val="24"/>
          <w:szCs w:val="24"/>
          <w:highlight w:val="white"/>
        </w:rPr>
        <w:t>22.4. O critério de aceitabilidade de preços é sigiloso, nos termos do art. 15 do Decreto nº 10.024, de 2019, do art. 7º, §3º da Lei nº 12.527, de 2011, e do art. 20 do Decreto nº 7.724, de 2012.</w:t>
      </w:r>
    </w:p>
    <w:p>
      <w:pPr>
        <w:pStyle w:val="Normal"/>
        <w:widowControl/>
        <w:numPr>
          <w:ilvl w:val="0"/>
          <w:numId w:val="0"/>
        </w:numPr>
        <w:suppressAutoHyphens w:val="true"/>
        <w:bidi w:val="0"/>
        <w:spacing w:lineRule="auto" w:line="276" w:before="120" w:after="120"/>
        <w:ind w:left="340" w:right="0" w:hanging="0"/>
        <w:jc w:val="both"/>
        <w:rPr>
          <w:rFonts w:cs="Arial"/>
          <w:szCs w:val="20"/>
        </w:rPr>
      </w:pPr>
      <w:r>
        <w:rPr>
          <w:rFonts w:cs="Arial" w:ascii="Arial" w:hAnsi="Arial"/>
          <w:sz w:val="24"/>
          <w:szCs w:val="24"/>
        </w:rPr>
        <w:t>22.5. O critério de julgamento da proposta é o menor preço global.</w:t>
      </w:r>
    </w:p>
    <w:p>
      <w:pPr>
        <w:pStyle w:val="Normal"/>
        <w:widowControl/>
        <w:numPr>
          <w:ilvl w:val="0"/>
          <w:numId w:val="0"/>
        </w:numPr>
        <w:suppressAutoHyphens w:val="true"/>
        <w:bidi w:val="0"/>
        <w:spacing w:lineRule="auto" w:line="276" w:before="120" w:after="120"/>
        <w:ind w:left="340" w:right="0" w:hanging="0"/>
        <w:jc w:val="both"/>
        <w:rPr>
          <w:rFonts w:cs="Arial"/>
          <w:szCs w:val="20"/>
        </w:rPr>
      </w:pPr>
      <w:r>
        <w:rPr>
          <w:rFonts w:cs="Arial" w:ascii="Arial" w:hAnsi="Arial"/>
          <w:sz w:val="24"/>
          <w:szCs w:val="24"/>
        </w:rPr>
        <w:t>22.6. As regras de desempate entre propostas são as discriminadas no edital.</w:t>
      </w:r>
    </w:p>
    <w:p>
      <w:pPr>
        <w:pStyle w:val="ListParagraph"/>
        <w:numPr>
          <w:ilvl w:val="0"/>
          <w:numId w:val="2"/>
        </w:numPr>
        <w:spacing w:lineRule="auto" w:line="276" w:before="120" w:after="120"/>
        <w:ind w:left="360" w:right="-30" w:hanging="360"/>
        <w:contextualSpacing/>
        <w:jc w:val="both"/>
        <w:rPr>
          <w:rFonts w:cs="Arial"/>
          <w:b/>
          <w:b/>
          <w:bCs/>
          <w:szCs w:val="20"/>
        </w:rPr>
      </w:pPr>
      <w:r>
        <w:rPr>
          <w:rFonts w:cs="Arial" w:ascii="Arial" w:hAnsi="Arial"/>
          <w:b/>
          <w:bCs/>
          <w:sz w:val="24"/>
          <w:szCs w:val="24"/>
        </w:rPr>
        <w:t>ESTIMATIVA DE PREÇOS E PREÇOS REFERENCIAIS.</w:t>
      </w:r>
    </w:p>
    <w:p>
      <w:pPr>
        <w:pStyle w:val="Normal"/>
        <w:numPr>
          <w:ilvl w:val="1"/>
          <w:numId w:val="5"/>
        </w:numPr>
        <w:spacing w:lineRule="auto" w:line="276" w:before="120" w:after="120"/>
        <w:ind w:left="792" w:right="-30" w:hanging="432"/>
        <w:jc w:val="both"/>
        <w:rPr>
          <w:i/>
          <w:i/>
          <w:color w:val="FF0000"/>
        </w:rPr>
      </w:pPr>
      <w:r>
        <w:rPr>
          <w:rFonts w:ascii="Arial" w:hAnsi="Arial"/>
          <w:b/>
          <w:bCs/>
          <w:i w:val="false"/>
          <w:iCs w:val="false"/>
          <w:color w:val="000000"/>
          <w:sz w:val="24"/>
          <w:szCs w:val="24"/>
          <w:highlight w:val="white"/>
        </w:rPr>
        <w:t>O custo estimado da contratação é de R$ 5.172,50 (cinco mil cento e setenta e dois reais e cinquenta centavos).</w:t>
      </w:r>
    </w:p>
    <w:p>
      <w:pPr>
        <w:pStyle w:val="ListParagraph"/>
        <w:numPr>
          <w:ilvl w:val="0"/>
          <w:numId w:val="2"/>
        </w:numPr>
        <w:spacing w:lineRule="auto" w:line="276" w:before="120" w:after="120"/>
        <w:ind w:left="360" w:right="-30" w:hanging="360"/>
        <w:contextualSpacing/>
        <w:jc w:val="both"/>
        <w:rPr>
          <w:rFonts w:cs="Arial"/>
          <w:b/>
          <w:b/>
          <w:bCs/>
          <w:szCs w:val="20"/>
        </w:rPr>
      </w:pPr>
      <w:r>
        <w:rPr>
          <w:rFonts w:cs="Arial" w:ascii="Arial" w:hAnsi="Arial"/>
          <w:b/>
          <w:bCs/>
          <w:sz w:val="24"/>
          <w:szCs w:val="24"/>
        </w:rPr>
        <w:t>DOS RECURSOS ORÇAMENTÁRIOS.</w:t>
      </w:r>
    </w:p>
    <w:p>
      <w:pPr>
        <w:pStyle w:val="ListParagraph"/>
        <w:numPr>
          <w:ilvl w:val="1"/>
          <w:numId w:val="2"/>
        </w:numPr>
        <w:spacing w:lineRule="auto" w:line="276" w:before="120" w:after="120"/>
        <w:ind w:left="792" w:right="-30" w:hanging="432"/>
        <w:contextualSpacing/>
        <w:jc w:val="both"/>
        <w:rPr>
          <w:rFonts w:cs="Arial"/>
          <w:i/>
          <w:i/>
          <w:iCs/>
          <w:color w:val="FF0000"/>
          <w:szCs w:val="20"/>
          <w:highlight w:val="yellow"/>
        </w:rPr>
      </w:pPr>
      <w:r>
        <w:rPr>
          <w:rFonts w:cs="Arial" w:ascii="Arial" w:hAnsi="Arial"/>
          <w:i w:val="false"/>
          <w:iCs w:val="false"/>
          <w:color w:val="000000"/>
          <w:sz w:val="24"/>
          <w:szCs w:val="24"/>
          <w:highlight w:val="white"/>
        </w:rPr>
        <w:t>As despesas decorrentes da presente contratação correrão à conta de recursos específicos consignados no Orçamento Geral da União deste exercício, na dotação abaixo discriminada:</w:t>
      </w:r>
    </w:p>
    <w:p>
      <w:pPr>
        <w:pStyle w:val="Normal"/>
        <w:spacing w:lineRule="auto" w:line="276" w:before="0" w:after="0"/>
        <w:ind w:left="1133" w:firstLine="283"/>
        <w:jc w:val="both"/>
        <w:rPr>
          <w:rFonts w:ascii="Arial" w:hAnsi="Arial"/>
          <w:sz w:val="24"/>
          <w:szCs w:val="24"/>
        </w:rPr>
      </w:pPr>
      <w:r>
        <w:rPr>
          <w:rFonts w:cs="Arial" w:ascii="Arial" w:hAnsi="Arial"/>
          <w:i w:val="false"/>
          <w:iCs w:val="false"/>
          <w:color w:val="000000"/>
          <w:sz w:val="24"/>
          <w:szCs w:val="24"/>
          <w:highlight w:val="white"/>
        </w:rPr>
        <w:t xml:space="preserve">Gestão/Unidade: </w:t>
      </w:r>
    </w:p>
    <w:p>
      <w:pPr>
        <w:pStyle w:val="Normal"/>
        <w:spacing w:lineRule="auto" w:line="276" w:before="0" w:after="0"/>
        <w:ind w:left="850" w:firstLine="566"/>
        <w:jc w:val="both"/>
        <w:rPr>
          <w:rFonts w:ascii="Arial" w:hAnsi="Arial"/>
          <w:sz w:val="24"/>
          <w:szCs w:val="24"/>
        </w:rPr>
      </w:pPr>
      <w:r>
        <w:rPr>
          <w:rFonts w:cs="Arial" w:ascii="Arial" w:hAnsi="Arial"/>
          <w:i w:val="false"/>
          <w:iCs w:val="false"/>
          <w:color w:val="000000"/>
          <w:sz w:val="24"/>
          <w:szCs w:val="24"/>
          <w:highlight w:val="white"/>
        </w:rPr>
        <w:t xml:space="preserve">Fonte de Recursos: </w:t>
      </w:r>
    </w:p>
    <w:p>
      <w:pPr>
        <w:pStyle w:val="Normal"/>
        <w:spacing w:lineRule="auto" w:line="276" w:before="0" w:after="0"/>
        <w:ind w:left="1133" w:firstLine="283"/>
        <w:jc w:val="both"/>
        <w:rPr>
          <w:rFonts w:ascii="Arial" w:hAnsi="Arial"/>
          <w:sz w:val="24"/>
          <w:szCs w:val="24"/>
        </w:rPr>
      </w:pPr>
      <w:r>
        <w:rPr>
          <w:rFonts w:cs="Arial" w:ascii="Arial" w:hAnsi="Arial"/>
          <w:i w:val="false"/>
          <w:iCs w:val="false"/>
          <w:color w:val="000000"/>
          <w:sz w:val="24"/>
          <w:szCs w:val="24"/>
          <w:highlight w:val="white"/>
        </w:rPr>
        <w:t xml:space="preserve">Programa de Trabalho: </w:t>
      </w:r>
    </w:p>
    <w:p>
      <w:pPr>
        <w:pStyle w:val="Normal"/>
        <w:spacing w:lineRule="auto" w:line="276" w:before="0" w:after="0"/>
        <w:ind w:left="850" w:firstLine="566"/>
        <w:jc w:val="both"/>
        <w:rPr>
          <w:rFonts w:ascii="Arial" w:hAnsi="Arial"/>
          <w:sz w:val="24"/>
          <w:szCs w:val="24"/>
        </w:rPr>
      </w:pPr>
      <w:r>
        <w:rPr>
          <w:rFonts w:cs="Arial" w:ascii="Arial" w:hAnsi="Arial"/>
          <w:i w:val="false"/>
          <w:iCs w:val="false"/>
          <w:color w:val="000000"/>
          <w:sz w:val="24"/>
          <w:szCs w:val="24"/>
          <w:highlight w:val="white"/>
        </w:rPr>
        <w:t>Elemento de Despesa: 339</w:t>
      </w:r>
      <w:r>
        <w:rPr>
          <w:rFonts w:cs="Arial" w:ascii="Arial" w:hAnsi="Arial"/>
          <w:i w:val="false"/>
          <w:iCs w:val="false"/>
          <w:color w:val="000000"/>
          <w:sz w:val="24"/>
          <w:szCs w:val="24"/>
        </w:rPr>
        <w:t>03</w:t>
      </w:r>
      <w:r>
        <w:rPr>
          <w:rFonts w:cs="Arial" w:ascii="Arial" w:hAnsi="Arial"/>
          <w:i/>
          <w:iCs/>
          <w:color w:val="000000"/>
          <w:sz w:val="24"/>
          <w:szCs w:val="24"/>
        </w:rPr>
        <w:t>9</w:t>
      </w:r>
    </w:p>
    <w:p>
      <w:pPr>
        <w:pStyle w:val="Normal"/>
        <w:spacing w:lineRule="auto" w:line="276" w:before="0" w:after="0"/>
        <w:ind w:left="850" w:firstLine="566"/>
        <w:jc w:val="both"/>
        <w:rPr>
          <w:rFonts w:ascii="Arial" w:hAnsi="Arial"/>
          <w:sz w:val="24"/>
          <w:szCs w:val="24"/>
        </w:rPr>
      </w:pPr>
      <w:r>
        <w:rPr>
          <w:rFonts w:cs="Arial" w:ascii="Arial" w:hAnsi="Arial"/>
          <w:i w:val="false"/>
          <w:iCs w:val="false"/>
          <w:color w:val="000000"/>
          <w:sz w:val="24"/>
          <w:szCs w:val="24"/>
          <w:highlight w:val="white"/>
        </w:rPr>
        <w:t xml:space="preserve">Plano Interno: </w:t>
      </w:r>
    </w:p>
    <w:p>
      <w:pPr>
        <w:pStyle w:val="Normal"/>
        <w:spacing w:lineRule="auto" w:line="276" w:before="0" w:after="0"/>
        <w:ind w:left="850" w:firstLine="566"/>
        <w:jc w:val="both"/>
        <w:rPr>
          <w:rFonts w:ascii="Arial" w:hAnsi="Arial"/>
          <w:sz w:val="24"/>
          <w:szCs w:val="24"/>
        </w:rPr>
      </w:pPr>
      <w:r>
        <w:rPr>
          <w:rFonts w:cs="Arial" w:ascii="Arial" w:hAnsi="Arial"/>
          <w:i w:val="false"/>
          <w:iCs w:val="false"/>
          <w:color w:val="000000"/>
          <w:sz w:val="24"/>
          <w:szCs w:val="24"/>
          <w:highlight w:val="white"/>
        </w:rPr>
        <w:t>Nota de Empenho:</w:t>
      </w:r>
      <w:r>
        <w:rPr>
          <w:rFonts w:cs="Arial" w:ascii="Arial" w:hAnsi="Arial"/>
          <w:i w:val="false"/>
          <w:iCs w:val="false"/>
          <w:color w:val="000000"/>
          <w:sz w:val="24"/>
          <w:szCs w:val="24"/>
          <w:highlight w:val="yellow"/>
        </w:rPr>
        <w:t xml:space="preserve"> </w:t>
      </w:r>
    </w:p>
    <w:p>
      <w:pPr>
        <w:pStyle w:val="Normal"/>
        <w:spacing w:before="120" w:after="120"/>
        <w:jc w:val="center"/>
        <w:rPr>
          <w:rFonts w:ascii="Arial" w:hAnsi="Arial"/>
          <w:b/>
          <w:b/>
          <w:bCs/>
          <w:i/>
          <w:i/>
          <w:iCs/>
          <w:caps/>
          <w:color w:val="FF0000"/>
          <w:sz w:val="24"/>
          <w:szCs w:val="24"/>
          <w:highlight w:val="yellow"/>
          <w:u w:val="single"/>
        </w:rPr>
      </w:pPr>
      <w:r>
        <w:rPr>
          <w:rFonts w:ascii="Arial" w:hAnsi="Arial"/>
          <w:b/>
          <w:bCs/>
          <w:i/>
          <w:iCs/>
          <w:caps/>
          <w:color w:val="FF0000"/>
          <w:sz w:val="24"/>
          <w:szCs w:val="24"/>
          <w:highlight w:val="yellow"/>
          <w:u w:val="single"/>
        </w:rPr>
      </w:r>
    </w:p>
    <w:p>
      <w:pPr>
        <w:pStyle w:val="Normal"/>
        <w:spacing w:before="0" w:after="360"/>
        <w:ind w:left="360" w:hanging="0"/>
        <w:jc w:val="center"/>
        <w:rPr>
          <w:rFonts w:cs="Arial"/>
          <w:szCs w:val="20"/>
        </w:rPr>
      </w:pPr>
      <w:r>
        <w:rPr>
          <w:rFonts w:cs="Arial" w:ascii="Arial" w:hAnsi="Arial"/>
          <w:i w:val="false"/>
          <w:iCs w:val="false"/>
          <w:color w:val="000000"/>
          <w:sz w:val="24"/>
          <w:szCs w:val="24"/>
          <w:highlight w:val="white"/>
        </w:rPr>
        <w:t>Município de</w:t>
      </w:r>
      <w:r>
        <w:rPr>
          <w:rFonts w:cs="Arial" w:ascii="Arial" w:hAnsi="Arial"/>
          <w:bCs/>
          <w:i w:val="false"/>
          <w:iCs w:val="false"/>
          <w:color w:val="000000"/>
          <w:sz w:val="24"/>
          <w:szCs w:val="24"/>
          <w:highlight w:val="white"/>
        </w:rPr>
        <w:t xml:space="preserve"> Campo Grande</w:t>
      </w:r>
      <w:r>
        <w:rPr>
          <w:rFonts w:cs="Arial" w:ascii="Arial" w:hAnsi="Arial"/>
          <w:i w:val="false"/>
          <w:iCs w:val="false"/>
          <w:color w:val="000000"/>
          <w:sz w:val="24"/>
          <w:szCs w:val="24"/>
          <w:highlight w:val="white"/>
        </w:rPr>
        <w:t xml:space="preserve">, MS,        de </w:t>
      </w:r>
      <w:r>
        <w:rPr>
          <w:rFonts w:eastAsia="Times New Roman" w:cs="Arial" w:ascii="Arial" w:hAnsi="Arial"/>
          <w:i w:val="false"/>
          <w:iCs w:val="false"/>
          <w:color w:val="000000"/>
          <w:kern w:val="0"/>
          <w:sz w:val="24"/>
          <w:szCs w:val="24"/>
          <w:highlight w:val="white"/>
          <w:lang w:val="pt-BR" w:eastAsia="pt-BR" w:bidi="ar-SA"/>
        </w:rPr>
        <w:t xml:space="preserve">                           </w:t>
      </w:r>
      <w:r>
        <w:rPr>
          <w:rFonts w:cs="Arial" w:ascii="Arial" w:hAnsi="Arial"/>
          <w:i w:val="false"/>
          <w:iCs w:val="false"/>
          <w:color w:val="000000"/>
          <w:sz w:val="24"/>
          <w:szCs w:val="24"/>
          <w:highlight w:val="white"/>
        </w:rPr>
        <w:t xml:space="preserve"> de 2022. </w:t>
      </w:r>
    </w:p>
    <w:p>
      <w:pPr>
        <w:pStyle w:val="Normal"/>
        <w:widowControl/>
        <w:suppressAutoHyphens w:val="true"/>
        <w:bidi w:val="0"/>
        <w:spacing w:before="0" w:after="360"/>
        <w:ind w:left="0" w:right="0" w:hanging="0"/>
        <w:jc w:val="left"/>
        <w:rPr>
          <w:rFonts w:ascii="Arial" w:hAnsi="Arial" w:cs="Arial"/>
          <w:sz w:val="24"/>
          <w:szCs w:val="24"/>
        </w:rPr>
      </w:pPr>
      <w:r>
        <w:rPr>
          <w:rFonts w:cs="Arial" w:ascii="Arial" w:hAnsi="Arial"/>
          <w:sz w:val="24"/>
          <w:szCs w:val="24"/>
        </w:rPr>
      </w:r>
    </w:p>
    <w:p>
      <w:pPr>
        <w:pStyle w:val="Normal"/>
        <w:spacing w:lineRule="auto" w:line="240"/>
        <w:jc w:val="center"/>
        <w:rPr/>
      </w:pPr>
      <w:r>
        <w:rPr>
          <w:rStyle w:val="Fontepargpadro2"/>
          <w:rFonts w:eastAsia="Noto Sans CJK SC Regular;Times New Roman" w:cs="FreeSans;Times New Roman" w:ascii="Arial" w:hAnsi="Arial"/>
          <w:b w:val="false"/>
          <w:bCs w:val="false"/>
          <w:i w:val="false"/>
          <w:iCs w:val="false"/>
          <w:color w:val="000000"/>
          <w:kern w:val="2"/>
          <w:position w:val="0"/>
          <w:sz w:val="24"/>
          <w:sz w:val="24"/>
          <w:szCs w:val="24"/>
          <w:u w:val="none"/>
          <w:vertAlign w:val="baseline"/>
          <w:lang w:val="pt-BR" w:eastAsia="zh-CN" w:bidi="hi-IN"/>
        </w:rPr>
        <w:t>LEONARDO MASSAAKI</w:t>
      </w:r>
      <w:r>
        <w:rPr>
          <w:rStyle w:val="Fontepargpadro2"/>
          <w:rFonts w:eastAsia="Noto Sans CJK SC Regular;Times New Roman" w:cs="FreeSans;Times New Roman" w:ascii="Arial" w:hAnsi="Arial"/>
          <w:b/>
          <w:bCs/>
          <w:i w:val="false"/>
          <w:iCs w:val="false"/>
          <w:color w:val="000000"/>
          <w:kern w:val="2"/>
          <w:position w:val="0"/>
          <w:sz w:val="24"/>
          <w:sz w:val="24"/>
          <w:szCs w:val="24"/>
          <w:u w:val="none"/>
          <w:vertAlign w:val="baseline"/>
          <w:lang w:val="pt-BR" w:eastAsia="zh-CN" w:bidi="hi-IN"/>
        </w:rPr>
        <w:t xml:space="preserve"> MINAKAWA</w:t>
      </w:r>
      <w:r>
        <w:rPr>
          <w:rStyle w:val="Fontepargpadro2"/>
          <w:rFonts w:eastAsia="Noto Sans CJK SC Regular;Times New Roman" w:cs="FreeSans;Times New Roman" w:ascii="Arial" w:hAnsi="Arial"/>
          <w:b w:val="false"/>
          <w:bCs w:val="false"/>
          <w:i w:val="false"/>
          <w:iCs w:val="false"/>
          <w:color w:val="000000"/>
          <w:kern w:val="2"/>
          <w:position w:val="0"/>
          <w:sz w:val="24"/>
          <w:sz w:val="24"/>
          <w:szCs w:val="24"/>
          <w:u w:val="none"/>
          <w:vertAlign w:val="baseline"/>
          <w:lang w:val="pt-BR" w:eastAsia="zh-CN" w:bidi="hi-IN"/>
        </w:rPr>
        <w:t xml:space="preserve"> – 2° Ten QAO</w:t>
      </w:r>
    </w:p>
    <w:p>
      <w:pPr>
        <w:pStyle w:val="Normal"/>
        <w:spacing w:before="0" w:after="360"/>
        <w:ind w:left="360" w:hanging="0"/>
        <w:jc w:val="center"/>
        <w:rPr>
          <w:rFonts w:cs="Arial"/>
          <w:szCs w:val="20"/>
        </w:rPr>
      </w:pPr>
      <w:r>
        <w:rPr>
          <w:rFonts w:cs="Arial" w:ascii="Arial" w:hAnsi="Arial"/>
          <w:b w:val="false"/>
          <w:bCs w:val="false"/>
          <w:color w:val="000000"/>
          <w:sz w:val="24"/>
          <w:szCs w:val="24"/>
        </w:rPr>
        <w:t>Chefe do Almoxarifado / HMilACG</w:t>
      </w:r>
    </w:p>
    <w:p>
      <w:pPr>
        <w:pStyle w:val="Normal"/>
        <w:widowControl/>
        <w:suppressAutoHyphens w:val="true"/>
        <w:bidi w:val="0"/>
        <w:spacing w:before="0" w:after="360"/>
        <w:ind w:left="0" w:right="0" w:hanging="0"/>
        <w:jc w:val="center"/>
        <w:rPr>
          <w:rFonts w:cs="Arial"/>
          <w:b w:val="false"/>
          <w:b w:val="false"/>
          <w:bCs w:val="false"/>
        </w:rPr>
      </w:pPr>
      <w:r>
        <w:rPr>
          <w:rFonts w:ascii="Arial" w:hAnsi="Arial"/>
          <w:sz w:val="24"/>
          <w:szCs w:val="24"/>
        </w:rPr>
      </w:r>
    </w:p>
    <w:p>
      <w:pPr>
        <w:pStyle w:val="Normal"/>
        <w:spacing w:before="0" w:after="18"/>
        <w:ind w:hanging="0"/>
        <w:jc w:val="center"/>
        <w:rPr>
          <w:rFonts w:ascii="Arial" w:hAnsi="Arial" w:cs="Arial"/>
          <w:b w:val="false"/>
          <w:b w:val="false"/>
          <w:bCs w:val="false"/>
          <w:sz w:val="24"/>
          <w:szCs w:val="24"/>
        </w:rPr>
      </w:pPr>
      <w:r>
        <w:rPr/>
      </w:r>
    </w:p>
    <w:p>
      <w:pPr>
        <w:pStyle w:val="Normal"/>
        <w:spacing w:before="0" w:after="18"/>
        <w:ind w:hanging="0"/>
        <w:jc w:val="center"/>
        <w:rPr/>
      </w:pPr>
      <w:r>
        <w:rPr>
          <w:rFonts w:cs="Arial" w:ascii="Arial" w:hAnsi="Arial"/>
          <w:b w:val="false"/>
          <w:bCs w:val="false"/>
          <w:sz w:val="24"/>
          <w:szCs w:val="24"/>
        </w:rPr>
        <w:t xml:space="preserve">JEAN </w:t>
      </w:r>
      <w:r>
        <w:rPr>
          <w:rFonts w:cs="Arial" w:ascii="Arial" w:hAnsi="Arial"/>
          <w:b/>
          <w:sz w:val="24"/>
          <w:szCs w:val="24"/>
        </w:rPr>
        <w:t>FRETES</w:t>
      </w:r>
      <w:r>
        <w:rPr>
          <w:rFonts w:cs="Arial" w:ascii="Arial" w:hAnsi="Arial"/>
          <w:b w:val="false"/>
          <w:bCs w:val="false"/>
          <w:sz w:val="24"/>
          <w:szCs w:val="24"/>
        </w:rPr>
        <w:t xml:space="preserve"> GENRO – TC</w:t>
        <w:tab/>
      </w:r>
      <w:r>
        <w:rPr>
          <w:rFonts w:cs="Arial" w:ascii="Arial" w:hAnsi="Arial"/>
          <w:b/>
          <w:sz w:val="24"/>
          <w:szCs w:val="24"/>
        </w:rPr>
        <w:tab/>
        <w:tab/>
      </w:r>
    </w:p>
    <w:p>
      <w:pPr>
        <w:pStyle w:val="Normal"/>
        <w:spacing w:before="0" w:after="18"/>
        <w:ind w:hanging="0"/>
        <w:jc w:val="center"/>
        <w:rPr/>
      </w:pPr>
      <w:r>
        <w:rPr>
          <w:rFonts w:cs="Arial" w:ascii="Arial" w:hAnsi="Arial"/>
          <w:b w:val="false"/>
          <w:bCs w:val="false"/>
          <w:sz w:val="24"/>
          <w:szCs w:val="24"/>
        </w:rPr>
        <w:t xml:space="preserve">    </w:t>
      </w:r>
      <w:r>
        <w:rPr>
          <w:rFonts w:cs="Arial" w:ascii="Arial" w:hAnsi="Arial"/>
          <w:b w:val="false"/>
          <w:bCs w:val="false"/>
          <w:sz w:val="24"/>
          <w:szCs w:val="24"/>
        </w:rPr>
        <w:t>Fiscal Administrativo / HMilACG</w:t>
        <w:tab/>
        <w:tab/>
        <w:tab/>
        <w:tab/>
      </w:r>
    </w:p>
    <w:p>
      <w:pPr>
        <w:pStyle w:val="Normal"/>
        <w:widowControl/>
        <w:suppressAutoHyphens w:val="true"/>
        <w:bidi w:val="0"/>
        <w:spacing w:before="0" w:after="360"/>
        <w:ind w:left="0" w:right="0" w:hanging="0"/>
        <w:jc w:val="left"/>
        <w:rPr>
          <w:rFonts w:ascii="Arial" w:hAnsi="Arial"/>
          <w:sz w:val="24"/>
          <w:szCs w:val="24"/>
        </w:rPr>
      </w:pPr>
      <w:r>
        <w:rPr>
          <w:rFonts w:ascii="Arial" w:hAnsi="Arial"/>
          <w:sz w:val="24"/>
          <w:szCs w:val="24"/>
        </w:rPr>
      </w:r>
    </w:p>
    <w:p>
      <w:pPr>
        <w:pStyle w:val="Normal"/>
        <w:widowControl/>
        <w:suppressAutoHyphens w:val="true"/>
        <w:bidi w:val="0"/>
        <w:spacing w:before="0" w:after="360"/>
        <w:ind w:left="0" w:right="0" w:hanging="0"/>
        <w:jc w:val="left"/>
        <w:rPr>
          <w:rFonts w:ascii="Arial" w:hAnsi="Arial"/>
          <w:sz w:val="24"/>
          <w:szCs w:val="24"/>
        </w:rPr>
      </w:pPr>
      <w:r>
        <w:rPr>
          <w:rFonts w:ascii="Arial" w:hAnsi="Arial"/>
          <w:sz w:val="24"/>
          <w:szCs w:val="24"/>
        </w:rPr>
      </w:r>
    </w:p>
    <w:p>
      <w:pPr>
        <w:pStyle w:val="Ttulo1"/>
        <w:ind w:left="1184" w:right="0" w:hanging="0"/>
        <w:jc w:val="center"/>
        <w:rPr/>
      </w:pPr>
      <w:hyperlink r:id="rId37">
        <w:r>
          <w:rPr>
            <w:rStyle w:val="ListLabel53"/>
            <w:rFonts w:ascii="Arial" w:hAnsi="Arial"/>
            <w:b/>
            <w:bCs/>
            <w:color w:val="000000"/>
            <w:sz w:val="24"/>
            <w:szCs w:val="24"/>
            <w:highlight w:val="white"/>
          </w:rPr>
          <w:t>APROVAÇÃO</w:t>
        </w:r>
        <w:r>
          <w:rPr>
            <w:rStyle w:val="ListLabel53"/>
            <w:rFonts w:ascii="Arial" w:hAnsi="Arial"/>
            <w:b/>
            <w:bCs/>
            <w:color w:val="000000"/>
            <w:spacing w:val="-4"/>
            <w:sz w:val="24"/>
            <w:szCs w:val="24"/>
            <w:highlight w:val="white"/>
          </w:rPr>
          <w:t xml:space="preserve"> D</w:t>
        </w:r>
        <w:r>
          <w:rPr>
            <w:rStyle w:val="ListLabel53"/>
            <w:rFonts w:ascii="Arial" w:hAnsi="Arial"/>
            <w:b/>
            <w:bCs/>
            <w:color w:val="000000"/>
            <w:sz w:val="24"/>
            <w:szCs w:val="24"/>
            <w:highlight w:val="white"/>
          </w:rPr>
          <w:t>O</w:t>
        </w:r>
        <w:r>
          <w:rPr>
            <w:rStyle w:val="ListLabel53"/>
            <w:rFonts w:ascii="Arial" w:hAnsi="Arial"/>
            <w:b/>
            <w:bCs/>
            <w:color w:val="000000"/>
            <w:spacing w:val="-4"/>
            <w:sz w:val="24"/>
            <w:szCs w:val="24"/>
            <w:highlight w:val="white"/>
          </w:rPr>
          <w:t xml:space="preserve"> </w:t>
        </w:r>
        <w:r>
          <w:rPr>
            <w:rStyle w:val="ListLabel53"/>
            <w:rFonts w:ascii="Arial" w:hAnsi="Arial"/>
            <w:b/>
            <w:bCs/>
            <w:color w:val="000000"/>
            <w:sz w:val="24"/>
            <w:szCs w:val="24"/>
            <w:highlight w:val="white"/>
          </w:rPr>
          <w:t>TERMO</w:t>
        </w:r>
        <w:r>
          <w:rPr>
            <w:rStyle w:val="ListLabel53"/>
            <w:rFonts w:ascii="Arial" w:hAnsi="Arial"/>
            <w:b/>
            <w:bCs/>
            <w:color w:val="000000"/>
            <w:spacing w:val="-2"/>
            <w:sz w:val="24"/>
            <w:szCs w:val="24"/>
            <w:highlight w:val="white"/>
          </w:rPr>
          <w:t xml:space="preserve"> D</w:t>
        </w:r>
        <w:r>
          <w:rPr>
            <w:rStyle w:val="ListLabel53"/>
            <w:rFonts w:ascii="Arial" w:hAnsi="Arial"/>
            <w:b/>
            <w:bCs/>
            <w:color w:val="000000"/>
            <w:sz w:val="24"/>
            <w:szCs w:val="24"/>
            <w:highlight w:val="white"/>
          </w:rPr>
          <w:t>E</w:t>
        </w:r>
        <w:r>
          <w:rPr>
            <w:rStyle w:val="ListLabel53"/>
            <w:rFonts w:ascii="Arial" w:hAnsi="Arial"/>
            <w:b/>
            <w:bCs/>
            <w:color w:val="000000"/>
            <w:spacing w:val="-1"/>
            <w:sz w:val="24"/>
            <w:szCs w:val="24"/>
            <w:highlight w:val="white"/>
          </w:rPr>
          <w:t xml:space="preserve"> </w:t>
        </w:r>
        <w:r>
          <w:rPr>
            <w:rStyle w:val="ListLabel53"/>
            <w:rFonts w:ascii="Arial" w:hAnsi="Arial"/>
            <w:b/>
            <w:bCs/>
            <w:color w:val="000000"/>
            <w:sz w:val="24"/>
            <w:szCs w:val="24"/>
            <w:highlight w:val="white"/>
          </w:rPr>
          <w:t>REFERÊNCIA</w:t>
        </w:r>
      </w:hyperlink>
    </w:p>
    <w:p>
      <w:pPr>
        <w:pStyle w:val="Normal"/>
        <w:ind w:left="1184" w:right="0" w:hanging="0"/>
        <w:jc w:val="both"/>
        <w:rPr>
          <w:rFonts w:ascii="Arial" w:hAnsi="Arial"/>
          <w:sz w:val="24"/>
          <w:szCs w:val="24"/>
        </w:rPr>
      </w:pPr>
      <w:r>
        <w:rPr>
          <w:rFonts w:ascii="Arial" w:hAnsi="Arial"/>
          <w:sz w:val="24"/>
          <w:szCs w:val="24"/>
        </w:rPr>
      </w:r>
    </w:p>
    <w:p>
      <w:pPr>
        <w:pStyle w:val="Corpodetexto"/>
        <w:spacing w:lineRule="auto" w:line="360" w:before="138" w:after="0"/>
        <w:ind w:left="1184" w:right="610" w:hanging="0"/>
        <w:jc w:val="both"/>
        <w:rPr/>
      </w:pPr>
      <w:r>
        <w:rPr>
          <w:rFonts w:ascii="Arial" w:hAnsi="Arial"/>
          <w:color w:val="000000"/>
          <w:sz w:val="24"/>
          <w:szCs w:val="24"/>
          <w:highlight w:val="white"/>
        </w:rPr>
        <w:tab/>
        <w:tab/>
        <w:tab/>
      </w:r>
      <w:hyperlink r:id="rId38">
        <w:r>
          <w:rPr>
            <w:rStyle w:val="ListLabel57"/>
            <w:rFonts w:ascii="Arial" w:hAnsi="Arial"/>
            <w:color w:val="000000"/>
            <w:sz w:val="24"/>
            <w:szCs w:val="24"/>
            <w:highlight w:val="white"/>
          </w:rPr>
          <w:t>Conforme prevê o art. 9º, §1º do Decreto n. 5.450/2005</w:t>
        </w:r>
        <w:r>
          <w:rPr>
            <w:rStyle w:val="ListLabel57"/>
            <w:rFonts w:ascii="Arial" w:hAnsi="Arial"/>
            <w:i/>
            <w:color w:val="000000"/>
            <w:sz w:val="24"/>
            <w:szCs w:val="24"/>
            <w:highlight w:val="white"/>
          </w:rPr>
          <w:t xml:space="preserve">, </w:t>
        </w:r>
        <w:r>
          <w:rPr>
            <w:rStyle w:val="ListLabel57"/>
            <w:rFonts w:ascii="Arial" w:hAnsi="Arial"/>
            <w:b/>
            <w:color w:val="000000"/>
            <w:sz w:val="24"/>
            <w:szCs w:val="24"/>
            <w:highlight w:val="white"/>
          </w:rPr>
          <w:t xml:space="preserve">aprovo </w:t>
        </w:r>
        <w:r>
          <w:rPr>
            <w:rStyle w:val="ListLabel57"/>
            <w:rFonts w:ascii="Arial" w:hAnsi="Arial"/>
            <w:color w:val="000000"/>
            <w:sz w:val="24"/>
            <w:szCs w:val="24"/>
            <w:highlight w:val="white"/>
          </w:rPr>
          <w:t>o presente Termo de</w:t>
        </w:r>
      </w:hyperlink>
      <w:r>
        <w:rPr>
          <w:rFonts w:ascii="Arial" w:hAnsi="Arial"/>
          <w:color w:val="000000"/>
          <w:spacing w:val="1"/>
          <w:sz w:val="24"/>
          <w:szCs w:val="24"/>
          <w:highlight w:val="white"/>
        </w:rPr>
        <w:t xml:space="preserve"> R</w:t>
      </w:r>
      <w:hyperlink r:id="rId39">
        <w:r>
          <w:rPr>
            <w:rStyle w:val="ListLabel57"/>
            <w:rFonts w:ascii="Arial" w:hAnsi="Arial"/>
            <w:color w:val="000000"/>
            <w:sz w:val="24"/>
            <w:szCs w:val="24"/>
            <w:highlight w:val="white"/>
          </w:rPr>
          <w:t xml:space="preserve">eferência, para </w:t>
        </w:r>
      </w:hyperlink>
      <w:r>
        <w:rPr>
          <w:rFonts w:ascii="Arial" w:hAnsi="Arial"/>
          <w:color w:val="000000"/>
          <w:sz w:val="24"/>
          <w:szCs w:val="24"/>
          <w:highlight w:val="white"/>
        </w:rPr>
        <w:t>contratação do serviço de empresa especializada,</w:t>
      </w:r>
      <w:r>
        <w:rPr>
          <w:rFonts w:ascii="Arial" w:hAnsi="Arial"/>
          <w:color w:val="000000"/>
          <w:spacing w:val="1"/>
          <w:sz w:val="24"/>
          <w:szCs w:val="24"/>
          <w:highlight w:val="white"/>
        </w:rPr>
        <w:t xml:space="preserve"> </w:t>
      </w:r>
      <w:r>
        <w:rPr>
          <w:rFonts w:ascii="Arial" w:hAnsi="Arial"/>
          <w:color w:val="000000"/>
          <w:sz w:val="24"/>
          <w:szCs w:val="24"/>
          <w:highlight w:val="white"/>
        </w:rPr>
        <w:t xml:space="preserve">para instalação e aplicação de Película Blackout, incluso todos os </w:t>
      </w:r>
      <w:r>
        <w:rPr>
          <w:rFonts w:ascii="Arial" w:hAnsi="Arial"/>
          <w:b w:val="false"/>
          <w:i w:val="false"/>
          <w:strike w:val="false"/>
          <w:dstrike w:val="false"/>
          <w:outline w:val="false"/>
          <w:shadow w:val="false"/>
          <w:color w:val="000000"/>
          <w:sz w:val="24"/>
          <w:szCs w:val="24"/>
          <w:u w:val="none"/>
          <w:em w:val="none"/>
        </w:rPr>
        <w:t>insumos e mão de obra necessária, para realizar o serviço, a fim de atender as necessidades do Hospital Militar de área de Campo Grande.</w:t>
      </w:r>
    </w:p>
    <w:p>
      <w:pPr>
        <w:pStyle w:val="Corpodetexto"/>
        <w:spacing w:lineRule="auto" w:line="360" w:before="138" w:after="0"/>
        <w:ind w:left="1184" w:right="610" w:hanging="0"/>
        <w:jc w:val="both"/>
        <w:rPr>
          <w:rFonts w:ascii="Arial" w:hAnsi="Arial"/>
          <w:sz w:val="24"/>
          <w:szCs w:val="24"/>
        </w:rPr>
      </w:pPr>
      <w:r>
        <w:rPr>
          <w:rFonts w:ascii="Arial" w:hAnsi="Arial"/>
          <w:sz w:val="24"/>
          <w:szCs w:val="24"/>
        </w:rPr>
      </w:r>
    </w:p>
    <w:p>
      <w:pPr>
        <w:pStyle w:val="Corpodetexto"/>
        <w:spacing w:before="0" w:after="0"/>
        <w:ind w:left="0" w:right="0" w:hanging="0"/>
        <w:jc w:val="left"/>
        <w:rPr>
          <w:rFonts w:ascii="Arial" w:hAnsi="Arial"/>
          <w:sz w:val="24"/>
          <w:szCs w:val="24"/>
        </w:rPr>
      </w:pPr>
      <w:r>
        <w:rPr>
          <w:rFonts w:ascii="Arial" w:hAnsi="Arial"/>
          <w:sz w:val="24"/>
          <w:szCs w:val="24"/>
        </w:rPr>
      </w:r>
    </w:p>
    <w:p>
      <w:pPr>
        <w:pStyle w:val="Corpodetexto"/>
        <w:spacing w:before="0" w:after="0"/>
        <w:ind w:left="0" w:right="0" w:hanging="0"/>
        <w:jc w:val="left"/>
        <w:rPr>
          <w:rFonts w:ascii="Arial" w:hAnsi="Arial"/>
          <w:sz w:val="24"/>
          <w:szCs w:val="24"/>
        </w:rPr>
      </w:pPr>
      <w:r>
        <w:rPr>
          <w:rFonts w:ascii="Arial" w:hAnsi="Arial"/>
          <w:sz w:val="24"/>
          <w:szCs w:val="24"/>
        </w:rPr>
      </w:r>
    </w:p>
    <w:p>
      <w:pPr>
        <w:pStyle w:val="Corpodetexto"/>
        <w:spacing w:before="1" w:after="0"/>
        <w:ind w:right="2156" w:hanging="0"/>
        <w:jc w:val="center"/>
        <w:rPr>
          <w:rFonts w:ascii="Arial" w:hAnsi="Arial"/>
          <w:sz w:val="24"/>
          <w:szCs w:val="24"/>
        </w:rPr>
      </w:pPr>
      <w:r>
        <w:rPr>
          <w:rFonts w:ascii="Arial" w:hAnsi="Arial"/>
          <w:color w:val="000000"/>
          <w:sz w:val="24"/>
          <w:szCs w:val="24"/>
          <w:highlight w:val="white"/>
        </w:rPr>
        <w:t xml:space="preserve">                           </w:t>
      </w:r>
      <w:r>
        <w:rPr>
          <w:rFonts w:ascii="Arial" w:hAnsi="Arial"/>
          <w:color w:val="000000"/>
          <w:sz w:val="24"/>
          <w:szCs w:val="24"/>
          <w:highlight w:val="white"/>
        </w:rPr>
        <w:t>Campo Grande</w:t>
      </w:r>
      <w:r>
        <w:rPr>
          <w:rFonts w:ascii="Arial" w:hAnsi="Arial"/>
          <w:color w:val="000000"/>
          <w:spacing w:val="-2"/>
          <w:sz w:val="24"/>
          <w:szCs w:val="24"/>
          <w:highlight w:val="white"/>
        </w:rPr>
        <w:t xml:space="preserve"> </w:t>
      </w:r>
      <w:r>
        <w:rPr>
          <w:rFonts w:ascii="Arial" w:hAnsi="Arial"/>
          <w:color w:val="000000"/>
          <w:sz w:val="24"/>
          <w:szCs w:val="24"/>
          <w:highlight w:val="white"/>
        </w:rPr>
        <w:t>–</w:t>
      </w:r>
      <w:r>
        <w:rPr>
          <w:rFonts w:ascii="Arial" w:hAnsi="Arial"/>
          <w:color w:val="000000"/>
          <w:spacing w:val="-1"/>
          <w:sz w:val="24"/>
          <w:szCs w:val="24"/>
          <w:highlight w:val="white"/>
        </w:rPr>
        <w:t xml:space="preserve"> </w:t>
      </w:r>
      <w:r>
        <w:rPr>
          <w:rFonts w:ascii="Arial" w:hAnsi="Arial"/>
          <w:color w:val="000000"/>
          <w:sz w:val="24"/>
          <w:szCs w:val="24"/>
          <w:highlight w:val="white"/>
        </w:rPr>
        <w:t>MS</w:t>
      </w:r>
      <w:r>
        <w:rPr>
          <w:rFonts w:ascii="Arial" w:hAnsi="Arial"/>
          <w:color w:val="000000"/>
          <w:spacing w:val="57"/>
          <w:sz w:val="24"/>
          <w:szCs w:val="24"/>
          <w:highlight w:val="white"/>
        </w:rPr>
        <w:t xml:space="preserve">      </w:t>
      </w:r>
      <w:r>
        <w:rPr>
          <w:rFonts w:ascii="Arial" w:hAnsi="Arial"/>
          <w:color w:val="000000"/>
          <w:sz w:val="24"/>
          <w:szCs w:val="24"/>
          <w:highlight w:val="white"/>
        </w:rPr>
        <w:t>de</w:t>
      </w:r>
      <w:r>
        <w:rPr>
          <w:rFonts w:ascii="Arial" w:hAnsi="Arial"/>
          <w:color w:val="000000"/>
          <w:spacing w:val="1"/>
          <w:sz w:val="24"/>
          <w:szCs w:val="24"/>
          <w:highlight w:val="white"/>
        </w:rPr>
        <w:t xml:space="preserve">                  </w:t>
      </w:r>
      <w:r>
        <w:rPr>
          <w:rFonts w:ascii="Arial" w:hAnsi="Arial"/>
          <w:color w:val="000000"/>
          <w:spacing w:val="1"/>
          <w:sz w:val="24"/>
          <w:szCs w:val="24"/>
          <w:highlight w:val="white"/>
        </w:rPr>
        <w:t>2022</w:t>
      </w:r>
      <w:r>
        <w:rPr>
          <w:rFonts w:ascii="Arial" w:hAnsi="Arial"/>
          <w:color w:val="000000"/>
          <w:sz w:val="24"/>
          <w:szCs w:val="24"/>
          <w:highlight w:val="white"/>
        </w:rPr>
        <w:t>.</w:t>
      </w:r>
    </w:p>
    <w:p>
      <w:pPr>
        <w:pStyle w:val="Corpodetexto"/>
        <w:spacing w:before="0" w:after="0"/>
        <w:ind w:left="0" w:right="0" w:hanging="0"/>
        <w:jc w:val="left"/>
        <w:rPr>
          <w:rFonts w:ascii="Arial" w:hAnsi="Arial"/>
          <w:sz w:val="24"/>
          <w:szCs w:val="24"/>
        </w:rPr>
      </w:pPr>
      <w:r>
        <w:rPr>
          <w:rFonts w:ascii="Arial" w:hAnsi="Arial"/>
          <w:sz w:val="24"/>
          <w:szCs w:val="24"/>
        </w:rPr>
      </w:r>
    </w:p>
    <w:p>
      <w:pPr>
        <w:pStyle w:val="Corpodetexto"/>
        <w:spacing w:before="11" w:after="0"/>
        <w:ind w:left="0" w:right="0" w:hanging="0"/>
        <w:jc w:val="left"/>
        <w:rPr>
          <w:rFonts w:ascii="Arial" w:hAnsi="Arial"/>
          <w:sz w:val="24"/>
          <w:szCs w:val="24"/>
        </w:rPr>
      </w:pPr>
      <w:r>
        <w:rPr>
          <w:rFonts w:ascii="Arial" w:hAnsi="Arial"/>
          <w:sz w:val="24"/>
          <w:szCs w:val="24"/>
        </w:rPr>
      </w:r>
    </w:p>
    <w:p>
      <w:pPr>
        <w:pStyle w:val="Corpodetexto"/>
        <w:spacing w:before="11" w:after="0"/>
        <w:ind w:left="0" w:right="0" w:hanging="0"/>
        <w:jc w:val="left"/>
        <w:rPr>
          <w:rFonts w:ascii="Arial" w:hAnsi="Arial"/>
          <w:sz w:val="24"/>
          <w:szCs w:val="24"/>
        </w:rPr>
      </w:pPr>
      <w:r>
        <w:rPr>
          <w:rFonts w:ascii="Arial" w:hAnsi="Arial"/>
          <w:sz w:val="24"/>
          <w:szCs w:val="24"/>
        </w:rPr>
      </w:r>
    </w:p>
    <w:p>
      <w:pPr>
        <w:pStyle w:val="Corpodetexto"/>
        <w:spacing w:before="11" w:after="0"/>
        <w:ind w:left="0" w:right="0" w:hanging="0"/>
        <w:jc w:val="left"/>
        <w:rPr>
          <w:rFonts w:ascii="Arial" w:hAnsi="Arial"/>
          <w:sz w:val="24"/>
          <w:szCs w:val="24"/>
        </w:rPr>
      </w:pPr>
      <w:r>
        <w:rPr>
          <w:rFonts w:ascii="Arial" w:hAnsi="Arial"/>
          <w:sz w:val="24"/>
          <w:szCs w:val="24"/>
        </w:rPr>
      </w:r>
    </w:p>
    <w:p>
      <w:pPr>
        <w:pStyle w:val="Ttulo1"/>
        <w:ind w:right="2153" w:hanging="0"/>
        <w:jc w:val="center"/>
        <w:rPr/>
      </w:pPr>
      <w:r>
        <w:rPr>
          <w:rFonts w:eastAsia="" w:cs="" w:ascii="Arial" w:hAnsi="Arial" w:cstheme="majorBidi" w:eastAsiaTheme="majorEastAsia"/>
          <w:b/>
          <w:bCs/>
          <w:color w:val="000000" w:themeShade="bf"/>
          <w:kern w:val="0"/>
          <w:sz w:val="24"/>
          <w:szCs w:val="24"/>
          <w:highlight w:val="white"/>
          <w:u w:val="none"/>
          <w:lang w:val="pt-BR" w:eastAsia="pt-BR" w:bidi="ar-SA"/>
        </w:rPr>
        <w:t xml:space="preserve">                            </w:t>
      </w:r>
      <w:r>
        <w:rPr>
          <w:rFonts w:eastAsia="" w:cs="" w:ascii="Arial" w:hAnsi="Arial" w:cstheme="majorBidi" w:eastAsiaTheme="majorEastAsia"/>
          <w:b/>
          <w:bCs/>
          <w:color w:val="000000" w:themeShade="bf"/>
          <w:kern w:val="0"/>
          <w:sz w:val="24"/>
          <w:szCs w:val="24"/>
          <w:highlight w:val="white"/>
          <w:u w:val="none"/>
          <w:lang w:val="pt-BR" w:eastAsia="pt-BR" w:bidi="ar-SA"/>
        </w:rPr>
        <w:t>CLAUDIA</w:t>
      </w:r>
      <w:r>
        <w:rPr>
          <w:rFonts w:eastAsia="" w:cs="" w:ascii="Arial" w:hAnsi="Arial" w:cstheme="majorBidi" w:eastAsiaTheme="majorEastAsia"/>
          <w:b/>
          <w:bCs/>
          <w:color w:val="000000" w:themeShade="bf"/>
          <w:kern w:val="0"/>
          <w:sz w:val="24"/>
          <w:szCs w:val="24"/>
          <w:highlight w:val="white"/>
          <w:lang w:val="pt-BR" w:eastAsia="pt-BR" w:bidi="ar-SA"/>
        </w:rPr>
        <w:t xml:space="preserve"> LIMA GUSMÃO CACHO</w:t>
      </w:r>
      <w:r>
        <w:rPr>
          <w:rFonts w:eastAsia="" w:cs="" w:ascii="Arial" w:hAnsi="Arial"/>
          <w:b/>
          <w:bCs/>
          <w:color w:val="000000"/>
          <w:spacing w:val="-2"/>
          <w:kern w:val="0"/>
          <w:sz w:val="24"/>
          <w:szCs w:val="24"/>
          <w:highlight w:val="white"/>
          <w:lang w:val="pt-BR" w:eastAsia="pt-BR" w:bidi="ar-SA"/>
        </w:rPr>
        <w:t xml:space="preserve"> – </w:t>
      </w:r>
      <w:r>
        <w:rPr>
          <w:rFonts w:eastAsia="" w:cs="" w:ascii="Arial" w:hAnsi="Arial"/>
          <w:b/>
          <w:bCs/>
          <w:color w:val="000000"/>
          <w:spacing w:val="-2"/>
          <w:kern w:val="0"/>
          <w:sz w:val="24"/>
          <w:szCs w:val="24"/>
          <w:highlight w:val="white"/>
          <w:lang w:val="pt-BR" w:eastAsia="pt-BR" w:bidi="ar-SA"/>
        </w:rPr>
        <w:t xml:space="preserve">Cel </w:t>
      </w:r>
      <w:r>
        <w:rPr>
          <w:rFonts w:ascii="Arial" w:hAnsi="Arial"/>
          <w:b/>
          <w:bCs/>
          <w:color w:val="000000"/>
          <w:sz w:val="24"/>
          <w:szCs w:val="24"/>
          <w:highlight w:val="white"/>
        </w:rPr>
        <w:t>Med</w:t>
      </w:r>
    </w:p>
    <w:p>
      <w:pPr>
        <w:pStyle w:val="Ttulo1"/>
        <w:spacing w:before="0" w:after="0"/>
        <w:ind w:right="2153" w:hanging="0"/>
        <w:jc w:val="center"/>
        <w:rPr/>
      </w:pPr>
      <w:r>
        <w:rPr>
          <w:rFonts w:cs="Arial" w:ascii="Arial" w:hAnsi="Arial"/>
          <w:b/>
          <w:bCs/>
          <w:color w:val="000000"/>
          <w:sz w:val="24"/>
          <w:szCs w:val="24"/>
          <w:highlight w:val="white"/>
        </w:rPr>
        <w:t xml:space="preserve">                               </w:t>
      </w:r>
      <w:r>
        <w:rPr>
          <w:rFonts w:cs="Arial" w:ascii="Arial" w:hAnsi="Arial"/>
          <w:b/>
          <w:bCs/>
          <w:color w:val="000000"/>
          <w:sz w:val="24"/>
          <w:szCs w:val="24"/>
          <w:highlight w:val="white"/>
        </w:rPr>
        <w:t>Ordenadora de</w:t>
      </w:r>
      <w:hyperlink r:id="rId40">
        <w:r>
          <w:rPr>
            <w:rStyle w:val="ListLabel50"/>
            <w:rFonts w:cs="Arial" w:ascii="Arial" w:hAnsi="Arial"/>
            <w:b/>
            <w:bCs/>
            <w:color w:val="000000"/>
            <w:spacing w:val="-2"/>
            <w:sz w:val="24"/>
            <w:szCs w:val="24"/>
            <w:highlight w:val="white"/>
          </w:rPr>
          <w:t xml:space="preserve"> </w:t>
        </w:r>
        <w:r>
          <w:rPr>
            <w:rStyle w:val="ListLabel50"/>
            <w:rFonts w:cs="Arial" w:ascii="Arial" w:hAnsi="Arial"/>
            <w:b/>
            <w:bCs/>
            <w:color w:val="000000"/>
            <w:sz w:val="24"/>
            <w:szCs w:val="24"/>
            <w:highlight w:val="white"/>
          </w:rPr>
          <w:t>Despesas</w:t>
        </w:r>
        <w:r>
          <w:rPr>
            <w:rStyle w:val="ListLabel50"/>
            <w:rFonts w:cs="Arial" w:ascii="Arial" w:hAnsi="Arial"/>
            <w:b/>
            <w:bCs/>
            <w:color w:val="000000"/>
            <w:spacing w:val="-1"/>
            <w:sz w:val="24"/>
            <w:szCs w:val="24"/>
            <w:highlight w:val="white"/>
          </w:rPr>
          <w:t xml:space="preserve"> /</w:t>
        </w:r>
        <w:r>
          <w:rPr>
            <w:rStyle w:val="ListLabel50"/>
            <w:rFonts w:cs="Arial" w:ascii="Arial" w:hAnsi="Arial"/>
            <w:b/>
            <w:bCs/>
            <w:color w:val="000000"/>
            <w:sz w:val="24"/>
            <w:szCs w:val="24"/>
            <w:highlight w:val="white"/>
          </w:rPr>
          <w:t>HMilA</w:t>
        </w:r>
        <w:r>
          <w:rPr>
            <w:rStyle w:val="ListLabel50"/>
            <w:rFonts w:cs="Arial" w:ascii="Arial" w:hAnsi="Arial"/>
            <w:b/>
            <w:bCs/>
            <w:color w:val="000000"/>
            <w:spacing w:val="-1"/>
            <w:sz w:val="24"/>
            <w:szCs w:val="24"/>
            <w:highlight w:val="white"/>
          </w:rPr>
          <w:t>C</w:t>
        </w:r>
        <w:r>
          <w:rPr>
            <w:rStyle w:val="ListLabel50"/>
            <w:rFonts w:cs="Arial" w:ascii="Arial" w:hAnsi="Arial"/>
            <w:b/>
            <w:bCs/>
            <w:color w:val="000000"/>
            <w:sz w:val="24"/>
            <w:szCs w:val="24"/>
            <w:highlight w:val="white"/>
          </w:rPr>
          <w:t>G</w:t>
        </w:r>
      </w:hyperlink>
    </w:p>
    <w:p>
      <w:pPr>
        <w:pStyle w:val="Normal"/>
        <w:spacing w:before="0" w:after="360"/>
        <w:ind w:left="360" w:hanging="0"/>
        <w:jc w:val="center"/>
        <w:rPr>
          <w:rFonts w:ascii="Arial" w:hAnsi="Arial" w:cs="Arial"/>
          <w:b/>
          <w:b/>
          <w:sz w:val="24"/>
          <w:szCs w:val="24"/>
        </w:rPr>
      </w:pPr>
      <w:r>
        <w:rPr>
          <w:rFonts w:cs="Arial" w:ascii="Arial" w:hAnsi="Arial"/>
          <w:b/>
          <w:sz w:val="24"/>
          <w:szCs w:val="24"/>
        </w:rPr>
      </w:r>
    </w:p>
    <w:p>
      <w:pPr>
        <w:pStyle w:val="Normal"/>
        <w:spacing w:before="0" w:after="360"/>
        <w:ind w:left="360" w:hanging="0"/>
        <w:rPr>
          <w:rFonts w:ascii="Arial" w:hAnsi="Arial" w:cs="Arial"/>
          <w:b/>
          <w:b/>
          <w:sz w:val="24"/>
          <w:szCs w:val="24"/>
        </w:rPr>
      </w:pPr>
      <w:r>
        <w:rPr>
          <w:rFonts w:cs="Arial" w:ascii="Arial" w:hAnsi="Arial"/>
          <w:b/>
          <w:sz w:val="24"/>
          <w:szCs w:val="24"/>
        </w:rPr>
      </w:r>
    </w:p>
    <w:p>
      <w:pPr>
        <w:pStyle w:val="Normal"/>
        <w:spacing w:before="0" w:after="360"/>
        <w:ind w:left="360" w:hanging="0"/>
        <w:rPr>
          <w:rFonts w:cs="Arial"/>
          <w:i w:val="false"/>
          <w:i w:val="false"/>
          <w:iCs w:val="false"/>
          <w:color w:val="000000"/>
          <w:u w:val="none"/>
        </w:rPr>
      </w:pPr>
      <w:r>
        <w:rPr>
          <w:rFonts w:ascii="Arial" w:hAnsi="Arial"/>
          <w:sz w:val="24"/>
          <w:szCs w:val="24"/>
        </w:rPr>
      </w:r>
    </w:p>
    <w:sectPr>
      <w:headerReference w:type="even" r:id="rId41"/>
      <w:headerReference w:type="default" r:id="rId42"/>
      <w:footerReference w:type="even" r:id="rId43"/>
      <w:footerReference w:type="default" r:id="rId44"/>
      <w:type w:val="nextPage"/>
      <w:pgSz w:w="11906" w:h="16838"/>
      <w:pgMar w:left="1701" w:right="1134" w:header="491" w:top="886" w:footer="709" w:bottom="1418"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mbria">
    <w:charset w:val="00"/>
    <w:family w:val="roman"/>
    <w:pitch w:val="variable"/>
  </w:font>
  <w:font w:name="Tahoma">
    <w:charset w:val="00"/>
    <w:family w:val="roman"/>
    <w:pitch w:val="variable"/>
  </w:font>
  <w:font w:name="Ecofont_Spranq_eco_Sans">
    <w:charset w:val="00"/>
    <w:family w:val="roman"/>
    <w:pitch w:val="variable"/>
  </w:font>
  <w:font w:name="Liberation Sans">
    <w:altName w:val="Arial"/>
    <w:charset w:val="00"/>
    <w:family w:val="roman"/>
    <w:pitch w:val="variable"/>
  </w:font>
  <w:font w:name="Gill Sans MT">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Administrativos da Consultoria-Geral da União</w:t>
    </w:r>
  </w:p>
  <w:p>
    <w:pPr>
      <w:pStyle w:val="Rodap"/>
      <w:rPr>
        <w:sz w:val="12"/>
        <w:szCs w:val="12"/>
      </w:rPr>
    </w:pPr>
    <w:r>
      <w:rPr>
        <w:sz w:val="12"/>
        <w:szCs w:val="12"/>
      </w:rPr>
      <w:t>Termo de Referência – Modelo para Pregão Eletrônico: Serviços Não Continuados</w:t>
    </w:r>
  </w:p>
  <w:p>
    <w:pPr>
      <w:pStyle w:val="Rodap"/>
      <w:rPr>
        <w:sz w:val="12"/>
        <w:szCs w:val="12"/>
      </w:rPr>
    </w:pPr>
    <w:r>
      <w:rPr>
        <w:sz w:val="12"/>
        <w:szCs w:val="12"/>
      </w:rPr>
      <w:t>Atualização: Julho/2021</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rFonts w:ascii="Times New Roman" w:hAnsi="Times New Roman" w:cs="Times New Roman"/>
      </w:rPr>
    </w:pPr>
    <w:r>
      <w:rPr>
        <w:rFonts w:cs="Times New Roman" w:ascii="Times New Roman" w:hAnsi="Times New Roman"/>
      </w:rPr>
      <w:t>____________________________________________________________________</w:t>
    </w:r>
  </w:p>
  <w:p>
    <w:pPr>
      <w:pStyle w:val="Rodap"/>
      <w:rPr>
        <w:sz w:val="12"/>
        <w:szCs w:val="12"/>
      </w:rPr>
    </w:pPr>
    <w:r>
      <w:rPr>
        <w:sz w:val="12"/>
        <w:szCs w:val="12"/>
      </w:rPr>
      <w:t>Câmara Nacional de Modelos de Licitações e Contratos Administrativos da Consultoria-Geral da União</w:t>
    </w:r>
  </w:p>
  <w:p>
    <w:pPr>
      <w:pStyle w:val="Rodap"/>
      <w:rPr>
        <w:sz w:val="12"/>
        <w:szCs w:val="12"/>
      </w:rPr>
    </w:pPr>
    <w:r>
      <w:rPr>
        <w:sz w:val="12"/>
        <w:szCs w:val="12"/>
      </w:rPr>
      <w:t>Termo de Referência – Modelo para Pregão Eletrônico: Serviços Não Continuados</w:t>
    </w:r>
  </w:p>
  <w:p>
    <w:pPr>
      <w:pStyle w:val="Rodap"/>
      <w:rPr>
        <w:sz w:val="12"/>
        <w:szCs w:val="12"/>
      </w:rPr>
    </w:pPr>
    <w:r>
      <w:rPr>
        <w:sz w:val="12"/>
        <w:szCs w:val="12"/>
      </w:rPr>
      <w:t>Atualização: Julho/2021</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widowControl/>
      <w:tabs>
        <w:tab w:val="center" w:pos="4252" w:leader="none"/>
        <w:tab w:val="right" w:pos="8504" w:leader="none"/>
      </w:tabs>
      <w:suppressAutoHyphens w:val="true"/>
      <w:bidi w:val="0"/>
      <w:spacing w:before="0" w:after="0"/>
      <w:ind w:left="113" w:right="0" w:hanging="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86" w:hanging="360"/>
      </w:pPr>
    </w:lvl>
    <w:lvl w:ilvl="1">
      <w:start w:val="1"/>
      <w:numFmt w:val="decimal"/>
      <w:lvlText w:val="%1.%2."/>
      <w:lvlJc w:val="left"/>
      <w:pPr>
        <w:ind w:left="716" w:hanging="432"/>
      </w:pPr>
      <w:rPr>
        <w:sz w:val="24"/>
        <w:i w:val="false"/>
        <w:b w:val="false"/>
        <w:szCs w:val="20"/>
        <w:bCs/>
        <w:color w:val="000000"/>
        <w:lang w:val="x-none"/>
      </w:rPr>
    </w:lvl>
    <w:lvl w:ilvl="2">
      <w:start w:val="1"/>
      <w:numFmt w:val="decimal"/>
      <w:lvlText w:val="%1.%2.%3."/>
      <w:lvlJc w:val="left"/>
      <w:pPr>
        <w:ind w:left="1922" w:hanging="504"/>
      </w:pPr>
    </w:lvl>
    <w:lvl w:ilvl="3">
      <w:start w:val="1"/>
      <w:numFmt w:val="decimal"/>
      <w:lvlText w:val="%1.%2.%3.%4."/>
      <w:lvlJc w:val="left"/>
      <w:pPr>
        <w:ind w:left="2491" w:hanging="648"/>
      </w:pPr>
      <w:rPr>
        <w:i w:val="false"/>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19"/>
      <w:numFmt w:val="decimal"/>
      <w:lvlText w:val="%1."/>
      <w:lvlJc w:val="left"/>
      <w:pPr>
        <w:ind w:left="360" w:hanging="360"/>
      </w:pPr>
    </w:lvl>
    <w:lvl w:ilvl="1">
      <w:start w:val="1"/>
      <w:numFmt w:val="decimal"/>
      <w:lvlText w:val="%1.%2."/>
      <w:lvlJc w:val="left"/>
      <w:pPr>
        <w:ind w:left="792" w:hanging="432"/>
      </w:pPr>
      <w:rPr>
        <w:sz w:val="24"/>
        <w:i w:val="false"/>
        <w:b w:val="false"/>
        <w:szCs w:val="20"/>
        <w:rFonts w:ascii="Arial" w:hAnsi="Arial"/>
        <w:color w:val="000000"/>
      </w:rPr>
    </w:lvl>
    <w:lvl w:ilvl="2">
      <w:start w:val="1"/>
      <w:numFmt w:val="decimal"/>
      <w:lvlText w:val="%1.%2.%3."/>
      <w:lvlJc w:val="left"/>
      <w:pPr>
        <w:ind w:left="1224" w:hanging="504"/>
      </w:pPr>
      <w:rPr>
        <w:sz w:val="24"/>
        <w:b/>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lvl w:ilvl="0">
      <w:start w:val="19"/>
      <w:numFmt w:val="decimal"/>
      <w:lvlText w:val="%1."/>
      <w:lvlJc w:val="left"/>
      <w:pPr>
        <w:ind w:left="360" w:hanging="360"/>
      </w:pPr>
    </w:lvl>
    <w:lvl w:ilvl="1">
      <w:start w:val="1"/>
      <w:numFmt w:val="decimal"/>
      <w:lvlText w:val="%1.%2."/>
      <w:lvlJc w:val="left"/>
      <w:pPr>
        <w:ind w:left="792" w:hanging="432"/>
      </w:pPr>
      <w:rPr>
        <w:i w:val="false"/>
        <w:b w:val="false"/>
      </w:rPr>
    </w:lvl>
    <w:lvl w:ilvl="2">
      <w:start w:val="1"/>
      <w:numFmt w:val="lowerLetter"/>
      <w:lvlText w:val="%3)"/>
      <w:lvlJc w:val="left"/>
      <w:pPr>
        <w:ind w:left="1224" w:hanging="504"/>
      </w:pPr>
      <w:rPr>
        <w:b w:val="fals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lvl w:ilvl="0">
      <w:start w:val="23"/>
      <w:numFmt w:val="decimal"/>
      <w:lvlText w:val="%1."/>
      <w:lvlJc w:val="left"/>
      <w:pPr>
        <w:ind w:left="360" w:hanging="360"/>
      </w:pPr>
    </w:lvl>
    <w:lvl w:ilvl="1">
      <w:start w:val="1"/>
      <w:numFmt w:val="decimal"/>
      <w:lvlText w:val="%1.%2."/>
      <w:lvlJc w:val="left"/>
      <w:pPr>
        <w:ind w:left="792" w:hanging="432"/>
      </w:pPr>
      <w:rPr>
        <w:i w:val="false"/>
        <w:b w:val="false"/>
        <w:color w:val="000000"/>
      </w:rPr>
    </w:lvl>
    <w:lvl w:ilvl="2">
      <w:start w:val="1"/>
      <w:numFmt w:val="decimal"/>
      <w:lvlText w:val="%1.%2.%3."/>
      <w:lvlJc w:val="left"/>
      <w:pPr>
        <w:ind w:left="1224" w:hanging="504"/>
      </w:pPr>
      <w:rPr>
        <w:b w:val="fals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decimal"/>
      <w:lvlText w:val="%1."/>
      <w:lvlJc w:val="left"/>
      <w:pPr>
        <w:ind w:left="716" w:hanging="432"/>
      </w:pPr>
    </w:lvl>
    <w:lvl w:ilvl="1">
      <w:start w:val="1"/>
      <w:numFmt w:val="decimal"/>
      <w:lvlText w:val="%1.%2."/>
      <w:lvlJc w:val="left"/>
      <w:pPr>
        <w:ind w:left="2491" w:hanging="648"/>
      </w:pPr>
      <w:rPr>
        <w:sz w:val="24"/>
        <w:i w:val="false"/>
        <w:b/>
        <w:szCs w:val="20"/>
        <w:bCs/>
        <w:color w:val="000000"/>
        <w:lang w:val="x-none"/>
      </w:rPr>
    </w:lvl>
    <w:lvl w:ilvl="2">
      <w:start w:val="1"/>
      <w:numFmt w:val="decimal"/>
      <w:lvlText w:val="%1.%2.%3."/>
      <w:lvlJc w:val="left"/>
      <w:pPr>
        <w:ind w:left="2491" w:hanging="648"/>
      </w:pPr>
    </w:lvl>
    <w:lvl w:ilvl="3">
      <w:start w:val="1"/>
      <w:numFmt w:val="decimal"/>
      <w:lvlText w:val="%1.%2.%3.%4."/>
      <w:lvlJc w:val="left"/>
      <w:pPr>
        <w:ind w:left="2491" w:hanging="648"/>
      </w:pPr>
      <w:rPr>
        <w:i w:val="false"/>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10"/>
  <w:mirrorMargins/>
  <w:defaultTabStop w:val="408"/>
  <w:autoHyphenation w:val="false"/>
  <w:evenAndOddHeaders/>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0d390a"/>
    <w:pPr>
      <w:widowControl/>
      <w:suppressAutoHyphens w:val="true"/>
      <w:bidi w:val="0"/>
      <w:spacing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link w:val="Ttulo1Char"/>
    <w:qFormat/>
    <w:rsid w:val="000d390a"/>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Ttulo2">
    <w:name w:val="Heading 2"/>
    <w:basedOn w:val="Normal"/>
    <w:next w:val="Normal"/>
    <w:link w:val="Ttulo2Char"/>
    <w:qFormat/>
    <w:rsid w:val="004b460a"/>
    <w:pPr>
      <w:keepNext w:val="true"/>
      <w:tabs>
        <w:tab w:val="left" w:pos="1701" w:leader="none"/>
      </w:tabs>
      <w:ind w:right="-1" w:hanging="0"/>
      <w:jc w:val="center"/>
      <w:outlineLvl w:val="1"/>
    </w:pPr>
    <w:rPr>
      <w:rFonts w:ascii="Times New Roman" w:hAnsi="Times New Roman" w:cs="Times New Roman"/>
      <w:b/>
      <w:color w:val="000000"/>
      <w:szCs w:val="20"/>
      <w:lang w:val="x-none" w:eastAsia="x-none"/>
    </w:rPr>
  </w:style>
  <w:style w:type="character" w:styleId="DefaultParagraphFont" w:default="1">
    <w:name w:val="Default Paragraph Font"/>
    <w:uiPriority w:val="1"/>
    <w:semiHidden/>
    <w:unhideWhenUsed/>
    <w:qFormat/>
    <w:rPr/>
  </w:style>
  <w:style w:type="character" w:styleId="TextodebaloChar" w:customStyle="1">
    <w:name w:val="Texto de balão Char"/>
    <w:link w:val="Textodebalo"/>
    <w:qFormat/>
    <w:rsid w:val="003a73c1"/>
    <w:rPr>
      <w:rFonts w:ascii="Tahoma" w:hAnsi="Tahoma" w:cs="Tahoma"/>
      <w:sz w:val="16"/>
      <w:szCs w:val="16"/>
    </w:rPr>
  </w:style>
  <w:style w:type="character" w:styleId="Ttulo2Char" w:customStyle="1">
    <w:name w:val="Título 2 Char"/>
    <w:link w:val="Ttulo2"/>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LinkdaInternet">
    <w:name w:val="Link da Internet"/>
    <w:rsid w:val="00bf1a7f"/>
    <w:rPr>
      <w:color w:val="000080"/>
      <w:u w:val="single"/>
    </w:rPr>
  </w:style>
  <w:style w:type="character" w:styleId="CitaoChar" w:customStyle="1">
    <w:name w:val="Citação Char"/>
    <w:link w:val="Citao"/>
    <w:uiPriority w:val="29"/>
    <w:qFormat/>
    <w:rsid w:val="00c322f1"/>
    <w:rPr>
      <w:rFonts w:ascii="Ecofont_Spranq_eco_Sans" w:hAnsi="Ecofont_Spranq_eco_Sans" w:eastAsia="Calibri" w:cs="Tahoma"/>
      <w:i/>
      <w:iCs/>
      <w:color w:val="000000"/>
      <w:szCs w:val="24"/>
      <w:shd w:fill="FFFFCC" w:val="clear"/>
      <w:lang w:eastAsia="en-US"/>
    </w:rPr>
  </w:style>
  <w:style w:type="character" w:styleId="Citao2Char" w:customStyle="1">
    <w:name w:val="citação 2 Char"/>
    <w:basedOn w:val="CitaoChar"/>
    <w:link w:val="citao2"/>
    <w:qFormat/>
    <w:rsid w:val="000a23da"/>
    <w:rPr>
      <w:rFonts w:ascii="Ecofont_Spranq_eco_Sans" w:hAnsi="Ecofont_Spranq_eco_Sans" w:eastAsia="Calibri" w:cs="Tahoma"/>
      <w:i/>
      <w:iCs/>
      <w:color w:val="000000"/>
      <w:szCs w:val="24"/>
      <w:shd w:fill="FFFFCC" w:val="clear"/>
      <w:lang w:eastAsia="en-US"/>
    </w:rPr>
  </w:style>
  <w:style w:type="character" w:styleId="Annotationreference">
    <w:name w:val="annotation reference"/>
    <w:basedOn w:val="DefaultParagraphFont"/>
    <w:semiHidden/>
    <w:unhideWhenUsed/>
    <w:qFormat/>
    <w:rsid w:val="0015519e"/>
    <w:rPr>
      <w:sz w:val="16"/>
      <w:szCs w:val="16"/>
    </w:rPr>
  </w:style>
  <w:style w:type="character" w:styleId="TextodecomentrioChar" w:customStyle="1">
    <w:name w:val="Texto de comentário Char"/>
    <w:basedOn w:val="DefaultParagraphFont"/>
    <w:link w:val="Textodecomentrio"/>
    <w:qFormat/>
    <w:rsid w:val="0015519e"/>
    <w:rPr>
      <w:rFonts w:ascii="Ecofont_Spranq_eco_Sans" w:hAnsi="Ecofont_Spranq_eco_Sans" w:cs="Tahoma"/>
    </w:rPr>
  </w:style>
  <w:style w:type="character" w:styleId="AssuntodocomentrioChar" w:customStyle="1">
    <w:name w:val="Assunto do comentário Char"/>
    <w:basedOn w:val="TextodecomentrioChar"/>
    <w:link w:val="Assuntodocomentrio"/>
    <w:semiHidden/>
    <w:qFormat/>
    <w:rsid w:val="0015519e"/>
    <w:rPr>
      <w:rFonts w:ascii="Ecofont_Spranq_eco_Sans" w:hAnsi="Ecofont_Spranq_eco_Sans" w:cs="Tahoma"/>
      <w:b/>
      <w:bCs/>
    </w:rPr>
  </w:style>
  <w:style w:type="character" w:styleId="PlaceholderText">
    <w:name w:val="Placeholder Text"/>
    <w:basedOn w:val="DefaultParagraphFont"/>
    <w:uiPriority w:val="99"/>
    <w:semiHidden/>
    <w:qFormat/>
    <w:rsid w:val="00dd3355"/>
    <w:rPr>
      <w:color w:val="808080"/>
    </w:rPr>
  </w:style>
  <w:style w:type="character" w:styleId="CabealhoChar" w:customStyle="1">
    <w:name w:val="Cabeçalho Char"/>
    <w:basedOn w:val="DefaultParagraphFont"/>
    <w:link w:val="Cabealho"/>
    <w:qFormat/>
    <w:rsid w:val="00db64ef"/>
    <w:rPr>
      <w:rFonts w:ascii="Ecofont_Spranq_eco_Sans" w:hAnsi="Ecofont_Spranq_eco_Sans" w:cs="Tahoma"/>
      <w:sz w:val="24"/>
      <w:szCs w:val="24"/>
    </w:rPr>
  </w:style>
  <w:style w:type="character" w:styleId="RodapChar" w:customStyle="1">
    <w:name w:val="Rodapé Char"/>
    <w:basedOn w:val="DefaultParagraphFont"/>
    <w:link w:val="Rodap"/>
    <w:uiPriority w:val="99"/>
    <w:qFormat/>
    <w:rsid w:val="00db64ef"/>
    <w:rPr>
      <w:rFonts w:ascii="Ecofont_Spranq_eco_Sans" w:hAnsi="Ecofont_Spranq_eco_Sans" w:cs="Tahoma"/>
      <w:sz w:val="24"/>
      <w:szCs w:val="24"/>
    </w:rPr>
  </w:style>
  <w:style w:type="character" w:styleId="Ttulo1Char" w:customStyle="1">
    <w:name w:val="Título 1 Char"/>
    <w:basedOn w:val="DefaultParagraphFont"/>
    <w:link w:val="Ttulo1"/>
    <w:qFormat/>
    <w:rsid w:val="000d390a"/>
    <w:rPr>
      <w:rFonts w:ascii="Cambria" w:hAnsi="Cambria" w:eastAsia="" w:cs="" w:asciiTheme="majorHAnsi" w:cstheme="majorBidi" w:eastAsiaTheme="majorEastAsia" w:hAnsiTheme="majorHAnsi"/>
      <w:color w:val="365F91" w:themeColor="accent1" w:themeShade="bf"/>
      <w:sz w:val="32"/>
      <w:szCs w:val="32"/>
    </w:rPr>
  </w:style>
  <w:style w:type="character" w:styleId="Nivel1Char" w:customStyle="1">
    <w:name w:val="Nivel1 Char"/>
    <w:basedOn w:val="Ttulo1Char"/>
    <w:link w:val="Nivel1"/>
    <w:qFormat/>
    <w:rsid w:val="000d390a"/>
    <w:rPr>
      <w:rFonts w:ascii="Arial" w:hAnsi="Arial" w:eastAsia="" w:cs="" w:cstheme="majorBidi" w:eastAsiaTheme="majorEastAsia"/>
      <w:b/>
      <w:color w:val="000000"/>
      <w:sz w:val="32"/>
      <w:szCs w:val="32"/>
    </w:rPr>
  </w:style>
  <w:style w:type="character" w:styleId="QuoteChar" w:customStyle="1">
    <w:name w:val="Quote Char"/>
    <w:link w:val="Citao1"/>
    <w:qFormat/>
    <w:rsid w:val="00b222ee"/>
    <w:rPr>
      <w:rFonts w:ascii="Ecofont_Spranq_eco_Sans" w:hAnsi="Ecofont_Spranq_eco_Sans" w:cs="Ecofont_Spranq_eco_Sans"/>
      <w:i/>
      <w:iCs/>
      <w:color w:val="000000"/>
      <w:sz w:val="24"/>
      <w:szCs w:val="24"/>
      <w:shd w:fill="FFFFCC" w:val="clear"/>
      <w:lang w:eastAsia="en-US"/>
    </w:rPr>
  </w:style>
  <w:style w:type="character" w:styleId="Appleconvertedspace" w:customStyle="1">
    <w:name w:val="apple-converted-space"/>
    <w:basedOn w:val="DefaultParagraphFont"/>
    <w:qFormat/>
    <w:rsid w:val="00e014b9"/>
    <w:rPr/>
  </w:style>
  <w:style w:type="character" w:styleId="Nivel01Char" w:customStyle="1">
    <w:name w:val="Nivel 01 Char"/>
    <w:basedOn w:val="DefaultParagraphFont"/>
    <w:link w:val="Nivel010"/>
    <w:qFormat/>
    <w:locked/>
    <w:rsid w:val="0085196b"/>
    <w:rPr>
      <w:rFonts w:ascii="Arial" w:hAnsi="Arial" w:eastAsia="" w:cs="" w:cstheme="majorBidi" w:eastAsiaTheme="majorEastAsia"/>
      <w:b/>
      <w:bCs/>
      <w:color w:val="000000"/>
      <w:sz w:val="32"/>
      <w:szCs w:val="32"/>
    </w:rPr>
  </w:style>
  <w:style w:type="character" w:styleId="Strong">
    <w:name w:val="Strong"/>
    <w:basedOn w:val="DefaultParagraphFont"/>
    <w:uiPriority w:val="22"/>
    <w:qFormat/>
    <w:rsid w:val="0085196b"/>
    <w:rPr>
      <w:b/>
      <w:bCs/>
    </w:rPr>
  </w:style>
  <w:style w:type="character" w:styleId="GradeColoridanfase1Char" w:customStyle="1">
    <w:name w:val="Grade Colorida - Ênfase 1 Char"/>
    <w:link w:val="GradeColorida-nfase11"/>
    <w:qFormat/>
    <w:rsid w:val="00dd3603"/>
    <w:rPr>
      <w:rFonts w:ascii="Ecofont_Spranq_eco_Sans" w:hAnsi="Ecofont_Spranq_eco_Sans" w:eastAsia="Calibri" w:cs="Ecofont_Spranq_eco_Sans"/>
      <w:i/>
      <w:iCs/>
      <w:color w:val="000000"/>
      <w:szCs w:val="24"/>
      <w:shd w:fill="FFFFCC" w:val="clear"/>
      <w:lang w:val="x-none"/>
    </w:rPr>
  </w:style>
  <w:style w:type="character" w:styleId="WW8Num2z1" w:customStyle="1">
    <w:name w:val="WW8Num2z1"/>
    <w:qFormat/>
    <w:rsid w:val="007b7e1c"/>
    <w:rPr>
      <w:i w:val="false"/>
    </w:rPr>
  </w:style>
  <w:style w:type="character" w:styleId="Nfase">
    <w:name w:val="Ênfase"/>
    <w:basedOn w:val="DefaultParagraphFont"/>
    <w:uiPriority w:val="20"/>
    <w:qFormat/>
    <w:rsid w:val="00f70f2b"/>
    <w:rPr>
      <w:i/>
      <w:iCs/>
    </w:rPr>
  </w:style>
  <w:style w:type="character" w:styleId="Nivel2Char" w:customStyle="1">
    <w:name w:val="Nivel 2 Char"/>
    <w:basedOn w:val="DefaultParagraphFont"/>
    <w:link w:val="Nivel2"/>
    <w:qFormat/>
    <w:rsid w:val="00d7051d"/>
    <w:rPr>
      <w:rFonts w:ascii="Ecofont_Spranq_eco_Sans" w:hAnsi="Ecofont_Spranq_eco_Sans" w:eastAsia="Arial Unicode MS"/>
    </w:rPr>
  </w:style>
  <w:style w:type="character" w:styleId="Nfaseforte">
    <w:name w:val="Ênfase forte"/>
    <w:qFormat/>
    <w:rPr>
      <w:b/>
      <w:bCs/>
    </w:rPr>
  </w:style>
  <w:style w:type="character" w:styleId="Linkdainternetvisitado">
    <w:name w:val="Link da internet visitado"/>
    <w:rPr>
      <w:color w:val="800000"/>
      <w:u w:val="single"/>
      <w:lang w:val="zxx" w:eastAsia="zxx" w:bidi="zxx"/>
    </w:rPr>
  </w:style>
  <w:style w:type="character" w:styleId="Fontepargpadro2">
    <w:name w:val="Fonte parág. padrão2"/>
    <w:qFormat/>
    <w:rPr/>
  </w:style>
  <w:style w:type="character" w:styleId="Fontepargpadro">
    <w:name w:val="Fonte parág. padrão"/>
    <w:qFormat/>
    <w:rPr/>
  </w:style>
  <w:style w:type="character" w:styleId="ListLabel1">
    <w:name w:val="ListLabel 1"/>
    <w:qFormat/>
    <w:rPr>
      <w:b w:val="false"/>
      <w:bCs/>
      <w:i w:val="false"/>
      <w:color w:val="000000"/>
      <w:sz w:val="24"/>
      <w:szCs w:val="20"/>
      <w:lang w:val="x-none"/>
    </w:rPr>
  </w:style>
  <w:style w:type="character" w:styleId="ListLabel2">
    <w:name w:val="ListLabel 2"/>
    <w:qFormat/>
    <w:rPr>
      <w:i w:val="false"/>
    </w:rPr>
  </w:style>
  <w:style w:type="character" w:styleId="ListLabel3">
    <w:name w:val="ListLabel 3"/>
    <w:qFormat/>
    <w:rPr>
      <w:rFonts w:ascii="Arial" w:hAnsi="Arial"/>
      <w:b w:val="false"/>
      <w:i w:val="false"/>
      <w:color w:val="000000"/>
      <w:sz w:val="24"/>
      <w:szCs w:val="20"/>
    </w:rPr>
  </w:style>
  <w:style w:type="character" w:styleId="ListLabel4">
    <w:name w:val="ListLabel 4"/>
    <w:qFormat/>
    <w:rPr>
      <w:b/>
      <w:sz w:val="24"/>
      <w:szCs w:val="20"/>
    </w:rPr>
  </w:style>
  <w:style w:type="character" w:styleId="ListLabel5">
    <w:name w:val="ListLabel 5"/>
    <w:qFormat/>
    <w:rPr>
      <w:b w:val="false"/>
      <w:i w:val="false"/>
    </w:rPr>
  </w:style>
  <w:style w:type="character" w:styleId="ListLabel6">
    <w:name w:val="ListLabel 6"/>
    <w:qFormat/>
    <w:rPr>
      <w:b w:val="false"/>
    </w:rPr>
  </w:style>
  <w:style w:type="character" w:styleId="ListLabel7">
    <w:name w:val="ListLabel 7"/>
    <w:qFormat/>
    <w:rPr>
      <w:b w:val="false"/>
      <w:i w:val="false"/>
      <w:color w:val="000000"/>
    </w:rPr>
  </w:style>
  <w:style w:type="character" w:styleId="ListLabel8">
    <w:name w:val="ListLabel 8"/>
    <w:qFormat/>
    <w:rPr>
      <w:b w:val="false"/>
    </w:rPr>
  </w:style>
  <w:style w:type="character" w:styleId="ListLabel9">
    <w:name w:val="ListLabel 9"/>
    <w:qFormat/>
    <w:rPr>
      <w:b/>
      <w:bCs/>
      <w:i w:val="false"/>
      <w:color w:val="000000"/>
      <w:sz w:val="20"/>
      <w:szCs w:val="20"/>
      <w:lang w:val="x-none"/>
    </w:rPr>
  </w:style>
  <w:style w:type="character" w:styleId="ListLabel10">
    <w:name w:val="ListLabel 10"/>
    <w:qFormat/>
    <w:rPr>
      <w:i w:val="false"/>
    </w:rPr>
  </w:style>
  <w:style w:type="character" w:styleId="ListLabel11">
    <w:name w:val="ListLabel 11"/>
    <w:qFormat/>
    <w:rPr>
      <w:b/>
      <w:bCs/>
      <w:i w:val="false"/>
      <w:color w:val="000000"/>
      <w:sz w:val="24"/>
      <w:szCs w:val="20"/>
      <w:lang w:val="x-none"/>
    </w:rPr>
  </w:style>
  <w:style w:type="character" w:styleId="ListLabel12">
    <w:name w:val="ListLabel 12"/>
    <w:qFormat/>
    <w:rPr>
      <w:i w:val="false"/>
    </w:rPr>
  </w:style>
  <w:style w:type="character" w:styleId="ListLabel13">
    <w:name w:val="ListLabel 13"/>
    <w:qFormat/>
    <w:rPr>
      <w:rFonts w:cs="Arial"/>
      <w:i w:val="false"/>
      <w:iCs w:val="false"/>
      <w:color w:val="000000"/>
      <w:sz w:val="20"/>
      <w:szCs w:val="20"/>
    </w:rPr>
  </w:style>
  <w:style w:type="character" w:styleId="ListLabel14">
    <w:name w:val="ListLabel 14"/>
    <w:qFormat/>
    <w:rPr>
      <w:rFonts w:cs="Arial"/>
      <w:b w:val="false"/>
      <w:bCs w:val="false"/>
      <w:color w:val="000000"/>
      <w:spacing w:val="1"/>
      <w:sz w:val="20"/>
      <w:szCs w:val="20"/>
    </w:rPr>
  </w:style>
  <w:style w:type="character" w:styleId="ListLabel15">
    <w:name w:val="ListLabel 15"/>
    <w:qFormat/>
    <w:rPr>
      <w:rFonts w:cs="Arial"/>
      <w:color w:val="000000"/>
      <w:sz w:val="20"/>
      <w:szCs w:val="20"/>
    </w:rPr>
  </w:style>
  <w:style w:type="character" w:styleId="ListLabel16">
    <w:name w:val="ListLabel 16"/>
    <w:qFormat/>
    <w:rPr>
      <w:rFonts w:cs="Arial"/>
      <w:color w:val="000000"/>
      <w:spacing w:val="1"/>
      <w:sz w:val="20"/>
      <w:szCs w:val="20"/>
    </w:rPr>
  </w:style>
  <w:style w:type="character" w:styleId="ListLabel17">
    <w:name w:val="ListLabel 17"/>
    <w:qFormat/>
    <w:rPr>
      <w:rFonts w:cs="Arial"/>
      <w:b w:val="false"/>
      <w:bCs w:val="false"/>
      <w:color w:val="000000"/>
      <w:sz w:val="20"/>
      <w:szCs w:val="20"/>
    </w:rPr>
  </w:style>
  <w:style w:type="character" w:styleId="ListLabel18">
    <w:name w:val="ListLabel 18"/>
    <w:qFormat/>
    <w:rPr>
      <w:rFonts w:cs="Arial"/>
      <w:b/>
      <w:color w:val="000000"/>
      <w:sz w:val="20"/>
      <w:szCs w:val="20"/>
    </w:rPr>
  </w:style>
  <w:style w:type="character" w:styleId="ListLabel19">
    <w:name w:val="ListLabel 19"/>
    <w:qFormat/>
    <w:rPr>
      <w:rFonts w:cs="Arial"/>
      <w:b/>
      <w:color w:val="000000"/>
      <w:spacing w:val="1"/>
      <w:sz w:val="20"/>
      <w:szCs w:val="20"/>
    </w:rPr>
  </w:style>
  <w:style w:type="character" w:styleId="ListLabel20">
    <w:name w:val="ListLabel 20"/>
    <w:qFormat/>
    <w:rPr>
      <w:rFonts w:cs="Arial"/>
      <w:b w:val="false"/>
      <w:bCs w:val="false"/>
      <w:color w:val="000000"/>
      <w:spacing w:val="-1"/>
      <w:sz w:val="20"/>
      <w:szCs w:val="20"/>
    </w:rPr>
  </w:style>
  <w:style w:type="character" w:styleId="ListLabel21">
    <w:name w:val="ListLabel 21"/>
    <w:qFormat/>
    <w:rPr>
      <w:rFonts w:cs="Arial"/>
      <w:b w:val="false"/>
      <w:bCs w:val="false"/>
      <w:color w:val="000000"/>
      <w:spacing w:val="-2"/>
      <w:sz w:val="20"/>
      <w:szCs w:val="20"/>
    </w:rPr>
  </w:style>
  <w:style w:type="character" w:styleId="ListLabel22">
    <w:name w:val="ListLabel 22"/>
    <w:qFormat/>
    <w:rPr>
      <w:rFonts w:cs="Arial"/>
      <w:b/>
      <w:bCs w:val="false"/>
      <w:color w:val="000000"/>
      <w:sz w:val="20"/>
      <w:szCs w:val="20"/>
    </w:rPr>
  </w:style>
  <w:style w:type="character" w:styleId="ListLabel23">
    <w:name w:val="ListLabel 23"/>
    <w:qFormat/>
    <w:rPr>
      <w:rFonts w:cs="Arial"/>
      <w:i w:val="false"/>
      <w:iCs w:val="false"/>
      <w:color w:val="000000"/>
      <w:szCs w:val="20"/>
      <w:lang w:eastAsia="en-US"/>
    </w:rPr>
  </w:style>
  <w:style w:type="character" w:styleId="ListLabel24">
    <w:name w:val="ListLabel 24"/>
    <w:qFormat/>
    <w:rPr>
      <w:rFonts w:cs="Arial"/>
      <w:i w:val="false"/>
      <w:iCs w:val="false"/>
      <w:color w:val="000000"/>
      <w:spacing w:val="61"/>
      <w:szCs w:val="20"/>
      <w:lang w:eastAsia="en-US"/>
    </w:rPr>
  </w:style>
  <w:style w:type="character" w:styleId="ListLabel25">
    <w:name w:val="ListLabel 25"/>
    <w:qFormat/>
    <w:rPr>
      <w:rFonts w:cs="Arial"/>
      <w:i w:val="false"/>
      <w:iCs w:val="false"/>
      <w:color w:val="000000"/>
      <w:spacing w:val="-2"/>
      <w:szCs w:val="20"/>
      <w:lang w:eastAsia="en-US"/>
    </w:rPr>
  </w:style>
  <w:style w:type="character" w:styleId="ListLabel26">
    <w:name w:val="ListLabel 26"/>
    <w:qFormat/>
    <w:rPr>
      <w:rFonts w:cs="Arial"/>
      <w:i w:val="false"/>
      <w:iCs w:val="false"/>
      <w:color w:val="000000"/>
      <w:spacing w:val="-1"/>
      <w:szCs w:val="20"/>
      <w:lang w:eastAsia="en-US"/>
    </w:rPr>
  </w:style>
  <w:style w:type="character" w:styleId="ListLabel27">
    <w:name w:val="ListLabel 27"/>
    <w:qFormat/>
    <w:rPr>
      <w:i w:val="false"/>
      <w:iCs w:val="false"/>
      <w:color w:val="000000"/>
      <w:sz w:val="20"/>
      <w:szCs w:val="20"/>
    </w:rPr>
  </w:style>
  <w:style w:type="character" w:styleId="ListLabel28">
    <w:name w:val="ListLabel 28"/>
    <w:qFormat/>
    <w:rPr>
      <w:i w:val="false"/>
      <w:iCs w:val="false"/>
      <w:color w:val="000000"/>
      <w:spacing w:val="11"/>
      <w:sz w:val="20"/>
      <w:szCs w:val="20"/>
    </w:rPr>
  </w:style>
  <w:style w:type="character" w:styleId="ListLabel29">
    <w:name w:val="ListLabel 29"/>
    <w:qFormat/>
    <w:rPr>
      <w:i w:val="false"/>
      <w:iCs w:val="false"/>
      <w:color w:val="000000"/>
      <w:spacing w:val="13"/>
      <w:sz w:val="20"/>
      <w:szCs w:val="20"/>
    </w:rPr>
  </w:style>
  <w:style w:type="character" w:styleId="ListLabel30">
    <w:name w:val="ListLabel 30"/>
    <w:qFormat/>
    <w:rPr>
      <w:i w:val="false"/>
      <w:iCs w:val="false"/>
      <w:color w:val="000000"/>
      <w:spacing w:val="12"/>
      <w:sz w:val="20"/>
      <w:szCs w:val="20"/>
    </w:rPr>
  </w:style>
  <w:style w:type="character" w:styleId="ListLabel31">
    <w:name w:val="ListLabel 31"/>
    <w:qFormat/>
    <w:rPr>
      <w:color w:val="000000"/>
      <w:sz w:val="20"/>
      <w:szCs w:val="20"/>
    </w:rPr>
  </w:style>
  <w:style w:type="character" w:styleId="ListLabel32">
    <w:name w:val="ListLabel 32"/>
    <w:qFormat/>
    <w:rPr>
      <w:b/>
      <w:color w:val="000000"/>
      <w:sz w:val="20"/>
      <w:szCs w:val="20"/>
    </w:rPr>
  </w:style>
  <w:style w:type="character" w:styleId="ListLabel33">
    <w:name w:val="ListLabel 33"/>
    <w:qFormat/>
    <w:rPr>
      <w:b/>
      <w:color w:val="000000"/>
      <w:spacing w:val="1"/>
      <w:sz w:val="20"/>
      <w:szCs w:val="20"/>
    </w:rPr>
  </w:style>
  <w:style w:type="character" w:styleId="ListLabel34">
    <w:name w:val="ListLabel 34"/>
    <w:qFormat/>
    <w:rPr>
      <w:b/>
      <w:color w:val="000000"/>
      <w:spacing w:val="-1"/>
      <w:sz w:val="20"/>
      <w:szCs w:val="20"/>
    </w:rPr>
  </w:style>
  <w:style w:type="character" w:styleId="ListLabel35">
    <w:name w:val="ListLabel 35"/>
    <w:qFormat/>
    <w:rPr>
      <w:color w:val="000000"/>
      <w:spacing w:val="3"/>
      <w:sz w:val="20"/>
      <w:szCs w:val="20"/>
    </w:rPr>
  </w:style>
  <w:style w:type="character" w:styleId="ListLabel36">
    <w:name w:val="ListLabel 36"/>
    <w:qFormat/>
    <w:rPr>
      <w:color w:val="000000"/>
      <w:spacing w:val="21"/>
      <w:sz w:val="20"/>
      <w:szCs w:val="20"/>
    </w:rPr>
  </w:style>
  <w:style w:type="character" w:styleId="ListLabel37">
    <w:name w:val="ListLabel 37"/>
    <w:qFormat/>
    <w:rPr>
      <w:color w:val="000000"/>
      <w:spacing w:val="19"/>
      <w:sz w:val="20"/>
      <w:szCs w:val="20"/>
    </w:rPr>
  </w:style>
  <w:style w:type="character" w:styleId="ListLabel38">
    <w:name w:val="ListLabel 38"/>
    <w:qFormat/>
    <w:rPr>
      <w:color w:val="000000"/>
      <w:spacing w:val="22"/>
      <w:sz w:val="20"/>
      <w:szCs w:val="20"/>
    </w:rPr>
  </w:style>
  <w:style w:type="character" w:styleId="ListLabel39">
    <w:name w:val="ListLabel 39"/>
    <w:qFormat/>
    <w:rPr>
      <w:color w:val="000000"/>
      <w:spacing w:val="18"/>
      <w:sz w:val="20"/>
      <w:szCs w:val="20"/>
    </w:rPr>
  </w:style>
  <w:style w:type="character" w:styleId="ListLabel40">
    <w:name w:val="ListLabel 40"/>
    <w:qFormat/>
    <w:rPr>
      <w:color w:val="000000"/>
      <w:spacing w:val="20"/>
      <w:sz w:val="20"/>
      <w:szCs w:val="20"/>
    </w:rPr>
  </w:style>
  <w:style w:type="character" w:styleId="ListLabel41">
    <w:name w:val="ListLabel 41"/>
    <w:qFormat/>
    <w:rPr>
      <w:color w:val="000000"/>
      <w:spacing w:val="-58"/>
      <w:sz w:val="20"/>
      <w:szCs w:val="20"/>
    </w:rPr>
  </w:style>
  <w:style w:type="character" w:styleId="ListLabel42">
    <w:name w:val="ListLabel 42"/>
    <w:qFormat/>
    <w:rPr>
      <w:color w:val="000000"/>
      <w:spacing w:val="2"/>
      <w:sz w:val="20"/>
      <w:szCs w:val="20"/>
    </w:rPr>
  </w:style>
  <w:style w:type="character" w:styleId="ListLabel43">
    <w:name w:val="ListLabel 43"/>
    <w:qFormat/>
    <w:rPr>
      <w:color w:val="000000"/>
      <w:spacing w:val="1"/>
      <w:sz w:val="20"/>
      <w:szCs w:val="20"/>
    </w:rPr>
  </w:style>
  <w:style w:type="character" w:styleId="ListLabel44">
    <w:name w:val="ListLabel 44"/>
    <w:qFormat/>
    <w:rPr>
      <w:color w:val="000000"/>
      <w:spacing w:val="17"/>
      <w:sz w:val="20"/>
      <w:szCs w:val="20"/>
    </w:rPr>
  </w:style>
  <w:style w:type="character" w:styleId="ListLabel45">
    <w:name w:val="ListLabel 45"/>
    <w:qFormat/>
    <w:rPr>
      <w:color w:val="000000"/>
      <w:spacing w:val="16"/>
      <w:sz w:val="20"/>
      <w:szCs w:val="20"/>
    </w:rPr>
  </w:style>
  <w:style w:type="character" w:styleId="ListLabel46">
    <w:name w:val="ListLabel 46"/>
    <w:qFormat/>
    <w:rPr>
      <w:color w:val="000000"/>
      <w:spacing w:val="-1"/>
      <w:sz w:val="20"/>
      <w:szCs w:val="20"/>
    </w:rPr>
  </w:style>
  <w:style w:type="character" w:styleId="ListLabel47">
    <w:name w:val="ListLabel 47"/>
    <w:qFormat/>
    <w:rPr>
      <w:rFonts w:eastAsia="Times New Roman" w:cs="Tahoma"/>
      <w:b/>
      <w:color w:val="000000"/>
      <w:kern w:val="0"/>
      <w:sz w:val="20"/>
      <w:szCs w:val="20"/>
      <w:lang w:val="pt-BR" w:eastAsia="pt-BR" w:bidi="ar-SA"/>
    </w:rPr>
  </w:style>
  <w:style w:type="character" w:styleId="ListLabel48">
    <w:name w:val="ListLabel 48"/>
    <w:qFormat/>
    <w:rPr>
      <w:color w:val="000000"/>
      <w:spacing w:val="-2"/>
      <w:sz w:val="20"/>
      <w:szCs w:val="20"/>
    </w:rPr>
  </w:style>
  <w:style w:type="character" w:styleId="ListLabel49">
    <w:name w:val="ListLabel 49"/>
    <w:qFormat/>
    <w:rPr>
      <w:rFonts w:cs="Arial"/>
      <w:b w:val="false"/>
      <w:bCs w:val="false"/>
      <w:color w:val="000000"/>
      <w:spacing w:val="-2"/>
      <w:sz w:val="20"/>
      <w:szCs w:val="20"/>
      <w:highlight w:val="white"/>
    </w:rPr>
  </w:style>
  <w:style w:type="character" w:styleId="ListLabel50">
    <w:name w:val="ListLabel 50"/>
    <w:qFormat/>
    <w:rPr>
      <w:rFonts w:cs="Arial"/>
      <w:b w:val="false"/>
      <w:bCs w:val="false"/>
      <w:color w:val="000000"/>
      <w:sz w:val="20"/>
      <w:szCs w:val="20"/>
      <w:highlight w:val="white"/>
    </w:rPr>
  </w:style>
  <w:style w:type="character" w:styleId="ListLabel51">
    <w:name w:val="ListLabel 51"/>
    <w:qFormat/>
    <w:rPr>
      <w:rFonts w:cs="Arial"/>
      <w:b w:val="false"/>
      <w:bCs w:val="false"/>
      <w:color w:val="000000"/>
      <w:spacing w:val="-3"/>
      <w:sz w:val="20"/>
      <w:szCs w:val="20"/>
      <w:highlight w:val="white"/>
    </w:rPr>
  </w:style>
  <w:style w:type="character" w:styleId="ListLabel52">
    <w:name w:val="ListLabel 52"/>
    <w:qFormat/>
    <w:rPr>
      <w:rFonts w:cs="Arial"/>
      <w:b w:val="false"/>
      <w:bCs w:val="false"/>
      <w:color w:val="000000"/>
      <w:spacing w:val="-1"/>
      <w:sz w:val="20"/>
      <w:szCs w:val="20"/>
      <w:highlight w:val="white"/>
    </w:rPr>
  </w:style>
  <w:style w:type="character" w:styleId="ListLabel53">
    <w:name w:val="ListLabel 53"/>
    <w:qFormat/>
    <w:rPr>
      <w:rFonts w:ascii="Arial" w:hAnsi="Arial"/>
      <w:b/>
      <w:bCs/>
      <w:color w:val="000000"/>
      <w:sz w:val="20"/>
      <w:szCs w:val="20"/>
      <w:highlight w:val="white"/>
    </w:rPr>
  </w:style>
  <w:style w:type="character" w:styleId="ListLabel54">
    <w:name w:val="ListLabel 54"/>
    <w:qFormat/>
    <w:rPr>
      <w:rFonts w:ascii="Arial" w:hAnsi="Arial"/>
      <w:b/>
      <w:bCs/>
      <w:color w:val="000000"/>
      <w:spacing w:val="-4"/>
      <w:sz w:val="20"/>
      <w:szCs w:val="20"/>
      <w:highlight w:val="white"/>
    </w:rPr>
  </w:style>
  <w:style w:type="character" w:styleId="ListLabel55">
    <w:name w:val="ListLabel 55"/>
    <w:qFormat/>
    <w:rPr>
      <w:rFonts w:ascii="Arial" w:hAnsi="Arial"/>
      <w:b/>
      <w:bCs/>
      <w:color w:val="000000"/>
      <w:spacing w:val="-2"/>
      <w:sz w:val="20"/>
      <w:szCs w:val="20"/>
      <w:highlight w:val="white"/>
    </w:rPr>
  </w:style>
  <w:style w:type="character" w:styleId="ListLabel56">
    <w:name w:val="ListLabel 56"/>
    <w:qFormat/>
    <w:rPr>
      <w:rFonts w:ascii="Arial" w:hAnsi="Arial"/>
      <w:b/>
      <w:bCs/>
      <w:color w:val="000000"/>
      <w:spacing w:val="-1"/>
      <w:sz w:val="20"/>
      <w:szCs w:val="20"/>
      <w:highlight w:val="white"/>
    </w:rPr>
  </w:style>
  <w:style w:type="character" w:styleId="ListLabel57">
    <w:name w:val="ListLabel 57"/>
    <w:qFormat/>
    <w:rPr>
      <w:color w:val="000000"/>
      <w:sz w:val="20"/>
      <w:szCs w:val="20"/>
      <w:highlight w:val="white"/>
    </w:rPr>
  </w:style>
  <w:style w:type="character" w:styleId="ListLabel58">
    <w:name w:val="ListLabel 58"/>
    <w:qFormat/>
    <w:rPr>
      <w:i/>
      <w:color w:val="000000"/>
      <w:sz w:val="20"/>
      <w:szCs w:val="20"/>
      <w:highlight w:val="white"/>
    </w:rPr>
  </w:style>
  <w:style w:type="character" w:styleId="ListLabel59">
    <w:name w:val="ListLabel 59"/>
    <w:qFormat/>
    <w:rPr>
      <w:b/>
      <w:color w:val="000000"/>
      <w:sz w:val="20"/>
      <w:szCs w:val="20"/>
      <w:highlight w:val="white"/>
    </w:rPr>
  </w:style>
  <w:style w:type="character" w:styleId="ListLabel60">
    <w:name w:val="ListLabel 60"/>
    <w:qFormat/>
    <w:rPr>
      <w:rFonts w:ascii="Arial" w:hAnsi="Arial"/>
      <w:b w:val="false"/>
      <w:bCs w:val="false"/>
      <w:color w:val="000000"/>
      <w:spacing w:val="-2"/>
      <w:sz w:val="20"/>
      <w:szCs w:val="20"/>
      <w:highlight w:val="white"/>
    </w:rPr>
  </w:style>
  <w:style w:type="character" w:styleId="ListLabel61">
    <w:name w:val="ListLabel 61"/>
    <w:qFormat/>
    <w:rPr>
      <w:rFonts w:ascii="Arial" w:hAnsi="Arial"/>
      <w:b w:val="false"/>
      <w:bCs w:val="false"/>
      <w:color w:val="000000"/>
      <w:sz w:val="20"/>
      <w:szCs w:val="20"/>
      <w:highlight w:val="white"/>
    </w:rPr>
  </w:style>
  <w:style w:type="paragraph" w:styleId="Ttulo">
    <w:name w:val="Título"/>
    <w:basedOn w:val="Normal"/>
    <w:next w:val="Corpodetexto"/>
    <w:qFormat/>
    <w:pPr>
      <w:keepNext w:val="true"/>
      <w:spacing w:before="240" w:after="120"/>
    </w:pPr>
    <w:rPr>
      <w:rFonts w:ascii="Liberation Sans" w:hAnsi="Liberation Sans" w:eastAsia="Microsoft YaHei" w:cs="Lucida Sans"/>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istParagraph">
    <w:name w:val="List Paragraph"/>
    <w:basedOn w:val="Normal"/>
    <w:uiPriority w:val="34"/>
    <w:qFormat/>
    <w:rsid w:val="004773fc"/>
    <w:pPr>
      <w:spacing w:before="0" w:after="0"/>
      <w:ind w:left="720" w:hanging="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qFormat/>
    <w:rsid w:val="003a73c1"/>
    <w:pPr/>
    <w:rPr>
      <w:rFonts w:ascii="Tahoma" w:hAnsi="Tahoma" w:cs="Times New Roman"/>
      <w:sz w:val="16"/>
      <w:szCs w:val="16"/>
      <w:lang w:val="x-none" w:eastAsia="x-none"/>
    </w:rPr>
  </w:style>
  <w:style w:type="paragraph" w:styleId="Nvel2" w:customStyle="1">
    <w:name w:val="Nível 2"/>
    <w:basedOn w:val="Normal"/>
    <w:next w:val="Normal"/>
    <w:qFormat/>
    <w:rsid w:val="004b460a"/>
    <w:pPr>
      <w:spacing w:before="0" w:after="120"/>
      <w:jc w:val="both"/>
    </w:pPr>
    <w:rPr>
      <w:rFonts w:cs="Times New Roman"/>
      <w:b/>
      <w:szCs w:val="20"/>
    </w:rPr>
  </w:style>
  <w:style w:type="paragraph" w:styleId="Quote">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cs="Times New Roman"/>
      <w:i/>
      <w:iCs/>
      <w:color w:val="000000"/>
      <w:lang w:val="x-none" w:eastAsia="en-US"/>
    </w:rPr>
  </w:style>
  <w:style w:type="paragraph" w:styleId="ListBullet5">
    <w:name w:val="List Bullet 5"/>
    <w:basedOn w:val="Normal"/>
    <w:qFormat/>
    <w:rsid w:val="001a3a05"/>
    <w:pPr>
      <w:spacing w:before="0" w:after="0"/>
      <w:contextualSpacing/>
    </w:pPr>
    <w:rPr/>
  </w:style>
  <w:style w:type="paragraph" w:styleId="Citao2" w:customStyle="1">
    <w:name w:val="citação 2"/>
    <w:basedOn w:val="Quote"/>
    <w:link w:val="citao2Char"/>
    <w:qFormat/>
    <w:rsid w:val="000a23da"/>
    <w:pPr>
      <w:shd w:val="clear" w:fill="FFFFCC"/>
    </w:pPr>
    <w:rPr>
      <w:szCs w:val="20"/>
    </w:rPr>
  </w:style>
  <w:style w:type="paragraph" w:styleId="Annotationtext">
    <w:name w:val="annotation text"/>
    <w:basedOn w:val="Normal"/>
    <w:link w:val="TextodecomentrioChar"/>
    <w:unhideWhenUsed/>
    <w:qFormat/>
    <w:rsid w:val="0015519e"/>
    <w:pPr/>
    <w:rPr>
      <w:szCs w:val="20"/>
    </w:rPr>
  </w:style>
  <w:style w:type="paragraph" w:styleId="Annotationsubject">
    <w:name w:val="annotation subject"/>
    <w:basedOn w:val="Annotationtext"/>
    <w:link w:val="AssuntodocomentrioChar"/>
    <w:semiHidden/>
    <w:unhideWhenUsed/>
    <w:qFormat/>
    <w:rsid w:val="0015519e"/>
    <w:pPr/>
    <w:rPr>
      <w:b/>
      <w:bCs/>
    </w:rPr>
  </w:style>
  <w:style w:type="paragraph" w:styleId="CabealhoeRodap">
    <w:name w:val="Cabeçalho e Rodapé"/>
    <w:basedOn w:val="Normal"/>
    <w:qFormat/>
    <w:pPr/>
    <w:rPr/>
  </w:style>
  <w:style w:type="paragraph" w:styleId="Cabealho">
    <w:name w:val="Header"/>
    <w:basedOn w:val="Normal"/>
    <w:link w:val="CabealhoChar"/>
    <w:unhideWhenUsed/>
    <w:rsid w:val="00db64ef"/>
    <w:pPr>
      <w:tabs>
        <w:tab w:val="center" w:pos="4252" w:leader="none"/>
        <w:tab w:val="right" w:pos="8504" w:leader="none"/>
      </w:tabs>
    </w:pPr>
    <w:rPr/>
  </w:style>
  <w:style w:type="paragraph" w:styleId="Rodap">
    <w:name w:val="Footer"/>
    <w:basedOn w:val="Normal"/>
    <w:link w:val="RodapChar"/>
    <w:uiPriority w:val="99"/>
    <w:unhideWhenUsed/>
    <w:rsid w:val="00db64ef"/>
    <w:pPr>
      <w:tabs>
        <w:tab w:val="center" w:pos="4252" w:leader="none"/>
        <w:tab w:val="right" w:pos="8504" w:leader="none"/>
      </w:tabs>
    </w:pPr>
    <w:rPr/>
  </w:style>
  <w:style w:type="paragraph" w:styleId="Nivel1" w:customStyle="1">
    <w:name w:val="Nivel1"/>
    <w:basedOn w:val="Ttulo1"/>
    <w:link w:val="Nivel1Char"/>
    <w:qFormat/>
    <w:rsid w:val="000d390a"/>
    <w:pPr>
      <w:spacing w:lineRule="auto" w:line="276" w:before="480" w:after="0"/>
      <w:jc w:val="both"/>
    </w:pPr>
    <w:rPr>
      <w:rFonts w:ascii="Arial" w:hAnsi="Arial" w:cs="Times New Roman"/>
      <w:b/>
      <w:color w:val="000000"/>
      <w:sz w:val="20"/>
      <w:szCs w:val="20"/>
    </w:rPr>
  </w:style>
  <w:style w:type="paragraph" w:styleId="Revision">
    <w:name w:val="Revision"/>
    <w:uiPriority w:val="99"/>
    <w:semiHidden/>
    <w:qFormat/>
    <w:rsid w:val="00656f07"/>
    <w:pPr>
      <w:widowControl/>
      <w:suppressAutoHyphens w:val="true"/>
      <w:bidi w:val="0"/>
      <w:spacing w:before="0" w:after="0"/>
      <w:jc w:val="left"/>
    </w:pPr>
    <w:rPr>
      <w:rFonts w:ascii="Arial" w:hAnsi="Arial" w:eastAsia="Times New Roman" w:cs="Tahoma"/>
      <w:color w:val="00000A"/>
      <w:kern w:val="0"/>
      <w:sz w:val="20"/>
      <w:szCs w:val="24"/>
      <w:lang w:val="pt-BR" w:eastAsia="pt-BR" w:bidi="ar-SA"/>
    </w:rPr>
  </w:style>
  <w:style w:type="paragraph" w:styleId="PargrafodaLista1" w:customStyle="1">
    <w:name w:val="Parágrafo da Lista1"/>
    <w:basedOn w:val="Normal"/>
    <w:qFormat/>
    <w:rsid w:val="00b222ee"/>
    <w:pPr>
      <w:ind w:left="720" w:hanging="0"/>
    </w:pPr>
    <w:rPr>
      <w:rFonts w:ascii="Ecofont_Spranq_eco_Sans" w:hAnsi="Ecofont_Spranq_eco_Sans" w:cs="Ecofont_Spranq_eco_Sans"/>
      <w:sz w:val="24"/>
    </w:rPr>
  </w:style>
  <w:style w:type="paragraph" w:styleId="Citao1" w:customStyle="1">
    <w:name w:val="Citação1"/>
    <w:basedOn w:val="Normal"/>
    <w:next w:val="Normal"/>
    <w:link w:val="QuoteChar"/>
    <w:qFormat/>
    <w:rsid w:val="00b222ee"/>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cs="Ecofont_Spranq_eco_Sans"/>
      <w:i/>
      <w:iCs/>
      <w:color w:val="000000"/>
      <w:sz w:val="24"/>
      <w:shd w:fill="FFFFCC" w:val="clear"/>
      <w:lang w:eastAsia="en-US"/>
    </w:rPr>
  </w:style>
  <w:style w:type="paragraph" w:styleId="SombreamentoMdio1nfase31" w:customStyle="1">
    <w:name w:val="Sombreamento Médio 1 - Ênfase 31"/>
    <w:basedOn w:val="Normal"/>
    <w:next w:val="Normal"/>
    <w:qFormat/>
    <w:rsid w:val="00e014b9"/>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ascii="Ecofont_Spranq_eco_Sans" w:hAnsi="Ecofont_Spranq_eco_Sans" w:eastAsia="Calibri"/>
      <w:i/>
      <w:iCs/>
      <w:color w:val="000000"/>
      <w:lang w:eastAsia="zh-CN"/>
    </w:rPr>
  </w:style>
  <w:style w:type="paragraph" w:styleId="Nivel01" w:customStyle="1">
    <w:name w:val="Nivel 01"/>
    <w:basedOn w:val="Ttulo1"/>
    <w:next w:val="Normal"/>
    <w:link w:val="Nivel01Char"/>
    <w:qFormat/>
    <w:rsid w:val="0085196b"/>
    <w:pPr>
      <w:spacing w:lineRule="auto" w:line="276" w:before="480" w:after="120"/>
      <w:ind w:left="360" w:right="-15" w:hanging="360"/>
      <w:jc w:val="both"/>
    </w:pPr>
    <w:rPr>
      <w:rFonts w:ascii="Arial" w:hAnsi="Arial"/>
      <w:b/>
      <w:bCs/>
      <w:color w:val="000000"/>
    </w:rPr>
  </w:style>
  <w:style w:type="paragraph" w:styleId="Textojustificado" w:customStyle="1">
    <w:name w:val="texto_justificado"/>
    <w:basedOn w:val="Normal"/>
    <w:qFormat/>
    <w:rsid w:val="0085196b"/>
    <w:pPr>
      <w:spacing w:beforeAutospacing="1" w:afterAutospacing="1"/>
    </w:pPr>
    <w:rPr>
      <w:rFonts w:ascii="Times New Roman" w:hAnsi="Times New Roman" w:cs="Times New Roman"/>
      <w:sz w:val="24"/>
    </w:rPr>
  </w:style>
  <w:style w:type="paragraph" w:styleId="Nivel011" w:customStyle="1">
    <w:name w:val="Nivel_01"/>
    <w:basedOn w:val="Ttulo1"/>
    <w:qFormat/>
    <w:rsid w:val="00b75c3f"/>
    <w:pPr>
      <w:tabs>
        <w:tab w:val="left" w:pos="360" w:leader="none"/>
        <w:tab w:val="left" w:pos="567" w:leader="none"/>
      </w:tabs>
      <w:jc w:val="both"/>
    </w:pPr>
    <w:rPr>
      <w:rFonts w:ascii="Ecofont_Spranq_eco_Sans" w:hAnsi="Ecofont_Spranq_eco_Sans" w:cs="Times New Roman"/>
      <w:b/>
      <w:bCs/>
      <w:color w:val="00000A"/>
      <w:sz w:val="20"/>
      <w:szCs w:val="20"/>
    </w:rPr>
  </w:style>
  <w:style w:type="paragraph" w:styleId="GradeColoridanfase11" w:customStyle="1">
    <w:name w:val="Grade Colorida - Ênfase 11"/>
    <w:basedOn w:val="Normal"/>
    <w:next w:val="Normal"/>
    <w:link w:val="GradeColorida-nfase1Char"/>
    <w:qFormat/>
    <w:rsid w:val="00dd360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cs="Ecofont_Spranq_eco_Sans"/>
      <w:i/>
      <w:iCs/>
      <w:color w:val="000000"/>
      <w:lang w:val="x-none"/>
    </w:rPr>
  </w:style>
  <w:style w:type="paragraph" w:styleId="PargrafodaLista2" w:customStyle="1">
    <w:name w:val="Parágrafo da Lista2"/>
    <w:basedOn w:val="Normal"/>
    <w:qFormat/>
    <w:rsid w:val="001c3ab6"/>
    <w:pPr>
      <w:ind w:left="720" w:hanging="0"/>
    </w:pPr>
    <w:rPr>
      <w:rFonts w:ascii="Ecofont_Spranq_eco_Sans" w:hAnsi="Ecofont_Spranq_eco_Sans"/>
      <w:sz w:val="24"/>
    </w:rPr>
  </w:style>
  <w:style w:type="paragraph" w:styleId="GradeColoridanfase110" w:customStyle="1">
    <w:name w:val="Grade Colorida - Ênfase 110"/>
    <w:basedOn w:val="Normal"/>
    <w:next w:val="Normal"/>
    <w:qFormat/>
    <w:rsid w:val="006f426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i/>
      <w:color w:val="000000"/>
      <w:sz w:val="24"/>
      <w:lang w:eastAsia="en-US"/>
    </w:rPr>
  </w:style>
  <w:style w:type="paragraph" w:styleId="Nivel2" w:customStyle="1">
    <w:name w:val="Nivel 2"/>
    <w:link w:val="Nivel2Char"/>
    <w:qFormat/>
    <w:rsid w:val="00d7051d"/>
    <w:pPr>
      <w:widowControl/>
      <w:suppressAutoHyphens w:val="tru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customStyle="1">
    <w:name w:val="Nivel 1"/>
    <w:basedOn w:val="Nivel2"/>
    <w:qFormat/>
    <w:rsid w:val="00d7051d"/>
    <w:pPr>
      <w:tabs>
        <w:tab w:val="left" w:pos="360" w:leader="none"/>
      </w:tabs>
      <w:ind w:left="644" w:hanging="432"/>
    </w:pPr>
    <w:rPr>
      <w:rFonts w:cs="Arial"/>
      <w:b/>
    </w:rPr>
  </w:style>
  <w:style w:type="paragraph" w:styleId="Nivel3" w:customStyle="1">
    <w:name w:val="Nivel 3"/>
    <w:basedOn w:val="Nivel2"/>
    <w:qFormat/>
    <w:rsid w:val="00d7051d"/>
    <w:pPr>
      <w:tabs>
        <w:tab w:val="left" w:pos="360" w:leader="none"/>
      </w:tabs>
      <w:ind w:left="1922" w:hanging="0"/>
    </w:pPr>
    <w:rPr>
      <w:rFonts w:cs="Arial"/>
      <w:color w:val="000000"/>
    </w:rPr>
  </w:style>
  <w:style w:type="paragraph" w:styleId="Nivel4" w:customStyle="1">
    <w:name w:val="Nivel 4"/>
    <w:basedOn w:val="Nivel3"/>
    <w:qFormat/>
    <w:rsid w:val="00d7051d"/>
    <w:pPr>
      <w:ind w:left="2491" w:hanging="0"/>
    </w:pPr>
    <w:rPr>
      <w:color w:val="00000A"/>
    </w:rPr>
  </w:style>
  <w:style w:type="paragraph" w:styleId="Nivel5" w:customStyle="1">
    <w:name w:val="Nivel 5"/>
    <w:basedOn w:val="Nivel4"/>
    <w:qFormat/>
    <w:rsid w:val="00d7051d"/>
    <w:pPr>
      <w:ind w:left="3485" w:hanging="0"/>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Standard">
    <w:name w:val="Standard"/>
    <w:qFormat/>
    <w:pPr>
      <w:widowControl/>
      <w:suppressAutoHyphens w:val="true"/>
      <w:overflowPunct w:val="true"/>
      <w:bidi w:val="0"/>
      <w:spacing w:before="0" w:after="0"/>
      <w:jc w:val="left"/>
      <w:textAlignment w:val="baseline"/>
    </w:pPr>
    <w:rPr>
      <w:rFonts w:ascii="Liberation Serif" w:hAnsi="Liberation Serif" w:eastAsia="NSimSun" w:cs="Arial"/>
      <w:color w:val="00000A"/>
      <w:kern w:val="0"/>
      <w:sz w:val="24"/>
      <w:szCs w:val="24"/>
      <w:lang w:val="pt-BR" w:eastAsia="zh-CN" w:bidi="hi-IN"/>
    </w:rPr>
  </w:style>
  <w:style w:type="paragraph" w:styleId="Textbody">
    <w:name w:val="Text body"/>
    <w:basedOn w:val="Standard"/>
    <w:qFormat/>
    <w:pPr>
      <w:suppressAutoHyphens w:val="true"/>
      <w:spacing w:lineRule="auto" w:line="276" w:before="0" w:after="140"/>
    </w:pPr>
    <w:rPr/>
  </w:style>
  <w:style w:type="paragraph" w:styleId="TableParagraph">
    <w:name w:val="Table Paragraph"/>
    <w:basedOn w:val="Standard"/>
    <w:qFormat/>
    <w:pPr>
      <w:suppressAutoHyphens w:val="true"/>
    </w:pPr>
    <w:rPr>
      <w:rFonts w:ascii="Gill Sans MT" w:hAnsi="Gill Sans MT" w:eastAsia="Gill Sans MT" w:cs="Gill Sans MT"/>
      <w:lang w:val="pt-PT" w:bidi="pt-PT"/>
    </w:rPr>
  </w:style>
  <w:style w:type="paragraph" w:styleId="LONormal">
    <w:name w:val="LO-Normal"/>
    <w:qFormat/>
    <w:pPr>
      <w:widowControl/>
      <w:suppressAutoHyphens w:val="true"/>
      <w:bidi w:val="0"/>
      <w:spacing w:before="0" w:after="0"/>
      <w:jc w:val="left"/>
      <w:textAlignment w:val="auto"/>
    </w:pPr>
    <w:rPr>
      <w:rFonts w:ascii="Times New Roman" w:hAnsi="Times New Roman" w:eastAsia="Times New Roman" w:cs="Times New Roman"/>
      <w:color w:val="00000A"/>
      <w:kern w:val="0"/>
      <w:sz w:val="20"/>
      <w:szCs w:val="20"/>
      <w:lang w:val="pt-BR" w:eastAsia="pt-BR"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85196b"/>
    <w:rPr>
      <w:rFonts w:eastAsiaTheme="minorEastAsia"/>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site.pkodobrasil.com.br/produto/vidro-temperado/" TargetMode="External"/><Relationship Id="rId4" Type="http://schemas.openxmlformats.org/officeDocument/2006/relationships/hyperlink" Target="https://site.pkodobrasil.com.br/produto/vidro-temperado/" TargetMode="External"/><Relationship Id="rId5" Type="http://schemas.openxmlformats.org/officeDocument/2006/relationships/hyperlink" Target="https://site.pkodobrasil.com.br/produto/vidro-temperado/" TargetMode="External"/><Relationship Id="rId6" Type="http://schemas.openxmlformats.org/officeDocument/2006/relationships/hyperlink" Target="https://site.pkodobrasil.com.br/produto/vidro-temperado/" TargetMode="External"/><Relationship Id="rId7" Type="http://schemas.openxmlformats.org/officeDocument/2006/relationships/hyperlink" Target="https://site.pkodobrasil.com.br/produto/vidro-temperado/" TargetMode="External"/><Relationship Id="rId8" Type="http://schemas.openxmlformats.org/officeDocument/2006/relationships/hyperlink" Target="https://site.pkodobrasil.com.br/produto/vidro-temperado/" TargetMode="External"/><Relationship Id="rId9" Type="http://schemas.openxmlformats.org/officeDocument/2006/relationships/hyperlink" Target="https://site.pkodobrasil.com.br/produto/vidro-temperado/" TargetMode="External"/><Relationship Id="rId10" Type="http://schemas.openxmlformats.org/officeDocument/2006/relationships/hyperlink" Target="https://site.pkodobrasil.com.br/produto/vidro-temperado/" TargetMode="External"/><Relationship Id="rId11" Type="http://schemas.openxmlformats.org/officeDocument/2006/relationships/hyperlink" Target="https://site.pkodobrasil.com.br/produto/vidro-temperado/" TargetMode="External"/><Relationship Id="rId12" Type="http://schemas.openxmlformats.org/officeDocument/2006/relationships/hyperlink" Target="https://site.pkodobrasil.com.br/produto/vidro-temperado/" TargetMode="External"/><Relationship Id="rId13" Type="http://schemas.openxmlformats.org/officeDocument/2006/relationships/hyperlink" Target="https://site.pkodobrasil.com.br/produto/vidro-temperado/" TargetMode="External"/><Relationship Id="rId14" Type="http://schemas.openxmlformats.org/officeDocument/2006/relationships/hyperlink" Target="https://site.pkodobrasil.com.br/produto/vidro-temperado/" TargetMode="External"/><Relationship Id="rId15" Type="http://schemas.openxmlformats.org/officeDocument/2006/relationships/hyperlink" Target="https://site.pkodobrasil.com.br/produto/vidro-temperado/" TargetMode="External"/><Relationship Id="rId16" Type="http://schemas.openxmlformats.org/officeDocument/2006/relationships/hyperlink" Target="https://site.pkodobrasil.com.br/produto/vidro-temperado/" TargetMode="External"/><Relationship Id="rId17" Type="http://schemas.openxmlformats.org/officeDocument/2006/relationships/hyperlink" Target="https://site.pkodobrasil.com.br/produto/vidro-temperado/" TargetMode="External"/><Relationship Id="rId18" Type="http://schemas.openxmlformats.org/officeDocument/2006/relationships/hyperlink" Target="https://site.pkodobrasil.com.br/produto/vidro-temperado/" TargetMode="External"/><Relationship Id="rId19" Type="http://schemas.openxmlformats.org/officeDocument/2006/relationships/hyperlink" Target="https://site.pkodobrasil.com.br/produto/vidro-temperado/" TargetMode="External"/><Relationship Id="rId20" Type="http://schemas.openxmlformats.org/officeDocument/2006/relationships/hyperlink" Target="https://site.pkodobrasil.com.br/produto/vidro-temperado/" TargetMode="External"/><Relationship Id="rId21" Type="http://schemas.openxmlformats.org/officeDocument/2006/relationships/hyperlink" Target="https://site.pkodobrasil.com.br/produto/vidro-temperado/" TargetMode="External"/><Relationship Id="rId22" Type="http://schemas.openxmlformats.org/officeDocument/2006/relationships/hyperlink" Target="https://site.pkodobrasil.com.br/produto/vidro-temperado/" TargetMode="External"/><Relationship Id="rId23" Type="http://schemas.openxmlformats.org/officeDocument/2006/relationships/hyperlink" Target="https://site.pkodobrasil.com.br/produto/vidro-temperado/" TargetMode="External"/><Relationship Id="rId24" Type="http://schemas.openxmlformats.org/officeDocument/2006/relationships/hyperlink" Target="https://site.pkodobrasil.com.br/produto/vidro-temperado/" TargetMode="External"/><Relationship Id="rId25" Type="http://schemas.openxmlformats.org/officeDocument/2006/relationships/hyperlink" Target="https://site.pkodobrasil.com.br/produto/vidro-temperado/" TargetMode="External"/><Relationship Id="rId26" Type="http://schemas.openxmlformats.org/officeDocument/2006/relationships/hyperlink" Target="https://site.pkodobrasil.com.br/produto/vidro-temperado/" TargetMode="External"/><Relationship Id="rId27" Type="http://schemas.openxmlformats.org/officeDocument/2006/relationships/hyperlink" Target="https://site.pkodobrasil.com.br/produto/vidro-temperado/" TargetMode="External"/><Relationship Id="rId28" Type="http://schemas.openxmlformats.org/officeDocument/2006/relationships/hyperlink" Target="https://site.pkodobrasil.com.br/produto/vidro-temperado/" TargetMode="External"/><Relationship Id="rId29" Type="http://schemas.openxmlformats.org/officeDocument/2006/relationships/hyperlink" Target="https://site.pkodobrasil.com.br/produto/vidro-temperado/" TargetMode="External"/><Relationship Id="rId30" Type="http://schemas.openxmlformats.org/officeDocument/2006/relationships/hyperlink" Target="https://site.pkodobrasil.com.br/produto/vidro-temperado/" TargetMode="External"/><Relationship Id="rId31" Type="http://schemas.openxmlformats.org/officeDocument/2006/relationships/hyperlink" Target="https://site.pkodobrasil.com.br/produto/vidro-temperado/" TargetMode="External"/><Relationship Id="rId32" Type="http://schemas.openxmlformats.org/officeDocument/2006/relationships/hyperlink" Target="https://site.pkodobrasil.com.br/produto/vidro-temperado/" TargetMode="External"/><Relationship Id="rId33" Type="http://schemas.openxmlformats.org/officeDocument/2006/relationships/hyperlink" Target="https://site.pkodobrasil.com.br/produto/vidro-temperado/" TargetMode="External"/><Relationship Id="rId34" Type="http://schemas.openxmlformats.org/officeDocument/2006/relationships/hyperlink" Target="https://site.pkodobrasil.com.br/produto/vidro-temperado/" TargetMode="External"/><Relationship Id="rId35" Type="http://schemas.openxmlformats.org/officeDocument/2006/relationships/hyperlink" Target="https://site.pkodobrasil.com.br/produto/vidro-temperado/" TargetMode="External"/><Relationship Id="rId36" Type="http://schemas.openxmlformats.org/officeDocument/2006/relationships/hyperlink" Target="https://site.pkodobrasil.com.br/produto/vidro-temperado/" TargetMode="External"/><Relationship Id="rId37" Type="http://schemas.openxmlformats.org/officeDocument/2006/relationships/hyperlink" Target="https://site.pkodobrasil.com.br/produto/vidro-temperado/" TargetMode="External"/><Relationship Id="rId38" Type="http://schemas.openxmlformats.org/officeDocument/2006/relationships/hyperlink" Target="https://site.pkodobrasil.com.br/produto/vidro-temperado/" TargetMode="External"/><Relationship Id="rId39" Type="http://schemas.openxmlformats.org/officeDocument/2006/relationships/hyperlink" Target="https://site.pkodobrasil.com.br/produto/vidro-temperado/" TargetMode="External"/><Relationship Id="rId40" Type="http://schemas.openxmlformats.org/officeDocument/2006/relationships/hyperlink" Target="https://site.pkodobrasil.com.br/produto/vidro-temperado/" TargetMode="External"/><Relationship Id="rId41" Type="http://schemas.openxmlformats.org/officeDocument/2006/relationships/header" Target="header1.xml"/><Relationship Id="rId42" Type="http://schemas.openxmlformats.org/officeDocument/2006/relationships/header" Target="header2.xml"/><Relationship Id="rId43" Type="http://schemas.openxmlformats.org/officeDocument/2006/relationships/footer" Target="footer1.xml"/><Relationship Id="rId44" Type="http://schemas.openxmlformats.org/officeDocument/2006/relationships/footer" Target="footer2.xml"/><Relationship Id="rId45" Type="http://schemas.openxmlformats.org/officeDocument/2006/relationships/numbering" Target="numbering.xml"/><Relationship Id="rId46" Type="http://schemas.openxmlformats.org/officeDocument/2006/relationships/fontTable" Target="fontTable.xml"/><Relationship Id="rId47" Type="http://schemas.openxmlformats.org/officeDocument/2006/relationships/settings" Target="settings.xml"/><Relationship Id="rId48" Type="http://schemas.openxmlformats.org/officeDocument/2006/relationships/theme" Target="theme/theme1.xml"/><Relationship Id="rId49" Type="http://schemas.openxmlformats.org/officeDocument/2006/relationships/customXml" Target="../customXml/item1.xml"/><Relationship Id="rId50" Type="http://schemas.openxmlformats.org/officeDocument/2006/relationships/customXml" Target="../customXml/item2.xml"/><Relationship Id="rId51" Type="http://schemas.openxmlformats.org/officeDocument/2006/relationships/customXml" Target="../customXml/item3.xml"/><Relationship Id="rId52" Type="http://schemas.openxmlformats.org/officeDocument/2006/relationships/customXml" Target="../customXml/item4.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0ED5EA-B1F6-495E-8F62-059CE9401A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6FB793-2C3D-4CB1-8C15-F3AEF630321E}">
  <ds:schemaRefs>
    <ds:schemaRef ds:uri="http://schemas.openxmlformats.org/officeDocument/2006/bibliography"/>
  </ds:schemaRefs>
</ds:datastoreItem>
</file>

<file path=customXml/itemProps3.xml><?xml version="1.0" encoding="utf-8"?>
<ds:datastoreItem xmlns:ds="http://schemas.openxmlformats.org/officeDocument/2006/customXml" ds:itemID="{A150AF8D-FA7F-4421-83F2-1DEE7390EB09}">
  <ds:schemaRefs>
    <ds:schemaRef ds:uri="http://schemas.microsoft.com/sharepoint/v3/contenttype/forms"/>
  </ds:schemaRefs>
</ds:datastoreItem>
</file>

<file path=customXml/itemProps4.xml><?xml version="1.0" encoding="utf-8"?>
<ds:datastoreItem xmlns:ds="http://schemas.openxmlformats.org/officeDocument/2006/customXml" ds:itemID="{555A26F6-7F40-4494-B91A-4F9AE89683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1486</TotalTime>
  <Application>LibreOffice/6.0.2.1$Windows_X86_64 LibreOffice_project/f7f06a8f319e4b62f9bc5095aa112a65d2f3ac89</Application>
  <Pages>25</Pages>
  <Words>8350</Words>
  <Characters>46773</Characters>
  <CharactersWithSpaces>54806</CharactersWithSpaces>
  <Paragraphs>381</Paragraphs>
  <Company>EDUARDO DOTTI</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2021-04-06T18:57:00Z</dcterms:created>
  <dc:creator>Adriano</dc:creator>
  <dc:description/>
  <dc:language>pt-BR</dc:language>
  <cp:lastModifiedBy/>
  <cp:lastPrinted>2017-09-20T11:39:00Z</cp:lastPrinted>
  <dcterms:modified xsi:type="dcterms:W3CDTF">2022-12-22T09:13:06Z</dcterms:modified>
  <cp:revision>287</cp:revision>
  <dc:subject/>
  <dc:title>NOTAS EXPLICATIVAS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EDUARDO DOTTI</vt:lpwstr>
  </property>
  <property fmtid="{D5CDD505-2E9C-101B-9397-08002B2CF9AE}" pid="4" name="ContentTypeId">
    <vt:lpwstr>0x01010012A2765E7DFD38469B2E626874CD0041</vt:lpwstr>
  </property>
  <property fmtid="{D5CDD505-2E9C-101B-9397-08002B2CF9AE}" pid="5" name="DocSecurity">
    <vt:i4>0</vt:i4>
  </property>
  <property fmtid="{D5CDD505-2E9C-101B-9397-08002B2CF9AE}" pid="6" name="HyperlinksChanged">
    <vt:bool>0</vt:bool>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