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ascii="Arial" w:hAnsi="Arial" w:eastAsia="Times New Roman" w:cs="Arial"/>
          <w:bCs/>
          <w:color w:val="5B5B5F"/>
          <w:kern w:val="0"/>
          <w:sz w:val="28"/>
          <w:szCs w:val="28"/>
          <w:lang w:val="pt-BR" w:eastAsia="pt-BR" w:bidi="ar-SA"/>
        </w:rPr>
      </w:pPr>
      <w:r>
        <w:rPr>
          <w:rFonts w:eastAsia="Times New Roman" w:cs="Arial"/>
          <w:bCs/>
          <w:color w:val="5B5B5F"/>
          <w:kern w:val="0"/>
          <w:sz w:val="28"/>
          <w:szCs w:val="28"/>
          <w:lang w:val="pt-BR" w:eastAsia="pt-BR" w:bidi="ar-SA"/>
        </w:rPr>
        <w:t>48/2023</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4º BATALHÃO LOGÍSTICO - 4º B LOG(160410)</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rFonts w:ascii="Liberation Serif" w:hAnsi="Liberation Serif"/>
          <w:sz w:val="28"/>
          <w:szCs w:val="28"/>
        </w:rPr>
      </w:pPr>
      <w:r>
        <w:rPr>
          <w:rFonts w:eastAsia="WenQuanYi Micro Hei" w:cs="Arial" w:ascii="Liberation Serif" w:hAnsi="Liberation Serif"/>
          <w:color w:val="000000"/>
          <w:kern w:val="0"/>
          <w:sz w:val="28"/>
          <w:szCs w:val="28"/>
          <w:lang w:val="pt-BR" w:eastAsia="zh-CN" w:bidi="hi-IN"/>
        </w:rPr>
        <w:t xml:space="preserve">Contratação:  </w:t>
      </w:r>
      <w:r>
        <w:rPr>
          <w:rFonts w:eastAsia="WenQuanYi Micro Hei" w:cs="Arial" w:ascii="Liberation Serif" w:hAnsi="Liberation Serif"/>
          <w:color w:val="000000"/>
          <w:kern w:val="0"/>
          <w:sz w:val="24"/>
          <w:szCs w:val="24"/>
          <w:lang w:val="pt-BR" w:eastAsia="zh-CN" w:bidi="hi-IN"/>
        </w:rPr>
        <w:t>Serviço de confecção de apostilas com capa dura, encadernadas e com fornecimento de material para os cursos teóricos e serviço de confecção de placas adesivas com logotipos com fornecimento de material para instrução prática no aquartelamento, a fim de atender as demandas de formação de Quadro de Pessoal do CFC Verde Oliva em proveito  do 4º Batalhão Logístico e unidades apoiadas, conforme Requisição/Diex nº 218 – CFC/4º B Log, de 18Set23.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R$ 5.247,</w:t>
      </w:r>
      <w:r>
        <w:rPr>
          <w:rFonts w:cs="Arial"/>
          <w:b/>
          <w:bCs/>
          <w:color w:val="5B5B5F"/>
          <w:sz w:val="28"/>
          <w:szCs w:val="28"/>
        </w:rPr>
        <w:t>48</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pPr>
      <w:r>
        <w:rPr>
          <w:rFonts w:eastAsia="Times New Roman" w:cs="Arial"/>
          <w:b/>
          <w:bCs/>
          <w:color w:val="5B5B5F"/>
          <w:kern w:val="0"/>
          <w:sz w:val="28"/>
          <w:szCs w:val="28"/>
          <w:lang w:val="pt-BR" w:eastAsia="pt-BR" w:bidi="ar-SA"/>
        </w:rPr>
        <w:t>27</w:t>
      </w:r>
      <w:r>
        <w:rPr>
          <w:rFonts w:cs="Arial"/>
          <w:b/>
          <w:bCs/>
          <w:color w:val="5B5B5F"/>
          <w:sz w:val="28"/>
          <w:szCs w:val="28"/>
        </w:rPr>
        <w:t>/</w:t>
      </w:r>
      <w:r>
        <w:rPr>
          <w:rFonts w:eastAsia="Times New Roman" w:cs="Arial"/>
          <w:b/>
          <w:bCs/>
          <w:color w:val="5B5B5F"/>
          <w:kern w:val="0"/>
          <w:sz w:val="28"/>
          <w:szCs w:val="28"/>
          <w:lang w:val="pt-BR" w:eastAsia="pt-BR" w:bidi="ar-SA"/>
        </w:rPr>
        <w:t>09</w:t>
      </w:r>
      <w:r>
        <w:rPr>
          <w:rFonts w:cs="Arial"/>
          <w:b/>
          <w:bCs/>
          <w:color w:val="5B5B5F"/>
          <w:sz w:val="28"/>
          <w:szCs w:val="28"/>
        </w:rPr>
        <w:t>/2023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14h.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OCHeading"/>
            <w:ind w:firstLine="567"/>
            <w:rPr/>
          </w:pPr>
          <w:r>
            <w:rPr/>
            <w:t>Sumário</w:t>
          </w:r>
        </w:p>
        <w:p>
          <w:pPr>
            <w:pStyle w:val="Sumrio1"/>
            <w:tabs>
              <w:tab w:val="clear" w:pos="708"/>
              <w:tab w:val="left" w:pos="440" w:leader="none"/>
              <w:tab w:val="right" w:pos="8494" w:leader="dot"/>
            </w:tabs>
            <w:rPr/>
          </w:pPr>
          <w:r>
            <w:fldChar w:fldCharType="begin"/>
          </w:r>
          <w:r>
            <w:rPr>
              <w:webHidden/>
              <w:rStyle w:val="Vnculodendice"/>
              <w:vanish w:val="false"/>
              <w:rFonts w:eastAsia="Arial Unicode MS"/>
              <w:lang w:bidi="hi-IN"/>
            </w:rPr>
            <w:instrText> TOC \z \o "1-3" \u \h</w:instrText>
          </w:r>
          <w:r>
            <w:rPr>
              <w:webHidden/>
              <w:rStyle w:val="Vnculodendice"/>
              <w:vanish w:val="false"/>
              <w:rFonts w:eastAsia="Arial Unicode MS"/>
              <w:lang w:bidi="hi-IN"/>
            </w:rPr>
            <w:fldChar w:fldCharType="separate"/>
          </w:r>
          <w:hyperlink w:anchor="_Toc118380899">
            <w:r>
              <w:rPr>
                <w:webHidden/>
                <w:rStyle w:val="Vnculodendice"/>
                <w:rFonts w:eastAsia="Arial Unicode MS"/>
                <w:vanish w:val="false"/>
                <w:lang w:bidi="hi-IN"/>
              </w:rPr>
              <w:t>1.</w:t>
            </w:r>
            <w:r>
              <w:rPr>
                <w:rStyle w:val="Vnculodendice"/>
              </w:rPr>
              <w:tab/>
            </w:r>
            <w:r>
              <w:rPr>
                <w:rStyle w:val="Vnculodendice"/>
                <w:rFonts w:eastAsia="Arial Unicode MS"/>
                <w:lang w:bidi="hi-IN"/>
              </w:rPr>
              <w:t>OBJETO DA CONTRATAÇÃO DIRETA</w:t>
            </w:r>
            <w:r>
              <w:rPr>
                <w:webHidden/>
              </w:rPr>
              <w:fldChar w:fldCharType="begin"/>
            </w:r>
            <w:r>
              <w:rPr>
                <w:webHidden/>
              </w:rPr>
              <w:instrText>PAGEREF _Toc118380899 \h</w:instrText>
            </w:r>
            <w:r>
              <w:rPr>
                <w:webHidden/>
              </w:rPr>
              <w:fldChar w:fldCharType="separate"/>
            </w:r>
            <w:r>
              <w:rPr>
                <w:rStyle w:val="Vnculodendice"/>
                <w:vanish w:val="false"/>
              </w:rPr>
              <w:tab/>
              <w:t>3</w:t>
            </w:r>
            <w:r>
              <w:rPr>
                <w:webHidden/>
              </w:rPr>
              <w:fldChar w:fldCharType="end"/>
            </w:r>
          </w:hyperlink>
        </w:p>
        <w:p>
          <w:pPr>
            <w:pStyle w:val="Sumrio1"/>
            <w:tabs>
              <w:tab w:val="clear" w:pos="708"/>
              <w:tab w:val="left" w:pos="440" w:leader="none"/>
              <w:tab w:val="right" w:pos="8494" w:leader="dot"/>
            </w:tabs>
            <w:rPr/>
          </w:pPr>
          <w:hyperlink w:anchor="_Toc118380900">
            <w:r>
              <w:rPr>
                <w:webHidden/>
                <w:rStyle w:val="Vnculodendice"/>
                <w:rFonts w:eastAsia="Arial Unicode MS"/>
                <w:vanish w:val="false"/>
                <w:lang w:bidi="hi-IN"/>
              </w:rPr>
              <w:t>2.</w:t>
            </w:r>
            <w:r>
              <w:rPr>
                <w:rStyle w:val="Vnculodendice"/>
              </w:rPr>
              <w:tab/>
            </w:r>
            <w:r>
              <w:rPr>
                <w:rStyle w:val="Vnculodendice"/>
                <w:rFonts w:eastAsia="Arial Unicode MS"/>
                <w:lang w:bidi="hi-IN"/>
              </w:rPr>
              <w:t>PARTICIPAÇÃO NA DISPENSA ELETRÔNICA.</w:t>
            </w:r>
            <w:r>
              <w:rPr>
                <w:rStyle w:val="Vnculodendice"/>
                <w:vanish w:val="false"/>
              </w:rPr>
              <w:tab/>
            </w:r>
          </w:hyperlink>
          <w:r>
            <w:rPr>
              <w:vanish w:val="false"/>
            </w:rPr>
            <w:t>5</w:t>
          </w:r>
        </w:p>
        <w:p>
          <w:pPr>
            <w:pStyle w:val="Sumrio1"/>
            <w:tabs>
              <w:tab w:val="clear" w:pos="708"/>
              <w:tab w:val="left" w:pos="440" w:leader="none"/>
              <w:tab w:val="right" w:pos="8494" w:leader="dot"/>
            </w:tabs>
            <w:rPr/>
          </w:pPr>
          <w:hyperlink w:anchor="_Toc118380901">
            <w:r>
              <w:rPr>
                <w:webHidden/>
                <w:rStyle w:val="Vnculodendice"/>
                <w:rFonts w:eastAsia="Arial Unicode MS"/>
                <w:vanish w:val="false"/>
                <w:lang w:bidi="hi-IN"/>
              </w:rPr>
              <w:t>3.</w:t>
            </w:r>
            <w:r>
              <w:rPr>
                <w:rStyle w:val="Vnculodendice"/>
              </w:rPr>
              <w:tab/>
            </w:r>
            <w:r>
              <w:rPr>
                <w:rStyle w:val="Vnculodendice"/>
                <w:rFonts w:eastAsia="Arial Unicode MS"/>
                <w:lang w:bidi="hi-IN"/>
              </w:rPr>
              <w:t>INGRESSO NA DISPENSA ELETRÔNICA E CADASTRAMENTO DA PROPOSTA INICIAL</w:t>
            </w:r>
            <w:r>
              <w:rPr>
                <w:rStyle w:val="Vnculodendice"/>
                <w:vanish w:val="false"/>
              </w:rPr>
              <w:tab/>
            </w:r>
          </w:hyperlink>
          <w:r>
            <w:rPr>
              <w:vanish w:val="false"/>
            </w:rPr>
            <w:t>6</w:t>
          </w:r>
        </w:p>
        <w:p>
          <w:pPr>
            <w:pStyle w:val="Sumrio1"/>
            <w:tabs>
              <w:tab w:val="clear" w:pos="708"/>
              <w:tab w:val="left" w:pos="440" w:leader="none"/>
              <w:tab w:val="right" w:pos="8494" w:leader="dot"/>
            </w:tabs>
            <w:rPr/>
          </w:pPr>
          <w:hyperlink w:anchor="_Toc118380902">
            <w:r>
              <w:rPr>
                <w:webHidden/>
                <w:rStyle w:val="Vnculodendice"/>
                <w:rFonts w:eastAsia="Arial Unicode MS"/>
                <w:vanish w:val="false"/>
                <w:lang w:bidi="hi-IN"/>
              </w:rPr>
              <w:t>4.</w:t>
            </w:r>
            <w:r>
              <w:rPr>
                <w:rStyle w:val="Vnculodendice"/>
              </w:rPr>
              <w:tab/>
            </w:r>
            <w:r>
              <w:rPr>
                <w:rStyle w:val="Vnculodendice"/>
                <w:rFonts w:eastAsia="Arial Unicode MS"/>
                <w:lang w:bidi="hi-IN"/>
              </w:rPr>
              <w:t>FASE DE LANCES</w:t>
            </w:r>
            <w:r>
              <w:rPr>
                <w:rStyle w:val="Vnculodendice"/>
                <w:vanish w:val="false"/>
              </w:rPr>
              <w:tab/>
            </w:r>
          </w:hyperlink>
          <w:r>
            <w:rPr>
              <w:vanish w:val="false"/>
            </w:rPr>
            <w:t>8</w:t>
          </w:r>
        </w:p>
        <w:p>
          <w:pPr>
            <w:pStyle w:val="Sumrio1"/>
            <w:tabs>
              <w:tab w:val="clear" w:pos="708"/>
              <w:tab w:val="left" w:pos="440" w:leader="none"/>
              <w:tab w:val="right" w:pos="8494" w:leader="dot"/>
            </w:tabs>
            <w:rPr/>
          </w:pPr>
          <w:hyperlink w:anchor="_Toc118380903">
            <w:r>
              <w:rPr>
                <w:webHidden/>
                <w:rStyle w:val="Vnculodendice"/>
                <w:rFonts w:eastAsia="Arial Unicode MS"/>
                <w:vanish w:val="false"/>
                <w:lang w:bidi="hi-IN"/>
              </w:rPr>
              <w:t>5.</w:t>
            </w:r>
            <w:r>
              <w:rPr>
                <w:rStyle w:val="Vnculodendice"/>
              </w:rPr>
              <w:tab/>
            </w:r>
            <w:r>
              <w:rPr>
                <w:rStyle w:val="Vnculodendice"/>
                <w:rFonts w:eastAsia="Arial Unicode MS"/>
                <w:lang w:bidi="hi-IN"/>
              </w:rPr>
              <w:t>JULGAMENTO DAS PROPOSTAS DE PREÇO</w:t>
            </w:r>
            <w:r>
              <w:rPr>
                <w:rStyle w:val="Vnculodendice"/>
                <w:vanish w:val="false"/>
              </w:rPr>
              <w:tab/>
            </w:r>
          </w:hyperlink>
          <w:r>
            <w:rPr>
              <w:vanish w:val="false"/>
            </w:rPr>
            <w:t>8</w:t>
          </w:r>
        </w:p>
        <w:p>
          <w:pPr>
            <w:pStyle w:val="Sumrio1"/>
            <w:tabs>
              <w:tab w:val="clear" w:pos="708"/>
              <w:tab w:val="left" w:pos="440" w:leader="none"/>
              <w:tab w:val="right" w:pos="8494" w:leader="dot"/>
            </w:tabs>
            <w:rPr/>
          </w:pPr>
          <w:hyperlink w:anchor="_Toc118380904">
            <w:r>
              <w:rPr>
                <w:webHidden/>
                <w:rStyle w:val="Vnculodendice"/>
                <w:rFonts w:eastAsia="Arial Unicode MS"/>
                <w:vanish w:val="false"/>
                <w:lang w:bidi="hi-IN"/>
              </w:rPr>
              <w:t>6.</w:t>
            </w:r>
            <w:r>
              <w:rPr>
                <w:rStyle w:val="Vnculodendice"/>
              </w:rPr>
              <w:tab/>
            </w:r>
            <w:r>
              <w:rPr>
                <w:rStyle w:val="Vnculodendice"/>
                <w:rFonts w:eastAsia="Arial Unicode MS"/>
                <w:lang w:bidi="hi-IN"/>
              </w:rPr>
              <w:t>HABILITAÇÃO</w:t>
            </w:r>
            <w:r>
              <w:rPr>
                <w:rStyle w:val="Vnculodendice"/>
                <w:vanish w:val="false"/>
              </w:rPr>
              <w:tab/>
            </w:r>
          </w:hyperlink>
          <w:r>
            <w:rPr>
              <w:vanish w:val="false"/>
            </w:rPr>
            <w:t>10</w:t>
          </w:r>
        </w:p>
        <w:p>
          <w:pPr>
            <w:pStyle w:val="Sumrio1"/>
            <w:tabs>
              <w:tab w:val="clear" w:pos="708"/>
              <w:tab w:val="left" w:pos="440" w:leader="none"/>
              <w:tab w:val="right" w:pos="8494" w:leader="dot"/>
            </w:tabs>
            <w:rPr/>
          </w:pPr>
          <w:hyperlink w:anchor="_Toc118380905">
            <w:r>
              <w:rPr>
                <w:webHidden/>
                <w:rStyle w:val="Vnculodendice"/>
                <w:rFonts w:eastAsia="Arial Unicode MS"/>
                <w:vanish w:val="false"/>
                <w:lang w:bidi="hi-IN"/>
              </w:rPr>
              <w:t>7.</w:t>
            </w:r>
            <w:r>
              <w:rPr>
                <w:rStyle w:val="Vnculodendice"/>
              </w:rPr>
              <w:tab/>
            </w:r>
            <w:r>
              <w:rPr>
                <w:rStyle w:val="Vnculodendice"/>
                <w:rFonts w:eastAsia="Arial Unicode MS"/>
                <w:lang w:bidi="hi-IN"/>
              </w:rPr>
              <w:t>CONTRATAÇÃO</w:t>
            </w:r>
            <w:r>
              <w:rPr>
                <w:webHidden/>
              </w:rPr>
              <w:fldChar w:fldCharType="begin"/>
            </w:r>
            <w:r>
              <w:rPr>
                <w:webHidden/>
              </w:rPr>
              <w:instrText>PAGEREF _Toc118380905 \h</w:instrText>
            </w:r>
            <w:r>
              <w:rPr>
                <w:webHidden/>
              </w:rPr>
              <w:fldChar w:fldCharType="separate"/>
            </w:r>
            <w:r>
              <w:rPr>
                <w:rStyle w:val="Vnculodendice"/>
                <w:vanish w:val="false"/>
              </w:rPr>
              <w:tab/>
              <w:t>11</w:t>
            </w:r>
            <w:r>
              <w:rPr>
                <w:webHidden/>
              </w:rPr>
              <w:fldChar w:fldCharType="end"/>
            </w:r>
          </w:hyperlink>
        </w:p>
        <w:p>
          <w:pPr>
            <w:pStyle w:val="Sumrio1"/>
            <w:tabs>
              <w:tab w:val="clear" w:pos="708"/>
              <w:tab w:val="left" w:pos="440" w:leader="none"/>
              <w:tab w:val="right" w:pos="8494" w:leader="dot"/>
            </w:tabs>
            <w:rPr/>
          </w:pPr>
          <w:hyperlink w:anchor="_Toc118380906">
            <w:r>
              <w:rPr>
                <w:webHidden/>
                <w:rStyle w:val="Vnculodendice"/>
                <w:rFonts w:eastAsia="Arial Unicode MS"/>
                <w:vanish w:val="false"/>
                <w:lang w:bidi="hi-IN"/>
              </w:rPr>
              <w:t>8.</w:t>
            </w:r>
            <w:r>
              <w:rPr>
                <w:rStyle w:val="Vnculodendice"/>
              </w:rPr>
              <w:tab/>
            </w:r>
            <w:r>
              <w:rPr>
                <w:rStyle w:val="Vnculodendice"/>
                <w:rFonts w:eastAsia="Arial Unicode MS"/>
                <w:lang w:bidi="hi-IN"/>
              </w:rPr>
              <w:t>INFRAÇÕES E SANÇÕES ADMINISTRATIVAS</w:t>
            </w:r>
            <w:r>
              <w:rPr>
                <w:rStyle w:val="Vnculodendice"/>
                <w:vanish w:val="false"/>
              </w:rPr>
              <w:tab/>
              <w:t>1</w:t>
            </w:r>
          </w:hyperlink>
          <w:r>
            <w:rPr>
              <w:vanish w:val="false"/>
            </w:rPr>
            <w:t>2</w:t>
          </w:r>
        </w:p>
        <w:p>
          <w:pPr>
            <w:pStyle w:val="Sumrio1"/>
            <w:tabs>
              <w:tab w:val="clear" w:pos="708"/>
              <w:tab w:val="left" w:pos="440" w:leader="none"/>
              <w:tab w:val="right" w:pos="8494" w:leader="dot"/>
            </w:tabs>
            <w:rPr/>
          </w:pPr>
          <w:hyperlink w:anchor="_Toc118380907">
            <w:r>
              <w:rPr>
                <w:webHidden/>
                <w:rStyle w:val="Vnculodendice"/>
                <w:rFonts w:eastAsia="Arial Unicode MS"/>
                <w:vanish w:val="false"/>
                <w:lang w:bidi="hi-IN"/>
              </w:rPr>
              <w:t>9.</w:t>
            </w:r>
            <w:r>
              <w:rPr>
                <w:rStyle w:val="Vnculodendice"/>
              </w:rPr>
              <w:tab/>
            </w:r>
            <w:r>
              <w:rPr>
                <w:rStyle w:val="Vnculodendice"/>
                <w:rFonts w:eastAsia="Arial Unicode MS"/>
                <w:lang w:bidi="hi-IN"/>
              </w:rPr>
              <w:t>DAS DISPOSIÇÕES GERAIS</w:t>
            </w:r>
            <w:r>
              <w:rPr>
                <w:rStyle w:val="Vnculodendice"/>
                <w:vanish w:val="false"/>
              </w:rPr>
              <w:tab/>
              <w:t>1</w:t>
            </w:r>
          </w:hyperlink>
          <w:r>
            <w:rPr>
              <w:vanish w:val="false"/>
            </w:rPr>
            <w:t>4</w:t>
          </w:r>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drawing>
          <wp:anchor behindDoc="0" distT="0" distB="0" distL="0" distR="0" simplePos="0" locked="0" layoutInCell="1" allowOverlap="1" relativeHeight="3">
            <wp:simplePos x="0" y="0"/>
            <wp:positionH relativeFrom="character">
              <wp:posOffset>-424180</wp:posOffset>
            </wp:positionH>
            <wp:positionV relativeFrom="paragraph">
              <wp:posOffset>-9525</wp:posOffset>
            </wp:positionV>
            <wp:extent cx="848995" cy="759460"/>
            <wp:effectExtent l="0" t="0" r="0" b="0"/>
            <wp:wrapNone/>
            <wp:docPr id="1" name="Figura2"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A description..."/>
                    <pic:cNvPicPr>
                      <a:picLocks noChangeAspect="1" noChangeArrowheads="1"/>
                    </pic:cNvPicPr>
                  </pic:nvPicPr>
                  <pic:blipFill>
                    <a:blip r:embed="rId2"/>
                    <a:stretch>
                      <a:fillRect/>
                    </a:stretch>
                  </pic:blipFill>
                  <pic:spPr bwMode="auto">
                    <a:xfrm>
                      <a:off x="0" y="0"/>
                      <a:ext cx="848995" cy="759460"/>
                    </a:xfrm>
                    <a:prstGeom prst="rect">
                      <a:avLst/>
                    </a:prstGeom>
                  </pic:spPr>
                </pic:pic>
              </a:graphicData>
            </a:graphic>
          </wp:anchor>
        </w:drawing>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r>
    </w:p>
    <w:p>
      <w:pPr>
        <w:pStyle w:val="Padro1"/>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MINISTÉRIO DA DEFESA</w:t>
      </w:r>
    </w:p>
    <w:p>
      <w:pPr>
        <w:pStyle w:val="Padro1"/>
        <w:spacing w:before="0" w:after="0"/>
        <w:ind w:left="0" w:right="0" w:hanging="0"/>
        <w:jc w:val="center"/>
        <w:rPr>
          <w:b/>
          <w:b/>
          <w:bCs/>
          <w:sz w:val="20"/>
          <w:szCs w:val="20"/>
        </w:rPr>
      </w:pPr>
      <w:r>
        <w:rPr>
          <w:b/>
          <w:bCs/>
          <w:sz w:val="20"/>
          <w:szCs w:val="20"/>
        </w:rPr>
        <w:t>EXÉRCITO BRASILEIRO</w:t>
      </w:r>
    </w:p>
    <w:p>
      <w:pPr>
        <w:pStyle w:val="Padro1"/>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4º BATALHÃO LOGÍSTICO</w:t>
      </w:r>
    </w:p>
    <w:p>
      <w:pPr>
        <w:pStyle w:val="Padro1"/>
        <w:widowControl/>
        <w:overflowPunct w:val="true"/>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(NU 4ª Cia Esp Mnt /1944)</w:t>
      </w:r>
    </w:p>
    <w:p>
      <w:pPr>
        <w:pStyle w:val="Padro1"/>
        <w:widowControl/>
        <w:overflowPunct w:val="true"/>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 xml:space="preserve">“ </w:t>
      </w:r>
      <w:r>
        <w:rPr>
          <w:rFonts w:eastAsia="Times New Roman" w:cs="Times New Roman"/>
          <w:b/>
          <w:bCs/>
          <w:i w:val="false"/>
          <w:iCs w:val="false"/>
          <w:color w:val="00000A"/>
          <w:sz w:val="20"/>
          <w:szCs w:val="20"/>
          <w:u w:val="none"/>
          <w:lang w:val="pt-BR" w:eastAsia="pt-BR" w:bidi="ar-SA"/>
        </w:rPr>
        <w:t>BATALHÃO CAPITÃO CIRILO COSTABEBER”</w:t>
      </w:r>
    </w:p>
    <w:p>
      <w:pPr>
        <w:pStyle w:val="Padro1"/>
        <w:widowControl/>
        <w:overflowPunct w:val="true"/>
        <w:ind w:left="-1134" w:right="-1134" w:hanging="0"/>
        <w:jc w:val="center"/>
        <w:rPr>
          <w:rFonts w:ascii="Times New Roman" w:hAnsi="Times New Roman" w:eastAsia="Times New Roman" w:cs="Times New Roman"/>
          <w:b w:val="false"/>
          <w:b w:val="false"/>
          <w:bCs w:val="false"/>
          <w:i w:val="false"/>
          <w:i w:val="false"/>
          <w:iCs w:val="false"/>
          <w:color w:val="00000A"/>
          <w:kern w:val="0"/>
          <w:sz w:val="20"/>
          <w:szCs w:val="20"/>
          <w:u w:val="none"/>
          <w:lang w:val="pt-BR" w:eastAsia="pt-BR" w:bidi="ar-SA"/>
        </w:rPr>
      </w:pPr>
      <w:bookmarkStart w:id="0" w:name="cabecalho11"/>
      <w:bookmarkEnd w:id="0"/>
      <w:r>
        <w:rPr>
          <w:rFonts w:eastAsia="Times New Roman" w:cs="Times New Roman"/>
          <w:b w:val="false"/>
          <w:bCs w:val="false"/>
          <w:i w:val="false"/>
          <w:iCs w:val="false"/>
          <w:color w:val="00000A"/>
          <w:kern w:val="0"/>
          <w:sz w:val="20"/>
          <w:szCs w:val="20"/>
          <w:u w:val="none"/>
          <w:lang w:val="pt-BR" w:eastAsia="pt-BR" w:bidi="ar-SA"/>
        </w:rPr>
        <w:t>AV. DO EXÉRCITO, SN – BOI MORTO – SANTA MARIA – RS – CEP 97030 – 110</w:t>
      </w:r>
    </w:p>
    <w:p>
      <w:pPr>
        <w:pStyle w:val="Padro1"/>
        <w:widowControl/>
        <w:overflowPunct w:val="true"/>
        <w:bidi w:val="0"/>
        <w:spacing w:lineRule="exact" w:line="240" w:before="0" w:after="0"/>
        <w:ind w:left="-1134" w:right="-1134" w:hanging="0"/>
        <w:contextualSpacing/>
        <w:jc w:val="center"/>
        <w:rPr>
          <w:rFonts w:cs="Arial"/>
          <w:b/>
          <w:b/>
          <w:bCs/>
          <w:i/>
          <w:i/>
          <w:iCs/>
          <w:color w:val="FF0000"/>
          <w:szCs w:val="20"/>
        </w:rPr>
      </w:pPr>
      <w:r>
        <w:rPr>
          <w:rFonts w:eastAsia="Times New Roman" w:cs="Times New Roman"/>
          <w:b w:val="false"/>
          <w:bCs w:val="false"/>
          <w:i w:val="false"/>
          <w:iCs w:val="false"/>
          <w:color w:val="00000A"/>
          <w:kern w:val="0"/>
          <w:sz w:val="20"/>
          <w:szCs w:val="20"/>
          <w:u w:val="none"/>
          <w:lang w:val="pt-BR" w:eastAsia="pt-BR" w:bidi="ar-SA"/>
        </w:rPr>
        <w:t>FONE:</w:t>
      </w:r>
      <w:bookmarkStart w:id="1" w:name="__DdeLink__251_7511086711"/>
      <w:r>
        <w:rPr>
          <w:rFonts w:eastAsia="Times New Roman" w:cs="Times New Roman"/>
          <w:b w:val="false"/>
          <w:bCs w:val="false"/>
          <w:i w:val="false"/>
          <w:iCs w:val="false"/>
          <w:color w:val="00000A"/>
          <w:kern w:val="0"/>
          <w:sz w:val="20"/>
          <w:szCs w:val="20"/>
          <w:u w:val="none"/>
          <w:lang w:val="pt-BR" w:eastAsia="pt-BR" w:bidi="ar-SA"/>
        </w:rPr>
        <w:t xml:space="preserve"> (55)</w:t>
      </w:r>
      <w:bookmarkEnd w:id="1"/>
      <w:r>
        <w:rPr>
          <w:rFonts w:eastAsia="Times New Roman" w:cs="Times New Roman"/>
          <w:b w:val="false"/>
          <w:bCs w:val="false"/>
          <w:i w:val="false"/>
          <w:iCs w:val="false"/>
          <w:color w:val="00000A"/>
          <w:kern w:val="0"/>
          <w:sz w:val="20"/>
          <w:szCs w:val="20"/>
          <w:u w:val="none"/>
          <w:lang w:val="pt-BR" w:eastAsia="pt-BR" w:bidi="ar-SA"/>
        </w:rPr>
        <w:t xml:space="preserve"> 3112 – 0264 ou (55) 3112 – 0265</w:t>
      </w:r>
    </w:p>
    <w:p>
      <w:pPr>
        <w:pStyle w:val="Padro1"/>
        <w:widowControl/>
        <w:overflowPunct w:val="true"/>
        <w:bidi w:val="0"/>
        <w:spacing w:lineRule="exact" w:line="240" w:before="0" w:after="0"/>
        <w:ind w:left="-1134" w:right="-1134" w:hanging="0"/>
        <w:contextualSpacing/>
        <w:jc w:val="center"/>
        <w:rPr>
          <w:rFonts w:cs="Arial"/>
          <w:b/>
          <w:b/>
          <w:bCs/>
          <w:i/>
          <w:i/>
          <w:iCs/>
          <w:color w:val="FF0000"/>
          <w:szCs w:val="20"/>
        </w:rPr>
      </w:pPr>
      <w:r>
        <w:rPr>
          <w:rFonts w:cs="Arial"/>
          <w:b/>
          <w:bCs/>
          <w:i/>
          <w:iCs/>
          <w:color w:val="FF0000"/>
          <w:szCs w:val="20"/>
        </w:rPr>
      </w:r>
    </w:p>
    <w:p>
      <w:pPr>
        <w:pStyle w:val="Normal"/>
        <w:jc w:val="center"/>
        <w:rPr/>
      </w:pPr>
      <w:r>
        <w:rPr>
          <w:rFonts w:cs="Arial"/>
          <w:b/>
          <w:bCs/>
          <w:color w:val="000000" w:themeColor="text1"/>
          <w:szCs w:val="20"/>
        </w:rPr>
        <w:t xml:space="preserve">AVISO DE CONTRATAÇÃO DIRETA   Nº </w:t>
      </w:r>
      <w:r>
        <w:rPr>
          <w:rFonts w:eastAsia="Times New Roman" w:cs="Arial"/>
          <w:b/>
          <w:bCs/>
          <w:color w:val="000000" w:themeColor="text1"/>
          <w:kern w:val="0"/>
          <w:sz w:val="20"/>
          <w:szCs w:val="20"/>
          <w:lang w:val="pt-BR" w:eastAsia="pt-BR" w:bidi="ar-SA"/>
        </w:rPr>
        <w:t>48</w:t>
      </w:r>
      <w:r>
        <w:rPr>
          <w:rFonts w:eastAsia="Times New Roman" w:cs="Arial"/>
          <w:b/>
          <w:bCs/>
          <w:color w:val="000000" w:themeColor="text1"/>
          <w:sz w:val="20"/>
          <w:szCs w:val="20"/>
          <w:lang w:eastAsia="pt-BR"/>
        </w:rPr>
        <w:t>/2023</w:t>
      </w:r>
    </w:p>
    <w:p>
      <w:pPr>
        <w:pStyle w:val="Normal"/>
        <w:jc w:val="center"/>
        <w:rPr/>
      </w:pPr>
      <w:r>
        <w:rPr>
          <w:rFonts w:eastAsia="Times New Roman" w:cs="Arial"/>
          <w:b/>
          <w:bCs/>
          <w:color w:val="000000" w:themeColor="text1"/>
          <w:sz w:val="20"/>
          <w:szCs w:val="20"/>
          <w:lang w:eastAsia="pt-BR"/>
        </w:rPr>
        <w:t>(Processo Administrativo n.° 64127.007067/2023-26)</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r>
        <w:rPr>
          <w:rFonts w:cs="Arial"/>
          <w:color w:val="000000" w:themeColor="text1"/>
          <w:szCs w:val="20"/>
        </w:rPr>
        <w:t>Torna-se público que o(a)</w:t>
      </w:r>
      <w:r>
        <w:rPr>
          <w:rFonts w:eastAsia="Arial" w:cs="Arial"/>
          <w:color w:val="000000" w:themeColor="text1"/>
          <w:szCs w:val="20"/>
        </w:rPr>
        <w:t xml:space="preserve"> Comando do Exército Brasileiro</w:t>
      </w:r>
      <w:r>
        <w:rPr>
          <w:rFonts w:cs="Arial"/>
          <w:color w:val="000000" w:themeColor="text1"/>
          <w:szCs w:val="20"/>
        </w:rPr>
        <w:t>, por meio do(a)</w:t>
      </w:r>
      <w:r>
        <w:rPr>
          <w:rFonts w:eastAsia="Arial" w:cs="Arial"/>
          <w:color w:val="000000" w:themeColor="text1"/>
          <w:szCs w:val="20"/>
        </w:rPr>
        <w:t xml:space="preserve"> Seção de Aquisições, Licitações e Contratos do 4º Batalhão Logístico, sediado na Avenida Capitão Vasco da Cunha, s/nº, Bairro Boi Morto, CEP: 97030-110, Santa Maria, RS, realizará </w:t>
      </w:r>
      <w:r>
        <w:rPr>
          <w:rFonts w:cs="Arial"/>
          <w:color w:val="000000" w:themeColor="text1"/>
          <w:szCs w:val="20"/>
        </w:rPr>
        <w:t xml:space="preserve">Dispensa Eletrônica, </w:t>
      </w:r>
      <w:r>
        <w:rPr>
          <w:rFonts w:cs="Arial"/>
          <w:bCs/>
          <w:color w:val="000000" w:themeColor="text1"/>
          <w:szCs w:val="20"/>
        </w:rPr>
        <w:t xml:space="preserve">com critério de julgamento </w:t>
      </w:r>
      <w:r>
        <w:rPr>
          <w:rFonts w:cs="Arial"/>
          <w:b/>
          <w:bCs/>
          <w:color w:val="000000" w:themeColor="text1"/>
          <w:szCs w:val="20"/>
        </w:rPr>
        <w:t>MENOR PREÇO,</w:t>
      </w:r>
      <w:r>
        <w:rPr>
          <w:rFonts w:cs="Arial"/>
          <w:b/>
          <w:bCs/>
          <w:i/>
          <w:color w:val="FF0000"/>
          <w:szCs w:val="20"/>
        </w:rPr>
        <w:t xml:space="preserve"> </w:t>
      </w:r>
      <w:r>
        <w:rPr>
          <w:rFonts w:cs="Arial"/>
          <w:color w:val="000000" w:themeColor="text1"/>
          <w:szCs w:val="20"/>
        </w:rPr>
        <w:t xml:space="preserve">na hipótese do </w:t>
      </w:r>
      <w:r>
        <w:fldChar w:fldCharType="begin"/>
      </w:r>
      <w:r>
        <w:rPr>
          <w:rStyle w:val="LinkdaInternet"/>
          <w:szCs w:val="20"/>
          <w:rFonts w:cs="Arial"/>
        </w:rPr>
        <w:instrText> HYPERLINK "http://www.planalto.gov.br/ccivil_03/_ato2019-2022/2021/lei/L14133.htm" \l "art75"</w:instrText>
      </w:r>
      <w:r>
        <w:rPr>
          <w:rStyle w:val="LinkdaInternet"/>
          <w:szCs w:val="20"/>
          <w:rFonts w:cs="Arial"/>
        </w:rPr>
        <w:fldChar w:fldCharType="separate"/>
      </w:r>
      <w:r>
        <w:rPr>
          <w:rStyle w:val="LinkdaInternet"/>
          <w:rFonts w:cs="Arial"/>
          <w:szCs w:val="20"/>
        </w:rPr>
        <w:t>art. 75</w:t>
      </w:r>
      <w:r>
        <w:rPr>
          <w:rStyle w:val="LinkdaInternet"/>
          <w:szCs w:val="20"/>
          <w:rFonts w:cs="Arial"/>
        </w:rPr>
        <w:fldChar w:fldCharType="end"/>
      </w:r>
      <w:r>
        <w:rPr>
          <w:rFonts w:cs="Arial"/>
          <w:i/>
          <w:iCs/>
          <w:color w:val="000000" w:themeColor="text1"/>
          <w:szCs w:val="20"/>
        </w:rPr>
        <w:t>, inciso</w:t>
      </w:r>
      <w:r>
        <w:rPr>
          <w:rFonts w:cs="Arial"/>
          <w:i/>
          <w:iCs/>
          <w:color w:val="auto"/>
          <w:szCs w:val="20"/>
        </w:rPr>
        <w:t xml:space="preserve"> </w:t>
      </w:r>
      <w:r>
        <w:rPr>
          <w:rFonts w:eastAsia="Times New Roman" w:cs="Arial"/>
          <w:i/>
          <w:iCs/>
          <w:color w:val="auto"/>
          <w:kern w:val="0"/>
          <w:sz w:val="20"/>
          <w:szCs w:val="20"/>
          <w:lang w:val="pt-BR" w:eastAsia="pt-BR" w:bidi="ar-SA"/>
        </w:rPr>
        <w:t>II</w:t>
      </w:r>
      <w:r>
        <w:rPr>
          <w:rFonts w:cs="Arial"/>
          <w:bCs/>
          <w:i/>
          <w:iCs/>
          <w:color w:val="auto"/>
          <w:szCs w:val="20"/>
        </w:rPr>
        <w:t>,</w:t>
      </w:r>
      <w:r>
        <w:rPr>
          <w:rFonts w:cs="Arial"/>
          <w:bCs/>
          <w:i/>
          <w:iCs/>
          <w:color w:val="FF0000"/>
          <w:szCs w:val="20"/>
        </w:rPr>
        <w:t xml:space="preserve"> </w:t>
      </w:r>
      <w:r>
        <w:rPr>
          <w:rFonts w:cs="Arial"/>
          <w:color w:val="FF0000"/>
          <w:szCs w:val="20"/>
        </w:rPr>
        <w:t xml:space="preserve"> </w:t>
      </w:r>
      <w:r>
        <w:rPr>
          <w:rFonts w:cs="Arial"/>
          <w:bCs/>
          <w:color w:val="000000"/>
          <w:szCs w:val="20"/>
        </w:rPr>
        <w:t xml:space="preserve">nos termos da </w:t>
      </w:r>
      <w:hyperlink r:id="rId3">
        <w:r>
          <w:rPr>
            <w:rStyle w:val="LinkdaInternet"/>
            <w:rFonts w:cs="Arial"/>
            <w:bCs/>
            <w:szCs w:val="20"/>
          </w:rPr>
          <w:t>Lei n.º 14.133, de 1º de abril de 2021</w:t>
        </w:r>
      </w:hyperlink>
      <w:r>
        <w:rPr>
          <w:rFonts w:cs="Arial"/>
          <w:bCs/>
          <w:color w:val="000000"/>
          <w:szCs w:val="20"/>
        </w:rPr>
        <w:t xml:space="preserve">, da </w:t>
      </w:r>
      <w:hyperlink r:id="rId4">
        <w:r>
          <w:rPr>
            <w:rStyle w:val="LinkdaInternet"/>
            <w:rFonts w:cs="Arial"/>
            <w:bCs/>
            <w:szCs w:val="20"/>
          </w:rPr>
          <w:t>Instrução Normativa Seges/ME nº 67, de 2021</w:t>
        </w:r>
      </w:hyperlink>
      <w:r>
        <w:rPr>
          <w:rFonts w:cs="Arial"/>
          <w:bCs/>
          <w:color w:val="000000"/>
          <w:szCs w:val="20"/>
        </w:rPr>
        <w:t>, e demais normas aplicáveis</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bCs/>
          <w:color w:val="000000" w:themeColor="text1"/>
          <w:szCs w:val="20"/>
        </w:rPr>
        <w:t>Data da sessão: 27/</w:t>
      </w:r>
      <w:r>
        <w:rPr>
          <w:rFonts w:eastAsia="Times New Roman" w:cs="Arial"/>
          <w:b/>
          <w:bCs/>
          <w:color w:val="000000" w:themeColor="text1"/>
          <w:kern w:val="0"/>
          <w:sz w:val="20"/>
          <w:szCs w:val="20"/>
          <w:lang w:val="pt-BR" w:eastAsia="pt-BR" w:bidi="ar-SA"/>
        </w:rPr>
        <w:t>09</w:t>
      </w:r>
      <w:r>
        <w:rPr>
          <w:rFonts w:cs="Arial"/>
          <w:b/>
          <w:bCs/>
          <w:color w:val="000000" w:themeColor="text1"/>
          <w:szCs w:val="20"/>
        </w:rPr>
        <w:t>/2023</w:t>
      </w:r>
    </w:p>
    <w:p>
      <w:pPr>
        <w:pStyle w:val="Normal"/>
        <w:rPr>
          <w:rFonts w:cs="Arial"/>
          <w:color w:val="000000" w:themeColor="text1"/>
          <w:szCs w:val="20"/>
        </w:rPr>
      </w:pPr>
      <w:r>
        <w:rPr>
          <w:rFonts w:cs="Arial"/>
          <w:b/>
          <w:bCs/>
          <w:color w:val="000000" w:themeColor="text1"/>
          <w:szCs w:val="20"/>
        </w:rPr>
        <w:t>Horário da Fase de Lances:</w:t>
      </w:r>
      <w:r>
        <w:rPr>
          <w:rFonts w:cs="Arial"/>
          <w:color w:val="000000" w:themeColor="text1"/>
          <w:szCs w:val="20"/>
        </w:rPr>
        <w:t xml:space="preserve"> </w:t>
      </w:r>
      <w:r>
        <w:rPr>
          <w:rFonts w:cs="Arial"/>
          <w:i/>
          <w:color w:val="000000" w:themeColor="text1"/>
          <w:szCs w:val="20"/>
        </w:rPr>
        <w:t>08:00</w:t>
      </w:r>
      <w:r>
        <w:rPr>
          <w:rFonts w:cs="Arial"/>
          <w:i/>
          <w:color w:val="FF0000"/>
          <w:szCs w:val="20"/>
        </w:rPr>
        <w:t xml:space="preserve"> </w:t>
      </w:r>
      <w:r>
        <w:rPr>
          <w:rFonts w:cs="Arial"/>
          <w:i/>
          <w:color w:val="000000" w:themeColor="text1"/>
          <w:szCs w:val="20"/>
        </w:rPr>
        <w:t>às 14:00.</w:t>
      </w:r>
    </w:p>
    <w:p>
      <w:pPr>
        <w:pStyle w:val="Normal"/>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5">
        <w:r>
          <w:rPr>
            <w:rStyle w:val="LinkdaInternet"/>
            <w:rFonts w:cs="Arial"/>
            <w:color w:val="000000" w:themeColor="text1"/>
            <w:szCs w:val="20"/>
          </w:rPr>
          <w:t>https://www.comprasnet.gov.br/seguro/loginPortalFornecedor.asp</w:t>
        </w:r>
      </w:hyperlink>
      <w:r>
        <w:rPr>
          <w:rFonts w:cs="Arial"/>
          <w:color w:val="000000" w:themeColor="text1"/>
          <w:szCs w:val="20"/>
        </w:rPr>
        <w:t xml:space="preserve"> </w:t>
      </w:r>
    </w:p>
    <w:p>
      <w:pPr>
        <w:pStyle w:val="Normal"/>
        <w:spacing w:lineRule="auto" w:line="276"/>
        <w:ind w:right="-15" w:hanging="0"/>
        <w:jc w:val="both"/>
        <w:rPr>
          <w:rFonts w:cs="Arial"/>
          <w:i/>
          <w:i/>
          <w:iCs/>
          <w:color w:val="FF0000"/>
          <w:szCs w:val="20"/>
        </w:rPr>
      </w:pPr>
      <w:r>
        <w:rPr>
          <w:rFonts w:cs="Arial"/>
          <w:b/>
          <w:bCs/>
          <w:i/>
          <w:iCs/>
          <w:szCs w:val="20"/>
        </w:rPr>
        <w:t>Critério de Julgamento:</w:t>
      </w:r>
      <w:r>
        <w:rPr>
          <w:rFonts w:cs="Arial"/>
          <w:szCs w:val="20"/>
        </w:rPr>
        <w:t xml:space="preserve"> </w:t>
      </w:r>
      <w:r>
        <w:rPr>
          <w:rFonts w:cs="Arial"/>
          <w:i/>
          <w:iCs/>
          <w:color w:val="FF0000"/>
          <w:szCs w:val="20"/>
        </w:rPr>
        <w:t>menor preço</w:t>
      </w:r>
    </w:p>
    <w:p>
      <w:pPr>
        <w:pStyle w:val="Ttulo1"/>
        <w:numPr>
          <w:ilvl w:val="0"/>
          <w:numId w:val="2"/>
        </w:numPr>
        <w:rPr/>
      </w:pPr>
      <w:bookmarkStart w:id="2" w:name="_Toc118380899"/>
      <w:r>
        <w:rPr/>
        <w:t>OBJETO DA CONTRATAÇÃO DIRETA</w:t>
      </w:r>
      <w:bookmarkEnd w:id="2"/>
    </w:p>
    <w:p>
      <w:pPr>
        <w:pStyle w:val="PADRO"/>
        <w:keepNext w:val="false"/>
        <w:widowControl/>
        <w:numPr>
          <w:ilvl w:val="1"/>
          <w:numId w:val="2"/>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para a </w:t>
      </w:r>
      <w:r>
        <w:rPr>
          <w:rFonts w:cs="Arial" w:ascii="Arial" w:hAnsi="Arial"/>
          <w:szCs w:val="20"/>
        </w:rPr>
        <w:t xml:space="preserve">contratação, </w:t>
      </w:r>
      <w:r>
        <w:rPr>
          <w:rFonts w:cs="Arial" w:ascii="Arial" w:hAnsi="Arial"/>
          <w:color w:val="000000" w:themeColor="text1"/>
          <w:szCs w:val="20"/>
        </w:rPr>
        <w:t xml:space="preserve">por dispensa de licitação, </w:t>
      </w:r>
      <w:r>
        <w:rPr>
          <w:rFonts w:eastAsia="WenQuanYi Micro Hei" w:cs="Arial" w:ascii="Arial" w:hAnsi="Arial"/>
          <w:color w:val="000000" w:themeColor="text1"/>
          <w:kern w:val="0"/>
          <w:sz w:val="20"/>
          <w:szCs w:val="20"/>
          <w:lang w:val="pt-BR" w:eastAsia="zh-CN" w:bidi="hi-IN"/>
        </w:rPr>
        <w:t>Serviço de confecção de apostilas com capa dura, encadernadas e com fornecimento de material para os cursos teóricos e serviço de confecção de placas adesivas com logotipos com fornecimento de material para instrução prática no aquartelamento, a fim de atender as demandas de formação de Quadro de Pessoal do CFC Verde Oliva em proveito  do 4º Batalhão Logístico e unidades apoiadas, conforme Requisição/Diex nº 218 – CFC/4º B Log, de 18Set23, condições, quantidades e exigências estabelecidas neste Aviso de Contratação Direta e seus anexos.</w:t>
      </w:r>
    </w:p>
    <w:p>
      <w:pPr>
        <w:pStyle w:val="PADRO"/>
        <w:keepNext w:val="false"/>
        <w:widowControl/>
        <w:numPr>
          <w:ilvl w:val="1"/>
          <w:numId w:val="2"/>
        </w:numPr>
        <w:shd w:val="clear" w:color="auto" w:fill="auto"/>
        <w:spacing w:before="120" w:after="120"/>
        <w:rPr>
          <w:rFonts w:ascii="Arial" w:hAnsi="Arial" w:cs="Arial"/>
          <w:szCs w:val="20"/>
        </w:rPr>
      </w:pPr>
      <w:r>
        <w:rPr>
          <w:rFonts w:cs="Arial" w:ascii="Arial" w:hAnsi="Arial"/>
          <w:szCs w:val="20"/>
        </w:rPr>
        <w:t>A contratação ocorrerá conforme tabela abaixo.</w:t>
      </w:r>
    </w:p>
    <w:tbl>
      <w:tblPr>
        <w:tblW w:w="8222" w:type="dxa"/>
        <w:jc w:val="left"/>
        <w:tblInd w:w="137" w:type="dxa"/>
        <w:tblCellMar>
          <w:top w:w="0" w:type="dxa"/>
          <w:left w:w="103" w:type="dxa"/>
          <w:bottom w:w="0" w:type="dxa"/>
          <w:right w:w="108" w:type="dxa"/>
        </w:tblCellMar>
        <w:tblLook w:val="04a0" w:noHBand="0" w:noVBand="1" w:firstColumn="1" w:lastRow="0" w:lastColumn="0" w:firstRow="1"/>
      </w:tblPr>
      <w:tblGrid>
        <w:gridCol w:w="726"/>
        <w:gridCol w:w="2459"/>
        <w:gridCol w:w="919"/>
        <w:gridCol w:w="1223"/>
        <w:gridCol w:w="633"/>
        <w:gridCol w:w="1133"/>
        <w:gridCol w:w="1128"/>
      </w:tblGrid>
      <w:tr>
        <w:trPr/>
        <w:tc>
          <w:tcPr>
            <w:tcW w:w="7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b/>
                <w:b/>
                <w:bCs/>
                <w:color w:val="000000"/>
                <w:szCs w:val="20"/>
              </w:rPr>
            </w:pPr>
            <w:r>
              <w:rPr>
                <w:rFonts w:cs="Arial"/>
                <w:b/>
                <w:bCs/>
                <w:color w:val="000000"/>
                <w:szCs w:val="20"/>
              </w:rPr>
              <w:t>ITEM</w:t>
            </w:r>
          </w:p>
          <w:p>
            <w:pPr>
              <w:pStyle w:val="Normal"/>
              <w:widowControl w:val="false"/>
              <w:spacing w:lineRule="auto" w:line="276"/>
              <w:jc w:val="center"/>
              <w:rPr>
                <w:rFonts w:cs="Arial"/>
                <w:b/>
                <w:b/>
                <w:color w:val="000000"/>
                <w:szCs w:val="20"/>
              </w:rPr>
            </w:pPr>
            <w:r>
              <w:rPr>
                <w:rFonts w:cs="Arial"/>
                <w:b/>
                <w:color w:val="000000"/>
                <w:szCs w:val="20"/>
              </w:rPr>
            </w:r>
          </w:p>
        </w:tc>
        <w:tc>
          <w:tcPr>
            <w:tcW w:w="2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b/>
                <w:bCs/>
                <w:color w:val="000000"/>
                <w:szCs w:val="20"/>
              </w:rPr>
              <w:t>ESPECIFICAÇÃO</w:t>
            </w:r>
          </w:p>
        </w:tc>
        <w:tc>
          <w:tcPr>
            <w:tcW w:w="9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b/>
                <w:bCs/>
                <w:color w:val="000000"/>
                <w:szCs w:val="20"/>
              </w:rPr>
              <w:t>CATSER/CATMAT</w:t>
            </w:r>
          </w:p>
        </w:tc>
        <w:tc>
          <w:tcPr>
            <w:tcW w:w="122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b/>
                <w:bCs/>
                <w:color w:val="000000"/>
                <w:szCs w:val="20"/>
              </w:rPr>
              <w:t>UNIDADE DE MEDIDA</w:t>
            </w:r>
          </w:p>
        </w:tc>
        <w:tc>
          <w:tcPr>
            <w:tcW w:w="6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b/>
                <w:b/>
                <w:bCs/>
                <w:szCs w:val="20"/>
              </w:rPr>
            </w:pPr>
            <w:r>
              <w:rPr>
                <w:rFonts w:cs="Arial"/>
                <w:b/>
                <w:bCs/>
                <w:szCs w:val="20"/>
              </w:rPr>
              <w:t>QNT</w:t>
            </w:r>
          </w:p>
        </w:tc>
        <w:tc>
          <w:tcPr>
            <w:tcW w:w="11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b/>
                <w:b/>
                <w:bCs/>
                <w:color w:val="auto"/>
              </w:rPr>
            </w:pPr>
            <w:r>
              <w:rPr>
                <w:b/>
                <w:bCs/>
                <w:color w:val="auto"/>
              </w:rPr>
              <w:t>VALOR UNITÁRIO R$</w:t>
            </w:r>
          </w:p>
        </w:tc>
        <w:tc>
          <w:tcPr>
            <w:tcW w:w="112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b/>
                <w:b/>
                <w:bCs/>
              </w:rPr>
            </w:pPr>
            <w:r>
              <w:rPr>
                <w:b/>
                <w:bCs/>
              </w:rPr>
              <w:t>VALOR TOTAL</w:t>
            </w:r>
          </w:p>
        </w:tc>
      </w:tr>
      <w:tr>
        <w:trPr/>
        <w:tc>
          <w:tcPr>
            <w:tcW w:w="7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pPr>
            <w:r>
              <w:rPr>
                <w:rFonts w:cs="Arial"/>
                <w:b/>
                <w:color w:val="000000"/>
                <w:szCs w:val="20"/>
              </w:rPr>
              <w:t>1</w:t>
            </w:r>
          </w:p>
        </w:tc>
        <w:tc>
          <w:tcPr>
            <w:tcW w:w="2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Next w:val="false"/>
              <w:widowControl/>
              <w:shd w:val="clear" w:color="auto" w:fill="auto"/>
              <w:spacing w:lineRule="auto" w:line="276" w:before="120" w:after="120"/>
              <w:ind w:hanging="0"/>
              <w:jc w:val="both"/>
              <w:rPr>
                <w:rFonts w:ascii="Arial" w:hAnsi="Arial" w:eastAsia="WenQuanYi Micro Hei" w:cs="Arial"/>
                <w:color w:val="000000" w:themeColor="text1"/>
                <w:kern w:val="0"/>
                <w:sz w:val="20"/>
                <w:szCs w:val="20"/>
                <w:lang w:val="pt-BR" w:eastAsia="zh-CN" w:bidi="hi-IN"/>
              </w:rPr>
            </w:pPr>
            <w:r>
              <w:rPr>
                <w:rFonts w:eastAsia="WenQuanYi Micro Hei" w:cs="Arial"/>
                <w:color w:val="000000" w:themeColor="text1"/>
                <w:kern w:val="0"/>
                <w:sz w:val="20"/>
                <w:szCs w:val="20"/>
                <w:lang w:val="pt-BR" w:eastAsia="zh-CN" w:bidi="hi-IN"/>
              </w:rPr>
              <w:t>Serviço de confecção de apostilas com capa dura, encadernadas e com fornecimento de material</w:t>
            </w:r>
          </w:p>
        </w:tc>
        <w:tc>
          <w:tcPr>
            <w:tcW w:w="9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ascii="Arial" w:hAnsi="Arial" w:eastAsia="Times New Roman" w:cs="Arial"/>
                <w:color w:val="000000"/>
                <w:kern w:val="0"/>
                <w:sz w:val="20"/>
                <w:szCs w:val="20"/>
                <w:lang w:val="pt-BR" w:eastAsia="pt-BR" w:bidi="ar-SA"/>
              </w:rPr>
            </w:pPr>
            <w:r>
              <w:rPr>
                <w:rFonts w:eastAsia="Times New Roman" w:cs="Arial"/>
                <w:color w:val="000000"/>
                <w:kern w:val="0"/>
                <w:sz w:val="20"/>
                <w:szCs w:val="20"/>
                <w:lang w:val="pt-BR" w:eastAsia="pt-BR" w:bidi="ar-SA"/>
              </w:rPr>
              <w:t>12866</w:t>
            </w:r>
          </w:p>
        </w:tc>
        <w:tc>
          <w:tcPr>
            <w:tcW w:w="122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color w:val="000000"/>
                <w:szCs w:val="20"/>
              </w:rPr>
              <w:t>Und</w:t>
            </w:r>
          </w:p>
        </w:tc>
        <w:tc>
          <w:tcPr>
            <w:tcW w:w="6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ascii="Arial" w:hAnsi="Arial" w:eastAsia="Times New Roman" w:cs="Arial"/>
                <w:color w:val="000000"/>
                <w:kern w:val="0"/>
                <w:sz w:val="20"/>
                <w:szCs w:val="20"/>
                <w:lang w:val="pt-BR" w:eastAsia="pt-BR" w:bidi="ar-SA"/>
              </w:rPr>
            </w:pPr>
            <w:r>
              <w:rPr>
                <w:rFonts w:eastAsia="Times New Roman" w:cs="Arial"/>
                <w:color w:val="000000"/>
                <w:kern w:val="0"/>
                <w:sz w:val="20"/>
                <w:szCs w:val="20"/>
                <w:lang w:val="pt-BR" w:eastAsia="pt-BR" w:bidi="ar-SA"/>
              </w:rPr>
              <w:t>210</w:t>
            </w:r>
          </w:p>
        </w:tc>
        <w:tc>
          <w:tcPr>
            <w:tcW w:w="11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color w:val="000000"/>
                <w:szCs w:val="20"/>
              </w:rPr>
              <w:t>R$ 23,1785</w:t>
            </w:r>
          </w:p>
        </w:tc>
        <w:tc>
          <w:tcPr>
            <w:tcW w:w="112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t>R$ 4.867,</w:t>
            </w:r>
            <w:r>
              <w:rPr/>
              <w:t>48</w:t>
            </w:r>
          </w:p>
        </w:tc>
      </w:tr>
      <w:tr>
        <w:trPr/>
        <w:tc>
          <w:tcPr>
            <w:tcW w:w="726"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pPr>
            <w:r>
              <w:rPr/>
              <w:t>2</w:t>
            </w:r>
          </w:p>
        </w:tc>
        <w:tc>
          <w:tcPr>
            <w:tcW w:w="2459" w:type="dxa"/>
            <w:tcBorders>
              <w:left w:val="single" w:sz="4" w:space="0" w:color="000000"/>
              <w:bottom w:val="single" w:sz="4" w:space="0" w:color="000000"/>
              <w:right w:val="single" w:sz="4" w:space="0" w:color="000000"/>
            </w:tcBorders>
            <w:shd w:fill="auto" w:val="clear"/>
            <w:vAlign w:val="center"/>
          </w:tcPr>
          <w:p>
            <w:pPr>
              <w:pStyle w:val="PADRO"/>
              <w:keepNext w:val="false"/>
              <w:widowControl/>
              <w:shd w:val="clear" w:color="auto" w:fill="auto"/>
              <w:spacing w:lineRule="auto" w:line="276" w:before="120" w:after="120"/>
              <w:ind w:hanging="0"/>
              <w:jc w:val="both"/>
              <w:rPr>
                <w:rFonts w:ascii="Arial" w:hAnsi="Arial" w:cs="Arial"/>
                <w:szCs w:val="20"/>
              </w:rPr>
            </w:pPr>
            <w:r>
              <w:rPr>
                <w:rFonts w:eastAsia="WenQuanYi Micro Hei" w:cs="Arial" w:ascii="Arial" w:hAnsi="Arial"/>
                <w:color w:val="000000" w:themeColor="text1"/>
                <w:kern w:val="0"/>
                <w:sz w:val="20"/>
                <w:szCs w:val="20"/>
                <w:lang w:val="pt-BR" w:eastAsia="zh-CN" w:bidi="hi-IN"/>
              </w:rPr>
              <w:t>Serviço de confecção de placas adesivas com logotipos com fornecimento de material</w:t>
            </w:r>
          </w:p>
        </w:tc>
        <w:tc>
          <w:tcPr>
            <w:tcW w:w="919"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ascii="Arial" w:hAnsi="Arial" w:eastAsia="Times New Roman" w:cs="Arial"/>
                <w:color w:val="000000"/>
                <w:kern w:val="0"/>
                <w:sz w:val="20"/>
                <w:szCs w:val="20"/>
                <w:lang w:val="pt-BR" w:eastAsia="pt-BR" w:bidi="ar-SA"/>
              </w:rPr>
            </w:pPr>
            <w:r>
              <w:rPr/>
              <w:t>5452</w:t>
            </w:r>
          </w:p>
        </w:tc>
        <w:tc>
          <w:tcPr>
            <w:tcW w:w="1223"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t>Und</w:t>
            </w:r>
          </w:p>
        </w:tc>
        <w:tc>
          <w:tcPr>
            <w:tcW w:w="633"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ascii="Arial" w:hAnsi="Arial" w:eastAsia="Times New Roman" w:cs="Arial"/>
                <w:color w:val="000000"/>
                <w:kern w:val="0"/>
                <w:sz w:val="20"/>
                <w:szCs w:val="20"/>
                <w:lang w:val="pt-BR" w:eastAsia="pt-BR" w:bidi="ar-SA"/>
              </w:rPr>
            </w:pPr>
            <w:r>
              <w:rPr/>
              <w:t>4</w:t>
            </w:r>
          </w:p>
        </w:tc>
        <w:tc>
          <w:tcPr>
            <w:tcW w:w="1133"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t>R$</w:t>
            </w:r>
          </w:p>
          <w:p>
            <w:pPr>
              <w:pStyle w:val="Normal"/>
              <w:widowControl w:val="false"/>
              <w:spacing w:lineRule="auto" w:line="276"/>
              <w:jc w:val="center"/>
              <w:rPr>
                <w:rFonts w:cs="Arial"/>
                <w:color w:val="000000"/>
                <w:szCs w:val="20"/>
              </w:rPr>
            </w:pPr>
            <w:r>
              <w:rPr/>
              <w:t>95,00</w:t>
            </w:r>
          </w:p>
        </w:tc>
        <w:tc>
          <w:tcPr>
            <w:tcW w:w="1128" w:type="dxa"/>
            <w:tcBorders>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t>R$</w:t>
            </w:r>
          </w:p>
          <w:p>
            <w:pPr>
              <w:pStyle w:val="Normal"/>
              <w:widowControl w:val="false"/>
              <w:spacing w:lineRule="auto" w:line="276"/>
              <w:jc w:val="center"/>
              <w:rPr>
                <w:rFonts w:cs="Arial"/>
                <w:color w:val="000000"/>
                <w:szCs w:val="20"/>
              </w:rPr>
            </w:pPr>
            <w:r>
              <w:rPr/>
              <w:t>380,00</w:t>
            </w:r>
          </w:p>
        </w:tc>
      </w:tr>
    </w:tbl>
    <w:p>
      <w:pPr>
        <w:pStyle w:val="PADRO"/>
        <w:keepNext w:val="false"/>
        <w:widowControl/>
        <w:shd w:val="clear" w:color="auto" w:fill="auto"/>
        <w:spacing w:before="120" w:after="120"/>
        <w:rPr>
          <w:rFonts w:ascii="Arial" w:hAnsi="Arial" w:cs="Arial"/>
          <w:szCs w:val="20"/>
        </w:rPr>
      </w:pPr>
      <w:r>
        <w:rPr>
          <w:rFonts w:cs="Arial" w:ascii="Arial" w:hAnsi="Arial"/>
          <w:szCs w:val="20"/>
        </w:rPr>
      </w:r>
    </w:p>
    <w:p>
      <w:pPr>
        <w:pStyle w:val="PADRO"/>
        <w:keepNext w:val="false"/>
        <w:widowControl/>
        <w:numPr>
          <w:ilvl w:val="2"/>
          <w:numId w:val="2"/>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2"/>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FF0000"/>
          <w:szCs w:val="20"/>
        </w:rPr>
        <w:t>menor preço,</w:t>
      </w:r>
      <w:r>
        <w:rPr>
          <w:rFonts w:cs="Arial" w:ascii="Arial" w:hAnsi="Arial"/>
          <w:color w:val="FF0000"/>
          <w:szCs w:val="20"/>
        </w:rPr>
        <w:t xml:space="preserve"> </w:t>
      </w:r>
      <w:r>
        <w:rPr>
          <w:rFonts w:cs="Arial" w:ascii="Arial" w:hAnsi="Arial"/>
          <w:szCs w:val="20"/>
        </w:rPr>
        <w:t>observadas as exigências contidas neste Aviso de Contratação Direta e seus Anexos quanto às especificações do objeto.</w:t>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r>
        <w:br w:type="page"/>
      </w:r>
    </w:p>
    <w:p>
      <w:pPr>
        <w:pStyle w:val="Ttulo1"/>
        <w:numPr>
          <w:ilvl w:val="0"/>
          <w:numId w:val="2"/>
        </w:numPr>
        <w:rPr/>
      </w:pPr>
      <w:bookmarkStart w:id="3" w:name="_Toc118380900"/>
      <w:r>
        <w:rPr/>
        <w:t>PARTICIPAÇÃO NA DISPENSA ELETRÔNICA.</w:t>
      </w:r>
      <w:bookmarkEnd w:id="3"/>
    </w:p>
    <w:p>
      <w:pPr>
        <w:pStyle w:val="Normal"/>
        <w:numPr>
          <w:ilvl w:val="1"/>
          <w:numId w:val="2"/>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6">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2"/>
        </w:numPr>
        <w:spacing w:lineRule="auto" w:line="276" w:before="120" w:after="120"/>
        <w:jc w:val="both"/>
        <w:rPr>
          <w:rFonts w:cs="Arial"/>
          <w:szCs w:val="20"/>
        </w:rPr>
      </w:pPr>
      <w:r>
        <w:rPr>
          <w:rFonts w:cs="Arial"/>
          <w:szCs w:val="20"/>
        </w:rPr>
        <w:t xml:space="preserve">O procedimento será divulgado no Compras.gov.br e no </w:t>
      </w:r>
      <w:hyperlink r:id="rId7">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2"/>
        </w:numPr>
        <w:spacing w:lineRule="auto" w:line="276" w:before="120" w:after="120"/>
        <w:jc w:val="both"/>
        <w:rPr>
          <w:rFonts w:cs="Arial"/>
          <w:szCs w:val="20"/>
        </w:rPr>
      </w:pPr>
      <w:r>
        <w:rPr>
          <w:rFonts w:cs="Arial"/>
          <w:szCs w:val="20"/>
        </w:rPr>
        <w:t xml:space="preserve">O Compras.gov.br poderá ser acessado pela web ou pelo </w:t>
      </w:r>
      <w:hyperlink r:id="rId8">
        <w:r>
          <w:rPr>
            <w:rStyle w:val="LinkdaInternet"/>
            <w:rFonts w:cs="Arial"/>
            <w:szCs w:val="20"/>
          </w:rPr>
          <w:t>aplicativo Compras.gov.br.</w:t>
        </w:r>
      </w:hyperlink>
    </w:p>
    <w:p>
      <w:pPr>
        <w:pStyle w:val="Normal"/>
        <w:numPr>
          <w:ilvl w:val="2"/>
          <w:numId w:val="2"/>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2"/>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de licitação os fornecedores: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9">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2"/>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2"/>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2"/>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2"/>
        </w:numPr>
        <w:spacing w:lineRule="auto" w:line="276" w:before="120" w:after="120"/>
        <w:jc w:val="both"/>
        <w:rPr/>
      </w:pPr>
      <w:r>
        <w:rPr>
          <w:rFonts w:cs="Arial"/>
          <w:i/>
          <w:color w:val="auto"/>
          <w:szCs w:val="20"/>
        </w:rPr>
        <w:t>sociedades cooperativas.</w:t>
      </w:r>
    </w:p>
    <w:p>
      <w:pPr>
        <w:pStyle w:val="Normal"/>
        <w:numPr>
          <w:ilvl w:val="1"/>
          <w:numId w:val="2"/>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2"/>
        </w:numPr>
        <w:rPr/>
      </w:pPr>
      <w:bookmarkStart w:id="4" w:name="_Toc118380901"/>
      <w:r>
        <w:rPr/>
        <w:t>INGRESSO NA DISPENSA ELETRÔNICA E CADASTRAMENTO DA PROPOSTA INICIAL</w:t>
      </w:r>
      <w:bookmarkEnd w:id="4"/>
    </w:p>
    <w:p>
      <w:pPr>
        <w:pStyle w:val="Normal"/>
        <w:numPr>
          <w:ilvl w:val="1"/>
          <w:numId w:val="2"/>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2"/>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2"/>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2"/>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2"/>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2"/>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2"/>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2"/>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2"/>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 Documento de Formalização da Demanda</w:t>
      </w:r>
      <w:r>
        <w:rPr>
          <w:rFonts w:cs="Arial"/>
          <w:i/>
          <w:szCs w:val="20"/>
        </w:rPr>
        <w:t xml:space="preserve">, </w:t>
      </w:r>
      <w:r>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2"/>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2"/>
        </w:numPr>
        <w:spacing w:lineRule="auto" w:line="276" w:before="120" w:after="120"/>
        <w:jc w:val="both"/>
        <w:rPr>
          <w:rFonts w:cs="Arial"/>
          <w:color w:val="000000" w:themeColor="text1"/>
          <w:szCs w:val="20"/>
        </w:rPr>
      </w:pPr>
      <w:r>
        <w:rPr>
          <w:rFonts w:cs="Arial"/>
          <w:color w:val="000000" w:themeColor="text1"/>
          <w:szCs w:val="20"/>
        </w:rPr>
        <w:t xml:space="preserve">O licitante organizado em cooperativa deverá declarar, ainda, em campo próprio do sistema eletrônico, que cumpre os requisitos estabelecidos no </w:t>
      </w:r>
      <w:r>
        <w:fldChar w:fldCharType="begin"/>
      </w:r>
      <w:r>
        <w:rPr>
          <w:rStyle w:val="LinkdaInternet"/>
          <w:szCs w:val="20"/>
          <w:rFonts w:cs="Arial"/>
        </w:rPr>
        <w:instrText>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2"/>
        </w:numPr>
        <w:spacing w:lineRule="auto" w:line="276" w:before="120" w:after="120"/>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Normal"/>
        <w:numPr>
          <w:ilvl w:val="1"/>
          <w:numId w:val="2"/>
        </w:numPr>
        <w:spacing w:lineRule="auto" w:line="276" w:before="120" w:after="120"/>
        <w:jc w:val="both"/>
        <w:rPr>
          <w:rFonts w:cs="Arial"/>
          <w:i/>
          <w:i/>
          <w:color w:val="FF0000"/>
          <w:szCs w:val="20"/>
        </w:rPr>
      </w:pPr>
      <w:r>
        <w:rPr>
          <w:rFonts w:cs="Arial"/>
          <w:i/>
          <w:color w:val="FF000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ormal"/>
        <w:numPr>
          <w:ilvl w:val="2"/>
          <w:numId w:val="2"/>
        </w:numPr>
        <w:spacing w:lineRule="auto" w:line="276" w:before="120" w:after="120"/>
        <w:jc w:val="both"/>
        <w:rPr>
          <w:rFonts w:cs="Arial"/>
          <w:i/>
          <w:i/>
          <w:color w:val="FF0000"/>
          <w:szCs w:val="20"/>
        </w:rPr>
      </w:pPr>
      <w:r>
        <w:rPr>
          <w:rFonts w:cs="Arial"/>
          <w:i/>
          <w:color w:val="FF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2"/>
        </w:numPr>
        <w:spacing w:lineRule="auto" w:line="276" w:before="120" w:after="120"/>
        <w:jc w:val="both"/>
        <w:rPr>
          <w:rFonts w:cs="Arial"/>
          <w:i/>
          <w:i/>
          <w:color w:val="FF0000"/>
          <w:szCs w:val="20"/>
        </w:rPr>
      </w:pPr>
      <w:r>
        <w:rPr>
          <w:rFonts w:cs="Arial"/>
          <w:i/>
          <w:color w:val="FF0000"/>
          <w:szCs w:val="20"/>
        </w:rPr>
        <w:t>Sem prejuízo do disposto acima, os lances poderão ser enviados manualmente, na forma da seção respectiva deste Aviso de Contratação Direta;</w:t>
      </w:r>
    </w:p>
    <w:p>
      <w:pPr>
        <w:pStyle w:val="Normal"/>
        <w:numPr>
          <w:ilvl w:val="2"/>
          <w:numId w:val="2"/>
        </w:numPr>
        <w:spacing w:lineRule="auto" w:line="276" w:before="120" w:after="120"/>
        <w:jc w:val="both"/>
        <w:rPr>
          <w:rFonts w:cs="Arial"/>
          <w:i/>
          <w:i/>
          <w:color w:val="FF0000"/>
          <w:szCs w:val="20"/>
        </w:rPr>
      </w:pPr>
      <w:r>
        <w:rPr>
          <w:rFonts w:cs="Arial"/>
          <w:i/>
          <w:color w:val="FF0000"/>
          <w:szCs w:val="20"/>
        </w:rPr>
        <w:t>O valor final mínimo poderá ser alterado pelo fornecedor durante a fase de disputa, desde que não assuma valor superior a lance já registrado por ele no sistema.</w:t>
      </w:r>
    </w:p>
    <w:p>
      <w:pPr>
        <w:pStyle w:val="Normal"/>
        <w:numPr>
          <w:ilvl w:val="2"/>
          <w:numId w:val="2"/>
        </w:numPr>
        <w:spacing w:lineRule="auto" w:line="276" w:before="120" w:after="120"/>
        <w:jc w:val="both"/>
        <w:rPr>
          <w:rFonts w:cs="Arial"/>
          <w:i/>
          <w:i/>
          <w:color w:val="FF0000"/>
          <w:szCs w:val="20"/>
        </w:rPr>
      </w:pPr>
      <w:r>
        <w:rPr>
          <w:rFonts w:cs="Arial"/>
          <w:i/>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
        <w:numPr>
          <w:ilvl w:val="0"/>
          <w:numId w:val="2"/>
        </w:numPr>
        <w:rPr/>
      </w:pPr>
      <w:bookmarkStart w:id="5" w:name="_Toc118380902"/>
      <w:r>
        <w:rPr/>
        <w:t>FASE DE LANCES</w:t>
      </w:r>
      <w:bookmarkEnd w:id="5"/>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valor unitário do item.</w:t>
      </w:r>
    </w:p>
    <w:p>
      <w:pPr>
        <w:pStyle w:val="Quote"/>
        <w:numPr>
          <w:ilvl w:val="1"/>
          <w:numId w:val="2"/>
        </w:numP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maior percentual de desconto em relação ao último lance por ele ofertado e registrado pelo sistema.</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val="false"/>
          <w:iCs w:val="false"/>
          <w:color w:val="FF0000"/>
          <w:szCs w:val="20"/>
        </w:rPr>
        <w:t>R$ 1,00 (um real)</w:t>
      </w:r>
      <w:r>
        <w:rPr>
          <w:rFonts w:cs="Arial"/>
          <w:i w:val="false"/>
          <w:iCs w:val="false"/>
          <w:color w:val="FF0000"/>
          <w:szCs w:val="20"/>
          <w:lang w:eastAsia="en-US"/>
        </w:rPr>
        <w:t>.</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2"/>
        </w:numPr>
        <w:rPr/>
      </w:pPr>
      <w:bookmarkStart w:id="6" w:name="_Toc118380903"/>
      <w:r>
        <w:rPr/>
        <w:t>JULGAMENTO DAS PROPOSTAS DE PREÇO</w:t>
      </w:r>
      <w:bookmarkEnd w:id="6"/>
    </w:p>
    <w:p>
      <w:pPr>
        <w:pStyle w:val="ListParagraph"/>
        <w:numPr>
          <w:ilvl w:val="1"/>
          <w:numId w:val="2"/>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spacing w:lineRule="auto" w:line="276" w:before="120" w:after="120"/>
        <w:contextualSpacing/>
        <w:jc w:val="both"/>
        <w:rPr>
          <w:rFonts w:cs="Arial"/>
        </w:rPr>
      </w:pPr>
      <w:r>
        <w:rPr>
          <w:rFonts w:cs="Arial"/>
        </w:rPr>
        <w:t>No caso de o preço da proposta do primeiro colocado estar acima do preço máximo definido para a contratação, poderá haver a negociação de condições mais vantajosas.</w:t>
      </w:r>
    </w:p>
    <w:p>
      <w:pPr>
        <w:pStyle w:val="ListParagraph"/>
        <w:numPr>
          <w:ilvl w:val="2"/>
          <w:numId w:val="2"/>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a melhor proposta com preço compatível ao estipulado pela Administração.</w:t>
      </w:r>
    </w:p>
    <w:p>
      <w:pPr>
        <w:pStyle w:val="ListParagraph"/>
        <w:numPr>
          <w:ilvl w:val="2"/>
          <w:numId w:val="2"/>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definido para a contratação.</w:t>
      </w:r>
    </w:p>
    <w:p>
      <w:pPr>
        <w:pStyle w:val="ListParagraph"/>
        <w:numPr>
          <w:ilvl w:val="1"/>
          <w:numId w:val="2"/>
        </w:numPr>
        <w:spacing w:lineRule="auto" w:line="276" w:before="120" w:after="120"/>
        <w:contextualSpacing/>
        <w:jc w:val="both"/>
        <w:rPr>
          <w:rFonts w:cs="Arial"/>
        </w:rPr>
      </w:pPr>
      <w:r>
        <w:rPr>
          <w:rFonts w:cs="Arial"/>
        </w:rPr>
        <w:t xml:space="preserve">Em qualquer caso, concluída a negociação, se houver, o resultado será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2"/>
        </w:numPr>
        <w:spacing w:lineRule="auto" w:line="276" w:before="120" w:after="120"/>
        <w:contextualSpacing/>
        <w:jc w:val="both"/>
        <w:rPr>
          <w:rFonts w:cs="Arial"/>
        </w:rPr>
      </w:pPr>
      <w:r>
        <w:rPr>
          <w:iCs/>
        </w:rPr>
        <w:t xml:space="preserve">Constatada a compatibilidade entre o valor da proposta e o estipulado para a contratação, será solicitada ao fornecedor a adequação da proposta ao valor negociado, acompanhada de documentos complementares, se necessários. </w:t>
      </w:r>
    </w:p>
    <w:p>
      <w:pPr>
        <w:pStyle w:val="Normal"/>
        <w:numPr>
          <w:ilvl w:val="1"/>
          <w:numId w:val="2"/>
        </w:numPr>
        <w:spacing w:lineRule="auto" w:line="276" w:before="120" w:after="120"/>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Pr>
          <w:rFonts w:eastAsia="Times New Roman" w:cs="Arial"/>
          <w:color w:val="FF0000"/>
          <w:sz w:val="20"/>
          <w:szCs w:val="20"/>
          <w:lang w:eastAsia="pt-BR"/>
        </w:rPr>
        <w:t>30</w:t>
      </w:r>
      <w:r>
        <w:rPr>
          <w:rFonts w:cs="Arial"/>
          <w:color w:val="FF0000"/>
          <w:szCs w:val="20"/>
        </w:rPr>
        <w:t xml:space="preserve"> (</w:t>
      </w:r>
      <w:r>
        <w:rPr>
          <w:rFonts w:eastAsia="Times New Roman" w:cs="Arial"/>
          <w:color w:val="FF0000"/>
          <w:sz w:val="20"/>
          <w:szCs w:val="20"/>
          <w:lang w:eastAsia="pt-BR"/>
        </w:rPr>
        <w:t>trinta</w:t>
      </w:r>
      <w:r>
        <w:rPr>
          <w:rFonts w:cs="Arial"/>
          <w:color w:val="FF0000"/>
          <w:szCs w:val="20"/>
        </w:rPr>
        <w:t>)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2"/>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2"/>
        </w:numPr>
        <w:spacing w:lineRule="auto" w:line="276" w:before="120" w:after="120"/>
        <w:contextualSpacing/>
        <w:jc w:val="both"/>
        <w:rPr>
          <w:rFonts w:cs="Arial"/>
          <w:color w:val="FF0000"/>
          <w:szCs w:val="20"/>
        </w:rPr>
      </w:pPr>
      <w:r>
        <w:rPr>
          <w:rFonts w:cs="Arial"/>
          <w:szCs w:val="20"/>
        </w:rPr>
        <w:t>apresentar preços inexequíveis</w:t>
      </w:r>
      <w:r>
        <w:rPr>
          <w:rFonts w:cs="Arial"/>
          <w:color w:val="FF0000"/>
          <w:szCs w:val="20"/>
        </w:rPr>
        <w:t xml:space="preserve"> ou permanecerem acima do preço máximo definido para a contratação;</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2"/>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spacing w:lineRule="auto" w:line="276" w:before="120" w:after="120"/>
        <w:ind w:left="858"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numPr>
          <w:ilvl w:val="0"/>
          <w:numId w:val="2"/>
        </w:numPr>
        <w:rPr/>
      </w:pPr>
      <w:bookmarkStart w:id="7" w:name="_Toc118380904"/>
      <w:r>
        <w:rPr/>
        <w:t>HABILITAÇÃO</w:t>
      </w:r>
      <w:bookmarkEnd w:id="7"/>
    </w:p>
    <w:p>
      <w:pPr>
        <w:pStyle w:val="Normal"/>
        <w:numPr>
          <w:ilvl w:val="1"/>
          <w:numId w:val="2"/>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pPr>
        <w:pStyle w:val="Normal"/>
        <w:numPr>
          <w:ilvl w:val="1"/>
          <w:numId w:val="2"/>
        </w:numPr>
        <w:spacing w:lineRule="auto" w:line="276" w:before="120" w:after="120"/>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w:t>
      </w:r>
      <w:hyperlink r:id="rId10">
        <w:r>
          <w:rPr>
            <w:rStyle w:val="LinkdaInternet"/>
            <w:rFonts w:cs="Arial"/>
            <w:szCs w:val="20"/>
            <w:lang w:eastAsia="ar-SA"/>
          </w:rPr>
          <w:t>SICAF</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b) Cadastro Nacional de Empresas Inidôneas e Suspensas - CEIS, mantido pela Controladoria-Geral da União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w:t>
      </w:r>
      <w:hyperlink r:id="rId11">
        <w:r>
          <w:rPr>
            <w:rStyle w:val="LinkdaInternet"/>
          </w:rPr>
          <w:t>https://portaldatransparencia.gov.br/sancoes/consulta?cadastro=1%2C2</w:t>
        </w:r>
      </w:hyperlink>
      <w:r>
        <w:rPr>
          <w:rFonts w:cs="Arial"/>
          <w:szCs w:val="20"/>
          <w:lang w:eastAsia="ar-SA"/>
        </w:rPr>
        <w:t>); e</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c) Cadastro Nacional de Empresas Punidas – CNEP, mantido pela Controladoria-Geral da União </w:t>
      </w:r>
    </w:p>
    <w:p>
      <w:pPr>
        <w:pStyle w:val="ListParagraph"/>
        <w:spacing w:lineRule="auto" w:line="276" w:before="120" w:after="120"/>
        <w:ind w:left="1134" w:hanging="0"/>
        <w:contextualSpacing/>
        <w:jc w:val="both"/>
        <w:rPr>
          <w:rFonts w:cs="Arial"/>
          <w:szCs w:val="20"/>
        </w:rPr>
      </w:pPr>
      <w:r>
        <w:rPr>
          <w:rFonts w:cs="Arial"/>
          <w:szCs w:val="20"/>
          <w:lang w:eastAsia="ar-SA"/>
        </w:rPr>
        <w:t>(</w:t>
      </w:r>
      <w:hyperlink r:id="rId12">
        <w:r>
          <w:rPr>
            <w:rStyle w:val="LinkdaInternet"/>
          </w:rPr>
          <w:t>https://portaldatransparencia.gov.br/sancoes/consulta?cadastro=1%2C2</w:t>
        </w:r>
      </w:hyperlink>
      <w:r>
        <w:rPr>
          <w:rFonts w:cs="Arial"/>
          <w:szCs w:val="20"/>
          <w:lang w:eastAsia="ar-SA"/>
        </w:rPr>
        <w:t>).</w:t>
      </w:r>
    </w:p>
    <w:p>
      <w:pPr>
        <w:pStyle w:val="Normal"/>
        <w:numPr>
          <w:ilvl w:val="2"/>
          <w:numId w:val="2"/>
        </w:numPr>
        <w:spacing w:lineRule="auto" w:line="276"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r>
        <w:fldChar w:fldCharType="begin"/>
      </w:r>
      <w:r>
        <w:rPr>
          <w:rStyle w:val="LinkdaInternet"/>
          <w:szCs w:val="20"/>
          <w:rFonts w:cs="Arial"/>
        </w:rPr>
        <w:instrText> HYPERLINK "https://www.planalto.gov.br/ccivil_03/leis/l8429.htm" \l "art12"</w:instrText>
      </w:r>
      <w:r>
        <w:rPr>
          <w:rStyle w:val="LinkdaInternet"/>
          <w:szCs w:val="20"/>
          <w:rFonts w:cs="Arial"/>
        </w:rPr>
        <w:fldChar w:fldCharType="separate"/>
      </w:r>
      <w:r>
        <w:rPr>
          <w:rStyle w:val="LinkdaInternet"/>
          <w:rFonts w:cs="Arial"/>
          <w:szCs w:val="20"/>
        </w:rPr>
        <w:t>artigo 12 da Lei n° 8.429, de 2 de junho de 1992</w:t>
      </w:r>
      <w:r>
        <w:rPr>
          <w:rStyle w:val="LinkdaInternet"/>
          <w:szCs w:val="20"/>
          <w:rFonts w:cs="Arial"/>
        </w:rPr>
        <w:fldChar w:fldCharType="end"/>
      </w:r>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3"/>
          <w:numId w:val="2"/>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pPr>
        <w:pStyle w:val="Normal"/>
        <w:numPr>
          <w:ilvl w:val="4"/>
          <w:numId w:val="2"/>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Normal"/>
        <w:numPr>
          <w:ilvl w:val="4"/>
          <w:numId w:val="2"/>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Normal"/>
        <w:numPr>
          <w:ilvl w:val="2"/>
          <w:numId w:val="2"/>
        </w:numPr>
        <w:spacing w:lineRule="auto" w:line="276"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pPr>
        <w:pStyle w:val="Normal"/>
        <w:numPr>
          <w:ilvl w:val="1"/>
          <w:numId w:val="2"/>
        </w:numPr>
        <w:spacing w:lineRule="auto" w:line="276" w:before="120" w:after="120"/>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2"/>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2"/>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2"/>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pPr>
        <w:pStyle w:val="Normal"/>
        <w:spacing w:lineRule="auto" w:line="276" w:before="120" w:after="120"/>
        <w:ind w:left="1224" w:hanging="0"/>
        <w:contextualSpacing/>
        <w:jc w:val="both"/>
        <w:rPr>
          <w:rFonts w:cs="Arial"/>
          <w:i/>
          <w:i/>
          <w:color w:val="FF0000"/>
          <w:szCs w:val="20"/>
        </w:rPr>
      </w:pPr>
      <w:r>
        <w:rPr>
          <w:rFonts w:cs="Arial"/>
          <w:i/>
          <w:color w:val="FF0000"/>
          <w:szCs w:val="20"/>
        </w:rPr>
      </w:r>
    </w:p>
    <w:p>
      <w:pPr>
        <w:pStyle w:val="Normal"/>
        <w:numPr>
          <w:ilvl w:val="1"/>
          <w:numId w:val="2"/>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2"/>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2"/>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2"/>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numPr>
          <w:ilvl w:val="0"/>
          <w:numId w:val="2"/>
        </w:numPr>
        <w:rPr/>
      </w:pPr>
      <w:bookmarkStart w:id="8" w:name="_Toc118380905"/>
      <w:r>
        <w:rPr/>
        <w:t>CONTRATAÇÃO</w:t>
      </w:r>
      <w:bookmarkEnd w:id="8"/>
    </w:p>
    <w:p>
      <w:pPr>
        <w:pStyle w:val="Normal"/>
        <w:numPr>
          <w:ilvl w:val="1"/>
          <w:numId w:val="2"/>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2"/>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w:t>
      </w:r>
      <w:r>
        <w:rPr>
          <w:rFonts w:eastAsia="Arial" w:cs="Arial"/>
          <w:color w:val="FF0000"/>
          <w:kern w:val="0"/>
          <w:sz w:val="20"/>
          <w:szCs w:val="20"/>
          <w:lang w:val="pt-BR" w:eastAsia="pt-BR" w:bidi="ar-SA"/>
        </w:rPr>
        <w:t>01</w:t>
      </w:r>
      <w:r>
        <w:rPr>
          <w:rFonts w:eastAsia="Arial" w:cs="Arial"/>
          <w:color w:val="FF0000"/>
          <w:szCs w:val="20"/>
        </w:rPr>
        <w:t xml:space="preserve"> (um)</w:t>
      </w:r>
      <w:r>
        <w:rPr>
          <w:rFonts w:eastAsia="Arial" w:cs="Arial"/>
          <w:i/>
          <w:color w:val="FF0000"/>
          <w:szCs w:val="20"/>
        </w:rPr>
        <w:t xml:space="preserve"> dia útil,</w:t>
      </w:r>
      <w:r>
        <w:rPr>
          <w:rFonts w:eastAsia="Arial" w:cs="Arial"/>
          <w:color w:val="000000"/>
          <w:szCs w:val="20"/>
        </w:rPr>
        <w:t xml:space="preserve"> contados a partir da data de sua convocação, para o recebimento e aceitação (</w:t>
      </w:r>
      <w:r>
        <w:rPr>
          <w:rFonts w:eastAsia="Arial" w:cs="Arial"/>
          <w:color w:val="auto"/>
          <w:szCs w:val="20"/>
        </w:rPr>
        <w:t>Not</w:t>
      </w:r>
      <w:r>
        <w:rPr>
          <w:rFonts w:eastAsia="Arial" w:cs="Arial"/>
          <w:i/>
          <w:color w:val="auto"/>
          <w:szCs w:val="20"/>
        </w:rPr>
        <w:t xml:space="preserve">a de Empenho), </w:t>
      </w:r>
      <w:r>
        <w:rPr>
          <w:rFonts w:eastAsia="Arial" w:cs="Arial"/>
          <w:color w:val="auto"/>
          <w:szCs w:val="20"/>
        </w:rPr>
        <w:t>s</w:t>
      </w:r>
      <w:r>
        <w:rPr>
          <w:rFonts w:eastAsia="Arial" w:cs="Arial"/>
          <w:color w:val="000000"/>
          <w:szCs w:val="20"/>
        </w:rPr>
        <w:t xml:space="preserve">ob pena de decair o direito à contratação, sem prejuízo das sanções previstas neste Aviso de Contratação Direta. </w:t>
      </w:r>
    </w:p>
    <w:p>
      <w:pPr>
        <w:pStyle w:val="Normal"/>
        <w:numPr>
          <w:ilvl w:val="2"/>
          <w:numId w:val="2"/>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Pr>
          <w:rFonts w:eastAsia="Arial" w:cs="Arial"/>
          <w:color w:val="FF0000"/>
          <w:kern w:val="0"/>
          <w:sz w:val="20"/>
          <w:szCs w:val="20"/>
          <w:lang w:val="pt-BR" w:eastAsia="pt-BR" w:bidi="ar-SA"/>
        </w:rPr>
        <w:t>01</w:t>
      </w:r>
      <w:r>
        <w:rPr>
          <w:rFonts w:eastAsia="Arial" w:cs="Arial"/>
          <w:color w:val="FF0000"/>
          <w:szCs w:val="20"/>
        </w:rPr>
        <w:t xml:space="preserve"> (um)</w:t>
      </w:r>
      <w:r>
        <w:rPr>
          <w:rFonts w:eastAsia="Arial" w:cs="Arial"/>
          <w:i/>
          <w:color w:val="FF0000"/>
          <w:szCs w:val="20"/>
        </w:rPr>
        <w:t xml:space="preserve"> dia útil,</w:t>
      </w:r>
      <w:r>
        <w:rPr>
          <w:rFonts w:eastAsia="Arial" w:cs="Arial"/>
          <w:color w:val="000000"/>
          <w:szCs w:val="20"/>
        </w:rPr>
        <w:t xml:space="preserve"> a contar da data de seu recebimento</w:t>
      </w:r>
      <w:r>
        <w:rPr>
          <w:rFonts w:eastAsia="Arial"/>
          <w:color w:val="000000"/>
        </w:rPr>
        <w:t xml:space="preserve"> ou da disponibilização do acesso ao sistema de processo eletrônico.</w:t>
      </w:r>
    </w:p>
    <w:p>
      <w:pPr>
        <w:pStyle w:val="Normal"/>
        <w:numPr>
          <w:ilvl w:val="2"/>
          <w:numId w:val="2"/>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2"/>
        </w:numPr>
        <w:spacing w:lineRule="auto" w:line="276" w:before="120" w:after="120"/>
        <w:ind w:left="425" w:hanging="0"/>
        <w:jc w:val="both"/>
        <w:rPr>
          <w:rFonts w:eastAsia="Arial" w:cs="Arial"/>
          <w:i/>
          <w:i/>
          <w:color w:val="FF0000"/>
          <w:szCs w:val="20"/>
        </w:rPr>
      </w:pPr>
      <w:r>
        <w:rPr>
          <w:rFonts w:eastAsia="Arial" w:cs="Arial"/>
          <w:i/>
          <w:color w:val="FF0000"/>
          <w:szCs w:val="20"/>
        </w:rPr>
        <w:t>O Aceite da Nota de Empenho ou do instrumento equivalente, emitida ao fornecedor adjudicado, implica o reconhecimento de que:</w:t>
      </w:r>
    </w:p>
    <w:p>
      <w:pPr>
        <w:pStyle w:val="Normal"/>
        <w:numPr>
          <w:ilvl w:val="2"/>
          <w:numId w:val="2"/>
        </w:numPr>
        <w:spacing w:lineRule="auto" w:line="276" w:before="120" w:after="120"/>
        <w:jc w:val="both"/>
        <w:rPr>
          <w:rFonts w:eastAsia="Arial" w:cs="Arial"/>
          <w:i/>
          <w:i/>
          <w:color w:val="FF0000"/>
          <w:szCs w:val="20"/>
        </w:rPr>
      </w:pPr>
      <w:r>
        <w:rPr>
          <w:rFonts w:eastAsia="Arial" w:cs="Arial"/>
          <w:i/>
          <w:color w:val="FF0000"/>
          <w:szCs w:val="20"/>
        </w:rPr>
        <w:t xml:space="preserve">referida Nota está substituindo o contrato, aplicando-se à relação de negócios ali estabelecida as disposições da </w:t>
      </w:r>
      <w:hyperlink r:id="rId13">
        <w:r>
          <w:rPr>
            <w:rStyle w:val="LinkdaInternet"/>
            <w:rFonts w:eastAsia="Arial" w:cs="Arial"/>
            <w:i/>
            <w:szCs w:val="20"/>
          </w:rPr>
          <w:t>Lei nº 14.133, de 2021</w:t>
        </w:r>
      </w:hyperlink>
      <w:r>
        <w:rPr>
          <w:rFonts w:eastAsia="Arial" w:cs="Arial"/>
          <w:i/>
          <w:color w:val="FF0000"/>
          <w:szCs w:val="20"/>
        </w:rPr>
        <w:t>;</w:t>
      </w:r>
    </w:p>
    <w:p>
      <w:pPr>
        <w:pStyle w:val="Normal"/>
        <w:numPr>
          <w:ilvl w:val="2"/>
          <w:numId w:val="2"/>
        </w:numPr>
        <w:spacing w:lineRule="auto" w:line="276" w:before="120" w:after="120"/>
        <w:jc w:val="both"/>
        <w:rPr>
          <w:rFonts w:eastAsia="Arial" w:cs="Arial"/>
          <w:i/>
          <w:i/>
          <w:color w:val="FF0000"/>
          <w:szCs w:val="20"/>
        </w:rPr>
      </w:pPr>
      <w:r>
        <w:rPr>
          <w:rFonts w:eastAsia="Arial" w:cs="Arial"/>
          <w:i/>
          <w:color w:val="FF0000"/>
          <w:szCs w:val="20"/>
        </w:rPr>
        <w:t>a contratada se vincula à sua proposta e às previsões contidas no Aviso de Contratação Direta e seus anexos;</w:t>
      </w:r>
    </w:p>
    <w:p>
      <w:pPr>
        <w:pStyle w:val="Normal"/>
        <w:numPr>
          <w:ilvl w:val="2"/>
          <w:numId w:val="2"/>
        </w:numPr>
        <w:spacing w:lineRule="auto" w:line="276" w:before="120" w:after="120"/>
        <w:jc w:val="both"/>
        <w:rPr>
          <w:rFonts w:eastAsia="Arial" w:cs="Arial"/>
          <w:i/>
          <w:i/>
          <w:color w:val="FF0000"/>
          <w:szCs w:val="20"/>
        </w:rPr>
      </w:pPr>
      <w:r>
        <w:rPr>
          <w:rFonts w:eastAsia="Arial" w:cs="Arial"/>
          <w:i/>
          <w:color w:val="FF0000"/>
          <w:szCs w:val="20"/>
        </w:rPr>
        <w:t xml:space="preserve">a contratada reconhece que as hipóteses de rescisão são aquelas previstas nos </w:t>
      </w:r>
      <w:r>
        <w:fldChar w:fldCharType="begin"/>
      </w:r>
      <w:r>
        <w:rPr>
          <w:rStyle w:val="LinkdaInternet"/>
          <w:i/>
          <w:szCs w:val="20"/>
          <w:rFonts w:eastAsia="Arial" w:cs="Arial"/>
        </w:rPr>
        <w:instrText> HYPERLINK "http://www.planalto.gov.br/ccivil_03/_ato2019-2022/2021/lei/L14133.htm" \l "art137"</w:instrText>
      </w:r>
      <w:r>
        <w:rPr>
          <w:rStyle w:val="LinkdaInternet"/>
          <w:i/>
          <w:szCs w:val="20"/>
          <w:rFonts w:eastAsia="Arial" w:cs="Arial"/>
        </w:rPr>
        <w:fldChar w:fldCharType="separate"/>
      </w:r>
      <w:r>
        <w:rPr>
          <w:rStyle w:val="LinkdaInternet"/>
          <w:rFonts w:eastAsia="Arial" w:cs="Arial"/>
          <w:i/>
          <w:szCs w:val="20"/>
        </w:rPr>
        <w:t>artigos 137 e 138 da Lei nº 14.133, de 2021</w:t>
      </w:r>
      <w:r>
        <w:rPr>
          <w:rStyle w:val="LinkdaInternet"/>
          <w:i/>
          <w:szCs w:val="20"/>
          <w:rFonts w:eastAsia="Arial" w:cs="Arial"/>
        </w:rPr>
        <w:fldChar w:fldCharType="end"/>
      </w:r>
      <w:r>
        <w:rPr>
          <w:rFonts w:eastAsia="Arial" w:cs="Arial"/>
          <w:i/>
          <w:color w:val="FF0000"/>
          <w:szCs w:val="20"/>
        </w:rPr>
        <w:t xml:space="preserve"> e reconhece os direitos da Administração previstos nos </w:t>
      </w:r>
      <w:r>
        <w:fldChar w:fldCharType="begin"/>
      </w:r>
      <w:r>
        <w:rPr>
          <w:rStyle w:val="LinkdaInternet"/>
          <w:i/>
          <w:szCs w:val="20"/>
          <w:rFonts w:eastAsia="Arial" w:cs="Arial"/>
        </w:rPr>
        <w:instrText> HYPERLINK "http://www.planalto.gov.br/ccivil_03/_ato2019-2022/2021/lei/L14133.htm" \l "art137"</w:instrText>
      </w:r>
      <w:r>
        <w:rPr>
          <w:rStyle w:val="LinkdaInternet"/>
          <w:i/>
          <w:szCs w:val="20"/>
          <w:rFonts w:eastAsia="Arial" w:cs="Arial"/>
        </w:rPr>
        <w:fldChar w:fldCharType="separate"/>
      </w:r>
      <w:r>
        <w:rPr>
          <w:rStyle w:val="LinkdaInternet"/>
          <w:rFonts w:eastAsia="Arial" w:cs="Arial"/>
          <w:i/>
          <w:szCs w:val="20"/>
        </w:rPr>
        <w:t>artigos 137 a 139 da mesma Lei</w:t>
      </w:r>
      <w:r>
        <w:rPr>
          <w:rStyle w:val="LinkdaInternet"/>
          <w:i/>
          <w:szCs w:val="20"/>
          <w:rFonts w:eastAsia="Arial" w:cs="Arial"/>
        </w:rPr>
        <w:fldChar w:fldCharType="end"/>
      </w:r>
      <w:r>
        <w:rPr>
          <w:rFonts w:eastAsia="Arial" w:cs="Arial"/>
          <w:i/>
          <w:color w:val="FF0000"/>
          <w:szCs w:val="20"/>
        </w:rPr>
        <w:t>.</w:t>
      </w:r>
    </w:p>
    <w:p>
      <w:pPr>
        <w:pStyle w:val="Normal"/>
        <w:numPr>
          <w:ilvl w:val="1"/>
          <w:numId w:val="2"/>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Documento de Formalização da Demanda. </w:t>
      </w:r>
    </w:p>
    <w:p>
      <w:pPr>
        <w:pStyle w:val="Normal"/>
        <w:numPr>
          <w:ilvl w:val="1"/>
          <w:numId w:val="2"/>
        </w:numPr>
        <w:spacing w:lineRule="auto" w:line="276" w:before="120" w:after="120"/>
        <w:ind w:left="425" w:hanging="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Ttulo1"/>
        <w:numPr>
          <w:ilvl w:val="0"/>
          <w:numId w:val="2"/>
        </w:numPr>
        <w:rPr/>
      </w:pPr>
      <w:bookmarkStart w:id="9" w:name="_Toc118380906"/>
      <w:r>
        <w:rPr/>
        <w:t>INFRAÇÕES E SANÇÕES ADMINISTRATIVAS</w:t>
      </w:r>
      <w:bookmarkEnd w:id="9"/>
    </w:p>
    <w:p>
      <w:pPr>
        <w:pStyle w:val="Normal"/>
        <w:numPr>
          <w:ilvl w:val="1"/>
          <w:numId w:val="2"/>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2"/>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2"/>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2"/>
        </w:numPr>
        <w:spacing w:lineRule="auto" w:line="276" w:before="120" w:after="120"/>
        <w:jc w:val="both"/>
        <w:rPr>
          <w:rFonts w:cs="Arial"/>
        </w:rPr>
      </w:pPr>
      <w:r>
        <w:rPr>
          <w:rFonts w:cs="Arial"/>
          <w:color w:val="000000"/>
          <w:szCs w:val="20"/>
        </w:rPr>
        <w:t>dar causa à inexecução total do contrato;</w:t>
      </w:r>
    </w:p>
    <w:p>
      <w:pPr>
        <w:pStyle w:val="Normal"/>
        <w:numPr>
          <w:ilvl w:val="2"/>
          <w:numId w:val="2"/>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2"/>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2"/>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2"/>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2"/>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2"/>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2"/>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2"/>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2"/>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2"/>
        </w:numPr>
        <w:spacing w:lineRule="auto" w:line="276" w:before="120" w:after="120"/>
        <w:jc w:val="both"/>
        <w:rPr>
          <w:rStyle w:val="LinkdaInternet"/>
          <w:rFonts w:cs="Arial"/>
          <w:szCs w:val="20"/>
        </w:rPr>
      </w:pPr>
      <w:r>
        <w:rPr>
          <w:rFonts w:cs="Arial"/>
          <w:color w:val="000000"/>
          <w:szCs w:val="20"/>
        </w:rPr>
        <w:t>praticar ato lesivo previsto no </w:t>
      </w:r>
      <w:r>
        <w:fldChar w:fldCharType="begin"/>
      </w:r>
      <w:r>
        <w:rPr>
          <w:rStyle w:val="LinkdaInternet"/>
        </w:rPr>
        <w:instrText>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2"/>
        </w:numPr>
        <w:spacing w:lineRule="auto" w:line="276" w:before="120" w:after="120"/>
        <w:ind w:left="425" w:hanging="0"/>
        <w:jc w:val="both"/>
        <w:rPr>
          <w:rFonts w:cs="Arial"/>
          <w:b/>
          <w:b/>
        </w:rPr>
      </w:pPr>
      <w:r>
        <w:fldChar w:fldCharType="begin"/>
      </w:r>
      <w:r>
        <w:rPr>
          <w:rFonts w:cs="Arial"/>
        </w:rPr>
        <w:instrText> HYPERLINK "http://www.planalto.gov.br/ccivil_03/_ato2019-2022/2021/lei/L14133.htm" \l "art5"</w:instrText>
      </w:r>
      <w:r>
        <w:rPr>
          <w:rFonts w:cs="Arial"/>
        </w:rPr>
        <w:fldChar w:fldCharType="separate"/>
      </w:r>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 xml:space="preserve">Multa de 10 </w:t>
      </w:r>
      <w:r>
        <w:rPr>
          <w:rFonts w:cs="Arial"/>
          <w:color w:val="FF0000"/>
        </w:rPr>
        <w:t xml:space="preserve">% (dez por cento)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2"/>
        </w:numPr>
        <w:spacing w:lineRule="auto" w:line="276" w:before="120" w:after="120"/>
        <w:ind w:left="425" w:hanging="0"/>
        <w:jc w:val="both"/>
        <w:rPr>
          <w:rFonts w:cs="Arial"/>
          <w:bCs/>
        </w:rPr>
      </w:pPr>
      <w:r>
        <w:rPr>
          <w:rFonts w:cs="Arial"/>
          <w:bCs/>
        </w:rPr>
        <w:t>A aplicação das sanções previstas neste Contrato não exclui, em hipótese alguma, a obrigação de reparação integral do dano causado à Contratante (</w:t>
      </w:r>
      <w:r>
        <w:fldChar w:fldCharType="begin"/>
      </w:r>
      <w:r>
        <w:rPr>
          <w:rStyle w:val="LinkdaInternet"/>
          <w:bCs/>
          <w:rFonts w:cs="Arial"/>
        </w:rPr>
        <w:instrText>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_____</w:t>
      </w:r>
      <w:r>
        <w:rPr>
          <w:rFonts w:cs="Arial"/>
          <w:bCs/>
          <w:i/>
          <w:iCs/>
        </w:rPr>
        <w:t xml:space="preserve"> </w:t>
      </w:r>
      <w:r>
        <w:rPr>
          <w:rFonts w:cs="Arial"/>
          <w:bCs/>
        </w:rPr>
        <w:t>dias, a contar da data do recebimento da comunicação enviada pela autoridade competente.</w:t>
      </w:r>
      <w:bookmarkStart w:id="10" w:name="_Hlk78351618"/>
      <w:bookmarkEnd w:id="10"/>
    </w:p>
    <w:p>
      <w:pPr>
        <w:pStyle w:val="Normal"/>
        <w:numPr>
          <w:ilvl w:val="1"/>
          <w:numId w:val="2"/>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2"/>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2"/>
        </w:numPr>
        <w:spacing w:lineRule="auto" w:line="276" w:before="120" w:after="120"/>
        <w:ind w:left="425" w:hanging="0"/>
        <w:jc w:val="both"/>
        <w:rPr>
          <w:rFonts w:cs="Arial"/>
          <w:bCs/>
        </w:rPr>
      </w:pPr>
      <w:r>
        <w:rPr>
          <w:rFonts w:cs="Arial"/>
          <w:bCs/>
        </w:rPr>
        <w:t>as peculiaridades do caso concreto;</w:t>
      </w:r>
    </w:p>
    <w:p>
      <w:pPr>
        <w:pStyle w:val="Normal"/>
        <w:numPr>
          <w:ilvl w:val="1"/>
          <w:numId w:val="2"/>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2"/>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2"/>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2"/>
        </w:numPr>
        <w:spacing w:lineRule="auto" w:line="276" w:before="120" w:after="120"/>
        <w:ind w:left="425" w:hanging="0"/>
        <w:jc w:val="both"/>
        <w:rPr>
          <w:rFonts w:cs="Arial"/>
          <w:bCs/>
        </w:rPr>
      </w:pPr>
      <w:r>
        <w:rPr>
          <w:rFonts w:cs="Arial"/>
          <w:bCs/>
        </w:rPr>
        <w:t xml:space="preserve">Os atos previstos como infrações administrativas na </w:t>
      </w:r>
      <w:hyperlink r:id="rId14">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5">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2"/>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2"/>
        </w:numPr>
        <w:rPr/>
      </w:pPr>
      <w:bookmarkStart w:id="11" w:name="_Toc118380907"/>
      <w:r>
        <w:rPr/>
        <w:t>DAS DISPOSIÇÕES GERAIS</w:t>
      </w:r>
      <w:bookmarkEnd w:id="11"/>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2"/>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2"/>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2"/>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2"/>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As providências dos subitens 9.1.1 e 9.1.2 também poderão ser utilizadas se não houver o comparecimento de quaisquer fornecedores interessados (procedimento deserto).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2"/>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2"/>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2"/>
        </w:numPr>
        <w:spacing w:lineRule="auto" w:line="276" w:before="120" w:after="120"/>
        <w:jc w:val="both"/>
        <w:rPr>
          <w:rFonts w:cs="Arial"/>
          <w:color w:val="000000"/>
          <w:szCs w:val="20"/>
        </w:rPr>
      </w:pPr>
      <w:r>
        <w:rPr>
          <w:rFonts w:cs="Arial"/>
          <w:color w:val="000000"/>
          <w:szCs w:val="20"/>
        </w:rPr>
        <w:t>ANEXO II – Documento de Formalização da Demanda.</w:t>
      </w:r>
    </w:p>
    <w:p>
      <w:pPr>
        <w:pStyle w:val="Normal"/>
        <w:spacing w:lineRule="auto" w:line="276" w:before="120" w:after="120"/>
        <w:jc w:val="both"/>
        <w:rPr>
          <w:rFonts w:cs="Arial"/>
          <w:color w:val="000000"/>
          <w:szCs w:val="20"/>
        </w:rPr>
      </w:pPr>
      <w:r>
        <w:rPr>
          <w:rFonts w:cs="Arial"/>
          <w:color w:val="000000"/>
          <w:szCs w:val="20"/>
        </w:rPr>
      </w:r>
    </w:p>
    <w:p>
      <w:pPr>
        <w:pStyle w:val="Normal"/>
        <w:spacing w:lineRule="auto" w:line="276" w:before="120" w:after="120"/>
        <w:jc w:val="both"/>
        <w:rPr>
          <w:rFonts w:cs="Arial"/>
          <w:color w:val="000000"/>
          <w:szCs w:val="20"/>
        </w:rPr>
      </w:pPr>
      <w:r>
        <w:rPr>
          <w:rFonts w:cs="Arial"/>
          <w:color w:val="000000"/>
          <w:szCs w:val="20"/>
        </w:rPr>
      </w:r>
    </w:p>
    <w:p>
      <w:pPr>
        <w:pStyle w:val="Normal"/>
        <w:spacing w:lineRule="auto" w:line="276" w:before="0" w:after="120"/>
        <w:ind w:left="360" w:right="-15" w:hanging="0"/>
        <w:jc w:val="center"/>
        <w:rPr>
          <w:rFonts w:cs="Arial"/>
          <w:color w:val="000000"/>
          <w:szCs w:val="20"/>
        </w:rPr>
      </w:pPr>
      <w:r>
        <w:rPr>
          <w:rFonts w:cs="Arial"/>
          <w:color w:val="000000"/>
          <w:szCs w:val="20"/>
        </w:rPr>
      </w:r>
    </w:p>
    <w:p>
      <w:pPr>
        <w:pStyle w:val="Normal"/>
        <w:spacing w:lineRule="auto" w:line="276" w:before="0" w:after="120"/>
        <w:ind w:left="360" w:right="-15" w:hanging="0"/>
        <w:jc w:val="center"/>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jc w:val="center"/>
        <w:rPr>
          <w:highlight w:val="yellow"/>
        </w:rPr>
      </w:pPr>
      <w:r>
        <w:rPr>
          <w:b/>
          <w:bCs/>
        </w:rPr>
        <w:t>FABIO HEITOR LACERDA SEARA – Ten Cel</w:t>
      </w:r>
    </w:p>
    <w:p>
      <w:pPr>
        <w:pStyle w:val="Normal"/>
        <w:spacing w:lineRule="auto" w:line="276"/>
        <w:jc w:val="center"/>
        <w:rPr>
          <w:b w:val="false"/>
          <w:b w:val="false"/>
          <w:bCs w:val="false"/>
        </w:rPr>
      </w:pPr>
      <w:r>
        <w:rPr>
          <w:rFonts w:cs="Arial"/>
          <w:b w:val="false"/>
          <w:bCs w:val="false"/>
          <w:iCs/>
          <w:color w:val="000000"/>
          <w:szCs w:val="20"/>
        </w:rPr>
        <w:t>Ordenador de Despesas do 4º B Log</w:t>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center"/>
        <w:rPr>
          <w:rFonts w:cs="Arial"/>
          <w:b/>
          <w:b/>
          <w:szCs w:val="20"/>
          <w:lang w:eastAsia="ar-SA"/>
        </w:rPr>
      </w:pPr>
      <w:r>
        <w:rPr>
          <w:rFonts w:cs="Arial"/>
          <w:b/>
          <w:szCs w:val="20"/>
          <w:lang w:eastAsia="ar-SA"/>
        </w:rPr>
        <w:t>ANEXO I – DOCUMENTAÇÃO EXIGIDA PARA HABILITAÇÃO</w:t>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eastAsia="Calibri" w:cs="Arial"/>
          <w:iCs/>
          <w:szCs w:val="20"/>
          <w:lang w:eastAsia="en-US"/>
        </w:rPr>
      </w:pPr>
      <w:r>
        <w:rPr>
          <w:rFonts w:eastAsia="Calibri" w:cs="Arial"/>
          <w:iCs/>
          <w:szCs w:val="20"/>
          <w:lang w:eastAsia="en-US"/>
        </w:rPr>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0"/>
          <w:numId w:val="7"/>
        </w:numPr>
        <w:spacing w:lineRule="auto" w:line="276" w:before="120" w:after="120"/>
        <w:ind w:left="0"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Habilitação jurídica</w:t>
      </w:r>
    </w:p>
    <w:p>
      <w:pPr>
        <w:pStyle w:val="ListParagraph"/>
        <w:spacing w:lineRule="auto" w:line="276" w:before="120" w:after="120"/>
        <w:ind w:left="1134" w:firstLine="11"/>
        <w:contextualSpacing/>
        <w:jc w:val="both"/>
        <w:rPr>
          <w:rFonts w:eastAsia="Calibri" w:cs="Arial"/>
          <w:i/>
          <w:i/>
          <w:color w:val="FF0000"/>
          <w:szCs w:val="20"/>
          <w:lang w:eastAsia="en-US"/>
        </w:rPr>
      </w:pPr>
      <w:r>
        <w:rPr>
          <w:rFonts w:eastAsia="Calibri" w:cs="Arial"/>
          <w:i/>
          <w:color w:val="FF0000"/>
          <w:szCs w:val="20"/>
          <w:lang w:eastAsia="en-US"/>
        </w:rPr>
      </w:r>
    </w:p>
    <w:p>
      <w:pPr>
        <w:pStyle w:val="ListParagraph"/>
        <w:numPr>
          <w:ilvl w:val="0"/>
          <w:numId w:val="0"/>
        </w:numPr>
        <w:tabs>
          <w:tab w:val="clear" w:pos="708"/>
          <w:tab w:val="left" w:pos="1440" w:leader="none"/>
        </w:tabs>
        <w:snapToGrid w:val="false"/>
        <w:spacing w:lineRule="auto" w:line="276" w:before="120" w:after="120"/>
        <w:ind w:left="2290" w:hanging="0"/>
        <w:contextualSpacing/>
        <w:jc w:val="both"/>
        <w:rPr/>
      </w:pPr>
      <w:r>
        <w:rPr/>
      </w:r>
    </w:p>
    <w:p>
      <w:pPr>
        <w:pStyle w:val="ListParagraph"/>
        <w:numPr>
          <w:ilvl w:val="2"/>
          <w:numId w:val="6"/>
        </w:numPr>
        <w:tabs>
          <w:tab w:val="clear" w:pos="708"/>
          <w:tab w:val="left" w:pos="1440" w:leader="none"/>
        </w:tabs>
        <w:snapToGrid w:val="false"/>
        <w:spacing w:lineRule="auto" w:line="276" w:before="120" w:after="120"/>
        <w:contextualSpacing/>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pPr>
        <w:pStyle w:val="ListParagraph"/>
        <w:numPr>
          <w:ilvl w:val="2"/>
          <w:numId w:val="6"/>
        </w:numPr>
        <w:tabs>
          <w:tab w:val="clear" w:pos="708"/>
          <w:tab w:val="left" w:pos="1440" w:leader="none"/>
        </w:tabs>
        <w:snapToGrid w:val="false"/>
        <w:spacing w:lineRule="auto" w:line="276" w:before="120" w:after="120"/>
        <w:contextualSpacing/>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Pr>
          <w:rFonts w:cs="Arial"/>
          <w:b/>
          <w:iCs/>
          <w:szCs w:val="20"/>
        </w:rPr>
        <w:t>Microempreendedor</w:t>
      </w:r>
      <w:r>
        <w:rPr>
          <w:rFonts w:cs="Arial"/>
          <w:szCs w:val="20"/>
        </w:rPr>
        <w:t xml:space="preserve"> Individual - CCMEI, cuja aceitação ficará condicionada à verificação da autenticidade no sítio </w:t>
      </w:r>
      <w:hyperlink r:id="rId16">
        <w:r>
          <w:rPr>
            <w:rStyle w:val="LinkdaInternet"/>
            <w:rFonts w:cs="Arial"/>
            <w:szCs w:val="20"/>
          </w:rPr>
          <w:t>https://www.gov.br/empresas-e-negocios/pt-br/empreendedor</w:t>
        </w:r>
      </w:hyperlink>
      <w:r>
        <w:rPr>
          <w:rFonts w:cs="Arial"/>
          <w:szCs w:val="20"/>
        </w:rPr>
        <w:t>;</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empresária, sociedade limitada unipessoal – SLU ou sociedade identificada como empresa individual de responsabilidade limitada - EIRELI</w:t>
      </w:r>
      <w:r>
        <w:rPr>
          <w:rFonts w:cs="Arial"/>
          <w:color w:val="000000"/>
          <w:szCs w:val="20"/>
        </w:rPr>
        <w:t>: inscrição do ato constitutivo, estatuto ou contrato social no</w:t>
      </w:r>
      <w:r>
        <w:rPr>
          <w:rFonts w:cs="Arial"/>
          <w:szCs w:val="20"/>
        </w:rPr>
        <w:t xml:space="preserve"> </w:t>
      </w:r>
      <w:r>
        <w:rPr>
          <w:rFonts w:cs="Arial"/>
          <w:color w:val="000000"/>
          <w:szCs w:val="20"/>
        </w:rPr>
        <w:t>Registro Público de Empresas Mercantis, a cargo da Junta Comercial da respectiva sede, acompanhada de documento comprobatório de seus administradores;</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empresária estrangeira com atuação permanente no País</w:t>
      </w:r>
      <w:r>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simples</w:t>
      </w:r>
      <w:r>
        <w:rPr>
          <w:rFonts w:cs="Arial"/>
          <w:color w:val="000000"/>
          <w:szCs w:val="20"/>
        </w:rPr>
        <w:t>: inscrição do ato constitutivo no Registro Civil de Pessoas Jurídicas do local de sua sede, acompanhada de documento comprobatório de seus administradores;</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Filial, sucursal ou agência</w:t>
      </w:r>
      <w:r>
        <w:rPr>
          <w:rFonts w:cs="Arial"/>
          <w:color w:val="000000"/>
          <w:szCs w:val="20"/>
        </w:rPr>
        <w:t xml:space="preserve"> </w:t>
      </w:r>
      <w:r>
        <w:rPr>
          <w:rFonts w:cs="Arial"/>
          <w:b/>
          <w:color w:val="000000"/>
          <w:szCs w:val="20"/>
        </w:rPr>
        <w:t>de sociedade simples ou empresária</w:t>
      </w:r>
      <w:r>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0"/>
          <w:numId w:val="0"/>
        </w:numPr>
        <w:tabs>
          <w:tab w:val="clear" w:pos="708"/>
          <w:tab w:val="left" w:pos="1440" w:leader="none"/>
        </w:tabs>
        <w:snapToGrid w:val="false"/>
        <w:spacing w:lineRule="auto" w:line="276" w:before="120" w:after="120"/>
        <w:ind w:left="2290" w:hanging="0"/>
        <w:contextualSpacing/>
        <w:jc w:val="both"/>
        <w:rPr>
          <w:szCs w:val="20"/>
        </w:rPr>
      </w:pPr>
      <w:r>
        <w:rPr>
          <w:szCs w:val="20"/>
        </w:rPr>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bCs/>
          <w:color w:val="000000"/>
          <w:szCs w:val="20"/>
        </w:rPr>
      </w:pPr>
      <w:r>
        <w:rPr>
          <w:rFonts w:cs="Arial"/>
          <w:bCs/>
          <w:color w:val="000000"/>
          <w:szCs w:val="20"/>
        </w:rPr>
        <w:t>Os documentos apresentados deverão estar acompanhados de todas as alterações ou da consolidação respectiva.</w:t>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Habilitações fiscal, social e trabalhista:</w:t>
      </w:r>
    </w:p>
    <w:p>
      <w:pPr>
        <w:pStyle w:val="ListParagraph"/>
        <w:numPr>
          <w:ilvl w:val="0"/>
          <w:numId w:val="0"/>
        </w:numPr>
        <w:tabs>
          <w:tab w:val="clear" w:pos="708"/>
          <w:tab w:val="left" w:pos="1440" w:leader="none"/>
        </w:tabs>
        <w:snapToGrid w:val="false"/>
        <w:spacing w:lineRule="auto" w:line="276" w:before="120" w:after="120"/>
        <w:ind w:left="3010" w:hanging="0"/>
        <w:contextualSpacing/>
        <w:jc w:val="both"/>
        <w:rPr>
          <w:rFonts w:eastAsia="Calibri" w:cs="Arial"/>
          <w:i/>
          <w:i/>
          <w:iCs/>
          <w:color w:val="FF0000"/>
          <w:szCs w:val="20"/>
          <w:lang w:eastAsia="en-US"/>
        </w:rPr>
      </w:pPr>
      <w:r>
        <w:rPr>
          <w:rFonts w:eastAsia="Calibri" w:cs="Arial"/>
          <w:i/>
          <w:iCs/>
          <w:color w:val="FF0000"/>
          <w:szCs w:val="20"/>
          <w:lang w:eastAsia="en-US"/>
        </w:rPr>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inscrição no Cadastro Nacional da Pessoa Jurídica (CNPJ);</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(FGTS);</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bCs/>
          <w:szCs w:val="20"/>
        </w:rPr>
      </w:pPr>
      <w:r>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bCs/>
          <w:szCs w:val="20"/>
        </w:rPr>
        <w:t xml:space="preserve">prova de </w:t>
      </w:r>
      <w:r>
        <w:rPr>
          <w:rFonts w:cs="Arial"/>
          <w:color w:val="000000"/>
          <w:szCs w:val="20"/>
        </w:rPr>
        <w:t xml:space="preserve">inscrição no cadastro de contribuintes </w:t>
      </w:r>
      <w:r>
        <w:rPr>
          <w:rFonts w:cs="Arial"/>
          <w:i/>
          <w:color w:val="FF0000"/>
          <w:szCs w:val="20"/>
        </w:rPr>
        <w:t>estadual/municipal/distrital</w:t>
      </w:r>
      <w:r>
        <w:rPr>
          <w:rFonts w:cs="Arial"/>
          <w:szCs w:val="20"/>
        </w:rPr>
        <w:t xml:space="preserve">, </w:t>
      </w:r>
      <w:r>
        <w:rPr>
          <w:rFonts w:cs="Arial"/>
          <w:color w:val="000000"/>
          <w:szCs w:val="20"/>
        </w:rPr>
        <w:t>se houver, relativo ao domicílio ou sede do fornecedor, pertinente ao seu ramo de atividade e compatível com o objeto contratual</w:t>
      </w:r>
      <w:r>
        <w:rPr>
          <w:rFonts w:cs="Arial"/>
          <w:bCs/>
          <w:color w:val="000000"/>
          <w:szCs w:val="20"/>
        </w:rPr>
        <w:t>;</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bCs/>
          <w:color w:val="000000"/>
          <w:szCs w:val="20"/>
        </w:rPr>
        <w:t xml:space="preserve">O fornecedor enquadrado como microempreendedor individual que pretenda auferir os benefícios do tratamento diferenciado previstos na </w:t>
      </w:r>
      <w:hyperlink r:id="rId17">
        <w:r>
          <w:rPr>
            <w:rStyle w:val="LinkdaInternet"/>
            <w:rFonts w:cs="Arial"/>
            <w:bCs/>
            <w:szCs w:val="20"/>
          </w:rPr>
          <w:t>Lei Complementar n. 123, de 2006</w:t>
        </w:r>
      </w:hyperlink>
      <w:r>
        <w:rPr>
          <w:rFonts w:cs="Arial"/>
          <w:bCs/>
          <w:color w:val="000000"/>
          <w:szCs w:val="20"/>
        </w:rPr>
        <w:t>, estará dispensado da prova de inscrição nos cadastros de contribuintes estadual e municipal.</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szCs w:val="20"/>
        </w:rPr>
        <w:t xml:space="preserve">prova de </w:t>
      </w:r>
      <w:r>
        <w:rPr>
          <w:rFonts w:cs="Arial"/>
          <w:bCs/>
          <w:szCs w:val="20"/>
        </w:rPr>
        <w:t>regularidade</w:t>
      </w:r>
      <w:r>
        <w:rPr>
          <w:rFonts w:cs="Arial"/>
          <w:szCs w:val="20"/>
        </w:rPr>
        <w:t xml:space="preserve"> com a Fazenda </w:t>
      </w:r>
      <w:r>
        <w:rPr>
          <w:rFonts w:cs="Arial"/>
          <w:i/>
          <w:color w:val="FF0000"/>
          <w:szCs w:val="20"/>
        </w:rPr>
        <w:t>Estadual/Municipal</w:t>
      </w:r>
      <w:r>
        <w:rPr>
          <w:rFonts w:cs="Arial"/>
          <w:szCs w:val="20"/>
        </w:rPr>
        <w:t xml:space="preserve"> ou Distrital</w:t>
      </w:r>
      <w:r>
        <w:rPr>
          <w:rFonts w:cs="Arial"/>
          <w:i/>
          <w:iCs/>
          <w:szCs w:val="20"/>
        </w:rPr>
        <w:t xml:space="preserve"> </w:t>
      </w:r>
      <w:r>
        <w:rPr>
          <w:rFonts w:cs="Arial"/>
          <w:szCs w:val="20"/>
        </w:rPr>
        <w:t xml:space="preserve">do domicílio ou sede do fornecedor, relativa à </w:t>
      </w:r>
      <w:r>
        <w:rPr>
          <w:rFonts w:cs="Arial"/>
          <w:bCs/>
          <w:szCs w:val="20"/>
        </w:rPr>
        <w:t>atividade</w:t>
      </w:r>
      <w:r>
        <w:rPr>
          <w:rFonts w:cs="Arial"/>
          <w:szCs w:val="20"/>
        </w:rPr>
        <w:t xml:space="preserve"> em cujo exercício contrata ou concorre; </w:t>
      </w:r>
    </w:p>
    <w:p>
      <w:pPr>
        <w:pStyle w:val="ListParagraph"/>
        <w:numPr>
          <w:ilvl w:val="3"/>
          <w:numId w:val="6"/>
        </w:numPr>
        <w:tabs>
          <w:tab w:val="clear" w:pos="708"/>
          <w:tab w:val="left" w:pos="1440" w:leader="none"/>
        </w:tabs>
        <w:snapToGrid w:val="false"/>
        <w:spacing w:lineRule="auto" w:line="276" w:before="120" w:after="120"/>
        <w:contextualSpacing/>
        <w:jc w:val="both"/>
        <w:rPr>
          <w:szCs w:val="20"/>
        </w:rPr>
      </w:pPr>
      <w:r>
        <w:rPr>
          <w:rFonts w:cs="Arial"/>
          <w:bCs/>
          <w:color w:val="000000"/>
          <w:szCs w:val="20"/>
        </w:rPr>
        <w:t xml:space="preserve">caso o fornecedor seja considerado isento dos tributos </w:t>
      </w:r>
      <w:r>
        <w:rPr>
          <w:rFonts w:cs="Arial"/>
          <w:bCs/>
          <w:i/>
          <w:color w:val="FF0000"/>
          <w:szCs w:val="20"/>
        </w:rPr>
        <w:t>estaduais</w:t>
      </w:r>
      <w:r>
        <w:rPr>
          <w:rFonts w:cs="Arial"/>
          <w:bCs/>
          <w:i/>
          <w:iCs/>
          <w:color w:val="FF0000"/>
          <w:szCs w:val="20"/>
        </w:rPr>
        <w:t>/municipais</w:t>
      </w:r>
      <w:r>
        <w:rPr>
          <w:rFonts w:cs="Arial"/>
          <w:bCs/>
          <w:iCs/>
          <w:color w:val="000000"/>
          <w:szCs w:val="20"/>
        </w:rPr>
        <w:t xml:space="preserve"> ou distritais</w:t>
      </w:r>
      <w:r>
        <w:rPr>
          <w:rFonts w:cs="Arial"/>
          <w:bCs/>
          <w:color w:val="000000"/>
          <w:szCs w:val="20"/>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sectPr>
          <w:headerReference w:type="default" r:id="rId18"/>
          <w:headerReference w:type="first" r:id="rId19"/>
          <w:footerReference w:type="default" r:id="rId20"/>
          <w:type w:val="nextPage"/>
          <w:pgSz w:w="11906" w:h="16838"/>
          <w:pgMar w:left="1701" w:right="1701" w:header="0" w:top="1417" w:footer="708" w:bottom="1417" w:gutter="0"/>
          <w:pgNumType w:fmt="decimal"/>
          <w:formProt w:val="false"/>
          <w:titlePg/>
          <w:textDirection w:val="lrTb"/>
          <w:docGrid w:type="default" w:linePitch="360" w:charSpace="0"/>
        </w:sect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t>ANEXO II – DOCUMENTO DE FORMALIZAÇÃO DA DEMANDA</w:t>
      </w:r>
    </w:p>
    <w:tbl>
      <w:tblPr>
        <w:tblW w:w="9980" w:type="dxa"/>
        <w:jc w:val="left"/>
        <w:tblInd w:w="-86" w:type="dxa"/>
        <w:tblCellMar>
          <w:top w:w="55" w:type="dxa"/>
          <w:left w:w="52" w:type="dxa"/>
          <w:bottom w:w="55" w:type="dxa"/>
          <w:right w:w="55" w:type="dxa"/>
        </w:tblCellMar>
      </w:tblPr>
      <w:tblGrid>
        <w:gridCol w:w="9980"/>
      </w:tblGrid>
      <w:tr>
        <w:trPr>
          <w:trHeight w:val="2338"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napToGrid w:val="false"/>
              <w:ind w:left="0" w:right="0" w:firstLine="851"/>
              <w:jc w:val="left"/>
              <w:rPr>
                <w:rFonts w:ascii="Arial" w:hAnsi="Arial" w:eastAsia="Times New Roman" w:cs="Arial"/>
                <w:b/>
                <w:b/>
                <w:color w:val="auto"/>
                <w:kern w:val="0"/>
                <w:sz w:val="20"/>
                <w:szCs w:val="20"/>
                <w:lang w:val="pt-BR" w:eastAsia="ar-SA" w:bidi="ar-SA"/>
              </w:rPr>
            </w:pPr>
            <w:r>
              <w:rPr>
                <w:rFonts w:eastAsia="Times New Roman" w:cs="Arial" w:ascii="Arial" w:hAnsi="Arial"/>
                <w:b/>
                <w:color w:val="auto"/>
                <w:kern w:val="0"/>
                <w:sz w:val="20"/>
                <w:szCs w:val="20"/>
                <w:lang w:val="pt-BR" w:eastAsia="ar-SA" w:bidi="ar-SA"/>
              </w:rPr>
              <w:drawing>
                <wp:anchor behindDoc="0" distT="0" distB="0" distL="0" distR="0" simplePos="0" locked="0" layoutInCell="1" allowOverlap="1" relativeHeight="4">
                  <wp:simplePos x="0" y="0"/>
                  <wp:positionH relativeFrom="column">
                    <wp:posOffset>2698115</wp:posOffset>
                  </wp:positionH>
                  <wp:positionV relativeFrom="paragraph">
                    <wp:posOffset>87630</wp:posOffset>
                  </wp:positionV>
                  <wp:extent cx="824230" cy="280035"/>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21"/>
                          <a:srcRect l="-30" t="-30" r="-30" b="-30"/>
                          <a:stretch>
                            <a:fillRect/>
                          </a:stretch>
                        </pic:blipFill>
                        <pic:spPr bwMode="auto">
                          <a:xfrm>
                            <a:off x="0" y="0"/>
                            <a:ext cx="824230" cy="280035"/>
                          </a:xfrm>
                          <a:prstGeom prst="rect">
                            <a:avLst/>
                          </a:prstGeom>
                        </pic:spPr>
                      </pic:pic>
                    </a:graphicData>
                  </a:graphic>
                </wp:anchor>
              </w:drawing>
            </w:r>
          </w:p>
          <w:p>
            <w:pPr>
              <w:pStyle w:val="Standard"/>
              <w:bidi w:val="0"/>
              <w:ind w:left="0" w:right="0" w:firstLine="851"/>
              <w:jc w:val="left"/>
              <w:rPr>
                <w:rFonts w:ascii="Times New Roman" w:hAnsi="Times New Roman" w:eastAsia="Times New Roman" w:cs="Times New Roman"/>
                <w:b/>
                <w:b/>
                <w:bCs/>
                <w:sz w:val="18"/>
                <w:szCs w:val="20"/>
              </w:rPr>
            </w:pPr>
            <w:r>
              <w:rPr>
                <w:rFonts w:eastAsia="Times New Roman" w:cs="Times New Roman" w:ascii="Times New Roman" w:hAnsi="Times New Roman"/>
                <w:b/>
                <w:bCs/>
                <w:sz w:val="18"/>
                <w:szCs w:val="20"/>
              </w:rPr>
              <w:t xml:space="preserve">                                                                             </w:t>
            </w:r>
          </w:p>
          <w:p>
            <w:pPr>
              <w:pStyle w:val="Standard"/>
              <w:bidi w:val="0"/>
              <w:ind w:left="0" w:right="0" w:firstLine="851"/>
              <w:jc w:val="center"/>
              <w:rPr>
                <w:rFonts w:ascii="Times New Roman" w:hAnsi="Times New Roman" w:cs="Times New Roman"/>
                <w:b/>
                <w:b/>
                <w:bCs/>
                <w:sz w:val="18"/>
                <w:szCs w:val="20"/>
              </w:rPr>
            </w:pPr>
            <w:r>
              <w:rPr>
                <w:rFonts w:cs="Times New Roman" w:ascii="Times New Roman" w:hAnsi="Times New Roman"/>
                <w:b/>
                <w:bCs/>
                <w:sz w:val="18"/>
                <w:szCs w:val="20"/>
              </w:rPr>
            </w:r>
          </w:p>
          <w:p>
            <w:pPr>
              <w:pStyle w:val="Standard"/>
              <w:bidi w:val="0"/>
              <w:jc w:val="center"/>
              <w:rPr>
                <w:rFonts w:ascii="Times New Roman" w:hAnsi="Times New Roman" w:cs="Times New Roman"/>
                <w:b/>
                <w:b/>
                <w:bCs/>
                <w:sz w:val="20"/>
                <w:szCs w:val="20"/>
              </w:rPr>
            </w:pPr>
            <w:r>
              <w:rPr>
                <w:rFonts w:cs="Times New Roman" w:ascii="Times New Roman" w:hAnsi="Times New Roman"/>
                <w:b/>
                <w:bCs/>
                <w:sz w:val="20"/>
                <w:szCs w:val="20"/>
              </w:rPr>
              <w:t>MINISTÉRIO DA DEFESA</w:t>
            </w:r>
          </w:p>
          <w:p>
            <w:pPr>
              <w:pStyle w:val="Standard"/>
              <w:bidi w:val="0"/>
              <w:jc w:val="center"/>
              <w:rPr>
                <w:rFonts w:ascii="Times New Roman" w:hAnsi="Times New Roman" w:cs="Times New Roman"/>
                <w:b/>
                <w:b/>
                <w:sz w:val="20"/>
                <w:szCs w:val="20"/>
              </w:rPr>
            </w:pPr>
            <w:r>
              <w:rPr>
                <w:rFonts w:cs="Times New Roman" w:ascii="Times New Roman" w:hAnsi="Times New Roman"/>
                <w:b/>
                <w:sz w:val="20"/>
                <w:szCs w:val="20"/>
              </w:rPr>
              <w:t>EXÉRCITO BRASILEIRO</w:t>
            </w:r>
          </w:p>
          <w:p>
            <w:pPr>
              <w:pStyle w:val="Normal"/>
              <w:jc w:val="center"/>
              <w:rPr>
                <w:b/>
                <w:b/>
                <w:bCs/>
              </w:rPr>
            </w:pPr>
            <w:r>
              <w:rPr>
                <w:b/>
                <w:bCs/>
              </w:rPr>
              <w:t>CMS – 3ª DE – 6ª BDA INF BLD</w:t>
            </w:r>
          </w:p>
          <w:p>
            <w:pPr>
              <w:pStyle w:val="Normal"/>
              <w:jc w:val="center"/>
              <w:rPr>
                <w:b/>
                <w:b/>
                <w:bCs/>
              </w:rPr>
            </w:pPr>
            <w:r>
              <w:rPr>
                <w:b/>
                <w:bCs/>
              </w:rPr>
              <w:t xml:space="preserve">4º BATALHÃO LOGÍSTICO </w:t>
            </w:r>
          </w:p>
          <w:p>
            <w:pPr>
              <w:pStyle w:val="Normal"/>
              <w:jc w:val="center"/>
              <w:rPr>
                <w:b/>
                <w:b/>
                <w:bCs/>
              </w:rPr>
            </w:pPr>
            <w:r>
              <w:rPr>
                <w:b/>
                <w:bCs/>
              </w:rPr>
              <w:t>(Nu 4ª Cia Esp Mnt/1944)</w:t>
            </w:r>
          </w:p>
          <w:p>
            <w:pPr>
              <w:pStyle w:val="Normal"/>
              <w:tabs>
                <w:tab w:val="clear" w:pos="708"/>
                <w:tab w:val="right" w:pos="-1134" w:leader="none"/>
                <w:tab w:val="center" w:pos="4677" w:leader="none"/>
              </w:tabs>
              <w:jc w:val="center"/>
              <w:rPr>
                <w:rFonts w:ascii="Arial" w:hAnsi="Arial" w:eastAsia="Times New Roman" w:cs="Arial"/>
                <w:b/>
                <w:b/>
                <w:color w:val="auto"/>
                <w:kern w:val="0"/>
                <w:sz w:val="20"/>
                <w:szCs w:val="20"/>
                <w:lang w:val="pt-BR" w:eastAsia="ar-SA" w:bidi="ar-SA"/>
              </w:rPr>
            </w:pPr>
            <w:r>
              <w:rPr>
                <w:rFonts w:eastAsia="Times New Roman" w:cs="Times New Roman" w:ascii="Times New Roman" w:hAnsi="Times New Roman"/>
                <w:b/>
                <w:bCs/>
                <w:sz w:val="20"/>
                <w:szCs w:val="20"/>
              </w:rPr>
              <w:t>“</w:t>
            </w:r>
            <w:r>
              <w:rPr>
                <w:rFonts w:cs="Times New Roman" w:ascii="Times New Roman" w:hAnsi="Times New Roman"/>
                <w:b/>
                <w:bCs/>
                <w:sz w:val="20"/>
                <w:szCs w:val="20"/>
              </w:rPr>
              <w:t>BATALHÃO CAPITÃO CIRILO COSTABEBER”</w:t>
            </w:r>
          </w:p>
          <w:p>
            <w:pPr>
              <w:pStyle w:val="Standard"/>
              <w:bidi w:val="0"/>
              <w:jc w:val="center"/>
              <w:rPr>
                <w:rFonts w:ascii="Times New Roman" w:hAnsi="Times New Roman" w:cs="Times New Roman"/>
                <w:b/>
                <w:b/>
                <w:bCs/>
                <w:sz w:val="18"/>
                <w:szCs w:val="18"/>
              </w:rPr>
            </w:pPr>
            <w:r>
              <w:rPr>
                <w:rFonts w:cs="Times New Roman" w:ascii="Times New Roman" w:hAnsi="Times New Roman"/>
                <w:b/>
                <w:bCs/>
                <w:sz w:val="18"/>
                <w:szCs w:val="18"/>
              </w:rPr>
            </w:r>
          </w:p>
        </w:tc>
      </w:tr>
      <w:tr>
        <w:trPr>
          <w:trHeight w:val="206" w:hRule="atLeast"/>
        </w:trPr>
        <w:tc>
          <w:tcPr>
            <w:tcW w:w="9980" w:type="dxa"/>
            <w:tcBorders>
              <w:top w:val="single" w:sz="2" w:space="0" w:color="008000"/>
              <w:left w:val="single" w:sz="2" w:space="0" w:color="008000"/>
              <w:bottom w:val="single" w:sz="2" w:space="0" w:color="008000"/>
              <w:right w:val="single" w:sz="2" w:space="0" w:color="008000"/>
            </w:tcBorders>
            <w:shd w:fill="DDDDDD" w:val="clear"/>
          </w:tcPr>
          <w:p>
            <w:pPr>
              <w:pStyle w:val="Standard"/>
              <w:bidi w:val="0"/>
              <w:spacing w:lineRule="atLeast" w:line="10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DOCUMENTO DE FORMALIZAÇÃO DA DEMANDA – DFD nº 02/2023 – CFC VO</w:t>
            </w:r>
          </w:p>
        </w:tc>
      </w:tr>
      <w:tr>
        <w:trPr>
          <w:trHeight w:val="220"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both"/>
              <w:rPr>
                <w:rFonts w:ascii="Times New Roman" w:hAnsi="Times New Roman" w:cs="Times New Roman"/>
                <w:b/>
                <w:b/>
                <w:bCs/>
                <w:sz w:val="20"/>
                <w:szCs w:val="20"/>
              </w:rPr>
            </w:pPr>
            <w:r>
              <w:rPr>
                <w:rFonts w:cs="Times New Roman" w:ascii="Times New Roman" w:hAnsi="Times New Roman"/>
                <w:b/>
                <w:bCs/>
                <w:sz w:val="20"/>
                <w:szCs w:val="20"/>
              </w:rPr>
              <w:t>Órgão: 4º Batalhão Logístico</w:t>
            </w:r>
          </w:p>
        </w:tc>
      </w:tr>
      <w:tr>
        <w:trPr>
          <w:trHeight w:val="206"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both"/>
              <w:rPr>
                <w:rFonts w:ascii="Times New Roman" w:hAnsi="Times New Roman" w:cs="Times New Roman"/>
                <w:b/>
                <w:b/>
                <w:bCs/>
                <w:sz w:val="20"/>
                <w:szCs w:val="20"/>
              </w:rPr>
            </w:pPr>
            <w:r>
              <w:rPr>
                <w:rFonts w:cs="Times New Roman" w:ascii="Times New Roman" w:hAnsi="Times New Roman"/>
                <w:b/>
                <w:bCs/>
                <w:sz w:val="20"/>
                <w:szCs w:val="20"/>
              </w:rPr>
              <w:t>Setor Requisitante (Unidade/Setor/Depto): CFC Verde Oliva</w:t>
            </w:r>
          </w:p>
        </w:tc>
      </w:tr>
      <w:tr>
        <w:trPr>
          <w:trHeight w:val="25"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napToGrid w:val="false"/>
              <w:jc w:val="left"/>
              <w:rPr>
                <w:rFonts w:ascii="Arial" w:hAnsi="Arial" w:eastAsia="Times New Roman" w:cs="Arial"/>
                <w:b/>
                <w:b/>
                <w:color w:val="auto"/>
                <w:kern w:val="0"/>
                <w:sz w:val="20"/>
                <w:szCs w:val="20"/>
                <w:lang w:val="pt-BR" w:eastAsia="ar-SA" w:bidi="ar-SA"/>
              </w:rPr>
            </w:pPr>
            <w:r>
              <w:rPr>
                <w:rFonts w:cs="Times New Roman" w:ascii="Times New Roman" w:hAnsi="Times New Roman"/>
                <w:b/>
                <w:bCs/>
                <w:sz w:val="20"/>
                <w:szCs w:val="20"/>
              </w:rPr>
              <w:t>Responsável pela Demanda:  S Ten Marcelo André Alves</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1. Objeto da Contratação:</w:t>
            </w:r>
          </w:p>
        </w:tc>
      </w:tr>
      <w:tr>
        <w:trPr>
          <w:trHeight w:val="327"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Standard"/>
              <w:tabs>
                <w:tab w:val="clear" w:pos="708"/>
                <w:tab w:val="left" w:pos="450" w:leader="none"/>
              </w:tabs>
              <w:bidi w:val="0"/>
              <w:snapToGrid w:val="false"/>
              <w:spacing w:lineRule="atLeast" w:line="200" w:before="0" w:after="113"/>
              <w:jc w:val="both"/>
              <w:rPr>
                <w:rFonts w:ascii="Open Sans;Arial" w:hAnsi="Open Sans;Arial" w:cs="Open Sans;Arial"/>
                <w:b w:val="false"/>
                <w:b w:val="false"/>
                <w:bCs w:val="false"/>
                <w:color w:val="000000"/>
                <w:sz w:val="16"/>
                <w:szCs w:val="16"/>
              </w:rPr>
            </w:pPr>
            <w:r>
              <w:rPr>
                <w:rFonts w:cs="Open Sans;Arial" w:ascii="Open Sans;Arial" w:hAnsi="Open Sans;Arial"/>
                <w:b w:val="false"/>
                <w:bCs w:val="false"/>
                <w:color w:val="000000"/>
                <w:sz w:val="16"/>
                <w:szCs w:val="16"/>
              </w:rPr>
              <w:t>Cursos de Capacitação de pessoal, na área de trânsito, conforme previsto na Resolução CONTRAN nº 789, de 16 JUN 20.</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2. Justificativa da necessidade de aquisição do material OU prestação do serviço:</w:t>
            </w:r>
          </w:p>
        </w:tc>
      </w:tr>
      <w:tr>
        <w:trPr>
          <w:trHeight w:val="1585"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pacing w:lineRule="auto" w:line="240"/>
              <w:jc w:val="both"/>
              <w:rPr>
                <w:rFonts w:ascii="Arial" w:hAnsi="Arial" w:eastAsia="Times New Roman" w:cs="Arial"/>
                <w:b/>
                <w:b/>
                <w:color w:val="auto"/>
                <w:kern w:val="0"/>
                <w:sz w:val="20"/>
                <w:szCs w:val="20"/>
                <w:lang w:val="pt-BR" w:eastAsia="ar-SA" w:bidi="ar-SA"/>
              </w:rPr>
            </w:pPr>
            <w:r>
              <w:rPr>
                <w:rFonts w:cs="Times New Roman" w:ascii="Times New Roman" w:hAnsi="Times New Roman"/>
                <w:b/>
                <w:bCs/>
                <w:sz w:val="20"/>
                <w:szCs w:val="20"/>
              </w:rPr>
              <w:t xml:space="preserve">2.1. Motivação da Contratação: </w:t>
            </w:r>
            <w:r>
              <w:rPr>
                <w:rFonts w:cs="Times New Roman" w:ascii="Times New Roman" w:hAnsi="Times New Roman"/>
                <w:b w:val="false"/>
                <w:bCs w:val="false"/>
                <w:sz w:val="20"/>
                <w:szCs w:val="20"/>
              </w:rPr>
              <w:t>Necessidade de qualificação de pessoal para desempenhar as diversas atividades no CFC Verde Oliva, atendendo a legislação em vigor.</w:t>
            </w:r>
          </w:p>
          <w:p>
            <w:pPr>
              <w:pStyle w:val="Standard"/>
              <w:bidi w:val="0"/>
              <w:spacing w:lineRule="auto" w:line="240"/>
              <w:jc w:val="both"/>
              <w:rPr>
                <w:rFonts w:ascii="Arial" w:hAnsi="Arial" w:eastAsia="Times New Roman" w:cs="Arial"/>
                <w:b/>
                <w:b/>
                <w:color w:val="auto"/>
                <w:kern w:val="0"/>
                <w:sz w:val="20"/>
                <w:szCs w:val="20"/>
                <w:lang w:val="pt-BR" w:eastAsia="ar-SA" w:bidi="ar-SA"/>
              </w:rPr>
            </w:pPr>
            <w:r>
              <w:rPr>
                <w:rFonts w:eastAsia="Times New Roman" w:cs="Arial" w:ascii="Arial" w:hAnsi="Arial"/>
                <w:b/>
                <w:color w:val="auto"/>
                <w:kern w:val="0"/>
                <w:sz w:val="20"/>
                <w:szCs w:val="20"/>
                <w:lang w:val="pt-BR" w:eastAsia="ar-SA" w:bidi="ar-SA"/>
              </w:rPr>
            </w:r>
          </w:p>
          <w:p>
            <w:pPr>
              <w:pStyle w:val="Standard"/>
              <w:bidi w:val="0"/>
              <w:spacing w:lineRule="auto" w:line="240"/>
              <w:jc w:val="both"/>
              <w:rPr>
                <w:rFonts w:ascii="Arial" w:hAnsi="Arial" w:eastAsia="Times New Roman" w:cs="Arial"/>
                <w:b/>
                <w:b/>
                <w:color w:val="auto"/>
                <w:kern w:val="0"/>
                <w:sz w:val="20"/>
                <w:szCs w:val="20"/>
                <w:lang w:val="pt-BR" w:eastAsia="ar-SA" w:bidi="ar-SA"/>
              </w:rPr>
            </w:pPr>
            <w:r>
              <w:rPr>
                <w:rFonts w:cs="Times New Roman" w:ascii="Times New Roman" w:hAnsi="Times New Roman"/>
                <w:b/>
                <w:bCs/>
                <w:sz w:val="20"/>
                <w:szCs w:val="20"/>
              </w:rPr>
              <w:t xml:space="preserve">2.2. Objetivos da Contratação: </w:t>
            </w:r>
            <w:r>
              <w:rPr>
                <w:rFonts w:cs="Times New Roman" w:ascii="Times New Roman" w:hAnsi="Times New Roman"/>
                <w:b w:val="false"/>
                <w:bCs w:val="false"/>
                <w:sz w:val="20"/>
                <w:szCs w:val="20"/>
              </w:rPr>
              <w:t xml:space="preserve">Manter o quadro de pessoal com as qualificações exigidas em lei, bem como manter militares qualificados e em condições de desempenhar imediatamente função de instrutor, diretor e /ou examinador no Centro de Formação de Condutores da 6ª Brigada de Infantaria Blindada – CFC Verde Oliva. </w:t>
            </w:r>
          </w:p>
          <w:p>
            <w:pPr>
              <w:pStyle w:val="Standard"/>
              <w:bidi w:val="0"/>
              <w:spacing w:lineRule="auto" w:line="240"/>
              <w:jc w:val="both"/>
              <w:rPr>
                <w:rFonts w:ascii="Times New Roman" w:hAnsi="Times New Roman" w:cs="Times New Roman"/>
                <w:b/>
                <w:b/>
                <w:bCs/>
                <w:sz w:val="20"/>
                <w:szCs w:val="20"/>
              </w:rPr>
            </w:pPr>
            <w:r>
              <w:rPr>
                <w:rFonts w:cs="Times New Roman" w:ascii="Times New Roman" w:hAnsi="Times New Roman"/>
                <w:b/>
                <w:bCs/>
                <w:sz w:val="20"/>
                <w:szCs w:val="20"/>
              </w:rPr>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3. Quantidade de material a ser contratada:</w:t>
            </w:r>
          </w:p>
        </w:tc>
      </w:tr>
      <w:tr>
        <w:trPr>
          <w:trHeight w:val="241"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pacing w:lineRule="auto" w:line="24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3.1. Justificativa da quantidade:</w:t>
            </w:r>
          </w:p>
          <w:p>
            <w:pPr>
              <w:pStyle w:val="Standard"/>
              <w:bidi w:val="0"/>
              <w:spacing w:lineRule="auto" w:line="240"/>
              <w:jc w:val="both"/>
              <w:rPr>
                <w:rFonts w:ascii="Times New Roman" w:hAnsi="Times New Roman" w:cs="Times New Roman"/>
                <w:b w:val="false"/>
                <w:b w:val="false"/>
                <w:bCs w:val="false"/>
                <w:color w:val="000000"/>
                <w:sz w:val="20"/>
                <w:szCs w:val="20"/>
              </w:rPr>
            </w:pPr>
            <w:r>
              <w:rPr>
                <w:rFonts w:cs="Times New Roman" w:ascii="Times New Roman" w:hAnsi="Times New Roman"/>
                <w:b w:val="false"/>
                <w:bCs w:val="false"/>
                <w:color w:val="000000"/>
                <w:sz w:val="20"/>
                <w:szCs w:val="20"/>
              </w:rPr>
              <w:t>O quantitativo abaixo justifica-se a fim de manter pessoal qualificado, nas diversas OM da 6ª Bda Inf Bld, em condição de substituição imediata, quando necessário.</w:t>
            </w:r>
          </w:p>
          <w:tbl>
            <w:tblPr>
              <w:tblW w:w="9893" w:type="dxa"/>
              <w:jc w:val="left"/>
              <w:tblInd w:w="0" w:type="dxa"/>
              <w:tblCellMar>
                <w:top w:w="0" w:type="dxa"/>
                <w:left w:w="5" w:type="dxa"/>
                <w:bottom w:w="0" w:type="dxa"/>
                <w:right w:w="10" w:type="dxa"/>
              </w:tblCellMar>
            </w:tblPr>
            <w:tblGrid>
              <w:gridCol w:w="729"/>
              <w:gridCol w:w="7551"/>
              <w:gridCol w:w="1613"/>
            </w:tblGrid>
            <w:tr>
              <w:trPr>
                <w:trHeight w:val="350" w:hRule="atLeast"/>
              </w:trPr>
              <w:tc>
                <w:tcPr>
                  <w:tcW w:w="729" w:type="dxa"/>
                  <w:tcBorders>
                    <w:top w:val="single" w:sz="4" w:space="0" w:color="000000"/>
                    <w:left w:val="single" w:sz="4" w:space="0" w:color="000000"/>
                    <w:bottom w:val="single" w:sz="4" w:space="0" w:color="000000"/>
                  </w:tcBorders>
                  <w:shd w:fill="DDDDDD" w:val="clear"/>
                  <w:vAlign w:val="center"/>
                </w:tcPr>
                <w:p>
                  <w:pPr>
                    <w:pStyle w:val="Standard"/>
                    <w:suppressAutoHyphens w:val="false"/>
                    <w:bidi w:val="0"/>
                    <w:spacing w:lineRule="auto" w:line="24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ITEM</w:t>
                  </w:r>
                </w:p>
              </w:tc>
              <w:tc>
                <w:tcPr>
                  <w:tcW w:w="7551" w:type="dxa"/>
                  <w:tcBorders>
                    <w:top w:val="single" w:sz="4" w:space="0" w:color="000000"/>
                    <w:left w:val="single" w:sz="4" w:space="0" w:color="000000"/>
                    <w:bottom w:val="single" w:sz="4" w:space="0" w:color="000000"/>
                  </w:tcBorders>
                  <w:shd w:fill="DDDDDD" w:val="clear"/>
                  <w:vAlign w:val="center"/>
                </w:tcPr>
                <w:p>
                  <w:pPr>
                    <w:pStyle w:val="Standard"/>
                    <w:suppressAutoHyphens w:val="false"/>
                    <w:bidi w:val="0"/>
                    <w:spacing w:lineRule="auto" w:line="24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ESPECIFICAÇÃO</w:t>
                  </w:r>
                </w:p>
              </w:tc>
              <w:tc>
                <w:tcPr>
                  <w:tcW w:w="1613" w:type="dxa"/>
                  <w:tcBorders>
                    <w:top w:val="single" w:sz="4" w:space="0" w:color="000000"/>
                    <w:left w:val="single" w:sz="4" w:space="0" w:color="000000"/>
                    <w:bottom w:val="single" w:sz="4" w:space="0" w:color="000000"/>
                    <w:right w:val="single" w:sz="4" w:space="0" w:color="000000"/>
                  </w:tcBorders>
                  <w:shd w:fill="DDDDDD" w:val="clear"/>
                  <w:vAlign w:val="center"/>
                </w:tcPr>
                <w:p>
                  <w:pPr>
                    <w:pStyle w:val="Standard"/>
                    <w:suppressAutoHyphens w:val="false"/>
                    <w:bidi w:val="0"/>
                    <w:spacing w:lineRule="auto" w:line="24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Qtd</w:t>
                  </w:r>
                </w:p>
              </w:tc>
            </w:tr>
            <w:tr>
              <w:trPr>
                <w:trHeight w:val="338"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cs="arial"/>
                      <w:color w:val="auto"/>
                      <w:sz w:val="21"/>
                      <w:szCs w:val="21"/>
                    </w:rPr>
                  </w:pPr>
                  <w:r>
                    <w:rPr>
                      <w:rFonts w:cs="arial" w:ascii="arial" w:hAnsi="arial"/>
                      <w:color w:val="auto"/>
                      <w:sz w:val="21"/>
                      <w:szCs w:val="21"/>
                    </w:rPr>
                    <w:t>Curso para Instrutor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2</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Diretor Geral de CFC</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3</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Diretor de Ensino de CFC</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4</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de Examinador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5</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de Atualização de Instrutor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6</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de Atualização de examinador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01</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7</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Coletivo de Passageiros</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8</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de Emergência</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9</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Escolar</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10</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de Cargas Indivisíveis</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11</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de Produtos Perigosos</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bl>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4. Previsão de data em que os materiais serão utilizados OU em que deve ser iniciada a prestação dos serviços:</w:t>
            </w:r>
          </w:p>
        </w:tc>
      </w:tr>
      <w:tr>
        <w:trPr>
          <w:trHeight w:val="1527"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Normal"/>
              <w:bidi w:val="0"/>
              <w:snapToGrid w:val="false"/>
              <w:jc w:val="both"/>
              <w:rPr>
                <w:rFonts w:ascii="arial" w:hAnsi="arial" w:cs="arial"/>
                <w:b/>
                <w:b/>
                <w:bCs/>
                <w:color w:val="000000"/>
                <w:sz w:val="21"/>
                <w:szCs w:val="21"/>
              </w:rPr>
            </w:pPr>
            <w:r>
              <w:rPr>
                <w:rFonts w:cs="arial" w:ascii="arial" w:hAnsi="arial"/>
                <w:b/>
                <w:bCs/>
                <w:color w:val="000000"/>
                <w:sz w:val="21"/>
                <w:szCs w:val="21"/>
              </w:rPr>
            </w:r>
          </w:p>
          <w:p>
            <w:pPr>
              <w:pStyle w:val="Normal"/>
              <w:bidi w:val="0"/>
              <w:snapToGrid w:val="false"/>
              <w:jc w:val="both"/>
              <w:rPr>
                <w:rFonts w:ascii="arial" w:hAnsi="arial" w:cs="arial"/>
                <w:b/>
                <w:b/>
                <w:bCs/>
                <w:color w:val="000000"/>
                <w:sz w:val="21"/>
                <w:szCs w:val="21"/>
              </w:rPr>
            </w:pPr>
            <w:r>
              <w:rPr>
                <w:rFonts w:cs="arial" w:ascii="arial" w:hAnsi="arial"/>
                <w:b/>
                <w:bCs/>
                <w:color w:val="000000"/>
                <w:sz w:val="21"/>
                <w:szCs w:val="21"/>
              </w:rPr>
              <w:t>- Até 30 (trinta) dias após o recebimento da Nota de Empenho.</w:t>
            </w:r>
          </w:p>
          <w:p>
            <w:pPr>
              <w:pStyle w:val="Standard"/>
              <w:suppressAutoHyphens w:val="false"/>
              <w:bidi w:val="0"/>
              <w:spacing w:lineRule="auto" w:line="360"/>
              <w:jc w:val="both"/>
              <w:rPr>
                <w:rFonts w:ascii="Open Sans;Arial" w:hAnsi="Open Sans;Arial" w:cs="Open Sans;Arial"/>
                <w:b/>
                <w:b/>
                <w:bCs/>
                <w:color w:val="000000"/>
                <w:sz w:val="16"/>
                <w:szCs w:val="16"/>
              </w:rPr>
            </w:pPr>
            <w:r>
              <w:rPr>
                <w:rFonts w:cs="Open Sans;Arial" w:ascii="Open Sans;Arial" w:hAnsi="Open Sans;Arial"/>
                <w:b/>
                <w:bCs/>
                <w:color w:val="000000"/>
                <w:sz w:val="16"/>
                <w:szCs w:val="16"/>
              </w:rPr>
            </w:r>
          </w:p>
          <w:tbl>
            <w:tblPr>
              <w:tblW w:w="10026" w:type="dxa"/>
              <w:jc w:val="left"/>
              <w:tblInd w:w="-15" w:type="dxa"/>
              <w:tblCellMar>
                <w:top w:w="55" w:type="dxa"/>
                <w:left w:w="52" w:type="dxa"/>
                <w:bottom w:w="55" w:type="dxa"/>
                <w:right w:w="55" w:type="dxa"/>
              </w:tblCellMar>
            </w:tblPr>
            <w:tblGrid>
              <w:gridCol w:w="10026"/>
            </w:tblGrid>
            <w:tr>
              <w:trPr/>
              <w:tc>
                <w:tcPr>
                  <w:tcW w:w="10026"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5. Grau de prioridade da compra</w:t>
                  </w:r>
                </w:p>
              </w:tc>
            </w:tr>
          </w:tbl>
          <w:p>
            <w:pPr>
              <w:pStyle w:val="Standard"/>
              <w:suppressAutoHyphens w:val="false"/>
              <w:bidi w:val="0"/>
              <w:spacing w:lineRule="auto" w:line="360"/>
              <w:jc w:val="both"/>
              <w:rPr>
                <w:rFonts w:ascii="Open Sans;Arial" w:hAnsi="Open Sans;Arial" w:cs="Open Sans;Arial"/>
                <w:color w:val="000000"/>
                <w:sz w:val="16"/>
                <w:szCs w:val="16"/>
              </w:rPr>
            </w:pPr>
            <w:r>
              <w:rPr>
                <w:rFonts w:cs="Open Sans;Arial" w:ascii="Open Sans;Arial" w:hAnsi="Open Sans;Arial"/>
                <w:color w:val="000000"/>
                <w:sz w:val="16"/>
                <w:szCs w:val="16"/>
              </w:rPr>
            </w:r>
          </w:p>
          <w:p>
            <w:pPr>
              <w:pStyle w:val="Standard"/>
              <w:suppressAutoHyphens w:val="false"/>
              <w:bidi w:val="0"/>
              <w:spacing w:lineRule="auto" w:line="360"/>
              <w:jc w:val="both"/>
              <w:rPr>
                <w:rFonts w:ascii="Arial" w:hAnsi="Arial" w:eastAsia="Times New Roman" w:cs="Arial"/>
                <w:b/>
                <w:b/>
                <w:color w:val="auto"/>
                <w:kern w:val="0"/>
                <w:sz w:val="20"/>
                <w:szCs w:val="20"/>
                <w:lang w:val="pt-BR" w:eastAsia="ar-SA" w:bidi="ar-SA"/>
              </w:rPr>
            </w:pPr>
            <w:r>
              <w:rPr>
                <w:rStyle w:val="Fontepargpadro1"/>
                <w:rFonts w:cs="Times New Roman" w:ascii="Times New Roman" w:hAnsi="Times New Roman"/>
                <w:color w:val="000000"/>
                <w:sz w:val="20"/>
                <w:szCs w:val="20"/>
                <w:highlight w:val="white"/>
              </w:rPr>
              <w:t>(   ) Baixo    (     ) Médio    ( X )Alto</w:t>
            </w:r>
          </w:p>
          <w:p>
            <w:pPr>
              <w:pStyle w:val="Standard"/>
              <w:suppressAutoHyphens w:val="false"/>
              <w:bidi w:val="0"/>
              <w:spacing w:lineRule="auto" w:line="360"/>
              <w:jc w:val="both"/>
              <w:rPr>
                <w:rFonts w:ascii="Open Sans;Arial" w:hAnsi="Open Sans;Arial" w:cs="Open Sans;Arial"/>
                <w:color w:val="000000"/>
                <w:sz w:val="16"/>
                <w:szCs w:val="16"/>
              </w:rPr>
            </w:pPr>
            <w:r>
              <w:rPr>
                <w:rFonts w:cs="Open Sans;Arial" w:ascii="Open Sans;Arial" w:hAnsi="Open Sans;Arial"/>
                <w:color w:val="000000"/>
                <w:sz w:val="16"/>
                <w:szCs w:val="16"/>
              </w:rPr>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81" w:type="dxa"/>
        <w:jc w:val="left"/>
        <w:tblInd w:w="-86" w:type="dxa"/>
        <w:tblCellMar>
          <w:top w:w="55" w:type="dxa"/>
          <w:left w:w="52" w:type="dxa"/>
          <w:bottom w:w="55" w:type="dxa"/>
          <w:right w:w="55" w:type="dxa"/>
        </w:tblCellMar>
      </w:tblPr>
      <w:tblGrid>
        <w:gridCol w:w="2890"/>
        <w:gridCol w:w="3686"/>
        <w:gridCol w:w="1535"/>
        <w:gridCol w:w="1869"/>
      </w:tblGrid>
      <w:tr>
        <w:trPr>
          <w:trHeight w:val="46" w:hRule="atLeast"/>
        </w:trPr>
        <w:tc>
          <w:tcPr>
            <w:tcW w:w="9980" w:type="dxa"/>
            <w:gridSpan w:val="4"/>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6. Indicação dos membros da Equipe de Planejamento: (CASO já tenha publicação)</w:t>
            </w:r>
          </w:p>
        </w:tc>
      </w:tr>
      <w:tr>
        <w:trPr>
          <w:trHeight w:val="46" w:hRule="atLeast"/>
        </w:trPr>
        <w:tc>
          <w:tcPr>
            <w:tcW w:w="2890"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FUNÇÃO/CARGO</w:t>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NOME</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IDENTIDADE</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CIÊNCIA</w:t>
            </w:r>
          </w:p>
        </w:tc>
      </w:tr>
      <w:tr>
        <w:trPr>
          <w:trHeight w:val="46" w:hRule="atLeast"/>
        </w:trPr>
        <w:tc>
          <w:tcPr>
            <w:tcW w:w="2890" w:type="dxa"/>
            <w:vMerge w:val="restart"/>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left"/>
              <w:rPr>
                <w:rFonts w:ascii="Times New Roman" w:hAnsi="Times New Roman" w:cs="Times New Roman"/>
                <w:sz w:val="20"/>
                <w:szCs w:val="20"/>
              </w:rPr>
            </w:pPr>
            <w:r>
              <w:rPr>
                <w:rFonts w:cs="Times New Roman" w:ascii="Times New Roman" w:hAnsi="Times New Roman"/>
                <w:sz w:val="20"/>
                <w:szCs w:val="20"/>
              </w:rPr>
              <w:t>Integrante(s) requisitante(s)</w:t>
            </w:r>
          </w:p>
          <w:p>
            <w:pPr>
              <w:pStyle w:val="Contedodatabela"/>
              <w:bidi w:val="0"/>
              <w:jc w:val="left"/>
              <w:rPr>
                <w:rFonts w:ascii="Times New Roman" w:hAnsi="Times New Roman" w:cs="Times New Roman"/>
                <w:sz w:val="20"/>
                <w:szCs w:val="20"/>
              </w:rPr>
            </w:pPr>
            <w:r>
              <w:rPr>
                <w:rFonts w:cs="Times New Roman" w:ascii="Times New Roman" w:hAnsi="Times New Roman"/>
                <w:sz w:val="20"/>
                <w:szCs w:val="20"/>
              </w:rPr>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Luis Carlos Chagas</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Sim</w:t>
            </w:r>
          </w:p>
        </w:tc>
      </w:tr>
      <w:tr>
        <w:trPr>
          <w:trHeight w:val="46" w:hRule="atLeast"/>
        </w:trPr>
        <w:tc>
          <w:tcPr>
            <w:tcW w:w="2890" w:type="dxa"/>
            <w:vMerge w:val="continue"/>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left"/>
              <w:rPr>
                <w:rFonts w:ascii="Times New Roman" w:hAnsi="Times New Roman" w:cs="Times New Roman"/>
                <w:sz w:val="20"/>
                <w:szCs w:val="20"/>
              </w:rPr>
            </w:pPr>
            <w:r>
              <w:rPr>
                <w:rFonts w:cs="Times New Roman" w:ascii="Times New Roman" w:hAnsi="Times New Roman"/>
                <w:sz w:val="20"/>
                <w:szCs w:val="20"/>
              </w:rPr>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Antonio Witor Murussi dos Santos</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Sim</w:t>
            </w:r>
          </w:p>
        </w:tc>
      </w:tr>
      <w:tr>
        <w:trPr/>
        <w:tc>
          <w:tcPr>
            <w:tcW w:w="2890"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left"/>
              <w:rPr>
                <w:rFonts w:ascii="Times New Roman" w:hAnsi="Times New Roman" w:cs="Times New Roman"/>
                <w:sz w:val="20"/>
                <w:szCs w:val="20"/>
              </w:rPr>
            </w:pPr>
            <w:r>
              <w:rPr>
                <w:rFonts w:cs="Times New Roman" w:ascii="Times New Roman" w:hAnsi="Times New Roman"/>
                <w:sz w:val="20"/>
                <w:szCs w:val="20"/>
              </w:rPr>
              <w:t>Fiscal (*)</w:t>
            </w:r>
          </w:p>
          <w:p>
            <w:pPr>
              <w:pStyle w:val="Contedodatabela"/>
              <w:bidi w:val="0"/>
              <w:snapToGrid w:val="false"/>
              <w:jc w:val="left"/>
              <w:rPr>
                <w:rFonts w:ascii="Times New Roman" w:hAnsi="Times New Roman" w:cs="Times New Roman"/>
                <w:sz w:val="20"/>
                <w:szCs w:val="20"/>
              </w:rPr>
            </w:pPr>
            <w:r>
              <w:rPr>
                <w:rFonts w:cs="Times New Roman" w:ascii="Times New Roman" w:hAnsi="Times New Roman"/>
                <w:sz w:val="20"/>
                <w:szCs w:val="20"/>
              </w:rPr>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sz w:val="20"/>
                <w:szCs w:val="20"/>
              </w:rPr>
            </w:pPr>
            <w:r>
              <w:rPr>
                <w:rFonts w:cs="Times New Roman" w:ascii="Times New Roman" w:hAnsi="Times New Roman"/>
                <w:sz w:val="20"/>
                <w:szCs w:val="20"/>
              </w:rPr>
              <w:t>Marcelo André Alves</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Standard"/>
              <w:bidi w:val="0"/>
              <w:snapToGrid w:val="false"/>
              <w:jc w:val="center"/>
              <w:textAlignment w:val="center"/>
              <w:rPr>
                <w:rFonts w:ascii="Times New Roman" w:hAnsi="Times New Roman" w:cs="Times New Roman"/>
                <w:b/>
                <w:b/>
                <w:bCs/>
                <w:sz w:val="20"/>
                <w:szCs w:val="20"/>
              </w:rPr>
            </w:pPr>
            <w:r>
              <w:rPr>
                <w:rFonts w:cs="Times New Roman" w:ascii="Times New Roman" w:hAnsi="Times New Roman"/>
                <w:b/>
                <w:bCs/>
                <w:sz w:val="20"/>
                <w:szCs w:val="20"/>
              </w:rPr>
              <w:t>********* -*</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rPr>
                <w:rFonts w:ascii="Times New Roman" w:hAnsi="Times New Roman" w:cs="Times New Roman"/>
                <w:b/>
                <w:b/>
                <w:bCs/>
                <w:sz w:val="20"/>
                <w:szCs w:val="20"/>
              </w:rPr>
            </w:pPr>
            <w:r>
              <w:rPr>
                <w:rFonts w:cs="Times New Roman" w:ascii="Times New Roman" w:hAnsi="Times New Roman"/>
                <w:b/>
                <w:bCs/>
                <w:sz w:val="20"/>
                <w:szCs w:val="20"/>
              </w:rPr>
              <w:t>Sim</w:t>
            </w:r>
          </w:p>
        </w:tc>
      </w:tr>
      <w:tr>
        <w:trPr/>
        <w:tc>
          <w:tcPr>
            <w:tcW w:w="9980" w:type="dxa"/>
            <w:gridSpan w:val="4"/>
            <w:tcBorders>
              <w:top w:val="single" w:sz="2" w:space="0" w:color="008000"/>
              <w:left w:val="single" w:sz="2" w:space="0" w:color="008000"/>
              <w:bottom w:val="single" w:sz="2" w:space="0" w:color="008000"/>
              <w:right w:val="single" w:sz="2" w:space="0" w:color="008000"/>
            </w:tcBorders>
            <w:shd w:fill="auto" w:val="clear"/>
          </w:tcPr>
          <w:p>
            <w:pPr>
              <w:pStyle w:val="Contedodatabela"/>
              <w:bidi w:val="0"/>
              <w:snapToGrid w:val="false"/>
              <w:jc w:val="both"/>
              <w:rPr>
                <w:rFonts w:ascii="Open Sans;Arial" w:hAnsi="Open Sans;Arial" w:cs="Open Sans;Arial"/>
                <w:sz w:val="14"/>
                <w:szCs w:val="14"/>
              </w:rPr>
            </w:pPr>
            <w:r>
              <w:rPr>
                <w:rFonts w:cs="Open Sans;Arial" w:ascii="Open Sans;Arial" w:hAnsi="Open Sans;Arial"/>
                <w:sz w:val="14"/>
                <w:szCs w:val="14"/>
              </w:rPr>
              <w:t>(*) Sempre que for possível identificar o(s) servidor(es) que participar(ão) da fiscalização do contrato, o(s) qual(is) poder(ão) ser convidado(s) a participar do Planejamento da Contratação.</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78" w:type="dxa"/>
        <w:jc w:val="left"/>
        <w:tblInd w:w="-86" w:type="dxa"/>
        <w:tblCellMar>
          <w:top w:w="55" w:type="dxa"/>
          <w:left w:w="52" w:type="dxa"/>
          <w:bottom w:w="55" w:type="dxa"/>
          <w:right w:w="55" w:type="dxa"/>
        </w:tblCellMar>
      </w:tblPr>
      <w:tblGrid>
        <w:gridCol w:w="9978"/>
      </w:tblGrid>
      <w:tr>
        <w:trPr/>
        <w:tc>
          <w:tcPr>
            <w:tcW w:w="9978"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7. Responsabilidade pela Formalização da Demanda e Conteúdo do Documento: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both"/>
              <w:rPr>
                <w:rFonts w:ascii="Times New Roman" w:hAnsi="Times New Roman" w:cs="Times New Roman"/>
                <w:sz w:val="20"/>
                <w:szCs w:val="20"/>
              </w:rPr>
            </w:pPr>
            <w:r>
              <w:rPr>
                <w:rFonts w:cs="Times New Roman" w:ascii="Times New Roman" w:hAnsi="Times New Roman"/>
                <w:sz w:val="20"/>
                <w:szCs w:val="20"/>
              </w:rPr>
              <w:t>Certifico que a formalização da demanda acima identificada se faz necessária pelos motivos expostos no item 2 do presente documento.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Santa Maria - RS, 7 de agosto de 2023</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b/>
                <w:bCs/>
                <w:color w:val="000000"/>
                <w:sz w:val="20"/>
                <w:szCs w:val="20"/>
              </w:rPr>
              <w:t>MARCELO ANDRÉ ALVES – S Ten</w:t>
            </w:r>
          </w:p>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 xml:space="preserve">Diretor Geral do CFC Verde Oliva </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78" w:type="dxa"/>
        <w:jc w:val="left"/>
        <w:tblInd w:w="-86" w:type="dxa"/>
        <w:tblCellMar>
          <w:top w:w="55" w:type="dxa"/>
          <w:left w:w="52" w:type="dxa"/>
          <w:bottom w:w="55" w:type="dxa"/>
          <w:right w:w="55" w:type="dxa"/>
        </w:tblCellMar>
      </w:tblPr>
      <w:tblGrid>
        <w:gridCol w:w="9978"/>
      </w:tblGrid>
      <w:tr>
        <w:trPr/>
        <w:tc>
          <w:tcPr>
            <w:tcW w:w="9978"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8. Despacho do Fiscal Administrativo: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Favorável:  ( x ) Sim   (     ) Não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Santa Maria - RS, 7 de agosto de 2023</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tabs>
                <w:tab w:val="left" w:pos="708" w:leader="none"/>
                <w:tab w:val="center" w:pos="4252" w:leader="none"/>
                <w:tab w:val="right" w:pos="8504" w:leader="none"/>
              </w:tabs>
              <w:bidi w:val="0"/>
              <w:ind w:left="0" w:right="0" w:firstLine="539"/>
              <w:jc w:val="center"/>
              <w:rPr>
                <w:rFonts w:ascii="Times New Roman" w:hAnsi="Times New Roman" w:cs="Times New Roman"/>
                <w:b/>
                <w:b/>
                <w:color w:val="000000"/>
                <w:sz w:val="20"/>
                <w:szCs w:val="20"/>
              </w:rPr>
            </w:pPr>
            <w:r>
              <w:rPr>
                <w:rFonts w:cs="Times New Roman" w:ascii="Times New Roman" w:hAnsi="Times New Roman"/>
                <w:b/>
                <w:color w:val="000000"/>
                <w:sz w:val="20"/>
                <w:szCs w:val="20"/>
              </w:rPr>
              <w:t>LEONARDO RODRIGUES FEIJAO DE LIMA - Cap</w:t>
            </w:r>
          </w:p>
          <w:p>
            <w:pPr>
              <w:pStyle w:val="Cabealho"/>
              <w:tabs>
                <w:tab w:val="center" w:pos="4252" w:leader="none"/>
                <w:tab w:val="center" w:pos="7380" w:leader="none"/>
                <w:tab w:val="right" w:pos="8504" w:leader="none"/>
              </w:tabs>
              <w:bidi w:val="0"/>
              <w:ind w:left="0" w:right="0" w:firstLine="539"/>
              <w:jc w:val="center"/>
              <w:rPr>
                <w:rFonts w:ascii="Arial" w:hAnsi="Arial" w:eastAsia="Times New Roman" w:cs="Arial"/>
                <w:b/>
                <w:b/>
                <w:color w:val="auto"/>
                <w:kern w:val="0"/>
                <w:sz w:val="20"/>
                <w:szCs w:val="20"/>
                <w:lang w:val="pt-BR" w:eastAsia="ar-SA" w:bidi="ar-SA"/>
              </w:rPr>
            </w:pPr>
            <w:r>
              <w:rPr>
                <w:rFonts w:cs="Times New Roman" w:ascii="Times New Roman" w:hAnsi="Times New Roman"/>
                <w:sz w:val="20"/>
                <w:szCs w:val="20"/>
              </w:rPr>
              <w:t>Fiscal Administrativo do</w:t>
            </w:r>
            <w:r>
              <w:rPr>
                <w:rFonts w:cs="Times New Roman" w:ascii="Times New Roman" w:hAnsi="Times New Roman"/>
                <w:color w:val="C9211E"/>
                <w:sz w:val="20"/>
                <w:szCs w:val="20"/>
              </w:rPr>
              <w:t xml:space="preserve"> </w:t>
            </w:r>
            <w:r>
              <w:rPr>
                <w:rFonts w:cs="Times New Roman" w:ascii="Times New Roman" w:hAnsi="Times New Roman"/>
                <w:sz w:val="20"/>
                <w:szCs w:val="20"/>
              </w:rPr>
              <w:t>4º B Log</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78" w:type="dxa"/>
        <w:jc w:val="left"/>
        <w:tblInd w:w="-86" w:type="dxa"/>
        <w:tblCellMar>
          <w:top w:w="55" w:type="dxa"/>
          <w:left w:w="52" w:type="dxa"/>
          <w:bottom w:w="55" w:type="dxa"/>
          <w:right w:w="55" w:type="dxa"/>
        </w:tblCellMar>
      </w:tblPr>
      <w:tblGrid>
        <w:gridCol w:w="9978"/>
      </w:tblGrid>
      <w:tr>
        <w:trPr/>
        <w:tc>
          <w:tcPr>
            <w:tcW w:w="9978"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9. Despacho do OD:</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I - Autorizo a continuidade da fase Planejamento da Contratação: ( x ) Sim   (     ) Não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 xml:space="preserve">II - Publicar a designação da Equipe de Planejamento da Contratação no Boletim interno do 4º B Log: </w:t>
            </w:r>
          </w:p>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  x   ) Sim      (     ) Não</w:t>
            </w:r>
          </w:p>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r>
          </w:p>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III - Determino que os militares da equipe de planejamento, acima informado, se for o caso, elaborar o estudo técnico preliminar, análise de riscos, termo de referência, projeto básico ou projeto executivo, conforme art. 72, I, da Lei 14.133/21.</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Santa Maria - RS, 7 de agosto de 2023</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tabs>
                <w:tab w:val="left" w:pos="708" w:leader="none"/>
                <w:tab w:val="center" w:pos="4252" w:leader="none"/>
                <w:tab w:val="right" w:pos="8504" w:leader="none"/>
              </w:tabs>
              <w:bidi w:val="0"/>
              <w:ind w:left="0" w:right="0" w:firstLine="539"/>
              <w:jc w:val="center"/>
              <w:rPr>
                <w:rFonts w:ascii="Times New Roman" w:hAnsi="Times New Roman" w:cs="Times New Roman"/>
                <w:b/>
                <w:b/>
                <w:color w:val="000000"/>
                <w:sz w:val="20"/>
                <w:szCs w:val="20"/>
              </w:rPr>
            </w:pPr>
            <w:r>
              <w:rPr>
                <w:rFonts w:cs="Times New Roman" w:ascii="Times New Roman" w:hAnsi="Times New Roman"/>
                <w:b/>
                <w:color w:val="000000"/>
                <w:sz w:val="20"/>
                <w:szCs w:val="20"/>
              </w:rPr>
              <w:t>FABIO HEITOR LACERDA SEARA - TC</w:t>
            </w:r>
          </w:p>
          <w:p>
            <w:pPr>
              <w:pStyle w:val="Cabealho"/>
              <w:tabs>
                <w:tab w:val="left" w:pos="708" w:leader="none"/>
                <w:tab w:val="center" w:pos="4252" w:leader="none"/>
                <w:tab w:val="right" w:pos="8504" w:leader="none"/>
              </w:tabs>
              <w:bidi w:val="0"/>
              <w:ind w:left="0" w:right="0" w:firstLine="539"/>
              <w:jc w:val="center"/>
              <w:rPr>
                <w:rFonts w:ascii="Times New Roman" w:hAnsi="Times New Roman" w:cs="Times New Roman"/>
                <w:sz w:val="20"/>
                <w:szCs w:val="22"/>
              </w:rPr>
            </w:pPr>
            <w:r>
              <w:rPr>
                <w:rFonts w:cs="Times New Roman" w:ascii="Times New Roman" w:hAnsi="Times New Roman"/>
                <w:sz w:val="20"/>
                <w:szCs w:val="22"/>
              </w:rPr>
              <w:t>Ordenador de Despesas do 4º B Log</w:t>
            </w:r>
          </w:p>
          <w:p>
            <w:pPr>
              <w:pStyle w:val="Standard"/>
              <w:tabs>
                <w:tab w:val="clear" w:pos="708"/>
                <w:tab w:val="center" w:pos="4252" w:leader="none"/>
                <w:tab w:val="center" w:pos="7380" w:leader="none"/>
                <w:tab w:val="right" w:pos="8504" w:leader="none"/>
              </w:tabs>
              <w:bidi w:val="0"/>
              <w:ind w:left="0" w:right="0" w:firstLine="539"/>
              <w:jc w:val="center"/>
              <w:rPr>
                <w:rFonts w:ascii="Times New Roman" w:hAnsi="Times New Roman" w:cs="Times New Roman"/>
                <w:color w:val="000000"/>
                <w:sz w:val="20"/>
                <w:szCs w:val="20"/>
              </w:rPr>
            </w:pPr>
            <w:r>
              <w:rPr>
                <w:rFonts w:cs="Times New Roman" w:ascii="Times New Roman" w:hAnsi="Times New Roman"/>
                <w:color w:val="000000"/>
                <w:sz w:val="20"/>
                <w:szCs w:val="20"/>
              </w:rPr>
            </w:r>
          </w:p>
        </w:tc>
      </w:tr>
    </w:tbl>
    <w:p>
      <w:pPr>
        <w:pStyle w:val="Normal"/>
        <w:rPr>
          <w:rFonts w:ascii="Arial" w:hAnsi="Arial" w:eastAsia="Times New Roman" w:cs="Arial"/>
          <w:b/>
          <w:b/>
          <w:color w:val="auto"/>
          <w:kern w:val="0"/>
          <w:sz w:val="20"/>
          <w:szCs w:val="20"/>
          <w:lang w:val="pt-BR" w:eastAsia="ar-SA" w:bidi="ar-SA"/>
        </w:rPr>
      </w:pPr>
      <w:r>
        <w:rPr/>
      </w:r>
    </w:p>
    <w:sectPr>
      <w:headerReference w:type="default" r:id="rId22"/>
      <w:footerReference w:type="default" r:id="rId23"/>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roman"/>
    <w:pitch w:val="variable"/>
  </w:font>
  <w:font w:name="Times New Roman">
    <w:charset w:val="01"/>
    <w:family w:val="roman"/>
    <w:pitch w:val="variable"/>
  </w:font>
  <w:font w:name="Helvetica">
    <w:altName w:val="Arial"/>
    <w:charset w:val="01"/>
    <w:family w:val="roman"/>
    <w:pitch w:val="variable"/>
  </w:font>
  <w:font w:name="Open Sans">
    <w:altName w:val="Arial"/>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sz w:val="18"/>
        <w:szCs w:val="18"/>
      </w:rPr>
      <w:fldChar w:fldCharType="begin"/>
    </w:r>
    <w:r>
      <w:rPr>
        <w:sz w:val="18"/>
        <w:szCs w:val="18"/>
      </w:rPr>
      <w:instrText> PAGE </w:instrText>
    </w:r>
    <w:r>
      <w:rPr>
        <w:sz w:val="18"/>
        <w:szCs w:val="18"/>
      </w:rPr>
      <w:fldChar w:fldCharType="separate"/>
    </w:r>
    <w:r>
      <w:rPr>
        <w:sz w:val="18"/>
        <w:szCs w:val="18"/>
      </w:rPr>
      <w:t>19</w:t>
    </w:r>
    <w:r>
      <w:rPr>
        <w:sz w:val="18"/>
        <w:szCs w:val="18"/>
      </w:rPr>
      <w:fldChar w:fldCharType="end"/>
    </w:r>
    <w:r>
      <w:rPr>
        <w:color w:val="323E4F" w:themeColor="text2" w:themeShade="bf"/>
        <w:sz w:val="18"/>
        <w:szCs w:val="18"/>
      </w:rPr>
      <w:t xml:space="preserve"> | </w:t>
    </w:r>
    <w:r>
      <w:rPr>
        <w:sz w:val="18"/>
        <w:szCs w:val="18"/>
      </w:rPr>
      <w:fldChar w:fldCharType="begin"/>
    </w:r>
    <w:r>
      <w:rPr>
        <w:sz w:val="18"/>
        <w:szCs w:val="18"/>
      </w:rPr>
      <w:instrText> NUMPAGES </w:instrText>
    </w:r>
    <w:r>
      <w:rPr>
        <w:sz w:val="18"/>
        <w:szCs w:val="18"/>
      </w:rPr>
      <w:fldChar w:fldCharType="separate"/>
    </w:r>
    <w:r>
      <w:rPr>
        <w:sz w:val="18"/>
        <w:szCs w:val="18"/>
      </w:rPr>
      <w:t>22</w:t>
    </w:r>
    <w:r>
      <w:rPr>
        <w:sz w:val="18"/>
        <w:szCs w:val="18"/>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sz w:val="18"/>
        <w:szCs w:val="18"/>
      </w:rPr>
      <w:fldChar w:fldCharType="begin"/>
    </w:r>
    <w:r>
      <w:rPr>
        <w:sz w:val="18"/>
        <w:szCs w:val="18"/>
      </w:rPr>
      <w:instrText> PAGE </w:instrText>
    </w:r>
    <w:r>
      <w:rPr>
        <w:sz w:val="18"/>
        <w:szCs w:val="18"/>
      </w:rPr>
      <w:fldChar w:fldCharType="separate"/>
    </w:r>
    <w:r>
      <w:rPr>
        <w:sz w:val="18"/>
        <w:szCs w:val="18"/>
      </w:rPr>
      <w:t>20</w:t>
    </w:r>
    <w:r>
      <w:rPr>
        <w:sz w:val="18"/>
        <w:szCs w:val="18"/>
      </w:rPr>
      <w:fldChar w:fldCharType="end"/>
    </w:r>
    <w:r>
      <w:rPr>
        <w:color w:val="323E4F" w:themeColor="text2" w:themeShade="bf"/>
        <w:sz w:val="18"/>
        <w:szCs w:val="18"/>
      </w:rPr>
      <w:t xml:space="preserve"> | </w:t>
    </w:r>
    <w:r>
      <w:rPr>
        <w:sz w:val="18"/>
        <w:szCs w:val="18"/>
      </w:rPr>
      <w:fldChar w:fldCharType="begin"/>
    </w:r>
    <w:r>
      <w:rPr>
        <w:sz w:val="18"/>
        <w:szCs w:val="18"/>
      </w:rPr>
      <w:instrText> NUMPAGES </w:instrText>
    </w:r>
    <w:r>
      <w:rPr>
        <w:sz w:val="18"/>
        <w:szCs w:val="18"/>
      </w:rPr>
      <w:fldChar w:fldCharType="separate"/>
    </w:r>
    <w:r>
      <w:rPr>
        <w:sz w:val="18"/>
        <w:szCs w:val="18"/>
      </w:rPr>
      <w:t>22</w:t>
    </w:r>
    <w:r>
      <w:rPr>
        <w:sz w:val="18"/>
        <w:szCs w:val="18"/>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pPr>
    <w:r>
      <w:rPr/>
      <w:t xml:space="preserve">AVISO DE CONTRATAÇÃO DIRETA Nº </w:t>
    </w:r>
    <w:r>
      <w:rPr>
        <w:rFonts w:eastAsia="Times New Roman" w:cs="Tahoma"/>
        <w:color w:val="auto"/>
        <w:kern w:val="0"/>
        <w:sz w:val="20"/>
        <w:szCs w:val="24"/>
        <w:lang w:val="pt-BR" w:eastAsia="pt-BR" w:bidi="ar-SA"/>
      </w:rPr>
      <w:t>48</w:t>
    </w:r>
    <w:r>
      <w:rPr/>
      <w:t>/2023</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-1167130</wp:posOffset>
          </wp:positionH>
          <wp:positionV relativeFrom="paragraph">
            <wp:posOffset>381000</wp:posOffset>
          </wp:positionV>
          <wp:extent cx="7560310" cy="10692130"/>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eastAsia="Times New Roman" w:cs="Tahoma"/>
        <w:color w:val="auto"/>
        <w:kern w:val="0"/>
        <w:sz w:val="20"/>
        <w:szCs w:val="24"/>
        <w:lang w:val="pt-BR" w:eastAsia="pt-BR" w:bidi="ar-SA"/>
      </w:rPr>
      <w:t>48</w:t>
    </w:r>
    <w:r>
      <w:rPr/>
      <w:t>/2023</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tabs>
          <w:tab w:val="num" w:pos="0"/>
        </w:tabs>
        <w:ind w:left="360" w:hanging="360"/>
      </w:pPr>
      <w:rPr>
        <w:b/>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i w:val="false"/>
        <w:b/>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i w:val="false"/>
        <w:b w:val="false"/>
        <w:iCs w:val="false"/>
        <w:bCs/>
        <w:rFonts w:eastAsia="WenQuanYi Micro Hei"/>
        <w:color w:val="auto"/>
      </w:rPr>
    </w:lvl>
    <w:lvl w:ilvl="1">
      <w:start w:val="1"/>
      <w:numFmt w:val="decimal"/>
      <w:lvlText w:val="%1.%2"/>
      <w:lvlJc w:val="left"/>
      <w:pPr>
        <w:tabs>
          <w:tab w:val="num" w:pos="0"/>
        </w:tabs>
        <w:ind w:left="1145" w:hanging="360"/>
      </w:pPr>
      <w:rPr>
        <w:i w:val="false"/>
        <w:b/>
        <w:iCs w:val="false"/>
        <w:bCs/>
        <w:rFonts w:eastAsia="WenQuanYi Micro Hei" w:cs="Arial"/>
        <w:color w:val="auto"/>
      </w:rPr>
    </w:lvl>
    <w:lvl w:ilvl="2">
      <w:start w:val="1"/>
      <w:numFmt w:val="decimal"/>
      <w:lvlText w:val="%1.%2.%3"/>
      <w:lvlJc w:val="left"/>
      <w:pPr>
        <w:tabs>
          <w:tab w:val="num" w:pos="0"/>
        </w:tabs>
        <w:ind w:left="2290" w:hanging="720"/>
      </w:pPr>
      <w:rPr>
        <w:dstrike w:val="false"/>
        <w:strike w:val="false"/>
        <w:sz w:val="22"/>
        <w:i w:val="false"/>
        <w:u w:val="none"/>
        <w:b/>
        <w:effect w:val="none"/>
        <w:szCs w:val="20"/>
        <w:bCs/>
        <w:rFonts w:eastAsia="WenQuanYi Micro Hei" w:cs="Arial"/>
        <w:color w:val="000000"/>
      </w:rPr>
    </w:lvl>
    <w:lvl w:ilvl="3">
      <w:start w:val="1"/>
      <w:numFmt w:val="decimal"/>
      <w:lvlText w:val="%1.%2.%3.%4"/>
      <w:lvlJc w:val="left"/>
      <w:pPr>
        <w:tabs>
          <w:tab w:val="num" w:pos="0"/>
        </w:tabs>
        <w:ind w:left="3075" w:hanging="720"/>
      </w:pPr>
      <w:rPr>
        <w:i w:val="false"/>
        <w:b w:val="false"/>
        <w:rFonts w:eastAsia="WenQuanYi Micro Hei"/>
        <w:color w:val="000000"/>
      </w:rPr>
    </w:lvl>
    <w:lvl w:ilvl="4">
      <w:start w:val="1"/>
      <w:numFmt w:val="decimal"/>
      <w:lvlText w:val="%1.%2.%3.%4.%5"/>
      <w:lvlJc w:val="left"/>
      <w:pPr>
        <w:tabs>
          <w:tab w:val="num" w:pos="0"/>
        </w:tabs>
        <w:ind w:left="4220" w:hanging="1080"/>
      </w:pPr>
      <w:rPr>
        <w:i w:val="false"/>
        <w:b w:val="false"/>
        <w:rFonts w:eastAsia="WenQuanYi Micro Hei"/>
        <w:color w:val="000000"/>
      </w:rPr>
    </w:lvl>
    <w:lvl w:ilvl="5">
      <w:start w:val="1"/>
      <w:numFmt w:val="decimal"/>
      <w:lvlText w:val="%1.%2.%3.%4.%5.%6"/>
      <w:lvlJc w:val="left"/>
      <w:pPr>
        <w:tabs>
          <w:tab w:val="num" w:pos="0"/>
        </w:tabs>
        <w:ind w:left="5005" w:hanging="1080"/>
      </w:pPr>
      <w:rPr>
        <w:i w:val="false"/>
        <w:b/>
        <w:rFonts w:eastAsia="WenQuanYi Micro Hei"/>
        <w:color w:val="000000"/>
      </w:rPr>
    </w:lvl>
    <w:lvl w:ilvl="6">
      <w:start w:val="1"/>
      <w:numFmt w:val="decimal"/>
      <w:lvlText w:val="%1.%2.%3.%4.%5.%6.%7"/>
      <w:lvlJc w:val="left"/>
      <w:pPr>
        <w:tabs>
          <w:tab w:val="num" w:pos="0"/>
        </w:tabs>
        <w:ind w:left="6150" w:hanging="1440"/>
      </w:pPr>
      <w:rPr>
        <w:i w:val="false"/>
        <w:b/>
        <w:rFonts w:eastAsia="WenQuanYi Micro Hei"/>
        <w:color w:val="000000"/>
      </w:rPr>
    </w:lvl>
    <w:lvl w:ilvl="7">
      <w:start w:val="1"/>
      <w:numFmt w:val="decimal"/>
      <w:lvlText w:val="%1.%2.%3.%4.%5.%6.%7.%8"/>
      <w:lvlJc w:val="left"/>
      <w:pPr>
        <w:tabs>
          <w:tab w:val="num" w:pos="0"/>
        </w:tabs>
        <w:ind w:left="6935" w:hanging="1440"/>
      </w:pPr>
      <w:rPr>
        <w:i w:val="false"/>
        <w:b/>
        <w:rFonts w:eastAsia="WenQuanYi Micro Hei"/>
        <w:color w:val="000000"/>
      </w:rPr>
    </w:lvl>
    <w:lvl w:ilvl="8">
      <w:start w:val="1"/>
      <w:numFmt w:val="decimal"/>
      <w:lvlText w:val="%1.%2.%3.%4.%5.%6.%7.%8.%9"/>
      <w:lvlJc w:val="left"/>
      <w:pPr>
        <w:tabs>
          <w:tab w:val="num" w:pos="0"/>
        </w:tabs>
        <w:ind w:left="8080" w:hanging="1800"/>
      </w:pPr>
      <w:rPr>
        <w:i w:val="false"/>
        <w:b/>
        <w:rFonts w:eastAsia="WenQuanYi Micro Hei"/>
        <w:color w:val="000000"/>
      </w:rPr>
    </w:lvl>
  </w:abstractNum>
  <w:abstractNum w:abstractNumId="7">
    <w:lvl w:ilvl="0">
      <w:start w:val="1"/>
      <w:numFmt w:val="decimal"/>
      <w:lvlText w:val="%1."/>
      <w:lvlJc w:val="left"/>
      <w:pPr>
        <w:tabs>
          <w:tab w:val="num" w:pos="0"/>
        </w:tabs>
        <w:ind w:left="1865" w:hanging="360"/>
      </w:pPr>
    </w:lvl>
    <w:lvl w:ilvl="1">
      <w:start w:val="1"/>
      <w:numFmt w:val="lowerLetter"/>
      <w:lvlText w:val="%2."/>
      <w:lvlJc w:val="left"/>
      <w:pPr>
        <w:tabs>
          <w:tab w:val="num" w:pos="0"/>
        </w:tabs>
        <w:ind w:left="2585" w:hanging="360"/>
      </w:pPr>
    </w:lvl>
    <w:lvl w:ilvl="2">
      <w:start w:val="1"/>
      <w:numFmt w:val="lowerRoman"/>
      <w:lvlText w:val="%3."/>
      <w:lvlJc w:val="right"/>
      <w:pPr>
        <w:tabs>
          <w:tab w:val="num" w:pos="0"/>
        </w:tabs>
        <w:ind w:left="3305" w:hanging="180"/>
      </w:pPr>
    </w:lvl>
    <w:lvl w:ilvl="3">
      <w:start w:val="1"/>
      <w:numFmt w:val="decimal"/>
      <w:lvlText w:val="%4."/>
      <w:lvlJc w:val="left"/>
      <w:pPr>
        <w:tabs>
          <w:tab w:val="num" w:pos="0"/>
        </w:tabs>
        <w:ind w:left="4025" w:hanging="360"/>
      </w:pPr>
    </w:lvl>
    <w:lvl w:ilvl="4">
      <w:start w:val="1"/>
      <w:numFmt w:val="lowerLetter"/>
      <w:lvlText w:val="%5."/>
      <w:lvlJc w:val="left"/>
      <w:pPr>
        <w:tabs>
          <w:tab w:val="num" w:pos="0"/>
        </w:tabs>
        <w:ind w:left="4745" w:hanging="360"/>
      </w:pPr>
    </w:lvl>
    <w:lvl w:ilvl="5">
      <w:start w:val="1"/>
      <w:numFmt w:val="lowerRoman"/>
      <w:lvlText w:val="%6."/>
      <w:lvlJc w:val="right"/>
      <w:pPr>
        <w:tabs>
          <w:tab w:val="num" w:pos="0"/>
        </w:tabs>
        <w:ind w:left="5465" w:hanging="180"/>
      </w:pPr>
    </w:lvl>
    <w:lvl w:ilvl="6">
      <w:start w:val="1"/>
      <w:numFmt w:val="decimal"/>
      <w:lvlText w:val="%7."/>
      <w:lvlJc w:val="left"/>
      <w:pPr>
        <w:tabs>
          <w:tab w:val="num" w:pos="0"/>
        </w:tabs>
        <w:ind w:left="6185" w:hanging="360"/>
      </w:pPr>
    </w:lvl>
    <w:lvl w:ilvl="7">
      <w:start w:val="1"/>
      <w:numFmt w:val="lowerLetter"/>
      <w:lvlText w:val="%8."/>
      <w:lvlJc w:val="left"/>
      <w:pPr>
        <w:tabs>
          <w:tab w:val="num" w:pos="0"/>
        </w:tabs>
        <w:ind w:left="6905" w:hanging="360"/>
      </w:pPr>
    </w:lvl>
    <w:lvl w:ilvl="8">
      <w:start w:val="1"/>
      <w:numFmt w:val="lowerRoman"/>
      <w:lvlText w:val="%9."/>
      <w:lvlJc w:val="right"/>
      <w:pPr>
        <w:tabs>
          <w:tab w:val="num" w:pos="0"/>
        </w:tabs>
        <w:ind w:left="7625"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next w:val="Normal"/>
    <w:link w:val="Ttulo1Char"/>
    <w:uiPriority w:val="9"/>
    <w:qFormat/>
    <w:rsid w:val="00781aff"/>
    <w:pPr>
      <w:keepNext w:val="false"/>
      <w:widowControl/>
      <w:numPr>
        <w:ilvl w:val="0"/>
        <w:numId w:val="1"/>
      </w:numPr>
      <w:shd w:val="clear" w:color="auto" w:fill="auto"/>
      <w:suppressAutoHyphens w:val="true"/>
      <w:bidi w:val="0"/>
      <w:spacing w:before="120" w:after="120"/>
      <w:jc w:val="left"/>
      <w:outlineLvl w:val="0"/>
    </w:pPr>
    <w:rPr>
      <w:rFonts w:ascii="Arial" w:hAnsi="Arial" w:eastAsia="Calibri" w:cs="Arial" w:cstheme="minorBidi" w:eastAsiaTheme="minorHAnsi"/>
      <w:b/>
      <w:color w:val="auto"/>
      <w:kern w:val="0"/>
      <w:sz w:val="20"/>
      <w:szCs w:val="22"/>
      <w:lang w:val="pt-BR" w:eastAsia="en-US" w:bidi="ar-SA"/>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Citao"/>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c074da"/>
    <w:rPr>
      <w:sz w:val="16"/>
      <w:szCs w:val="16"/>
    </w:rPr>
  </w:style>
  <w:style w:type="character" w:styleId="TextodecomentrioChar" w:customStyle="1">
    <w:name w:val="Texto de comentário Char"/>
    <w:basedOn w:val="DefaultParagraphFont"/>
    <w:link w:val="Textodecomentrio"/>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link w:val="Corpodetexto"/>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Vnculodendice">
    <w:name w:val="Vínculo de índice"/>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qFormat/>
    <w:rsid w:val="00c074da"/>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08"/>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OCHeading">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before="0" w:after="100"/>
    </w:pPr>
    <w:rPr/>
  </w:style>
  <w:style w:type="paragraph" w:styleId="Padro1">
    <w:name w:val="Padrão"/>
    <w:qFormat/>
    <w:pPr>
      <w:widowControl w:val="false"/>
      <w:tabs>
        <w:tab w:val="left" w:pos="708" w:leader="none"/>
      </w:tabs>
      <w:suppressAutoHyphens w:val="true"/>
      <w:bidi w:val="0"/>
      <w:spacing w:lineRule="auto" w:line="240" w:before="0" w:after="0"/>
      <w:jc w:val="left"/>
    </w:pPr>
    <w:rPr>
      <w:rFonts w:ascii="Times New Roman" w:hAnsi="Times New Roman" w:eastAsia="Arial Unicode MS" w:cs="Times New Roman"/>
      <w:color w:val="00000A"/>
      <w:kern w:val="0"/>
      <w:sz w:val="24"/>
      <w:szCs w:val="24"/>
      <w:lang w:val="pt-BR" w:eastAsia="en-US" w:bidi="ar-SA"/>
    </w:rPr>
  </w:style>
  <w:style w:type="paragraph" w:styleId="Standard">
    <w:name w:val="Standard"/>
    <w:qFormat/>
    <w:pPr>
      <w:widowControl w:val="false"/>
      <w:suppressAutoHyphens w:val="true"/>
      <w:overflowPunct w:val="true"/>
      <w:bidi w:val="0"/>
      <w:spacing w:before="0" w:after="0"/>
      <w:jc w:val="left"/>
      <w:textAlignment w:val="baseline"/>
    </w:pPr>
    <w:rPr>
      <w:rFonts w:ascii="Liberation Serif;Times New Roman" w:hAnsi="Liberation Serif;Times New Roman" w:eastAsia="SimSun;宋体" w:cs="Mangal;Courier"/>
      <w:color w:val="auto"/>
      <w:kern w:val="2"/>
      <w:sz w:val="24"/>
      <w:szCs w:val="24"/>
      <w:lang w:val="pt-BR" w:eastAsia="zh-CN" w:bidi="hi-IN"/>
    </w:rPr>
  </w:style>
  <w:style w:type="paragraph" w:styleId="Contedodatabela">
    <w:name w:val="Conteúdo da tabela"/>
    <w:basedOn w:val="Standard"/>
    <w:qFormat/>
    <w:pPr>
      <w:suppressLineNumber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s://www.comprasnet.gov.br/seguro/loginPortalFornecedor.asp" TargetMode="External"/><Relationship Id="rId6" Type="http://schemas.openxmlformats.org/officeDocument/2006/relationships/hyperlink" Target="http://www.gov.br/compras" TargetMode="External"/><Relationship Id="rId7" Type="http://schemas.openxmlformats.org/officeDocument/2006/relationships/hyperlink" Target="http://www.pncp.gov.br/" TargetMode="External"/><Relationship Id="rId8" Type="http://schemas.openxmlformats.org/officeDocument/2006/relationships/hyperlink" Target="https://www.gov.br/compras/pt-br/sistemas/conheca-o-compras/aplicativo-compras" TargetMode="External"/><Relationship Id="rId9" Type="http://schemas.openxmlformats.org/officeDocument/2006/relationships/hyperlink" Target="http://www.planalto.gov.br/ccivil_03/LEIS/L6404consol.htm" TargetMode="External"/><Relationship Id="rId10" Type="http://schemas.openxmlformats.org/officeDocument/2006/relationships/hyperlink" Target="https://www3.comprasnet.gov.br/sicaf-web/index.jsf" TargetMode="External"/><Relationship Id="rId11" Type="http://schemas.openxmlformats.org/officeDocument/2006/relationships/hyperlink" Target="https://portaldatransparencia.gov.br/sancoes/consulta?cadastro=1%2C2" TargetMode="External"/><Relationship Id="rId12" Type="http://schemas.openxmlformats.org/officeDocument/2006/relationships/hyperlink" Target="https://portaldatransparencia.gov.br/sancoes/consulta?cadastro=1%2C2"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1-2014/2013/lei/l12846.htm" TargetMode="External"/><Relationship Id="rId16" Type="http://schemas.openxmlformats.org/officeDocument/2006/relationships/hyperlink" Target="https://www.gov.br/empresas-e-negocios/pt-br/empreendedor" TargetMode="External"/><Relationship Id="rId17" Type="http://schemas.openxmlformats.org/officeDocument/2006/relationships/hyperlink" Target="https://www.planalto.gov.br/ccivil_03/leis/lcp/lcp123.htm" TargetMode="External"/><Relationship Id="rId18" Type="http://schemas.openxmlformats.org/officeDocument/2006/relationships/header" Target="header1.xml"/><Relationship Id="rId19" Type="http://schemas.openxmlformats.org/officeDocument/2006/relationships/header" Target="header2.xml"/><Relationship Id="rId20" Type="http://schemas.openxmlformats.org/officeDocument/2006/relationships/footer" Target="footer1.xml"/><Relationship Id="rId21" Type="http://schemas.openxmlformats.org/officeDocument/2006/relationships/image" Target="media/image3.png"/><Relationship Id="rId22" Type="http://schemas.openxmlformats.org/officeDocument/2006/relationships/header" Target="header3.xml"/><Relationship Id="rId23" Type="http://schemas.openxmlformats.org/officeDocument/2006/relationships/footer" Target="footer2.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Application>LibreOffice/6.4.7.2$Linux_X86_64 LibreOffice_project/40$Build-2</Application>
  <Pages>22</Pages>
  <Words>6483</Words>
  <Characters>36953</Characters>
  <CharactersWithSpaces>43059</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2022-11-01T20:02:00Z</dcterms:created>
  <dc:creator/>
  <dc:description/>
  <dc:language>pt-BR</dc:language>
  <cp:lastModifiedBy/>
  <dcterms:modified xsi:type="dcterms:W3CDTF">2023-09-22T09:11:31Z</dcterms:modified>
  <cp:revision>92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