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284" w:right="-568" w:hanging="0"/>
        <w:jc w:val="center"/>
        <w:rPr>
          <w:rFonts w:ascii="Times New Roman" w:hAnsi="Times New Roman" w:cs="Times New Roman"/>
          <w:sz w:val="22"/>
          <w:szCs w:val="22"/>
        </w:rPr>
      </w:pPr>
      <w:r>
        <w:rPr/>
        <w:drawing>
          <wp:inline distT="0" distB="0" distL="0" distR="0">
            <wp:extent cx="733425" cy="690880"/>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2"/>
                    <a:stretch>
                      <a:fillRect/>
                    </a:stretch>
                  </pic:blipFill>
                  <pic:spPr bwMode="auto">
                    <a:xfrm>
                      <a:off x="0" y="0"/>
                      <a:ext cx="733425" cy="690880"/>
                    </a:xfrm>
                    <a:prstGeom prst="rect">
                      <a:avLst/>
                    </a:prstGeom>
                  </pic:spPr>
                </pic:pic>
              </a:graphicData>
            </a:graphic>
          </wp:inline>
        </w:drawing>
      </w:r>
    </w:p>
    <w:p>
      <w:pPr>
        <w:pStyle w:val="Normal"/>
        <w:widowControl w:val="false"/>
        <w:ind w:left="-284" w:right="-568" w:hanging="0"/>
        <w:jc w:val="center"/>
        <w:rPr>
          <w:rFonts w:ascii="Times New Roman" w:hAnsi="Times New Roman" w:cs="Times New Roman"/>
          <w:sz w:val="22"/>
          <w:szCs w:val="22"/>
        </w:rPr>
      </w:pPr>
      <w:r>
        <w:rPr>
          <w:rFonts w:cs="Times New Roman" w:ascii="Times New Roman" w:hAnsi="Times New Roman"/>
          <w:sz w:val="22"/>
          <w:szCs w:val="22"/>
        </w:rPr>
        <w:t>MINISTÉRIO DA DEFESA</w:t>
      </w:r>
    </w:p>
    <w:p>
      <w:pPr>
        <w:pStyle w:val="Normal"/>
        <w:widowControl w:val="false"/>
        <w:ind w:left="-284" w:right="-568" w:hanging="0"/>
        <w:jc w:val="center"/>
        <w:rPr>
          <w:rFonts w:ascii="Times New Roman" w:hAnsi="Times New Roman" w:cs="Times New Roman"/>
          <w:sz w:val="22"/>
          <w:szCs w:val="22"/>
        </w:rPr>
      </w:pPr>
      <w:r>
        <w:rPr>
          <w:rFonts w:cs="Times New Roman" w:ascii="Times New Roman" w:hAnsi="Times New Roman"/>
          <w:sz w:val="22"/>
          <w:szCs w:val="22"/>
        </w:rPr>
        <w:t>EXÉRCITO BRASILEIRO</w:t>
      </w:r>
    </w:p>
    <w:p>
      <w:pPr>
        <w:pStyle w:val="Normal"/>
        <w:widowControl w:val="false"/>
        <w:ind w:left="-284" w:right="-568" w:hanging="0"/>
        <w:jc w:val="center"/>
        <w:rPr>
          <w:rFonts w:ascii="Times New Roman" w:hAnsi="Times New Roman" w:cs="Times New Roman"/>
          <w:sz w:val="22"/>
          <w:szCs w:val="22"/>
        </w:rPr>
      </w:pPr>
      <w:r>
        <w:rPr>
          <w:rFonts w:cs="Times New Roman" w:ascii="Times New Roman" w:hAnsi="Times New Roman"/>
          <w:sz w:val="22"/>
          <w:szCs w:val="22"/>
        </w:rPr>
        <w:t>CML   -   1ª DE</w:t>
      </w:r>
    </w:p>
    <w:p>
      <w:pPr>
        <w:pStyle w:val="Normal"/>
        <w:widowControl w:val="false"/>
        <w:ind w:left="-284" w:right="-568" w:hanging="0"/>
        <w:jc w:val="center"/>
        <w:rPr>
          <w:rFonts w:ascii="Times New Roman" w:hAnsi="Times New Roman" w:cs="Times New Roman"/>
        </w:rPr>
      </w:pPr>
      <w:r>
        <w:rPr>
          <w:rFonts w:cs="Times New Roman" w:ascii="Times New Roman" w:hAnsi="Times New Roman"/>
          <w:sz w:val="22"/>
          <w:szCs w:val="22"/>
        </w:rPr>
        <w:t>GRUPAMENTO DE UNIDADES ESCOLA - 9ª BRIGADA DE INFANTARIA MOTORIZADA</w:t>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ind w:left="-284" w:right="-568" w:hanging="0"/>
        <w:jc w:val="center"/>
        <w:rPr/>
      </w:pPr>
      <w:r>
        <w:rPr>
          <w:rFonts w:cs="Times New Roman" w:ascii="Times New Roman" w:hAnsi="Times New Roman"/>
          <w:b/>
        </w:rPr>
        <w:t>TERMO DE REFERÊNCIA DA DISPENSA ELETRÔNICA Nº 5</w:t>
      </w:r>
      <w:r>
        <w:rPr>
          <w:rFonts w:cs="Times New Roman" w:ascii="Times New Roman" w:hAnsi="Times New Roman"/>
          <w:b/>
        </w:rPr>
        <w:t>5</w:t>
      </w:r>
      <w:r>
        <w:rPr>
          <w:rFonts w:cs="Times New Roman" w:ascii="Times New Roman" w:hAnsi="Times New Roman"/>
          <w:b/>
        </w:rPr>
        <w:t>/2023</w:t>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ind w:left="-284" w:right="-568" w:hanging="0"/>
        <w:jc w:val="center"/>
        <w:rPr>
          <w:rFonts w:ascii="Times New Roman" w:hAnsi="Times New Roman" w:cs="Times New Roman"/>
        </w:rPr>
      </w:pPr>
      <w:r>
        <w:rPr>
          <w:rFonts w:cs="Times New Roman" w:ascii="Times New Roman" w:hAnsi="Times New Roman"/>
          <w:u w:val="single"/>
        </w:rPr>
        <w:t>1. INTRODUÇÃO</w:t>
      </w:r>
      <w:r>
        <w:rPr>
          <w:rFonts w:cs="Times New Roman" w:ascii="Times New Roman" w:hAnsi="Times New Roman"/>
        </w:rPr>
        <w:t>:</w:t>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1.1. O Comando do Grupamento de Unidades Escola - 9ª Brigada de Infantaria Motorizada necessita dos serviços descritos no presente Termo de Referência.</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1.2. O fornecimento dos produtos, objeto do presente Termo de Referência, ocorrerá somente após a emissão de Nota de Empenho correspondente. A emissão de Nota de Empenho, por sua vez, está condicionada às condições descritas no item 2.2 deste Termo de Referência.</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center"/>
        <w:rPr>
          <w:rFonts w:ascii="Times New Roman" w:hAnsi="Times New Roman" w:cs="Times New Roman"/>
        </w:rPr>
      </w:pPr>
      <w:r>
        <w:rPr>
          <w:rFonts w:cs="Times New Roman" w:ascii="Times New Roman" w:hAnsi="Times New Roman"/>
          <w:u w:val="single"/>
        </w:rPr>
        <w:t>2. OBJETIVO E VALOR DE REFERÊNCIA</w:t>
      </w:r>
      <w:r>
        <w:rPr>
          <w:rFonts w:cs="Times New Roman" w:ascii="Times New Roman" w:hAnsi="Times New Roman"/>
        </w:rPr>
        <w:t>:</w:t>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spacing w:lineRule="auto" w:line="276" w:before="0" w:after="120"/>
        <w:ind w:left="-284" w:right="-568" w:hanging="0"/>
        <w:jc w:val="both"/>
        <w:rPr/>
      </w:pPr>
      <w:r>
        <w:rPr>
          <w:rFonts w:cs="Times New Roman" w:ascii="Times New Roman" w:hAnsi="Times New Roman"/>
        </w:rPr>
        <w:t xml:space="preserve">2.1. O Comando do Grupamento de Unidades Escola - 9ª Brigada de Infantaria Motorizada deseja realizar </w:t>
      </w:r>
      <w:r>
        <w:rPr>
          <w:rFonts w:cs="Times New Roman" w:ascii="Times New Roman" w:hAnsi="Times New Roman"/>
          <w:color w:val="000000"/>
        </w:rPr>
        <w:t xml:space="preserve">a </w:t>
      </w:r>
      <w:r>
        <w:rPr>
          <w:rFonts w:cs="Times New Roman" w:ascii="Times New Roman" w:hAnsi="Times New Roman"/>
          <w:color w:val="000000"/>
        </w:rPr>
        <w:t>higienização geral, complemento de gás e troca de placa de alguns ares-condicionados split</w:t>
      </w:r>
      <w:r>
        <w:rPr>
          <w:rFonts w:cs="Times New Roman" w:ascii="Times New Roman" w:hAnsi="Times New Roman"/>
          <w:color w:val="000000"/>
        </w:rPr>
        <w:t xml:space="preserve"> para </w:t>
      </w:r>
      <w:r>
        <w:rPr>
          <w:rFonts w:cs="Times New Roman" w:ascii="Times New Roman" w:hAnsi="Times New Roman"/>
        </w:rPr>
        <w:t>o Quartel do Comando do Grupamento de Unidades Escola - 9ª Brigada de Infantaria Motorizada.</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2.2. A emissão de Notas de Empenho para as empresas vencedoras está condicionada à homologação dos itens da Dispensa de Licitação pelo Ordenador de Despesas do Comando do Grupamento de Unidades Escola - 9ª Brigada de Infantaria Motorizada e à disponibilidade dos créditos necessários à presente contratação.</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2.3. Os produtos em referência compreendem a tabela descrita a seguir:</w:t>
      </w:r>
    </w:p>
    <w:p>
      <w:pPr>
        <w:pStyle w:val="Normal"/>
        <w:ind w:left="-284" w:hanging="0"/>
        <w:rPr>
          <w:rFonts w:ascii="Times New Roman" w:hAnsi="Times New Roman" w:cs="Times New Roman"/>
        </w:rPr>
      </w:pPr>
      <w:r>
        <w:rPr>
          <w:rFonts w:cs="Times New Roman" w:ascii="Times New Roman" w:hAnsi="Times New Roman"/>
        </w:rPr>
      </w:r>
    </w:p>
    <w:p>
      <w:pPr>
        <w:pStyle w:val="Normal"/>
        <w:ind w:left="-284" w:right="-994" w:hanging="0"/>
        <w:rPr>
          <w:rFonts w:ascii="Times New Roman" w:hAnsi="Times New Roman" w:cs="Times New Roman"/>
        </w:rPr>
      </w:pPr>
      <w:r>
        <w:rPr>
          <w:rFonts w:cs="Times New Roman" w:ascii="Times New Roman" w:hAnsi="Times New Roman"/>
        </w:rPr>
      </w:r>
    </w:p>
    <w:tbl>
      <w:tblPr>
        <w:tblW w:w="9782" w:type="dxa"/>
        <w:jc w:val="left"/>
        <w:tblInd w:w="-214" w:type="dxa"/>
        <w:tblCellMar>
          <w:top w:w="0" w:type="dxa"/>
          <w:left w:w="70" w:type="dxa"/>
          <w:bottom w:w="0" w:type="dxa"/>
          <w:right w:w="70" w:type="dxa"/>
        </w:tblCellMar>
        <w:tblLook w:firstRow="0" w:noVBand="0" w:lastRow="0" w:firstColumn="0" w:lastColumn="0" w:noHBand="0" w:val="0000"/>
      </w:tblPr>
      <w:tblGrid>
        <w:gridCol w:w="9782"/>
      </w:tblGrid>
      <w:tr>
        <w:trPr>
          <w:trHeight w:val="276" w:hRule="atLeast"/>
        </w:trPr>
        <w:tc>
          <w:tcPr>
            <w:tcW w:w="9782"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napToGrid w:val="false"/>
              <w:jc w:val="center"/>
              <w:rPr>
                <w:rFonts w:ascii="Times New Roman" w:hAnsi="Times New Roman" w:cs="Times New Roman"/>
                <w:b/>
                <w:b/>
                <w:bCs/>
              </w:rPr>
            </w:pPr>
            <w:r>
              <w:rPr>
                <w:rFonts w:cs="Times New Roman" w:ascii="Times New Roman" w:hAnsi="Times New Roman"/>
                <w:b/>
                <w:bCs/>
              </w:rPr>
            </w:r>
          </w:p>
          <w:p>
            <w:pPr>
              <w:pStyle w:val="Normal"/>
              <w:jc w:val="center"/>
              <w:rPr>
                <w:rFonts w:ascii="Times New Roman" w:hAnsi="Times New Roman" w:cs="Times New Roman"/>
                <w:b/>
                <w:b/>
                <w:bCs/>
              </w:rPr>
            </w:pPr>
            <w:r>
              <w:rPr>
                <w:rFonts w:cs="Times New Roman" w:ascii="Times New Roman" w:hAnsi="Times New Roman"/>
                <w:b/>
                <w:bCs/>
              </w:rPr>
              <w:t>AVISO IMPORTANTE</w:t>
            </w:r>
          </w:p>
          <w:p>
            <w:pPr>
              <w:pStyle w:val="Normal"/>
              <w:jc w:val="both"/>
              <w:rPr>
                <w:rFonts w:ascii="Times New Roman" w:hAnsi="Times New Roman" w:cs="Times New Roman"/>
                <w:b/>
                <w:b/>
              </w:rPr>
            </w:pPr>
            <w:r>
              <w:rPr>
                <w:rFonts w:cs="Times New Roman" w:ascii="Times New Roman" w:hAnsi="Times New Roman"/>
                <w:b/>
              </w:rPr>
            </w:r>
          </w:p>
          <w:p>
            <w:pPr>
              <w:pStyle w:val="Normal"/>
              <w:spacing w:lineRule="auto" w:line="360"/>
              <w:jc w:val="both"/>
              <w:rPr>
                <w:rFonts w:ascii="Times New Roman" w:hAnsi="Times New Roman" w:cs="Times New Roman"/>
              </w:rPr>
            </w:pPr>
            <w:r>
              <w:rPr>
                <w:rFonts w:cs="Times New Roman" w:ascii="Times New Roman" w:hAnsi="Times New Roman"/>
              </w:rPr>
              <w:t>Com finalidade de facilitar a busca de produtos por parte dos fornecedores, podem ter citados EXEMPLOS de produtos e marcas que atendem as exigências do presente Termo de Referência. Todas as marcas e produtos citados neste termo são apenas para fins de exemplificação.</w:t>
            </w:r>
          </w:p>
          <w:p>
            <w:pPr>
              <w:pStyle w:val="Normal"/>
              <w:jc w:val="both"/>
              <w:rPr>
                <w:rFonts w:ascii="Times New Roman" w:hAnsi="Times New Roman" w:cs="Times New Roman"/>
                <w:b/>
                <w:b/>
              </w:rPr>
            </w:pPr>
            <w:r>
              <w:rPr>
                <w:rFonts w:cs="Times New Roman" w:ascii="Times New Roman" w:hAnsi="Times New Roman"/>
                <w:b/>
              </w:rPr>
            </w:r>
          </w:p>
          <w:p>
            <w:pPr>
              <w:pStyle w:val="Normal"/>
              <w:jc w:val="both"/>
              <w:rPr>
                <w:rFonts w:ascii="Times New Roman" w:hAnsi="Times New Roman" w:cs="Times New Roman"/>
                <w:b/>
                <w:b/>
                <w:bCs/>
              </w:rPr>
            </w:pPr>
            <w:r>
              <w:rPr>
                <w:rFonts w:cs="Times New Roman" w:ascii="Times New Roman" w:hAnsi="Times New Roman"/>
                <w:b/>
                <w:bCs/>
              </w:rPr>
            </w:r>
          </w:p>
        </w:tc>
      </w:tr>
    </w:tbl>
    <w:p>
      <w:pPr>
        <w:pStyle w:val="Normal"/>
        <w:tabs>
          <w:tab w:val="clear" w:pos="708"/>
          <w:tab w:val="left" w:pos="4005" w:leader="none"/>
        </w:tabs>
        <w:ind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ind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ind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ind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ind w:right="-568" w:hanging="0"/>
        <w:rPr>
          <w:rFonts w:ascii="Times New Roman" w:hAnsi="Times New Roman" w:cs="Times New Roman"/>
        </w:rPr>
      </w:pPr>
      <w:r>
        <w:rPr>
          <w:rFonts w:cs="Times New Roman" w:ascii="Times New Roman" w:hAnsi="Times New Roman"/>
        </w:rPr>
      </w:r>
    </w:p>
    <w:tbl>
      <w:tblPr>
        <w:tblW w:w="8418" w:type="dxa"/>
        <w:jc w:val="left"/>
        <w:tblInd w:w="-214" w:type="dxa"/>
        <w:tblCellMar>
          <w:top w:w="0" w:type="dxa"/>
          <w:left w:w="70" w:type="dxa"/>
          <w:bottom w:w="0" w:type="dxa"/>
          <w:right w:w="70" w:type="dxa"/>
        </w:tblCellMar>
        <w:tblLook w:firstRow="1" w:noVBand="1" w:lastRow="0" w:firstColumn="1" w:lastColumn="0" w:noHBand="0" w:val="04a0"/>
      </w:tblPr>
      <w:tblGrid>
        <w:gridCol w:w="708"/>
        <w:gridCol w:w="633"/>
        <w:gridCol w:w="3277"/>
        <w:gridCol w:w="993"/>
        <w:gridCol w:w="1463"/>
        <w:gridCol w:w="1344"/>
      </w:tblGrid>
      <w:tr>
        <w:trPr>
          <w:trHeight w:val="290" w:hRule="atLeast"/>
        </w:trPr>
        <w:tc>
          <w:tcPr>
            <w:tcW w:w="708" w:type="dxa"/>
            <w:vMerge w:val="restart"/>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60" w:after="60"/>
              <w:jc w:val="center"/>
              <w:rPr>
                <w:rFonts w:ascii="Times New Roman" w:hAnsi="Times New Roman" w:cs="Times New Roman"/>
                <w:b/>
                <w:b/>
                <w:bCs/>
                <w:sz w:val="20"/>
                <w:szCs w:val="20"/>
                <w:lang w:eastAsia="pt-BR"/>
              </w:rPr>
            </w:pPr>
            <w:r>
              <w:rPr>
                <w:rFonts w:cs="Times New Roman" w:ascii="Times New Roman" w:hAnsi="Times New Roman"/>
                <w:b/>
                <w:bCs/>
                <w:sz w:val="20"/>
                <w:szCs w:val="20"/>
                <w:lang w:eastAsia="pt-BR"/>
              </w:rPr>
              <w:t>ITEM</w:t>
            </w:r>
          </w:p>
        </w:tc>
        <w:tc>
          <w:tcPr>
            <w:tcW w:w="3910" w:type="dxa"/>
            <w:gridSpan w:val="2"/>
            <w:vMerge w:val="restart"/>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60" w:after="60"/>
              <w:jc w:val="center"/>
              <w:rPr>
                <w:rFonts w:ascii="Times New Roman" w:hAnsi="Times New Roman" w:cs="Times New Roman"/>
                <w:b/>
                <w:b/>
                <w:bCs/>
                <w:sz w:val="20"/>
                <w:szCs w:val="20"/>
                <w:lang w:eastAsia="pt-BR"/>
              </w:rPr>
            </w:pPr>
            <w:r>
              <w:rPr>
                <w:rFonts w:cs="Times New Roman" w:ascii="Times New Roman" w:hAnsi="Times New Roman"/>
                <w:b/>
                <w:bCs/>
                <w:sz w:val="20"/>
                <w:szCs w:val="20"/>
                <w:lang w:eastAsia="pt-BR"/>
              </w:rPr>
              <w:t>ESPECIFICAÇÃO DO SERVIÇO</w:t>
            </w:r>
          </w:p>
        </w:tc>
        <w:tc>
          <w:tcPr>
            <w:tcW w:w="993" w:type="dxa"/>
            <w:vMerge w:val="restart"/>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60" w:after="60"/>
              <w:jc w:val="center"/>
              <w:rPr/>
            </w:pPr>
            <w:r>
              <w:rPr>
                <w:rFonts w:cs="Times New Roman" w:ascii="Times New Roman" w:hAnsi="Times New Roman"/>
                <w:b/>
                <w:bCs/>
                <w:sz w:val="20"/>
                <w:szCs w:val="20"/>
                <w:lang w:eastAsia="pt-BR"/>
              </w:rPr>
              <w:t>UND</w:t>
            </w:r>
          </w:p>
        </w:tc>
        <w:tc>
          <w:tcPr>
            <w:tcW w:w="1463" w:type="dxa"/>
            <w:vMerge w:val="restart"/>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60" w:after="60"/>
              <w:jc w:val="center"/>
              <w:rPr>
                <w:rFonts w:ascii="Times New Roman" w:hAnsi="Times New Roman" w:cs="Times New Roman"/>
                <w:b/>
                <w:b/>
                <w:bCs/>
                <w:sz w:val="20"/>
                <w:szCs w:val="20"/>
                <w:lang w:eastAsia="pt-BR"/>
              </w:rPr>
            </w:pPr>
            <w:r>
              <w:rPr>
                <w:rFonts w:cs="Times New Roman" w:ascii="Times New Roman" w:hAnsi="Times New Roman"/>
                <w:b/>
                <w:bCs/>
                <w:sz w:val="20"/>
                <w:szCs w:val="20"/>
                <w:lang w:eastAsia="pt-BR"/>
              </w:rPr>
              <w:t>VALOR DE REFERÊNCIA</w:t>
            </w:r>
          </w:p>
        </w:tc>
        <w:tc>
          <w:tcPr>
            <w:tcW w:w="1344" w:type="dxa"/>
            <w:vMerge w:val="restart"/>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60" w:after="60"/>
              <w:jc w:val="center"/>
              <w:rPr>
                <w:rFonts w:ascii="Times New Roman" w:hAnsi="Times New Roman" w:cs="Times New Roman"/>
                <w:b/>
                <w:b/>
                <w:bCs/>
                <w:sz w:val="20"/>
                <w:szCs w:val="20"/>
                <w:lang w:eastAsia="pt-BR"/>
              </w:rPr>
            </w:pPr>
            <w:r>
              <w:rPr>
                <w:rFonts w:cs="Times New Roman" w:ascii="Times New Roman" w:hAnsi="Times New Roman"/>
                <w:b/>
                <w:bCs/>
                <w:sz w:val="20"/>
                <w:szCs w:val="20"/>
                <w:lang w:eastAsia="pt-BR"/>
              </w:rPr>
              <w:t>VALOR TOTAL</w:t>
            </w:r>
          </w:p>
        </w:tc>
      </w:tr>
      <w:tr>
        <w:trPr>
          <w:trHeight w:val="407" w:hRule="atLeast"/>
        </w:trPr>
        <w:tc>
          <w:tcPr>
            <w:tcW w:w="708"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rPr>
                <w:rFonts w:ascii="Times New Roman" w:hAnsi="Times New Roman" w:cs="Times New Roman"/>
                <w:b/>
                <w:b/>
                <w:bCs/>
                <w:sz w:val="20"/>
                <w:szCs w:val="20"/>
                <w:lang w:eastAsia="pt-BR"/>
              </w:rPr>
            </w:pPr>
            <w:r>
              <w:rPr>
                <w:rFonts w:cs="Times New Roman" w:ascii="Times New Roman" w:hAnsi="Times New Roman"/>
                <w:b/>
                <w:bCs/>
                <w:sz w:val="20"/>
                <w:szCs w:val="20"/>
                <w:lang w:eastAsia="pt-BR"/>
              </w:rPr>
            </w:r>
          </w:p>
        </w:tc>
        <w:tc>
          <w:tcPr>
            <w:tcW w:w="3910" w:type="dxa"/>
            <w:gridSpan w:val="2"/>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rPr>
                <w:rFonts w:ascii="Times New Roman" w:hAnsi="Times New Roman" w:cs="Times New Roman"/>
                <w:b/>
                <w:b/>
                <w:bCs/>
                <w:sz w:val="20"/>
                <w:szCs w:val="20"/>
                <w:lang w:eastAsia="pt-BR"/>
              </w:rPr>
            </w:pPr>
            <w:r>
              <w:rPr>
                <w:rFonts w:cs="Times New Roman" w:ascii="Times New Roman" w:hAnsi="Times New Roman"/>
                <w:b/>
                <w:bCs/>
                <w:sz w:val="20"/>
                <w:szCs w:val="20"/>
                <w:lang w:eastAsia="pt-BR"/>
              </w:rPr>
            </w:r>
          </w:p>
        </w:tc>
        <w:tc>
          <w:tcPr>
            <w:tcW w:w="993"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rPr>
                <w:rFonts w:ascii="Times New Roman" w:hAnsi="Times New Roman" w:cs="Times New Roman"/>
                <w:b/>
                <w:b/>
                <w:bCs/>
                <w:sz w:val="20"/>
                <w:szCs w:val="20"/>
                <w:lang w:eastAsia="pt-BR"/>
              </w:rPr>
            </w:pPr>
            <w:r>
              <w:rPr>
                <w:rFonts w:cs="Times New Roman" w:ascii="Times New Roman" w:hAnsi="Times New Roman"/>
                <w:b/>
                <w:bCs/>
                <w:sz w:val="20"/>
                <w:szCs w:val="20"/>
                <w:lang w:eastAsia="pt-BR"/>
              </w:rPr>
            </w:r>
          </w:p>
        </w:tc>
        <w:tc>
          <w:tcPr>
            <w:tcW w:w="1463"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rPr>
                <w:rFonts w:ascii="Times New Roman" w:hAnsi="Times New Roman" w:cs="Times New Roman"/>
                <w:b/>
                <w:b/>
                <w:bCs/>
                <w:sz w:val="20"/>
                <w:szCs w:val="20"/>
                <w:lang w:eastAsia="pt-BR"/>
              </w:rPr>
            </w:pPr>
            <w:r>
              <w:rPr>
                <w:rFonts w:cs="Times New Roman" w:ascii="Times New Roman" w:hAnsi="Times New Roman"/>
                <w:b/>
                <w:bCs/>
                <w:sz w:val="20"/>
                <w:szCs w:val="20"/>
                <w:lang w:eastAsia="pt-BR"/>
              </w:rPr>
            </w:r>
          </w:p>
        </w:tc>
        <w:tc>
          <w:tcPr>
            <w:tcW w:w="1344"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rPr>
                <w:rFonts w:ascii="Times New Roman" w:hAnsi="Times New Roman" w:cs="Times New Roman"/>
                <w:b/>
                <w:b/>
                <w:bCs/>
                <w:sz w:val="20"/>
                <w:szCs w:val="20"/>
                <w:lang w:eastAsia="pt-BR"/>
              </w:rPr>
            </w:pPr>
            <w:r>
              <w:rPr>
                <w:rFonts w:cs="Times New Roman" w:ascii="Times New Roman" w:hAnsi="Times New Roman"/>
                <w:b/>
                <w:bCs/>
                <w:sz w:val="20"/>
                <w:szCs w:val="20"/>
                <w:lang w:eastAsia="pt-BR"/>
              </w:rPr>
            </w:r>
          </w:p>
        </w:tc>
      </w:tr>
      <w:tr>
        <w:trPr>
          <w:trHeight w:val="238" w:hRule="atLeast"/>
        </w:trPr>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jc w:val="center"/>
              <w:rPr>
                <w:rFonts w:ascii="Times New Roman" w:hAnsi="Times New Roman" w:cs="Times New Roman"/>
                <w:color w:val="auto"/>
                <w:lang w:val="pt-BR"/>
              </w:rPr>
            </w:pPr>
            <w:r>
              <w:rPr>
                <w:rFonts w:cs="Times New Roman" w:ascii="Times New Roman" w:hAnsi="Times New Roman"/>
                <w:color w:val="auto"/>
                <w:lang w:val="pt-BR"/>
              </w:rPr>
              <w:t>01</w:t>
            </w:r>
          </w:p>
        </w:tc>
        <w:tc>
          <w:tcPr>
            <w:tcW w:w="3910" w:type="dxa"/>
            <w:gridSpan w:val="2"/>
            <w:tcBorders>
              <w:top w:val="single" w:sz="4" w:space="0" w:color="000000"/>
              <w:bottom w:val="single" w:sz="4" w:space="0" w:color="000000"/>
              <w:right w:val="single" w:sz="4" w:space="0" w:color="000000"/>
            </w:tcBorders>
            <w:shd w:color="auto" w:fill="auto" w:val="clear"/>
          </w:tcPr>
          <w:p>
            <w:pPr>
              <w:pStyle w:val="Normal"/>
              <w:rPr/>
            </w:pPr>
            <w:r>
              <w:rPr>
                <w:rFonts w:cs="Times New Roman" w:ascii="Times New Roman" w:hAnsi="Times New Roman"/>
                <w:color w:val="000000"/>
              </w:rPr>
              <w:t>Serviço com fornecimento de material da seguinte forma: 07(sete) higienização geral ar-condicionado split hi-wal 12 mil btus; 03(três) higienização geral ar-condicionado split hi-wal 24 mil btus; 01(um) complemento de gás R410A ar-condicionado split hi-wal 24 mil btus; 01(um) troca de placa ar-condicionado split hi-wal; 01(um) placa receptora universal ar-condicionado split hi-wal 9000 a 3000.</w:t>
            </w:r>
          </w:p>
        </w:tc>
        <w:tc>
          <w:tcPr>
            <w:tcW w:w="993" w:type="dxa"/>
            <w:tcBorders>
              <w:top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cs="Times New Roman"/>
                <w:sz w:val="20"/>
                <w:szCs w:val="20"/>
              </w:rPr>
            </w:pPr>
            <w:r>
              <w:rPr>
                <w:rFonts w:cs="Times New Roman" w:ascii="Times New Roman" w:hAnsi="Times New Roman"/>
                <w:sz w:val="20"/>
                <w:szCs w:val="20"/>
              </w:rPr>
              <w:t>1</w:t>
            </w:r>
          </w:p>
        </w:tc>
        <w:tc>
          <w:tcPr>
            <w:tcW w:w="1463" w:type="dxa"/>
            <w:tcBorders>
              <w:top w:val="single" w:sz="4" w:space="0" w:color="000000"/>
              <w:bottom w:val="single" w:sz="4" w:space="0" w:color="000000"/>
              <w:right w:val="single" w:sz="4" w:space="0" w:color="000000"/>
            </w:tcBorders>
            <w:shd w:color="auto" w:fill="auto" w:val="clear"/>
            <w:vAlign w:val="center"/>
          </w:tcPr>
          <w:p>
            <w:pPr>
              <w:pStyle w:val="Normal"/>
              <w:jc w:val="center"/>
              <w:rPr/>
            </w:pPr>
            <w:r>
              <w:rPr>
                <w:rFonts w:cs="Times New Roman" w:ascii="Times New Roman" w:hAnsi="Times New Roman"/>
                <w:sz w:val="20"/>
                <w:szCs w:val="20"/>
              </w:rPr>
              <w:t xml:space="preserve">R$ </w:t>
            </w:r>
            <w:r>
              <w:rPr>
                <w:rFonts w:cs="Times New Roman" w:ascii="Times New Roman" w:hAnsi="Times New Roman"/>
                <w:sz w:val="20"/>
                <w:szCs w:val="20"/>
              </w:rPr>
              <w:t>2.900,00</w:t>
            </w:r>
          </w:p>
        </w:tc>
        <w:tc>
          <w:tcPr>
            <w:tcW w:w="1344" w:type="dxa"/>
            <w:tcBorders>
              <w:top w:val="single" w:sz="4" w:space="0" w:color="000000"/>
              <w:bottom w:val="single" w:sz="4" w:space="0" w:color="000000"/>
              <w:right w:val="single" w:sz="4" w:space="0" w:color="000000"/>
            </w:tcBorders>
            <w:shd w:color="auto" w:fill="auto" w:val="clear"/>
            <w:vAlign w:val="center"/>
          </w:tcPr>
          <w:p>
            <w:pPr>
              <w:pStyle w:val="Normal"/>
              <w:jc w:val="center"/>
              <w:rPr/>
            </w:pPr>
            <w:r>
              <w:rPr>
                <w:rFonts w:cs="Times New Roman" w:ascii="Times New Roman" w:hAnsi="Times New Roman"/>
                <w:color w:val="000000"/>
                <w:sz w:val="20"/>
                <w:szCs w:val="20"/>
              </w:rPr>
              <w:t>R$ 2.900,00</w:t>
            </w:r>
          </w:p>
        </w:tc>
      </w:tr>
      <w:tr>
        <w:trPr>
          <w:trHeight w:val="238" w:hRule="atLeast"/>
        </w:trPr>
        <w:tc>
          <w:tcPr>
            <w:tcW w:w="134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60" w:after="60"/>
              <w:jc w:val="center"/>
              <w:rPr/>
            </w:pPr>
            <w:r>
              <w:rPr>
                <w:rFonts w:cs="Times New Roman" w:ascii="Times New Roman" w:hAnsi="Times New Roman"/>
                <w:b/>
                <w:bCs/>
                <w:sz w:val="20"/>
                <w:szCs w:val="20"/>
              </w:rPr>
              <w:t>2.900,00</w:t>
            </w:r>
          </w:p>
        </w:tc>
        <w:tc>
          <w:tcPr>
            <w:tcW w:w="3277" w:type="dxa"/>
            <w:tcBorders/>
            <w:shd w:fill="auto" w:val="clear"/>
          </w:tcPr>
          <w:p>
            <w:pPr>
              <w:pStyle w:val="Normal"/>
              <w:rPr/>
            </w:pPr>
            <w:r>
              <w:rPr/>
            </w:r>
          </w:p>
        </w:tc>
        <w:tc>
          <w:tcPr>
            <w:tcW w:w="993" w:type="dxa"/>
            <w:tcBorders/>
            <w:shd w:fill="auto" w:val="clear"/>
          </w:tcPr>
          <w:p>
            <w:pPr>
              <w:pStyle w:val="Normal"/>
              <w:rPr/>
            </w:pPr>
            <w:r>
              <w:rPr/>
            </w:r>
          </w:p>
        </w:tc>
        <w:tc>
          <w:tcPr>
            <w:tcW w:w="1463" w:type="dxa"/>
            <w:tcBorders/>
            <w:shd w:fill="auto" w:val="clear"/>
          </w:tcPr>
          <w:p>
            <w:pPr>
              <w:pStyle w:val="Normal"/>
              <w:rPr/>
            </w:pPr>
            <w:r>
              <w:rPr/>
            </w:r>
          </w:p>
        </w:tc>
        <w:tc>
          <w:tcPr>
            <w:tcW w:w="1344" w:type="dxa"/>
            <w:tcBorders/>
            <w:shd w:fill="auto" w:val="clear"/>
          </w:tcPr>
          <w:p>
            <w:pPr>
              <w:pStyle w:val="Normal"/>
              <w:rPr/>
            </w:pPr>
            <w:r>
              <w:rPr/>
            </w:r>
          </w:p>
        </w:tc>
      </w:tr>
    </w:tbl>
    <w:p>
      <w:pPr>
        <w:pStyle w:val="Normal"/>
        <w:spacing w:lineRule="auto" w:line="276" w:before="120" w:after="120"/>
        <w:ind w:left="-284" w:right="-568" w:hanging="0"/>
        <w:jc w:val="both"/>
        <w:rPr>
          <w:rFonts w:ascii="Times New Roman" w:hAnsi="Times New Roman" w:cs="Times New Roman"/>
          <w:color w:val="FF0000"/>
        </w:rPr>
      </w:pPr>
      <w:r>
        <w:rPr>
          <w:rFonts w:cs="Times New Roman" w:ascii="Times New Roman" w:hAnsi="Times New Roman"/>
        </w:rPr>
        <w:t>2.4. Esta Administração recomenda que as empresas concorrentes atentem para o contido no item 26.3 do presente Termo de Referência.</w:t>
      </w:r>
    </w:p>
    <w:p>
      <w:pPr>
        <w:pStyle w:val="Nivel1"/>
        <w:rPr>
          <w:rFonts w:ascii="Times New Roman" w:hAnsi="Times New Roman" w:cs="Times New Roman"/>
          <w:b w:val="false"/>
          <w:b w:val="false"/>
          <w:sz w:val="24"/>
          <w:szCs w:val="24"/>
          <w:u w:val="single"/>
        </w:rPr>
      </w:pPr>
      <w:r>
        <w:rPr>
          <w:rFonts w:cs="Times New Roman" w:ascii="Times New Roman" w:hAnsi="Times New Roman"/>
          <w:b w:val="false"/>
          <w:sz w:val="24"/>
          <w:szCs w:val="24"/>
          <w:u w:val="single"/>
        </w:rPr>
        <w:t>3. JUSTIFICATIVA DA CONTRATAÇÃO</w:t>
      </w:r>
    </w:p>
    <w:p>
      <w:pPr>
        <w:pStyle w:val="Normal"/>
        <w:suppressAutoHyphens w:val="false"/>
        <w:spacing w:lineRule="auto" w:line="276" w:before="120" w:after="120"/>
        <w:ind w:left="-284" w:right="-568" w:hanging="0"/>
        <w:jc w:val="both"/>
        <w:rPr/>
      </w:pPr>
      <w:r>
        <w:rPr>
          <w:rFonts w:cs="Times New Roman" w:ascii="Times New Roman" w:hAnsi="Times New Roman"/>
        </w:rPr>
        <w:t>3.1. A Justificativa da aquisição está presente nos autos do processo de Dispensa de Licitação nº 5</w:t>
      </w:r>
      <w:r>
        <w:rPr>
          <w:rFonts w:cs="Times New Roman" w:ascii="Times New Roman" w:hAnsi="Times New Roman"/>
        </w:rPr>
        <w:t>5</w:t>
      </w:r>
      <w:r>
        <w:rPr>
          <w:rFonts w:cs="Times New Roman" w:ascii="Times New Roman" w:hAnsi="Times New Roman"/>
        </w:rPr>
        <w:t>/2023 – GUEs-9ª Bda Inf Mtz.</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r>
    </w:p>
    <w:p>
      <w:pPr>
        <w:pStyle w:val="Normal"/>
        <w:suppressAutoHyphens w:val="false"/>
        <w:spacing w:lineRule="auto" w:line="276" w:before="120" w:after="120"/>
        <w:ind w:left="588" w:right="-568" w:hanging="0"/>
        <w:jc w:val="center"/>
        <w:rPr>
          <w:rFonts w:ascii="Times New Roman" w:hAnsi="Times New Roman" w:cs="Times New Roman"/>
          <w:color w:val="000000"/>
          <w:u w:val="single"/>
        </w:rPr>
      </w:pPr>
      <w:r>
        <w:rPr>
          <w:rFonts w:cs="Times New Roman" w:ascii="Times New Roman" w:hAnsi="Times New Roman"/>
          <w:u w:val="single"/>
        </w:rPr>
        <w:t>4. CLASSIFICAÇÃO DOS BENS COMUNS</w:t>
      </w:r>
    </w:p>
    <w:p>
      <w:pPr>
        <w:pStyle w:val="Normal"/>
        <w:suppressAutoHyphens w:val="false"/>
        <w:spacing w:lineRule="auto" w:line="276" w:before="120" w:after="120"/>
        <w:ind w:left="-284" w:right="-568" w:hanging="0"/>
        <w:jc w:val="both"/>
        <w:rPr>
          <w:rFonts w:ascii="Times New Roman" w:hAnsi="Times New Roman" w:cs="Times New Roman"/>
          <w:bCs/>
          <w:color w:val="000000"/>
        </w:rPr>
      </w:pPr>
      <w:r>
        <w:rPr>
          <w:rFonts w:cs="Times New Roman" w:ascii="Times New Roman" w:hAnsi="Times New Roman"/>
          <w:iCs/>
        </w:rPr>
        <w:t>5.1. Trata-se de aquisição de bem comum, a ser contratada mediante dispensa de licitação.</w:t>
      </w:r>
    </w:p>
    <w:p>
      <w:pPr>
        <w:pStyle w:val="Normal"/>
        <w:suppressAutoHyphens w:val="false"/>
        <w:spacing w:lineRule="auto" w:line="276" w:before="120" w:after="120"/>
        <w:ind w:left="-284" w:right="-568" w:hanging="0"/>
        <w:jc w:val="both"/>
        <w:rPr>
          <w:rFonts w:ascii="Times New Roman" w:hAnsi="Times New Roman" w:cs="Times New Roman"/>
          <w:b/>
          <w:b/>
          <w:color w:val="000000"/>
        </w:rPr>
      </w:pPr>
      <w:r>
        <w:rPr>
          <w:rFonts w:cs="Times New Roman" w:ascii="Times New Roman" w:hAnsi="Times New Roman"/>
          <w:b/>
          <w:color w:val="000000"/>
        </w:rPr>
      </w:r>
    </w:p>
    <w:p>
      <w:pPr>
        <w:pStyle w:val="Normal"/>
        <w:suppressAutoHyphens w:val="false"/>
        <w:spacing w:lineRule="auto" w:line="276" w:before="120" w:after="120"/>
        <w:ind w:left="-284" w:right="-568" w:hanging="0"/>
        <w:jc w:val="center"/>
        <w:rPr>
          <w:rFonts w:ascii="Times New Roman" w:hAnsi="Times New Roman" w:cs="Times New Roman"/>
          <w:b/>
          <w:b/>
          <w:color w:val="000000"/>
          <w:u w:val="single"/>
        </w:rPr>
      </w:pPr>
      <w:r>
        <w:rPr>
          <w:rFonts w:cs="Times New Roman" w:ascii="Times New Roman" w:hAnsi="Times New Roman"/>
          <w:u w:val="single"/>
        </w:rPr>
        <w:t>5. DA SUBCONTRATAÇÃO</w:t>
      </w:r>
    </w:p>
    <w:p>
      <w:pPr>
        <w:pStyle w:val="Normal"/>
        <w:suppressAutoHyphens w:val="false"/>
        <w:spacing w:lineRule="auto" w:line="276" w:before="120" w:after="120"/>
        <w:ind w:left="-284" w:right="-568" w:hanging="0"/>
        <w:rPr>
          <w:rFonts w:ascii="Times New Roman" w:hAnsi="Times New Roman" w:cs="Times New Roman"/>
        </w:rPr>
      </w:pPr>
      <w:r>
        <w:rPr>
          <w:rFonts w:cs="Times New Roman" w:ascii="Times New Roman" w:hAnsi="Times New Roman"/>
          <w:color w:val="000000"/>
        </w:rPr>
        <w:t xml:space="preserve">5.1. </w:t>
      </w:r>
      <w:r>
        <w:rPr>
          <w:rFonts w:cs="Times New Roman" w:ascii="Times New Roman" w:hAnsi="Times New Roman"/>
        </w:rPr>
        <w:t>Não será admitida a subcontratação do objeto licitatório.</w:t>
      </w:r>
    </w:p>
    <w:p>
      <w:pPr>
        <w:pStyle w:val="Normal"/>
        <w:suppressAutoHyphens w:val="false"/>
        <w:spacing w:lineRule="auto" w:line="276" w:before="120" w:after="120"/>
        <w:ind w:left="-284" w:right="-568" w:hanging="0"/>
        <w:rPr>
          <w:rFonts w:ascii="Times New Roman" w:hAnsi="Times New Roman" w:cs="Times New Roman"/>
          <w:lang w:eastAsia="en-US"/>
        </w:rPr>
      </w:pPr>
      <w:r>
        <w:rPr>
          <w:rFonts w:cs="Times New Roman" w:ascii="Times New Roman" w:hAnsi="Times New Roman"/>
          <w:lang w:eastAsia="en-US"/>
        </w:rPr>
      </w:r>
    </w:p>
    <w:p>
      <w:pPr>
        <w:pStyle w:val="Normal"/>
        <w:suppressAutoHyphens w:val="false"/>
        <w:spacing w:lineRule="auto" w:line="276" w:before="120" w:after="120"/>
        <w:ind w:left="-284" w:right="-568" w:hanging="0"/>
        <w:jc w:val="center"/>
        <w:rPr>
          <w:rFonts w:ascii="Times New Roman" w:hAnsi="Times New Roman" w:cs="Times New Roman"/>
          <w:b/>
          <w:b/>
          <w:color w:val="000000"/>
          <w:u w:val="single"/>
        </w:rPr>
      </w:pPr>
      <w:r>
        <w:rPr>
          <w:rFonts w:cs="Times New Roman" w:ascii="Times New Roman" w:hAnsi="Times New Roman"/>
          <w:u w:val="single"/>
          <w:lang w:eastAsia="en-US"/>
        </w:rPr>
        <w:t>6. DA ALTERAÇÃO SUBJETIVA</w:t>
      </w:r>
    </w:p>
    <w:p>
      <w:pPr>
        <w:pStyle w:val="Normal"/>
        <w:suppressAutoHyphens w:val="false"/>
        <w:spacing w:lineRule="auto" w:line="276" w:before="120" w:after="120"/>
        <w:ind w:left="-284" w:right="-568" w:hanging="0"/>
        <w:jc w:val="both"/>
        <w:rPr>
          <w:rFonts w:ascii="Times New Roman" w:hAnsi="Times New Roman" w:cs="Times New Roman"/>
          <w:b/>
          <w:b/>
          <w:color w:val="000000"/>
          <w:u w:val="single"/>
        </w:rPr>
      </w:pPr>
      <w:r>
        <w:rPr>
          <w:rFonts w:cs="Times New Roman" w:ascii="Times New Roman" w:hAnsi="Times New Roman"/>
          <w:color w:val="000000"/>
        </w:rPr>
        <w:t xml:space="preserve">6.1. </w:t>
      </w:r>
      <w:r>
        <w:rPr>
          <w:rFonts w:cs="Times New Roman" w:ascii="Times New Roman" w:hAnsi="Times New Roman"/>
          <w:lang w:eastAsia="en-US"/>
        </w:rPr>
        <w:t>É admissível a fusão, cisão ou incorporação da contratada com/em outra pessoa jurídica, desde que sejam observados pela nova pessoa jurídica todos os requisitos de habilitação exigidos na Dispensa de Licitação original; sejam mantidas as demais cláusulas e condições do contrato; não haja prejuízo à execução do objeto pactuado e haja a anuência expressa da Administração à continuidade do contrato.</w:t>
      </w:r>
    </w:p>
    <w:p>
      <w:pPr>
        <w:pStyle w:val="Nivel1"/>
        <w:tabs>
          <w:tab w:val="clear" w:pos="0"/>
        </w:tabs>
        <w:ind w:left="-284" w:right="-568" w:hanging="0"/>
        <w:jc w:val="center"/>
        <w:rPr>
          <w:rFonts w:ascii="Times New Roman" w:hAnsi="Times New Roman" w:cs="Times New Roman"/>
          <w:b w:val="false"/>
          <w:b w:val="false"/>
          <w:sz w:val="24"/>
          <w:szCs w:val="24"/>
          <w:u w:val="single"/>
        </w:rPr>
      </w:pPr>
      <w:r>
        <w:rPr>
          <w:rFonts w:cs="Times New Roman" w:ascii="Times New Roman" w:hAnsi="Times New Roman"/>
          <w:b w:val="false"/>
          <w:sz w:val="24"/>
          <w:szCs w:val="24"/>
          <w:u w:val="single"/>
        </w:rPr>
        <w:t>7. DO PAGAMENTO</w:t>
      </w:r>
    </w:p>
    <w:p>
      <w:pPr>
        <w:pStyle w:val="Normal"/>
        <w:suppressAutoHyphens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color w:val="000000"/>
          <w:lang w:eastAsia="en-US"/>
        </w:rPr>
        <w:t xml:space="preserve">7.1. O pagamento será realizado no prazo máximo de até </w:t>
      </w:r>
      <w:r>
        <w:rPr>
          <w:rFonts w:cs="Times New Roman" w:ascii="Times New Roman" w:hAnsi="Times New Roman"/>
          <w:lang w:eastAsia="en-US"/>
        </w:rPr>
        <w:t>30 (trinta) d</w:t>
      </w:r>
      <w:r>
        <w:rPr>
          <w:rFonts w:cs="Times New Roman" w:ascii="Times New Roman" w:hAnsi="Times New Roman"/>
          <w:color w:val="000000"/>
          <w:lang w:eastAsia="en-US"/>
        </w:rPr>
        <w:t xml:space="preserve">ias, contados a partir </w:t>
      </w:r>
      <w:r>
        <w:rPr>
          <w:rFonts w:cs="Times New Roman" w:ascii="Times New Roman" w:hAnsi="Times New Roman"/>
          <w:color w:val="000000"/>
        </w:rPr>
        <w:t xml:space="preserve">do recebimento da Nota Fiscal ou Fatura, </w:t>
      </w:r>
      <w:r>
        <w:rPr>
          <w:rFonts w:cs="Times New Roman" w:ascii="Times New Roman" w:hAnsi="Times New Roman"/>
          <w:color w:val="000000"/>
          <w:lang w:eastAsia="en-US"/>
        </w:rPr>
        <w:t>através de ordem bancária, para crédito em banco, agência e conta corrente indicados pelo contratado.</w:t>
      </w:r>
    </w:p>
    <w:p>
      <w:pPr>
        <w:pStyle w:val="Normal"/>
        <w:suppressAutoHyphens w:val="false"/>
        <w:spacing w:lineRule="auto" w:line="276" w:before="120" w:after="120"/>
        <w:ind w:left="-284" w:right="-568" w:hanging="0"/>
        <w:jc w:val="both"/>
        <w:rPr>
          <w:rFonts w:ascii="Times New Roman" w:hAnsi="Times New Roman" w:cs="Times New Roman"/>
          <w:strike/>
          <w:color w:val="000000"/>
        </w:rPr>
      </w:pPr>
      <w:r>
        <w:rPr>
          <w:rFonts w:cs="Times New Roman" w:ascii="Times New Roman" w:hAnsi="Times New Roman"/>
          <w:color w:val="000000"/>
        </w:rPr>
        <w:t>7.2. Considera-se ocorrido o recebimento da nota fiscal ou fatura quando o órgão contratante atestar a execução do objeto do contrato.</w:t>
      </w:r>
    </w:p>
    <w:p>
      <w:pPr>
        <w:pStyle w:val="Normal"/>
        <w:suppressAutoHyphens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 xml:space="preserve">7.3. A Nota Fiscal ou Fatura deverá ser obrigatoriamente acompanhada da comprovação da regularidade fiscal, constatada por meio de consulta on-line ao SICAF ou, na impossibilidade de acesso </w:t>
      </w:r>
      <w:r>
        <w:rPr>
          <w:rFonts w:cs="Times New Roman" w:ascii="Times New Roman" w:hAnsi="Times New Roman"/>
          <w:color w:val="000000"/>
          <w:lang w:eastAsia="en-US"/>
        </w:rPr>
        <w:t>ao</w:t>
      </w:r>
      <w:r>
        <w:rPr>
          <w:rFonts w:cs="Times New Roman" w:ascii="Times New Roman" w:hAnsi="Times New Roman"/>
          <w:color w:val="000000"/>
        </w:rPr>
        <w:t xml:space="preserve"> referido Sistema, mediante consulta aos sítios eletrônicos oficiais ou à documentação mencionada no art. 29 da Lei nº 8.666, de 1993. </w:t>
      </w:r>
    </w:p>
    <w:p>
      <w:pPr>
        <w:pStyle w:val="Normal"/>
        <w:suppressAutoHyphens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 xml:space="preserve">7.4. Constatando-se, junto ao SICAF, a situação de irregularidade do fornecedor contratado, deverão ser tomadas as providências previstas no do art. 31 da Instrução </w:t>
      </w:r>
      <w:r>
        <w:rPr>
          <w:rFonts w:cs="Times New Roman" w:ascii="Times New Roman" w:hAnsi="Times New Roman"/>
          <w:color w:val="000000"/>
          <w:lang w:eastAsia="en-US"/>
        </w:rPr>
        <w:t>Normativa</w:t>
      </w:r>
      <w:r>
        <w:rPr>
          <w:rFonts w:cs="Times New Roman" w:ascii="Times New Roman" w:hAnsi="Times New Roman"/>
          <w:color w:val="000000"/>
        </w:rPr>
        <w:t xml:space="preserve"> nº 3, de 26 de abril de 2018.</w:t>
      </w:r>
    </w:p>
    <w:p>
      <w:pPr>
        <w:pStyle w:val="Normal"/>
        <w:suppressAutoHyphens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color w:val="000000"/>
          <w:lang w:eastAsia="en-US"/>
        </w:rPr>
        <w:t xml:space="preserve">7.5. Havendo erro na apresentação da Nota Fiscal ou dos documentos pertinentes à contratação, ou, ainda, circunstância que impeça a liquidação da despesa, como, por exemplo, </w:t>
      </w:r>
      <w:r>
        <w:rPr>
          <w:rFonts w:cs="Times New Roman" w:ascii="Times New Roman" w:hAnsi="Times New Roman"/>
          <w:color w:val="000000"/>
        </w:rPr>
        <w:t>obrigação financeira pendente, decorrente de penalidade imposta ou inadimplência,</w:t>
      </w:r>
      <w:r>
        <w:rPr>
          <w:rFonts w:cs="Times New Roman" w:ascii="Times New Roman" w:hAnsi="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7.6. Será considerada data do pagamento o dia em que constar como emitida a ordem bancária para pagamento.</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7.7. Antes de cada pagamento à contratada, será realizada consulta ao SICAF para verificar a manutenção das condições de habilitação exigidas neste Termo de Referência.</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7.8.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7.9.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 xml:space="preserve">7.10.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7.11. Persistindo a irregularidade, a contratante deverá adotar as medidas necessárias à rescisão contratual nos autos do processo administrativo correspondente, assegurada à contratada a ampla defesa.</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 xml:space="preserve">7.12. Havendo a efetiva execução do objeto, os pagamentos serão realizados normalmente, até que se decida pela rescisão do contrato, caso a contratada não regularize sua situação junto ao SICAF.  </w:t>
      </w:r>
    </w:p>
    <w:p>
      <w:pPr>
        <w:pStyle w:val="ListParagraph"/>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lang w:eastAsia="en-US"/>
        </w:rPr>
        <w:t>7.13 Será rescindido o contrato em execução com a contratada inadimplente no SICAF, salvo por motivo de economicidade, segurança nacional ou outro de interesse público de alta relevância, devidamente justificado, em qualquer caso, pela máxima autoridade da contratante.</w:t>
      </w:r>
    </w:p>
    <w:p>
      <w:pPr>
        <w:pStyle w:val="Normal"/>
        <w:suppressAutoHyphens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7.14. Quando do pagamento, será efetuada a retenção tributária prevista na legislação aplicável.</w:t>
      </w:r>
    </w:p>
    <w:p>
      <w:pPr>
        <w:pStyle w:val="Normal"/>
        <w:tabs>
          <w:tab w:val="clear" w:pos="708"/>
          <w:tab w:val="left" w:pos="1440" w:leader="none"/>
        </w:tabs>
        <w:suppressAutoHyphens w:val="false"/>
        <w:snapToGrid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color w:val="000000"/>
        </w:rPr>
        <w:t>7.15.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cs="Times New Roman" w:ascii="Times New Roman" w:hAnsi="Times New Roman"/>
          <w:lang w:eastAsia="en-US"/>
        </w:rPr>
        <w:t xml:space="preserve"> </w:t>
      </w:r>
    </w:p>
    <w:p>
      <w:pPr>
        <w:pStyle w:val="Normal"/>
        <w:tabs>
          <w:tab w:val="clear" w:pos="708"/>
          <w:tab w:val="left" w:pos="1440" w:leader="none"/>
        </w:tabs>
        <w:suppressAutoHyphens w:val="false"/>
        <w:snapToGrid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r>
    </w:p>
    <w:p>
      <w:pPr>
        <w:pStyle w:val="Normal"/>
        <w:tabs>
          <w:tab w:val="clear" w:pos="708"/>
          <w:tab w:val="left" w:pos="1440" w:leader="none"/>
        </w:tabs>
        <w:suppressAutoHyphens w:val="false"/>
        <w:snapToGrid w:val="false"/>
        <w:spacing w:lineRule="auto" w:line="276" w:before="120" w:after="120"/>
        <w:ind w:left="-284" w:right="-568" w:hanging="0"/>
        <w:jc w:val="center"/>
        <w:rPr>
          <w:rFonts w:ascii="Times New Roman" w:hAnsi="Times New Roman" w:cs="Times New Roman"/>
          <w:color w:val="000000"/>
          <w:u w:val="single"/>
        </w:rPr>
      </w:pPr>
      <w:r>
        <w:rPr>
          <w:rFonts w:cs="Times New Roman" w:ascii="Times New Roman" w:hAnsi="Times New Roman"/>
          <w:u w:val="single"/>
          <w:lang w:eastAsia="en-US"/>
        </w:rPr>
        <w:t xml:space="preserve">8. </w:t>
      </w:r>
      <w:r>
        <w:rPr>
          <w:rFonts w:cs="Times New Roman" w:ascii="Times New Roman" w:hAnsi="Times New Roman"/>
          <w:u w:val="single"/>
        </w:rPr>
        <w:t>DO REAJUSTE</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szCs w:val="20"/>
        </w:rPr>
        <w:t>8.1. Os preços serão fixos e irreajustáveis.</w:t>
      </w:r>
    </w:p>
    <w:p>
      <w:pPr>
        <w:pStyle w:val="Normal"/>
        <w:suppressAutoHyphens w:val="false"/>
        <w:spacing w:lineRule="auto" w:line="276" w:before="120" w:after="120"/>
        <w:ind w:left="-284" w:right="-568" w:hanging="0"/>
        <w:jc w:val="both"/>
        <w:rPr>
          <w:b/>
          <w:b/>
        </w:rPr>
      </w:pPr>
      <w:r>
        <w:rPr>
          <w:b/>
        </w:rPr>
      </w:r>
    </w:p>
    <w:p>
      <w:pPr>
        <w:pStyle w:val="Nivel1"/>
        <w:tabs>
          <w:tab w:val="clear" w:pos="0"/>
        </w:tabs>
        <w:spacing w:before="0" w:after="120"/>
        <w:ind w:left="-284" w:right="-568" w:hanging="0"/>
        <w:jc w:val="center"/>
        <w:rPr>
          <w:rFonts w:ascii="Times New Roman" w:hAnsi="Times New Roman" w:cs="Times New Roman"/>
          <w:b w:val="false"/>
          <w:b w:val="false"/>
          <w:sz w:val="24"/>
          <w:szCs w:val="24"/>
          <w:u w:val="single"/>
        </w:rPr>
      </w:pPr>
      <w:r>
        <w:rPr>
          <w:rFonts w:ascii="Times New Roman" w:hAnsi="Times New Roman"/>
          <w:b w:val="false"/>
          <w:sz w:val="24"/>
          <w:u w:val="single"/>
        </w:rPr>
        <w:t>9.</w:t>
      </w:r>
      <w:r>
        <w:rPr>
          <w:rFonts w:cs="Times New Roman" w:ascii="Times New Roman" w:hAnsi="Times New Roman"/>
          <w:b w:val="false"/>
          <w:sz w:val="24"/>
          <w:szCs w:val="24"/>
          <w:u w:val="single"/>
        </w:rPr>
        <w:t xml:space="preserve"> DA GARANTIA DE EXECUÇÃO</w:t>
      </w:r>
    </w:p>
    <w:p>
      <w:pPr>
        <w:pStyle w:val="Normal"/>
        <w:suppressAutoHyphens w:val="false"/>
        <w:spacing w:lineRule="auto" w:line="276" w:before="120" w:after="120"/>
        <w:ind w:left="-284" w:right="-568" w:hanging="0"/>
        <w:jc w:val="both"/>
        <w:rPr>
          <w:rFonts w:ascii="Times New Roman" w:hAnsi="Times New Roman" w:cs="Times New Roman"/>
          <w:color w:val="FF0000"/>
        </w:rPr>
      </w:pPr>
      <w:r>
        <w:rPr>
          <w:rFonts w:cs="Times New Roman" w:ascii="Times New Roman" w:hAnsi="Times New Roman"/>
        </w:rPr>
        <w:t>9.1. Não haverá exigência de garantia contratual da execução.</w:t>
      </w:r>
    </w:p>
    <w:p>
      <w:pPr>
        <w:pStyle w:val="Nivel1"/>
        <w:tabs>
          <w:tab w:val="clear" w:pos="0"/>
        </w:tabs>
        <w:spacing w:before="120" w:after="120"/>
        <w:ind w:left="0" w:right="-568" w:hanging="0"/>
        <w:rPr>
          <w:rFonts w:ascii="Times New Roman" w:hAnsi="Times New Roman" w:cs="Times New Roman"/>
          <w:bCs/>
          <w:sz w:val="24"/>
          <w:szCs w:val="24"/>
        </w:rPr>
      </w:pPr>
      <w:r>
        <w:rPr>
          <w:rFonts w:cs="Times New Roman" w:ascii="Times New Roman" w:hAnsi="Times New Roman"/>
          <w:bCs/>
          <w:sz w:val="24"/>
          <w:szCs w:val="24"/>
        </w:rPr>
      </w:r>
    </w:p>
    <w:p>
      <w:pPr>
        <w:pStyle w:val="Nivel1"/>
        <w:tabs>
          <w:tab w:val="clear" w:pos="0"/>
        </w:tabs>
        <w:spacing w:before="120" w:after="120"/>
        <w:ind w:left="-284" w:right="-568" w:hanging="0"/>
        <w:jc w:val="center"/>
        <w:rPr>
          <w:rFonts w:ascii="Times New Roman" w:hAnsi="Times New Roman" w:cs="Times New Roman"/>
          <w:b w:val="false"/>
          <w:b w:val="false"/>
          <w:bCs/>
          <w:color w:val="auto"/>
          <w:sz w:val="24"/>
          <w:szCs w:val="24"/>
          <w:u w:val="single"/>
        </w:rPr>
      </w:pPr>
      <w:r>
        <w:rPr>
          <w:rFonts w:cs="Times New Roman" w:ascii="Times New Roman" w:hAnsi="Times New Roman"/>
          <w:b w:val="false"/>
          <w:bCs/>
          <w:color w:val="auto"/>
          <w:sz w:val="24"/>
          <w:szCs w:val="24"/>
          <w:u w:val="single"/>
        </w:rPr>
        <w:t xml:space="preserve">10. ESTIMATIVA DE </w:t>
      </w:r>
      <w:r>
        <w:rPr>
          <w:rFonts w:cs="Times New Roman" w:ascii="Times New Roman" w:hAnsi="Times New Roman"/>
          <w:b w:val="false"/>
          <w:color w:val="auto"/>
          <w:sz w:val="24"/>
          <w:szCs w:val="24"/>
          <w:u w:val="single"/>
        </w:rPr>
        <w:t>PREÇOS</w:t>
      </w:r>
      <w:r>
        <w:rPr>
          <w:rFonts w:cs="Times New Roman" w:ascii="Times New Roman" w:hAnsi="Times New Roman"/>
          <w:b w:val="false"/>
          <w:bCs/>
          <w:color w:val="auto"/>
          <w:sz w:val="24"/>
          <w:szCs w:val="24"/>
          <w:u w:val="single"/>
        </w:rPr>
        <w:t xml:space="preserve"> E PREÇOS REFERENCIAIS</w:t>
      </w:r>
    </w:p>
    <w:p>
      <w:pPr>
        <w:pStyle w:val="Nivel1"/>
        <w:tabs>
          <w:tab w:val="clear" w:pos="0"/>
        </w:tabs>
        <w:spacing w:before="120" w:after="120"/>
        <w:ind w:left="-284" w:right="-568" w:hanging="0"/>
        <w:rPr/>
      </w:pPr>
      <w:r>
        <w:rPr>
          <w:rFonts w:cs="Times New Roman" w:ascii="Times New Roman" w:hAnsi="Times New Roman"/>
          <w:b w:val="false"/>
          <w:color w:val="auto"/>
          <w:sz w:val="24"/>
          <w:szCs w:val="24"/>
        </w:rPr>
        <w:t>10.1. O custo estimado da contratação é de R$ 2.</w:t>
      </w:r>
      <w:r>
        <w:rPr>
          <w:rFonts w:cs="Times New Roman" w:ascii="Times New Roman" w:hAnsi="Times New Roman"/>
          <w:b w:val="false"/>
          <w:color w:val="auto"/>
          <w:sz w:val="24"/>
          <w:szCs w:val="24"/>
        </w:rPr>
        <w:t>900,00</w:t>
      </w:r>
      <w:r>
        <w:rPr>
          <w:rFonts w:cs="Times New Roman" w:ascii="Times New Roman" w:hAnsi="Times New Roman"/>
          <w:b w:val="false"/>
          <w:bCs/>
          <w:sz w:val="24"/>
          <w:szCs w:val="24"/>
        </w:rPr>
        <w:t>.</w:t>
      </w:r>
    </w:p>
    <w:p>
      <w:pPr>
        <w:pStyle w:val="Nivel1"/>
        <w:tabs>
          <w:tab w:val="clear" w:pos="0"/>
          <w:tab w:val="left" w:pos="142" w:leader="none"/>
        </w:tabs>
        <w:spacing w:before="120" w:after="120"/>
        <w:ind w:left="0" w:hanging="0"/>
        <w:rPr>
          <w:rFonts w:ascii="Times New Roman" w:hAnsi="Times New Roman" w:cs="Times New Roman"/>
          <w:b w:val="false"/>
          <w:b w:val="false"/>
          <w:color w:val="auto"/>
          <w:sz w:val="24"/>
          <w:szCs w:val="24"/>
          <w:lang w:eastAsia="ar-SA"/>
        </w:rPr>
      </w:pPr>
      <w:r>
        <w:rPr>
          <w:rFonts w:cs="Times New Roman" w:ascii="Times New Roman" w:hAnsi="Times New Roman"/>
          <w:b w:val="false"/>
          <w:color w:val="auto"/>
          <w:sz w:val="24"/>
          <w:szCs w:val="24"/>
          <w:lang w:eastAsia="ar-SA"/>
        </w:rPr>
      </w:r>
    </w:p>
    <w:p>
      <w:pPr>
        <w:pStyle w:val="Nivel1"/>
        <w:tabs>
          <w:tab w:val="clear" w:pos="0"/>
          <w:tab w:val="left" w:pos="142" w:leader="none"/>
        </w:tabs>
        <w:spacing w:before="120" w:after="120"/>
        <w:ind w:left="-284" w:right="-568" w:hanging="0"/>
        <w:jc w:val="center"/>
        <w:rPr>
          <w:rFonts w:ascii="Times New Roman" w:hAnsi="Times New Roman" w:cs="Times New Roman"/>
          <w:b w:val="false"/>
          <w:b w:val="false"/>
          <w:bCs/>
          <w:sz w:val="24"/>
          <w:szCs w:val="24"/>
          <w:u w:val="single"/>
        </w:rPr>
      </w:pPr>
      <w:r>
        <w:rPr>
          <w:rFonts w:cs="Times New Roman" w:ascii="Times New Roman" w:hAnsi="Times New Roman"/>
          <w:b w:val="false"/>
          <w:sz w:val="24"/>
          <w:szCs w:val="24"/>
          <w:u w:val="single"/>
        </w:rPr>
        <w:t>11. DOS RECURSOS ORÇAMENTÁRIOS</w:t>
      </w:r>
    </w:p>
    <w:p>
      <w:pPr>
        <w:pStyle w:val="Normal"/>
        <w:suppressAutoHyphens w:val="false"/>
        <w:spacing w:lineRule="auto" w:line="276" w:before="120" w:after="120"/>
        <w:ind w:left="-284" w:right="-568" w:hanging="0"/>
        <w:jc w:val="both"/>
        <w:rPr>
          <w:rFonts w:ascii="Times New Roman" w:hAnsi="Times New Roman" w:cs="Times New Roman"/>
          <w:iCs/>
        </w:rPr>
      </w:pPr>
      <w:r>
        <w:rPr>
          <w:rFonts w:cs="Times New Roman" w:ascii="Times New Roman" w:hAnsi="Times New Roman"/>
          <w:iCs/>
        </w:rPr>
        <w:t>11.1. As despesas decorrentes da presente contratação correrão à conta de recursos específicos consignados no Orçamento Geral da União, relativos ao Exercício Financeiro de 2023. A indicação dos recursos da presente contratação está descrita a seguir:</w:t>
      </w:r>
    </w:p>
    <w:p>
      <w:pPr>
        <w:pStyle w:val="Normal"/>
        <w:suppressAutoHyphens w:val="false"/>
        <w:spacing w:lineRule="auto" w:line="276" w:before="120" w:after="120"/>
        <w:ind w:left="-284" w:right="-568" w:hanging="0"/>
        <w:jc w:val="both"/>
        <w:rPr/>
      </w:pPr>
      <w:r>
        <w:rPr>
          <w:rFonts w:cs="Times New Roman" w:ascii="Times New Roman" w:hAnsi="Times New Roman"/>
          <w:iCs/>
        </w:rPr>
        <w:t xml:space="preserve">UG: </w:t>
      </w:r>
      <w:r>
        <w:rPr>
          <w:rFonts w:cs="Times New Roman" w:ascii="Times New Roman" w:hAnsi="Times New Roman"/>
          <w:iCs/>
        </w:rPr>
        <w:t>160295</w:t>
      </w:r>
    </w:p>
    <w:p>
      <w:pPr>
        <w:pStyle w:val="Normal"/>
        <w:suppressAutoHyphens w:val="false"/>
        <w:spacing w:lineRule="auto" w:line="276" w:before="120" w:after="120"/>
        <w:ind w:left="-284" w:right="-568" w:hanging="0"/>
        <w:jc w:val="both"/>
        <w:rPr/>
      </w:pPr>
      <w:r>
        <w:rPr>
          <w:rFonts w:cs="Times New Roman" w:ascii="Times New Roman" w:hAnsi="Times New Roman"/>
          <w:iCs/>
        </w:rPr>
        <w:t xml:space="preserve">FONTE: </w:t>
      </w:r>
      <w:r>
        <w:rPr>
          <w:rFonts w:cs="Times New Roman" w:ascii="Times New Roman" w:hAnsi="Times New Roman"/>
          <w:iCs/>
        </w:rPr>
        <w:t>1000000000</w:t>
      </w:r>
    </w:p>
    <w:p>
      <w:pPr>
        <w:pStyle w:val="Normal"/>
        <w:suppressAutoHyphens w:val="false"/>
        <w:spacing w:lineRule="auto" w:line="276" w:before="120" w:after="120"/>
        <w:ind w:left="-284" w:right="-568" w:hanging="0"/>
        <w:jc w:val="both"/>
        <w:rPr/>
      </w:pPr>
      <w:r>
        <w:rPr>
          <w:rFonts w:cs="Times New Roman" w:ascii="Times New Roman" w:hAnsi="Times New Roman"/>
          <w:iCs/>
        </w:rPr>
        <w:t xml:space="preserve">PI: </w:t>
      </w:r>
      <w:r>
        <w:rPr>
          <w:rFonts w:cs="Times New Roman" w:ascii="Times New Roman" w:hAnsi="Times New Roman"/>
          <w:iCs/>
        </w:rPr>
        <w:t>G3OPEMPMICO</w:t>
      </w:r>
    </w:p>
    <w:p>
      <w:pPr>
        <w:pStyle w:val="Normal"/>
        <w:suppressAutoHyphens w:val="false"/>
        <w:spacing w:lineRule="auto" w:line="276" w:before="120" w:after="120"/>
        <w:ind w:left="-284" w:right="-568" w:hanging="0"/>
        <w:jc w:val="both"/>
        <w:rPr/>
      </w:pPr>
      <w:r>
        <w:rPr>
          <w:rFonts w:cs="Times New Roman" w:ascii="Times New Roman" w:hAnsi="Times New Roman"/>
          <w:iCs/>
        </w:rPr>
        <w:t xml:space="preserve">ND: </w:t>
      </w:r>
      <w:r>
        <w:rPr>
          <w:rFonts w:cs="Times New Roman" w:ascii="Times New Roman" w:hAnsi="Times New Roman"/>
          <w:iCs/>
        </w:rPr>
        <w:t>339039</w:t>
      </w:r>
    </w:p>
    <w:p>
      <w:pPr>
        <w:pStyle w:val="Normal"/>
        <w:suppressAutoHyphens w:val="false"/>
        <w:spacing w:lineRule="auto" w:line="276" w:before="120" w:after="120"/>
        <w:ind w:left="-284" w:right="-568" w:hanging="0"/>
        <w:jc w:val="both"/>
        <w:rPr/>
      </w:pPr>
      <w:r>
        <w:rPr>
          <w:rFonts w:cs="Times New Roman" w:ascii="Times New Roman" w:hAnsi="Times New Roman"/>
          <w:iCs/>
        </w:rPr>
        <w:t xml:space="preserve">UGR: </w:t>
      </w:r>
      <w:r>
        <w:rPr>
          <w:rFonts w:cs="Times New Roman" w:ascii="Times New Roman" w:hAnsi="Times New Roman"/>
          <w:iCs/>
        </w:rPr>
        <w:t>160221</w:t>
      </w:r>
    </w:p>
    <w:p>
      <w:pPr>
        <w:pStyle w:val="Normal"/>
        <w:spacing w:lineRule="auto" w:line="276" w:before="120" w:after="120"/>
        <w:ind w:left="-284" w:right="-568" w:hanging="0"/>
        <w:jc w:val="both"/>
        <w:rPr>
          <w:rFonts w:ascii="Times New Roman" w:hAnsi="Times New Roman" w:cs="Times New Roman"/>
          <w:color w:val="FF0000"/>
        </w:rPr>
      </w:pPr>
      <w:r>
        <w:rPr>
          <w:rFonts w:cs="Times New Roman" w:ascii="Times New Roman" w:hAnsi="Times New Roman"/>
          <w:color w:val="FF0000"/>
        </w:rPr>
      </w:r>
    </w:p>
    <w:p>
      <w:pPr>
        <w:pStyle w:val="Normal"/>
        <w:tabs>
          <w:tab w:val="clear" w:pos="708"/>
          <w:tab w:val="left" w:pos="4005"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12. DEFINIÇÃO DOS MÉTODOS</w:t>
      </w:r>
    </w:p>
    <w:p>
      <w:pPr>
        <w:pStyle w:val="Normal"/>
        <w:spacing w:lineRule="auto" w:line="276"/>
        <w:ind w:left="-284" w:right="-568" w:hanging="0"/>
        <w:jc w:val="both"/>
        <w:rPr>
          <w:rFonts w:ascii="Times New Roman" w:hAnsi="Times New Roman" w:cs="Times New Roman"/>
        </w:rPr>
      </w:pPr>
      <w:r>
        <w:rPr>
          <w:rFonts w:cs="Times New Roman" w:ascii="Times New Roman" w:hAnsi="Times New Roman"/>
        </w:rPr>
        <w:t>12.1. A metodologia para avaliação dos produtos será o atendimento das especificações contidas na Relação de Serviços constante deste termo de Referência. Os Serviços que exijam, a critério desta Organização Militar, análise mais minuciosa, serão avaliados por comissão técnica designada para tal e só serão recebidos após aprovação da mesma.</w:t>
      </w:r>
    </w:p>
    <w:p>
      <w:pPr>
        <w:pStyle w:val="Normal"/>
        <w:tabs>
          <w:tab w:val="clear" w:pos="708"/>
          <w:tab w:val="left" w:pos="4005" w:leader="none"/>
        </w:tabs>
        <w:ind w:left="-284"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ind w:left="-284"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13 ESTRATÉGIA DE SUPRIMENTO</w:t>
      </w:r>
    </w:p>
    <w:p>
      <w:pPr>
        <w:pStyle w:val="Normal"/>
        <w:tabs>
          <w:tab w:val="clear" w:pos="708"/>
          <w:tab w:val="left" w:pos="3012" w:leader="none"/>
        </w:tabs>
        <w:spacing w:lineRule="auto" w:line="276"/>
        <w:ind w:left="-284" w:right="-568" w:hanging="0"/>
        <w:jc w:val="both"/>
        <w:rPr>
          <w:rFonts w:ascii="Times New Roman" w:hAnsi="Times New Roman" w:cs="Times New Roman"/>
        </w:rPr>
      </w:pPr>
      <w:r>
        <w:rPr>
          <w:rFonts w:cs="Times New Roman" w:ascii="Times New Roman" w:hAnsi="Times New Roman"/>
        </w:rPr>
        <w:t>13.1. O fornecimento dos itens deverá ser imediato. Assim que ocorrer a homologação, as Notas de Empenho serão confeccionadas no menor prazo possível. Os itens serão fornecidos de uma vez só, ou seja, não haverá parcelamento de entregas.</w:t>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14. CRITÉRIO DE ACEITAÇÃO DO OBJETO</w:t>
      </w:r>
    </w:p>
    <w:p>
      <w:pPr>
        <w:pStyle w:val="Normal"/>
        <w:tabs>
          <w:tab w:val="clear" w:pos="708"/>
          <w:tab w:val="left" w:pos="3012"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14.1. Em princípio, as propostas referentes aos itens da presente Dispensa de Licitação só serão aceitas pela Administração caso a mesma seja de valor inferior ou igual ao valor unitário estimado.</w:t>
      </w:r>
    </w:p>
    <w:p>
      <w:pPr>
        <w:pStyle w:val="Normal"/>
        <w:tabs>
          <w:tab w:val="clear" w:pos="708"/>
          <w:tab w:val="left" w:pos="3012"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14.2. A aceitação de cada item de cada proposta da presente dispensa de licitação também estará condicionada à verificação, pela Administração, da adequação do item às especificações na Relação de serviços constante deste termo de Referência. Os itens de cada proposta que não atenderem às especificações contidas na Relação de serviços serão desclassificados pela Administração.</w:t>
      </w:r>
    </w:p>
    <w:p>
      <w:pPr>
        <w:pStyle w:val="Normal"/>
        <w:tabs>
          <w:tab w:val="clear" w:pos="708"/>
          <w:tab w:val="left" w:pos="3012" w:leader="none"/>
        </w:tabs>
        <w:spacing w:lineRule="auto" w:line="276"/>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15. PREÇO UNITÁRIO MÁXIMO</w:t>
      </w:r>
    </w:p>
    <w:p>
      <w:pPr>
        <w:pStyle w:val="Normal"/>
        <w:tabs>
          <w:tab w:val="clear" w:pos="708"/>
          <w:tab w:val="left" w:pos="3012" w:leader="none"/>
        </w:tabs>
        <w:spacing w:lineRule="auto" w:line="276"/>
        <w:ind w:left="-284" w:right="-568" w:hanging="0"/>
        <w:jc w:val="both"/>
        <w:rPr/>
      </w:pPr>
      <w:r>
        <w:rPr>
          <w:rFonts w:cs="Times New Roman" w:ascii="Times New Roman" w:hAnsi="Times New Roman"/>
        </w:rPr>
        <w:t>15.1. O preço unitário máximo de cada item da presente Dispensa de Licitação é o equivalente ao Valor de Referência do item. O Valor de Referência é equivalente ao valor estipulado na coluna “VALOR DE REFERÊNCIA” da Relação de Serviços da Dispensa de Licitação 5</w:t>
      </w:r>
      <w:r>
        <w:rPr>
          <w:rFonts w:cs="Times New Roman" w:ascii="Times New Roman" w:hAnsi="Times New Roman"/>
        </w:rPr>
        <w:t>5</w:t>
      </w:r>
      <w:r>
        <w:rPr>
          <w:rFonts w:cs="Times New Roman" w:ascii="Times New Roman" w:hAnsi="Times New Roman"/>
        </w:rPr>
        <w:t>/2023.</w:t>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16. QUANTIDADE MÍNIMA DE UNIDADES A SER COTADA</w:t>
      </w:r>
    </w:p>
    <w:p>
      <w:pPr>
        <w:pStyle w:val="Normal"/>
        <w:tabs>
          <w:tab w:val="clear" w:pos="708"/>
          <w:tab w:val="left" w:pos="3012" w:leader="none"/>
        </w:tabs>
        <w:spacing w:lineRule="auto" w:line="276" w:before="0" w:after="120"/>
        <w:ind w:left="-284" w:right="-568" w:hanging="0"/>
        <w:jc w:val="both"/>
        <w:rPr/>
      </w:pPr>
      <w:r>
        <w:rPr>
          <w:rFonts w:cs="Times New Roman" w:ascii="Times New Roman" w:hAnsi="Times New Roman"/>
        </w:rPr>
        <w:t>16.1. A quantidade mínima de unidades a ser cotada por cada item da presente dispensa de licitação é o equivalente ao total do quantitativo de cada item. A quantidade mínima a ser cotada por cada item é equivalente à quantidade descrita na coluna “QUANTIDADE” da Relação de Serviço da Dispensa de Licitação 5</w:t>
      </w:r>
      <w:r>
        <w:rPr>
          <w:rFonts w:cs="Times New Roman" w:ascii="Times New Roman" w:hAnsi="Times New Roman"/>
        </w:rPr>
        <w:t>5</w:t>
      </w:r>
      <w:r>
        <w:rPr>
          <w:rFonts w:cs="Times New Roman" w:ascii="Times New Roman" w:hAnsi="Times New Roman"/>
        </w:rPr>
        <w:t>/2023.</w:t>
      </w:r>
    </w:p>
    <w:p>
      <w:pPr>
        <w:pStyle w:val="Normal"/>
        <w:tabs>
          <w:tab w:val="clear" w:pos="708"/>
          <w:tab w:val="left" w:pos="3012" w:leader="none"/>
        </w:tabs>
        <w:spacing w:lineRule="auto" w:line="276"/>
        <w:ind w:left="-284" w:right="-568" w:hanging="0"/>
        <w:jc w:val="both"/>
        <w:rPr>
          <w:rFonts w:ascii="Times New Roman" w:hAnsi="Times New Roman" w:cs="Times New Roman"/>
        </w:rPr>
      </w:pPr>
      <w:r>
        <w:rPr>
          <w:rFonts w:cs="Times New Roman" w:ascii="Times New Roman" w:hAnsi="Times New Roman"/>
        </w:rPr>
        <w:t>16.2. A proposta que apresentar uma quantidade menor do que a quantidade mínima de unidades a ser cotada em determinado item será desclassificada.</w:t>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17. EXIGÊNCIAS TÉCNICAS PARA ACEITAÇÃO DOS ITENS</w:t>
      </w:r>
    </w:p>
    <w:p>
      <w:pPr>
        <w:pStyle w:val="Normal"/>
        <w:tabs>
          <w:tab w:val="clear" w:pos="708"/>
          <w:tab w:val="left" w:pos="3012" w:leader="none"/>
        </w:tabs>
        <w:spacing w:lineRule="auto" w:line="276"/>
        <w:ind w:left="-284" w:right="-568" w:hanging="0"/>
        <w:jc w:val="both"/>
        <w:rPr/>
      </w:pPr>
      <w:r>
        <w:rPr>
          <w:rFonts w:cs="Times New Roman" w:ascii="Times New Roman" w:hAnsi="Times New Roman"/>
        </w:rPr>
        <w:t xml:space="preserve">17.1. Os itens constantes desta Dispensa de Licitação deverão obedecer às especificações exigidas na </w:t>
      </w:r>
      <w:r>
        <w:rPr>
          <w:rFonts w:cs="Times New Roman" w:ascii="Times New Roman" w:hAnsi="Times New Roman"/>
          <w:bCs/>
        </w:rPr>
        <w:t>RELAÇÃO DE SERVIÇO DA</w:t>
      </w:r>
      <w:r>
        <w:rPr/>
        <w:t xml:space="preserve"> </w:t>
      </w:r>
      <w:r>
        <w:rPr>
          <w:rFonts w:cs="Times New Roman" w:ascii="Times New Roman" w:hAnsi="Times New Roman"/>
          <w:bCs/>
        </w:rPr>
        <w:t>DISPENSA DE LICITAÇÃO 5</w:t>
      </w:r>
      <w:r>
        <w:rPr>
          <w:rFonts w:cs="Times New Roman" w:ascii="Times New Roman" w:hAnsi="Times New Roman"/>
          <w:bCs/>
        </w:rPr>
        <w:t>5</w:t>
      </w:r>
      <w:r>
        <w:rPr>
          <w:rFonts w:cs="Times New Roman" w:ascii="Times New Roman" w:hAnsi="Times New Roman"/>
          <w:bCs/>
        </w:rPr>
        <w:t xml:space="preserve">/2023, constantes deste </w:t>
      </w:r>
      <w:r>
        <w:rPr>
          <w:rFonts w:cs="Times New Roman" w:ascii="Times New Roman" w:hAnsi="Times New Roman"/>
        </w:rPr>
        <w:t>Termo de Referência, na página 2 do presente Termo de Referência.</w:t>
      </w:r>
    </w:p>
    <w:p>
      <w:pPr>
        <w:pStyle w:val="Normal"/>
        <w:ind w:left="-284" w:right="-568" w:hanging="0"/>
        <w:jc w:val="both"/>
        <w:rPr>
          <w:rFonts w:ascii="Times New Roman" w:hAnsi="Times New Roman" w:cs="Times New Roman"/>
        </w:rPr>
      </w:pPr>
      <w:r>
        <w:rPr>
          <w:rFonts w:cs="Times New Roman" w:ascii="Times New Roman" w:hAnsi="Times New Roman"/>
        </w:rPr>
      </w:r>
    </w:p>
    <w:p>
      <w:pPr>
        <w:pStyle w:val="Normal"/>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18. DEVERES DA CONTRATADA</w:t>
      </w:r>
    </w:p>
    <w:p>
      <w:pPr>
        <w:pStyle w:val="Normal"/>
        <w:tabs>
          <w:tab w:val="clear" w:pos="708"/>
          <w:tab w:val="left" w:pos="3012"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18.1. A empresa vencedora, doravante denominada CONTRATADA ficará obrigada a cumprir todos os encargos estabelecidos neste Termo de Referência, ratificados na sua proposta, sujeitando-se a diligências, a serem realizadas em suas instalações ou de terceiros, por Comissão ou por agente designado pelo Comando do Grupamento de Unidades Escola - 9ª Brigada de Infantaria Motorizada, doravante denominado CONTRATANTE em qualquer fase da execução contratual.</w:t>
      </w:r>
    </w:p>
    <w:p>
      <w:pPr>
        <w:pStyle w:val="Normal"/>
        <w:tabs>
          <w:tab w:val="clear" w:pos="708"/>
          <w:tab w:val="left" w:pos="-1135"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18.2. A CONTRATADA deverá realizar a entrega dos itens adjudicados dentro das especificações exigidas na Relação de serviço constante do presente Termo de Referência.</w:t>
      </w:r>
    </w:p>
    <w:p>
      <w:pPr>
        <w:pStyle w:val="Normal"/>
        <w:tabs>
          <w:tab w:val="clear" w:pos="708"/>
          <w:tab w:val="left" w:pos="-1135"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18.3. A CONTRATADA deverá entregar os artigos adquiridos por intermédio desta dispensa de licitação nas embalagens previstas na Relação de serviço.</w:t>
      </w:r>
    </w:p>
    <w:p>
      <w:pPr>
        <w:pStyle w:val="Normal"/>
        <w:tabs>
          <w:tab w:val="clear" w:pos="708"/>
          <w:tab w:val="left" w:pos="-1135"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18.4. A CONTRATADA deverá garantir o objeto desta dispensa de licitação pelo prazo de 12 (doze) meses, contados a partir da data do aceite final emitido pela Comissão de Recebimento e pelo Encarregado de Material, independentemente da garantia fornecida pelo fabricante.</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18.5. Os itens adquiridos nesta Dispensa de Licitação serão entregues por conta e risco do licitante contratado e em conformidade com as quantidades que forem solicitadas nas respectivas Notas de Empenho, devendo os itens serem entregues na sede do Órgão emissor da Nota de Empenho, conforme abaixo:</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b/>
        </w:rPr>
        <w:t>Comando do Grupamento de Unidades Escola - 9ª Brigada de Infantaria Motorizada</w:t>
      </w:r>
      <w:r>
        <w:rPr>
          <w:rFonts w:cs="Times New Roman" w:ascii="Times New Roman" w:hAnsi="Times New Roman"/>
        </w:rPr>
        <w:t>, situado na Rua Bernardo de Vasconcelos, nº 1090, Realengo, Rio de Janeiro, RJ. A entrega deverá ser feita de segunda a quinta-feira, das 09h30min às 11h45min e das 13h30min às 16h15min e nas sextas-feiras, das 08h às 11h45min. O prazo de entrega do serviço é de 30 (trinta) dias corridos, a contar do recebimento da Nota de Empenho pelo fornecedor. O recebimento em horários diferentes dos estabelecidos deverá ser solicitado e, se for autorizado, agendado com o Setor de Material, através do telefone (21) 3338-7122.</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18.6. Todo o transporte a ser executado em função das entregas será de única e total responsabilidade da CONTRATADA, correndo por sua conta e risco tal operação, inclusive carga e descarga, seguro e demais despesas.</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18.7. A CONTRATADA deverá efetuar a entrega dos artigos de acordo com suas especificações técnicas, modelos, embalagens e instruções.</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18.8. A CONTRATADA é obrigada a reparar, corrigir, remover ou substituir, às suas custas, no total ou em parte, serviço fornecido em que se verificarem vícios, defeitos ou incorreções.</w:t>
      </w:r>
    </w:p>
    <w:p>
      <w:pPr>
        <w:pStyle w:val="Normal"/>
        <w:tabs>
          <w:tab w:val="clear" w:pos="708"/>
          <w:tab w:val="left" w:pos="-1135"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18.9. A CONTRATADA responderá, independentemente da existência de culpa, pela reparação dos danos causados ao Exército Brasileiro por defeitos relativos aos bens fornecidos, bem como por informações insuficientes ou inadequadas sobre sua utilização, podendo eximir-se de responsabilidade quando provar que, tendo fornecido o serviço, o defeito inexistia; ou quando demonstrar a culpa exclusiva do Órgão emissor da Nota de Empenho.</w:t>
      </w:r>
    </w:p>
    <w:p>
      <w:pPr>
        <w:pStyle w:val="Normal"/>
        <w:tabs>
          <w:tab w:val="clear" w:pos="708"/>
          <w:tab w:val="left" w:pos="-1135" w:leader="none"/>
        </w:tabs>
        <w:spacing w:lineRule="auto" w:line="276"/>
        <w:ind w:left="-284" w:right="-568" w:hanging="0"/>
        <w:jc w:val="both"/>
        <w:rPr>
          <w:rFonts w:ascii="Times New Roman" w:hAnsi="Times New Roman" w:cs="Times New Roman"/>
        </w:rPr>
      </w:pPr>
      <w:r>
        <w:rPr>
          <w:rFonts w:cs="Times New Roman" w:ascii="Times New Roman" w:hAnsi="Times New Roman"/>
        </w:rPr>
        <w:t>18.10. A CONTRATADA deverá manter a Regularidade Fiscal (Receita Federal, FGTS e INSS), pelo menos, até o momento do pagamento da Nota Fiscal pela CONTRATANTE. Esta Unidade Gestora só poderá efetuar a confirmação eletrônica do recebimento dos materiais (liquidação) caso a CONTRATADA esteja em dia com a Regularidade Fiscal. A exigência da Regularidade Fiscal também se aplica à fase do pagamento da empresa, que só ocorrerá caso a CONTRATADA atenda tal determinação. Tal procedimento é, inclusive, fruto de constantes inspeções por parte do Órgão de Controle Interno ao qual esta Unidade Gestora está subordinada.</w:t>
      </w:r>
    </w:p>
    <w:p>
      <w:pPr>
        <w:pStyle w:val="Normal"/>
        <w:tabs>
          <w:tab w:val="clear" w:pos="708"/>
          <w:tab w:val="left" w:pos="-1135"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1135" w:leader="none"/>
        </w:tabs>
        <w:ind w:left="-284" w:right="-568" w:hanging="0"/>
        <w:jc w:val="center"/>
        <w:rPr>
          <w:rFonts w:ascii="Times New Roman" w:hAnsi="Times New Roman" w:cs="Times New Roman"/>
          <w:u w:val="single"/>
        </w:rPr>
      </w:pPr>
      <w:r>
        <w:rPr>
          <w:rFonts w:cs="Times New Roman" w:ascii="Times New Roman" w:hAnsi="Times New Roman"/>
          <w:u w:val="single"/>
        </w:rPr>
      </w:r>
    </w:p>
    <w:p>
      <w:pPr>
        <w:pStyle w:val="Normal"/>
        <w:tabs>
          <w:tab w:val="clear" w:pos="708"/>
          <w:tab w:val="left" w:pos="-1135"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19. DEVERES DO CONTRATANTE</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19.1. Emitir Nota de Empenho, e proceder ao pagamento da CONTRATADA de acordo com a disponibilidade da Diretoria de Contabilidade. O pagamento estará condicionado à entrega dos itens de acordo com o estabelecido na Relação de serviço.</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19.2. Disponibilizar militares do Setor de Material para efetuar o recebimento do serviço nos horários descritos neste Termo de Referência.</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center"/>
        <w:rPr>
          <w:rFonts w:ascii="Times New Roman" w:hAnsi="Times New Roman" w:cs="Times New Roman"/>
          <w:u w:val="single"/>
        </w:rPr>
      </w:pPr>
      <w:r>
        <w:rPr>
          <w:rFonts w:cs="Times New Roman" w:ascii="Times New Roman" w:hAnsi="Times New Roman"/>
          <w:u w:val="single"/>
        </w:rPr>
      </w:r>
    </w:p>
    <w:p>
      <w:pPr>
        <w:pStyle w:val="Normal"/>
        <w:widowControl w:val="false"/>
        <w:spacing w:before="0" w:after="120"/>
        <w:ind w:left="-284" w:right="-568" w:hanging="0"/>
        <w:jc w:val="center"/>
        <w:rPr>
          <w:rFonts w:ascii="Times New Roman" w:hAnsi="Times New Roman" w:cs="Times New Roman"/>
          <w:u w:val="single"/>
        </w:rPr>
      </w:pPr>
      <w:r>
        <w:rPr>
          <w:rFonts w:cs="Times New Roman" w:ascii="Times New Roman" w:hAnsi="Times New Roman"/>
          <w:u w:val="single"/>
        </w:rPr>
        <w:t>20. FISCALIZAÇÃO E GERENCIAMENTO DO CONTRATO</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20.1 Os Contratos resultantes desta Dispensa de Licitação serão substituídos por Nota de Empenho, nas condições previstas no artigo 62 da Lei 8.666, de 21 de junho de 1993.</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20.2. O responsável pela liquidação das Notas Fiscais será o Encarregado do Setor de Material.</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20.5. O responsável pelo gerenciamento das atividades relativas ao pagamento das Notas Fiscais será o Encarregado do Setor Financeiro,</w:t>
      </w:r>
    </w:p>
    <w:p>
      <w:pPr>
        <w:pStyle w:val="Normal"/>
        <w:widowControl w:val="false"/>
        <w:ind w:left="-284" w:right="-568" w:hanging="0"/>
        <w:jc w:val="both"/>
        <w:rPr>
          <w:rFonts w:ascii="Times New Roman" w:hAnsi="Times New Roman" w:cs="Times New Roman"/>
          <w:bCs/>
          <w:color w:val="000000"/>
        </w:rPr>
      </w:pPr>
      <w:r>
        <w:rPr>
          <w:rFonts w:cs="Times New Roman" w:ascii="Times New Roman" w:hAnsi="Times New Roman"/>
          <w:bCs/>
          <w:color w:val="000000"/>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before="0" w:after="120"/>
        <w:ind w:left="-284" w:right="-568" w:hanging="0"/>
        <w:jc w:val="center"/>
        <w:rPr>
          <w:rFonts w:ascii="Times New Roman" w:hAnsi="Times New Roman" w:cs="Times New Roman"/>
          <w:u w:val="single"/>
        </w:rPr>
      </w:pPr>
      <w:r>
        <w:rPr>
          <w:rFonts w:cs="Times New Roman" w:ascii="Times New Roman" w:hAnsi="Times New Roman"/>
          <w:u w:val="single"/>
        </w:rPr>
        <w:t>21. PRAZO DE EXECUÇÃO</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21.1. Os itens adquiridos nesta Dispensa de Licitação por meio das eventuais Notas de Empenho deverão ser entregues, por conta e risco da CONTRATADA, no endereço e horários descritos no item 18.5 deste Termo de Referência, no prazo de 15 (quinze) dias corridos, a contar do recebimento da Nota de Empenho pelo fornecedor.</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before="0" w:after="120"/>
        <w:ind w:left="-284" w:right="-568" w:hanging="0"/>
        <w:jc w:val="center"/>
        <w:rPr>
          <w:rFonts w:ascii="Times New Roman" w:hAnsi="Times New Roman" w:cs="Times New Roman"/>
          <w:u w:val="single"/>
        </w:rPr>
      </w:pPr>
      <w:r>
        <w:rPr>
          <w:rFonts w:cs="Times New Roman" w:ascii="Times New Roman" w:hAnsi="Times New Roman"/>
          <w:u w:val="single"/>
        </w:rPr>
        <w:t>22. SANÇÕES ADMINISTRATIVAS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22.1. Comete infração administrativa nos termos da Lei nº 10.520, de 2002, a Contratada que:</w:t>
      </w:r>
    </w:p>
    <w:p>
      <w:pPr>
        <w:pStyle w:val="PargrafodaLista1"/>
        <w:numPr>
          <w:ilvl w:val="0"/>
          <w:numId w:val="1"/>
        </w:numPr>
        <w:spacing w:lineRule="auto" w:line="276" w:before="120" w:after="120"/>
        <w:ind w:left="-284" w:right="-568" w:hanging="0"/>
        <w:jc w:val="both"/>
        <w:rPr>
          <w:rFonts w:ascii="Times New Roman" w:hAnsi="Times New Roman" w:cs="Times New Roman"/>
        </w:rPr>
      </w:pPr>
      <w:r>
        <w:rPr>
          <w:rFonts w:cs="Times New Roman" w:ascii="Times New Roman" w:hAnsi="Times New Roman"/>
        </w:rPr>
        <w:t>falhar na execução do contrato, pela inexecução, total ou parcial, de quaisquer das obrigações assumidas na contratação;</w:t>
      </w:r>
    </w:p>
    <w:p>
      <w:pPr>
        <w:pStyle w:val="PargrafodaLista1"/>
        <w:numPr>
          <w:ilvl w:val="0"/>
          <w:numId w:val="1"/>
        </w:numPr>
        <w:spacing w:lineRule="auto" w:line="276" w:before="120" w:after="120"/>
        <w:ind w:left="-284" w:right="-568" w:hanging="0"/>
        <w:jc w:val="both"/>
        <w:rPr>
          <w:rFonts w:ascii="Times New Roman" w:hAnsi="Times New Roman" w:cs="Times New Roman"/>
        </w:rPr>
      </w:pPr>
      <w:r>
        <w:rPr>
          <w:rFonts w:cs="Times New Roman" w:ascii="Times New Roman" w:hAnsi="Times New Roman"/>
        </w:rPr>
        <w:t>ensejar o retardamento da execução do objeto;</w:t>
      </w:r>
    </w:p>
    <w:p>
      <w:pPr>
        <w:pStyle w:val="PargrafodaLista1"/>
        <w:numPr>
          <w:ilvl w:val="0"/>
          <w:numId w:val="1"/>
        </w:numPr>
        <w:spacing w:lineRule="auto" w:line="276" w:before="120" w:after="120"/>
        <w:ind w:left="-284" w:right="-568" w:hanging="0"/>
        <w:jc w:val="both"/>
        <w:rPr>
          <w:rFonts w:ascii="Times New Roman" w:hAnsi="Times New Roman" w:cs="Times New Roman"/>
        </w:rPr>
      </w:pPr>
      <w:r>
        <w:rPr>
          <w:rFonts w:cs="Times New Roman" w:ascii="Times New Roman" w:hAnsi="Times New Roman"/>
        </w:rPr>
        <w:t>fraudar na execução do contrato;</w:t>
      </w:r>
    </w:p>
    <w:p>
      <w:pPr>
        <w:pStyle w:val="PargrafodaLista1"/>
        <w:numPr>
          <w:ilvl w:val="0"/>
          <w:numId w:val="1"/>
        </w:numPr>
        <w:spacing w:lineRule="auto" w:line="276" w:before="120" w:after="120"/>
        <w:ind w:left="-284" w:right="-568" w:hanging="0"/>
        <w:jc w:val="both"/>
        <w:rPr>
          <w:rFonts w:ascii="Times New Roman" w:hAnsi="Times New Roman" w:cs="Times New Roman"/>
        </w:rPr>
      </w:pPr>
      <w:r>
        <w:rPr>
          <w:rFonts w:cs="Times New Roman" w:ascii="Times New Roman" w:hAnsi="Times New Roman"/>
        </w:rPr>
        <w:t>comportar-se de modo inidôneo; ou</w:t>
      </w:r>
    </w:p>
    <w:p>
      <w:pPr>
        <w:pStyle w:val="PargrafodaLista1"/>
        <w:numPr>
          <w:ilvl w:val="0"/>
          <w:numId w:val="1"/>
        </w:numPr>
        <w:spacing w:lineRule="auto" w:line="276" w:before="120" w:after="120"/>
        <w:ind w:left="-284" w:right="-568" w:hanging="0"/>
        <w:jc w:val="both"/>
        <w:rPr>
          <w:rFonts w:ascii="Times New Roman" w:hAnsi="Times New Roman" w:cs="Times New Roman"/>
        </w:rPr>
      </w:pPr>
      <w:r>
        <w:rPr>
          <w:rFonts w:cs="Times New Roman" w:ascii="Times New Roman" w:hAnsi="Times New Roman"/>
        </w:rPr>
        <w:t>cometer fraude fiscal.</w:t>
      </w:r>
    </w:p>
    <w:p>
      <w:pPr>
        <w:pStyle w:val="ListParagraph"/>
        <w:numPr>
          <w:ilvl w:val="1"/>
          <w:numId w:val="2"/>
        </w:numPr>
        <w:tabs>
          <w:tab w:val="clear" w:pos="708"/>
          <w:tab w:val="left" w:pos="284" w:leader="none"/>
        </w:tabs>
        <w:suppressAutoHyphens w:val="false"/>
        <w:spacing w:lineRule="auto" w:line="276" w:before="120" w:after="120"/>
        <w:ind w:left="196" w:right="-568" w:hanging="480"/>
        <w:contextualSpacing/>
        <w:jc w:val="both"/>
        <w:rPr>
          <w:rFonts w:ascii="Times New Roman" w:hAnsi="Times New Roman" w:cs="Times New Roman"/>
        </w:rPr>
      </w:pPr>
      <w:r>
        <w:rPr>
          <w:rFonts w:cs="Times New Roman" w:ascii="Times New Roman" w:hAnsi="Times New Roman"/>
        </w:rPr>
        <w:t xml:space="preserve">Pela inexecução </w:t>
      </w:r>
      <w:r>
        <w:rPr>
          <w:rFonts w:cs="Times New Roman" w:ascii="Times New Roman" w:hAnsi="Times New Roman"/>
          <w:u w:val="single"/>
        </w:rPr>
        <w:t>total ou parcial</w:t>
      </w:r>
      <w:r>
        <w:rPr>
          <w:rFonts w:cs="Times New Roman" w:ascii="Times New Roman" w:hAnsi="Times New Roman"/>
        </w:rPr>
        <w:t xml:space="preserve"> do objeto deste contrato, a Administração pode aplicar à CONTRATADA as seguintes sanções: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b/>
          <w:bCs/>
        </w:rPr>
        <w:t>22.2.1.</w:t>
      </w:r>
      <w:r>
        <w:rPr>
          <w:rFonts w:cs="Times New Roman" w:ascii="Times New Roman" w:hAnsi="Times New Roman"/>
          <w:bCs/>
        </w:rPr>
        <w:t xml:space="preserve"> </w:t>
      </w:r>
      <w:r>
        <w:rPr>
          <w:rFonts w:cs="Times New Roman" w:ascii="Times New Roman" w:hAnsi="Times New Roman"/>
          <w:b/>
          <w:bCs/>
        </w:rPr>
        <w:t>Advertência por escrito</w:t>
      </w:r>
      <w:r>
        <w:rPr>
          <w:rFonts w:cs="Times New Roman" w:ascii="Times New Roman" w:hAnsi="Times New Roman"/>
        </w:rPr>
        <w:t>, quando do não cumprimento de quaisquer das obrigações contratuais consideradas faltas leves, assim entendidas aquelas que não acarretam prejuízos significativos para o serviço contratado;</w:t>
      </w:r>
    </w:p>
    <w:p>
      <w:pPr>
        <w:pStyle w:val="Normal"/>
        <w:suppressAutoHyphens w:val="false"/>
        <w:spacing w:lineRule="auto" w:line="276" w:before="120" w:after="120"/>
        <w:ind w:left="-284" w:right="-568" w:hanging="0"/>
        <w:jc w:val="both"/>
        <w:rPr>
          <w:rFonts w:ascii="Times New Roman" w:hAnsi="Times New Roman" w:cs="Times New Roman"/>
          <w:b/>
          <w:b/>
          <w:bCs/>
        </w:rPr>
      </w:pPr>
      <w:r>
        <w:rPr>
          <w:rFonts w:cs="Times New Roman" w:ascii="Times New Roman" w:hAnsi="Times New Roman"/>
          <w:b/>
          <w:bCs/>
        </w:rPr>
        <w:t>22.2.2.</w:t>
      </w:r>
      <w:r>
        <w:rPr>
          <w:rFonts w:cs="Times New Roman" w:ascii="Times New Roman" w:hAnsi="Times New Roman"/>
          <w:bCs/>
        </w:rPr>
        <w:t xml:space="preserve"> </w:t>
      </w:r>
      <w:r>
        <w:rPr>
          <w:rFonts w:cs="Times New Roman" w:ascii="Times New Roman" w:hAnsi="Times New Roman"/>
          <w:b/>
          <w:bCs/>
        </w:rPr>
        <w:t xml:space="preserve">Multa: </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a) moratória de 0,5% (zero vírgula cinco por cento) por dia de atraso injustificado sobre o valor da parcela inadimplida, até o limite de 10 (dez) dias;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b) compensatória de 1% (um por cento) sobre o valor total do contrato, no caso de inexecução total do objeto;</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b/>
        </w:rPr>
        <w:t>22.2.3</w:t>
      </w:r>
      <w:r>
        <w:rPr>
          <w:rFonts w:cs="Times New Roman" w:ascii="Times New Roman" w:hAnsi="Times New Roman"/>
        </w:rPr>
        <w:t xml:space="preserve">. </w:t>
      </w:r>
      <w:r>
        <w:rPr>
          <w:rFonts w:cs="Times New Roman" w:ascii="Times New Roman" w:hAnsi="Times New Roman"/>
          <w:b/>
          <w:bCs/>
        </w:rPr>
        <w:t>Suspensão de licitar e impedimento de contratar</w:t>
      </w:r>
      <w:r>
        <w:rPr>
          <w:rFonts w:cs="Times New Roman" w:ascii="Times New Roman" w:hAnsi="Times New Roman"/>
        </w:rPr>
        <w:t xml:space="preserve"> com o órgão, entidade ou unidade administrativa pela qual a Administração Pública opera e atua concretamente, pelo prazo de até dois anos;</w:t>
      </w:r>
    </w:p>
    <w:p>
      <w:pPr>
        <w:pStyle w:val="Normal"/>
        <w:suppressAutoHyphens w:val="false"/>
        <w:spacing w:lineRule="auto" w:line="276"/>
        <w:ind w:left="-284" w:right="-568" w:hanging="0"/>
        <w:jc w:val="both"/>
        <w:rPr>
          <w:rFonts w:ascii="Times New Roman" w:hAnsi="Times New Roman" w:cs="Times New Roman"/>
        </w:rPr>
      </w:pPr>
      <w:r>
        <w:rPr>
          <w:rFonts w:cs="Times New Roman" w:ascii="Times New Roman" w:hAnsi="Times New Roman"/>
          <w:b/>
          <w:bCs/>
        </w:rPr>
        <w:t>22.2.4. Sanção de impedimento de licitar e contratar com órgãos e entidades da União</w:t>
      </w:r>
      <w:r>
        <w:rPr>
          <w:rFonts w:cs="Times New Roman" w:ascii="Times New Roman" w:hAnsi="Times New Roman"/>
        </w:rPr>
        <w:t>, com o consequente descredenciamento no SICAF pelo prazo de até cinco anos.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b/>
          <w:bCs/>
        </w:rPr>
        <w:t>22.2.5. Declaração de inidoneidade para licitar ou contratar</w:t>
      </w:r>
      <w:r>
        <w:rPr>
          <w:rFonts w:cs="Times New Roman" w:ascii="Times New Roman" w:hAnsi="Times New Roman"/>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22.3. A Sanção de impedimento de licitar e contratar também é aplicável em quaisquer das hipóteses previstas como infração administrativa neste Termo de Referência.</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22.4. As sanções poderão ser aplicadas à CONTRATADA juntamente com as de multa, descontando-a dos pagamentos a serem efetuados.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22.5. Também ficam sujeitas às penalidades do artigo 87, III e IV da Lei nº 8.666, de 1993, as empresas ou profissionais que:</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a) tenham sofrido condenação definitiva por praticar, por meio dolosos, fraude fiscal no recolhimento de quaisquer tributos;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b) tenham praticado atos ilícitos visando a frustrar os objetivos da dispensa de licitação;</w:t>
      </w:r>
    </w:p>
    <w:p>
      <w:pPr>
        <w:pStyle w:val="Normal"/>
        <w:suppressAutoHyphens w:val="false"/>
        <w:spacing w:lineRule="auto" w:line="276" w:before="240" w:after="120"/>
        <w:ind w:left="-284" w:right="-568" w:hanging="0"/>
        <w:jc w:val="both"/>
        <w:rPr>
          <w:rFonts w:ascii="Times New Roman" w:hAnsi="Times New Roman" w:cs="Times New Roman"/>
        </w:rPr>
      </w:pPr>
      <w:r>
        <w:rPr>
          <w:rFonts w:cs="Times New Roman" w:ascii="Times New Roman" w:hAnsi="Times New Roman"/>
        </w:rPr>
        <w:t>c) demonstrem não possuir idoneidade para contratar com a Administração em virtude de atos ilícitos praticados.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22.6. A aplicação de qualquer das penalidades previstas realizar-se-á em processo administrativo que assegurará o contraditório e a ampla defesa à Contratada, observando-se o procedimento previsto na Lei nº 8.666, de 1993, e subsidiariamente a Lei nº 9.784, de 1999.</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22.7. As multas devidas e/ou prejuízos causados à Contratante serão deduzidos dos valores a serem pagos, ou recolhidos em favor da União, ou deduzidos da garantia, ou ainda, quando for o caso, serão inscritos na Dívida Ativa da União e cobrados judicialmente.</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22.8. Caso a Contratante determine, a multa deverá ser recolhida no prazo máximo de 10 (dez) dias corridos, a contar da data do recebimento da comunicação enviada pela autoridade competente.</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22.9. Caso o valor da multa não seja suficiente para cobrir os prejuízos causados pela conduta do licitante, a União ou Entidade poderá cobrar o valor remanescente judicialmente, conforme artigo 419 do Código Civil.</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22.10 A autoridade competente, na aplicação das sanções, levará em consideração a gravidade da conduta do infrator, o caráter educativo da pena, bem como o dano causado à Administração, observado o princípio da proporcionalidade.</w:t>
      </w:r>
    </w:p>
    <w:p>
      <w:pPr>
        <w:pStyle w:val="Nivel2"/>
        <w:numPr>
          <w:ilvl w:val="0"/>
          <w:numId w:val="0"/>
        </w:numPr>
        <w:ind w:left="-284" w:right="-568" w:hanging="0"/>
        <w:rPr>
          <w:rFonts w:ascii="Times New Roman" w:hAnsi="Times New Roman"/>
          <w:sz w:val="24"/>
          <w:szCs w:val="24"/>
        </w:rPr>
      </w:pPr>
      <w:r>
        <w:rPr>
          <w:rFonts w:ascii="Times New Roman" w:hAnsi="Times New Roman"/>
          <w:sz w:val="24"/>
          <w:szCs w:val="24"/>
        </w:rPr>
        <w:t xml:space="preserve">22.11.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ivel2"/>
        <w:numPr>
          <w:ilvl w:val="0"/>
          <w:numId w:val="0"/>
        </w:numPr>
        <w:ind w:left="-284" w:right="-568" w:hanging="0"/>
        <w:rPr>
          <w:rFonts w:ascii="Times New Roman" w:hAnsi="Times New Roman"/>
          <w:sz w:val="24"/>
          <w:szCs w:val="24"/>
        </w:rPr>
      </w:pPr>
      <w:r>
        <w:rPr>
          <w:rFonts w:ascii="Times New Roman" w:hAnsi="Times New Roman"/>
          <w:sz w:val="24"/>
          <w:szCs w:val="24"/>
        </w:rPr>
        <w:t>22.12. 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ivel2"/>
        <w:numPr>
          <w:ilvl w:val="0"/>
          <w:numId w:val="0"/>
        </w:numPr>
        <w:ind w:left="-284" w:right="-568" w:hanging="0"/>
        <w:rPr>
          <w:rFonts w:ascii="Times New Roman" w:hAnsi="Times New Roman"/>
          <w:sz w:val="24"/>
          <w:szCs w:val="24"/>
        </w:rPr>
      </w:pPr>
      <w:r>
        <w:rPr>
          <w:rFonts w:ascii="Times New Roman" w:hAnsi="Times New Roman"/>
          <w:sz w:val="24"/>
          <w:szCs w:val="24"/>
        </w:rPr>
        <w:t xml:space="preserve">22.13.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22.14. As penalidades serão obrigatoriamente registradas no SICAF.</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before="0" w:after="160"/>
        <w:ind w:left="-284" w:right="-568" w:hanging="0"/>
        <w:jc w:val="center"/>
        <w:rPr>
          <w:rFonts w:ascii="Times New Roman" w:hAnsi="Times New Roman" w:cs="Times New Roman"/>
          <w:u w:val="single"/>
        </w:rPr>
      </w:pPr>
      <w:r>
        <w:rPr>
          <w:rFonts w:cs="Times New Roman" w:ascii="Times New Roman" w:hAnsi="Times New Roman"/>
          <w:u w:val="single"/>
        </w:rPr>
        <w:t>23. CRITÉRIOS DE SUSTENTABILIDADE AMBIENTAL</w:t>
      </w:r>
    </w:p>
    <w:p>
      <w:pPr>
        <w:pStyle w:val="Normal"/>
        <w:widowControl w:val="false"/>
        <w:spacing w:lineRule="auto" w:line="276" w:before="0" w:after="160"/>
        <w:ind w:left="-284" w:right="-568" w:hanging="0"/>
        <w:jc w:val="both"/>
        <w:rPr>
          <w:rFonts w:ascii="Times New Roman" w:hAnsi="Times New Roman" w:cs="Times New Roman"/>
        </w:rPr>
      </w:pPr>
      <w:r>
        <w:rPr>
          <w:rFonts w:cs="Times New Roman" w:ascii="Times New Roman" w:hAnsi="Times New Roman"/>
        </w:rPr>
        <w:t>23.1. A CONTRATADA se comprometerá a fornecer materiais que sejam constituídos no todo ou em parte, por material reciclado, atóxico, biodegradável, conforme ABNT NBR - 15448 e 15448 - 2.</w:t>
      </w:r>
    </w:p>
    <w:p>
      <w:pPr>
        <w:pStyle w:val="Normal"/>
        <w:widowControl w:val="false"/>
        <w:spacing w:lineRule="auto" w:line="276" w:before="0" w:after="160"/>
        <w:ind w:left="-284" w:right="-568" w:hanging="0"/>
        <w:jc w:val="both"/>
        <w:rPr>
          <w:rFonts w:ascii="Times New Roman" w:hAnsi="Times New Roman" w:cs="Times New Roman"/>
        </w:rPr>
      </w:pPr>
      <w:r>
        <w:rPr>
          <w:rFonts w:cs="Times New Roman" w:ascii="Times New Roman" w:hAnsi="Times New Roman"/>
        </w:rPr>
        <w:t>23.2. A CONTRATADA se comprometerá observar os requisitos ambientais para a obtenção de certificação do Instituto Nacional de Metrologia, Normalização e Qualidade Industrial - INMETRO como produtos sustentáveis ou de menor impacto ambiental em relação aos seus similares.</w:t>
      </w:r>
    </w:p>
    <w:p>
      <w:pPr>
        <w:pStyle w:val="Normal"/>
        <w:widowControl w:val="false"/>
        <w:spacing w:lineRule="auto" w:line="276" w:before="0" w:after="160"/>
        <w:ind w:left="-284" w:right="-568" w:hanging="0"/>
        <w:jc w:val="both"/>
        <w:rPr>
          <w:rFonts w:ascii="Times New Roman" w:hAnsi="Times New Roman" w:cs="Times New Roman"/>
        </w:rPr>
      </w:pPr>
      <w:r>
        <w:rPr>
          <w:rFonts w:cs="Times New Roman" w:ascii="Times New Roman" w:hAnsi="Times New Roman"/>
        </w:rPr>
        <w:t>23.3. A CONTRATADA se comprometerá a fornecer materiais acondicionados em embalagem individual adequada, com o menor volume possível, que utilize materiais recicláveis, de modo a garantir a máxima proteção durante o transporte e o armazenamento.</w:t>
      </w:r>
    </w:p>
    <w:p>
      <w:pPr>
        <w:pStyle w:val="Normal"/>
        <w:widowControl w:val="false"/>
        <w:spacing w:lineRule="auto" w:line="276" w:before="0" w:after="160"/>
        <w:ind w:left="-284" w:right="-568" w:hanging="0"/>
        <w:jc w:val="both"/>
        <w:rPr>
          <w:rFonts w:ascii="Times New Roman" w:hAnsi="Times New Roman" w:cs="Times New Roman"/>
        </w:rPr>
      </w:pPr>
      <w:r>
        <w:rPr>
          <w:rFonts w:cs="Times New Roman" w:ascii="Times New Roman" w:hAnsi="Times New Roman"/>
        </w:rPr>
        <w:t>23.4. A CONTRATADA se comprometerá a fornecer materiais que não contenham substâncias perigosas em concentração acima da recomendada na diretiva RoHS (Resctriction of Certain Hazardous Substances), tais como mercúrio (Hg), chumbo (Pb), cromo hexavalente (Cr(VI)), cádmio (Cd), bifenil-polibromados (PBBs), éteres difenil-polibromados (PBDEs).</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before="0" w:after="160"/>
        <w:ind w:left="-284" w:right="-568" w:hanging="0"/>
        <w:jc w:val="center"/>
        <w:rPr>
          <w:rFonts w:ascii="Times New Roman" w:hAnsi="Times New Roman" w:cs="Times New Roman"/>
          <w:u w:val="single"/>
        </w:rPr>
      </w:pPr>
      <w:r>
        <w:rPr>
          <w:rFonts w:cs="Times New Roman" w:ascii="Times New Roman" w:hAnsi="Times New Roman"/>
          <w:u w:val="single"/>
        </w:rPr>
        <w:t>24. MARGEM DE PREFERÊNCIA</w:t>
      </w:r>
    </w:p>
    <w:p>
      <w:pPr>
        <w:pStyle w:val="Normal"/>
        <w:widowControl w:val="false"/>
        <w:tabs>
          <w:tab w:val="clear" w:pos="708"/>
          <w:tab w:val="left" w:pos="5835" w:leader="none"/>
        </w:tabs>
        <w:ind w:left="-284" w:right="-568" w:hanging="0"/>
        <w:jc w:val="both"/>
        <w:rPr>
          <w:rFonts w:ascii="Times New Roman" w:hAnsi="Times New Roman" w:cs="Times New Roman"/>
        </w:rPr>
      </w:pPr>
      <w:r>
        <w:rPr>
          <w:rFonts w:cs="Times New Roman" w:ascii="Times New Roman" w:hAnsi="Times New Roman"/>
        </w:rPr>
        <w:t>24.1. Não haverá aplicação da margem de preferência em virtude do</w:t>
        <w:tab/>
        <w:t>Decreto nº 7.174/2010, devido ao fato de não haver itens de informática a serem adquiridos no presente processo.</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before="0" w:after="160"/>
        <w:ind w:left="-284" w:right="-568" w:hanging="0"/>
        <w:jc w:val="center"/>
        <w:rPr>
          <w:rFonts w:ascii="Times New Roman" w:hAnsi="Times New Roman" w:cs="Times New Roman"/>
          <w:u w:val="single"/>
        </w:rPr>
      </w:pPr>
      <w:r>
        <w:rPr>
          <w:rFonts w:cs="Times New Roman" w:ascii="Times New Roman" w:hAnsi="Times New Roman"/>
          <w:u w:val="single"/>
        </w:rPr>
        <w:t>25. HABILITAÇÃO</w:t>
      </w:r>
    </w:p>
    <w:p>
      <w:pPr>
        <w:pStyle w:val="Nivel01"/>
        <w:tabs>
          <w:tab w:val="clear" w:pos="567"/>
          <w:tab w:val="left" w:pos="-284" w:leader="none"/>
        </w:tabs>
        <w:spacing w:lineRule="auto" w:line="276" w:before="120" w:after="120"/>
        <w:ind w:left="-284" w:right="-568" w:hanging="0"/>
        <w:rPr>
          <w:rFonts w:ascii="Times New Roman" w:hAnsi="Times New Roman"/>
          <w:b w:val="false"/>
          <w:b w:val="false"/>
          <w:sz w:val="24"/>
          <w:szCs w:val="24"/>
          <w:lang w:eastAsia="ar-SA"/>
        </w:rPr>
      </w:pPr>
      <w:r>
        <w:rPr>
          <w:rFonts w:ascii="Times New Roman" w:hAnsi="Times New Roman"/>
          <w:b w:val="false"/>
          <w:sz w:val="24"/>
          <w:szCs w:val="24"/>
          <w:lang w:eastAsia="ar-SA"/>
        </w:rPr>
        <w:t>25.1.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pPr>
        <w:pStyle w:val="Nivel01"/>
        <w:tabs>
          <w:tab w:val="clear" w:pos="567"/>
          <w:tab w:val="left" w:pos="-284" w:leader="none"/>
        </w:tabs>
        <w:spacing w:lineRule="auto" w:line="276" w:before="0" w:after="120"/>
        <w:ind w:left="-284" w:right="-568" w:hanging="0"/>
        <w:rPr>
          <w:rFonts w:ascii="Times New Roman" w:hAnsi="Times New Roman"/>
          <w:b w:val="false"/>
          <w:b w:val="false"/>
          <w:sz w:val="24"/>
          <w:szCs w:val="24"/>
        </w:rPr>
      </w:pPr>
      <w:r>
        <w:rPr>
          <w:rFonts w:ascii="Times New Roman" w:hAnsi="Times New Roman"/>
          <w:b w:val="false"/>
          <w:sz w:val="24"/>
          <w:szCs w:val="24"/>
        </w:rPr>
        <w:t>a) SICAF;</w:t>
      </w:r>
    </w:p>
    <w:p>
      <w:pPr>
        <w:pStyle w:val="ListParagraph"/>
        <w:tabs>
          <w:tab w:val="clear" w:pos="708"/>
          <w:tab w:val="left" w:pos="-284" w:leader="none"/>
        </w:tabs>
        <w:spacing w:lineRule="auto" w:line="276" w:before="120" w:after="120"/>
        <w:ind w:left="-284" w:right="-568" w:hanging="0"/>
        <w:jc w:val="both"/>
        <w:rPr/>
      </w:pPr>
      <w:r>
        <w:rPr>
          <w:rFonts w:cs="Times New Roman" w:ascii="Times New Roman" w:hAnsi="Times New Roman"/>
        </w:rPr>
        <w:t>b) Cadastro Nacional de Empresas Inidôneas e Suspensas - CEIS, mantido pela Controladoria-Geral da União (</w:t>
      </w:r>
      <w:hyperlink r:id="rId3">
        <w:r>
          <w:rPr>
            <w:rStyle w:val="LinkdaInternet"/>
            <w:rFonts w:cs="Times New Roman" w:ascii="Times New Roman" w:hAnsi="Times New Roman"/>
          </w:rPr>
          <w:t>www.portaldatransparencia.gov.br/ceis</w:t>
        </w:r>
      </w:hyperlink>
      <w:r>
        <w:rPr>
          <w:rFonts w:cs="Times New Roman" w:ascii="Times New Roman" w:hAnsi="Times New Roman"/>
        </w:rPr>
        <w:t>);</w:t>
      </w:r>
    </w:p>
    <w:p>
      <w:pPr>
        <w:pStyle w:val="ListParagraph"/>
        <w:tabs>
          <w:tab w:val="clear" w:pos="708"/>
          <w:tab w:val="left" w:pos="-284" w:leader="none"/>
        </w:tabs>
        <w:spacing w:lineRule="auto" w:line="276" w:before="120" w:after="120"/>
        <w:ind w:left="-284" w:right="-568" w:hanging="0"/>
        <w:jc w:val="both"/>
        <w:rPr/>
      </w:pPr>
      <w:r>
        <w:rPr>
          <w:rFonts w:cs="Times New Roman" w:ascii="Times New Roman" w:hAnsi="Times New Roman"/>
        </w:rPr>
        <w:t>c) Cadastro Nacional de Condenações Cíveis por Atos de Improbidade Administrativa, mantido pelo Conselho Nacional de Justiça (</w:t>
      </w:r>
      <w:hyperlink r:id="rId4">
        <w:r>
          <w:rPr>
            <w:rStyle w:val="LinkdaInternet"/>
            <w:rFonts w:cs="Times New Roman" w:ascii="Times New Roman" w:hAnsi="Times New Roman"/>
          </w:rPr>
          <w:t>www.cnj.jus.br/improbidade_adm/consultar_requerido.php</w:t>
        </w:r>
      </w:hyperlink>
      <w:r>
        <w:rPr>
          <w:rFonts w:cs="Times New Roman" w:ascii="Times New Roman" w:hAnsi="Times New Roman"/>
        </w:rPr>
        <w:t xml:space="preserve">).  </w:t>
      </w:r>
    </w:p>
    <w:p>
      <w:pPr>
        <w:pStyle w:val="ListParagraph"/>
        <w:tabs>
          <w:tab w:val="clear" w:pos="708"/>
          <w:tab w:val="left" w:pos="-284" w:leader="none"/>
        </w:tabs>
        <w:spacing w:lineRule="auto" w:line="276" w:before="120" w:after="120"/>
        <w:ind w:left="-284" w:right="-568" w:hanging="0"/>
        <w:jc w:val="both"/>
        <w:rPr>
          <w:rFonts w:ascii="Times New Roman" w:hAnsi="Times New Roman" w:cs="Times New Roman"/>
        </w:rPr>
      </w:pPr>
      <w:r>
        <w:rPr>
          <w:rFonts w:cs="Times New Roman" w:ascii="Times New Roman" w:hAnsi="Times New Roman"/>
        </w:rPr>
        <w:t xml:space="preserve">d) Lista de Inidôneos e o Cadastro Integrado de Condenações por Ilícitos Administrativos - CADICON, mantidos pelo Tribunal de Contas da União - TCU; </w:t>
      </w:r>
    </w:p>
    <w:p>
      <w:pPr>
        <w:pStyle w:val="Nivel01"/>
        <w:tabs>
          <w:tab w:val="clear" w:pos="567"/>
          <w:tab w:val="left" w:pos="-284" w:leader="none"/>
        </w:tabs>
        <w:spacing w:lineRule="auto" w:line="276" w:before="240" w:after="120"/>
        <w:ind w:left="-284" w:right="-568" w:hanging="0"/>
        <w:rPr>
          <w:rFonts w:ascii="Times New Roman" w:hAnsi="Times New Roman"/>
          <w:b w:val="false"/>
          <w:b w:val="false"/>
          <w:sz w:val="24"/>
          <w:szCs w:val="24"/>
        </w:rPr>
      </w:pPr>
      <w:r>
        <w:rPr>
          <w:rFonts w:ascii="Times New Roman" w:hAnsi="Times New Roman"/>
          <w:b w:val="false"/>
          <w:bCs w:val="false"/>
          <w:sz w:val="24"/>
          <w:szCs w:val="24"/>
          <w:lang w:eastAsia="ar-SA"/>
        </w:rPr>
        <w:t>25.2. Para a consulta de licitante pessoa jurídica poderá haver a substituição das consultas</w:t>
      </w:r>
      <w:r>
        <w:rPr>
          <w:rFonts w:ascii="Times New Roman" w:hAnsi="Times New Roman"/>
          <w:b w:val="false"/>
          <w:sz w:val="24"/>
          <w:szCs w:val="24"/>
          <w:lang w:eastAsia="ar-SA"/>
        </w:rPr>
        <w:t xml:space="preserve"> das alíneas “b”, “c” e “d” acima pela Consulta Consolidada de Pessoa Jurídica do TCU (https://certidoesapf.apps.tcu.gov.br/)</w:t>
      </w:r>
    </w:p>
    <w:p>
      <w:pPr>
        <w:pStyle w:val="ListParagraph"/>
        <w:tabs>
          <w:tab w:val="clear" w:pos="708"/>
          <w:tab w:val="left" w:pos="-284" w:leader="none"/>
        </w:tabs>
        <w:suppressAutoHyphens w:val="false"/>
        <w:spacing w:lineRule="auto" w:line="276" w:before="120" w:after="120"/>
        <w:ind w:left="-284" w:right="-568" w:hanging="0"/>
        <w:contextualSpacing/>
        <w:jc w:val="both"/>
        <w:rPr>
          <w:rFonts w:ascii="Times New Roman" w:hAnsi="Times New Roman" w:cs="Times New Roman"/>
        </w:rPr>
      </w:pPr>
      <w:r>
        <w:rPr>
          <w:rFonts w:cs="Times New Roman" w:ascii="Times New Roman" w:hAnsi="Times New Roman"/>
        </w:rPr>
        <w:t>25.3. As empresas vencedoras deverão estar em dia com a documentação relacionada nos itens a seguir:</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bCs/>
          <w:color w:val="000000"/>
        </w:rPr>
      </w:pPr>
      <w:r>
        <w:rPr>
          <w:rFonts w:cs="Times New Roman" w:ascii="Times New Roman" w:hAnsi="Times New Roman"/>
          <w:b/>
          <w:bCs/>
          <w:color w:val="000000"/>
        </w:rPr>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bCs/>
          <w:color w:val="000000"/>
        </w:rPr>
      </w:pPr>
      <w:r>
        <w:rPr>
          <w:rFonts w:cs="Times New Roman" w:ascii="Times New Roman" w:hAnsi="Times New Roman"/>
          <w:b/>
          <w:bCs/>
          <w:color w:val="000000"/>
        </w:rPr>
        <w:t>25.4. Habilitação jurídica:</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bCs/>
          <w:color w:val="000000"/>
        </w:rPr>
      </w:pPr>
      <w:r>
        <w:rPr>
          <w:rFonts w:cs="Times New Roman" w:ascii="Times New Roman" w:hAnsi="Times New Roman"/>
          <w:bCs/>
          <w:color w:val="000000"/>
        </w:rPr>
        <w:t>25.4.1. Contrato Social ou documento equivalente.</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bCs/>
          <w:color w:val="000000"/>
        </w:rPr>
      </w:pPr>
      <w:r>
        <w:rPr>
          <w:rFonts w:cs="Times New Roman" w:ascii="Times New Roman" w:hAnsi="Times New Roman"/>
          <w:b/>
          <w:bCs/>
          <w:color w:val="000000"/>
        </w:rPr>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bCs/>
          <w:color w:val="000000"/>
        </w:rPr>
      </w:pPr>
      <w:r>
        <w:rPr>
          <w:rFonts w:cs="Times New Roman" w:ascii="Times New Roman" w:hAnsi="Times New Roman"/>
          <w:b/>
          <w:bCs/>
          <w:color w:val="000000"/>
        </w:rPr>
        <w:t xml:space="preserve">25.5. Regularidade fiscal </w:t>
      </w:r>
      <w:r>
        <w:rPr>
          <w:rFonts w:cs="Times New Roman" w:ascii="Times New Roman" w:hAnsi="Times New Roman"/>
          <w:b/>
          <w:bCs/>
        </w:rPr>
        <w:t>e trabalhista</w:t>
      </w:r>
      <w:r>
        <w:rPr>
          <w:rFonts w:cs="Times New Roman" w:ascii="Times New Roman" w:hAnsi="Times New Roman"/>
          <w:b/>
          <w:bCs/>
          <w:color w:val="0000FF"/>
        </w:rPr>
        <w:t>:</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25.5.1. Prova de inscrição no Cadastro Nacional de Pessoas Jurídicas ou no Cadastro de Pessoas Físicas, conforme o caso;</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rPr>
      </w:pPr>
      <w:r>
        <w:rPr>
          <w:rFonts w:cs="Times New Roman" w:ascii="Times New Roman" w:hAnsi="Times New Roman"/>
          <w:lang w:eastAsia="en-US"/>
        </w:rPr>
        <w:t>25.5.</w:t>
      </w:r>
      <w:r>
        <w:rPr>
          <w:rFonts w:cs="Times New Roman" w:ascii="Times New Roman" w:hAnsi="Times New Roman"/>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lang w:eastAsia="en-US"/>
        </w:rPr>
        <w:t>25.5.</w:t>
      </w:r>
      <w:r>
        <w:rPr>
          <w:rFonts w:cs="Times New Roman" w:ascii="Times New Roman" w:hAnsi="Times New Roman"/>
          <w:color w:val="000000"/>
          <w:lang w:eastAsia="en-US"/>
        </w:rPr>
        <w:t>3. Prova de regularidade com o Fundo de Garantia do Tempo de Serviço (FGTS);</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rPr>
      </w:pPr>
      <w:r>
        <w:rPr>
          <w:rFonts w:cs="Times New Roman" w:ascii="Times New Roman" w:hAnsi="Times New Roman"/>
          <w:lang w:eastAsia="en-US"/>
        </w:rPr>
        <w:t>25.5.4.</w:t>
      </w:r>
      <w:r>
        <w:rPr>
          <w:rFonts w:cs="Times New Roman" w:ascii="Times New Roman" w:hAnsi="Times New Roman"/>
          <w:color w:val="000000"/>
          <w:lang w:eastAsia="en-US"/>
        </w:rPr>
        <w:t xml:space="preserve"> P</w:t>
      </w:r>
      <w:r>
        <w:rPr>
          <w:rFonts w:cs="Times New Roman" w:ascii="Times New Roman" w:hAnsi="Times New Roman"/>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lang w:eastAsia="en-US"/>
        </w:rPr>
        <w:t>25.5.</w:t>
      </w:r>
      <w:r>
        <w:rPr>
          <w:rFonts w:cs="Times New Roman" w:ascii="Times New Roman" w:hAnsi="Times New Roman"/>
          <w:color w:val="000000"/>
          <w:lang w:eastAsia="en-US"/>
        </w:rPr>
        <w:t>5. P</w:t>
      </w:r>
      <w:r>
        <w:rPr>
          <w:rFonts w:cs="Times New Roman" w:ascii="Times New Roman" w:hAnsi="Times New Roman"/>
        </w:rPr>
        <w:t>rova de regularidade com a Fazenda Estadual do domicílio ou sede do licitante, relativa à atividade em cujo exercício contrata ou concorre;</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b/>
          <w:b/>
        </w:rPr>
      </w:pPr>
      <w:r>
        <w:rPr>
          <w:rFonts w:cs="Times New Roman" w:ascii="Times New Roman" w:hAnsi="Times New Roman"/>
          <w:lang w:eastAsia="en-US"/>
        </w:rPr>
        <w:t>25.5.</w:t>
      </w:r>
      <w:r>
        <w:rPr>
          <w:rFonts w:cs="Times New Roman" w:ascii="Times New Roman" w:hAnsi="Times New Roman"/>
          <w:color w:val="000000"/>
          <w:lang w:eastAsia="en-US"/>
        </w:rPr>
        <w:t>6. P</w:t>
      </w:r>
      <w:r>
        <w:rPr>
          <w:rFonts w:cs="Times New Roman" w:ascii="Times New Roman" w:hAnsi="Times New Roman"/>
        </w:rPr>
        <w:t>rova de regularidade com a Fazenda Municipal do domicílio ou sede do licitante, relativa à atividade em cujo exercício contrata ou concorre;</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b/>
          <w:b/>
          <w:color w:val="000000"/>
        </w:rPr>
      </w:pPr>
      <w:r>
        <w:rPr>
          <w:rFonts w:cs="Times New Roman" w:ascii="Times New Roman" w:hAnsi="Times New Roman"/>
          <w:lang w:eastAsia="en-US"/>
        </w:rPr>
        <w:t>25.5.</w:t>
      </w:r>
      <w:r>
        <w:rPr>
          <w:rFonts w:cs="Times New Roman" w:ascii="Times New Roman" w:hAnsi="Times New Roman"/>
          <w:color w:val="000000"/>
          <w:lang w:eastAsia="en-US"/>
        </w:rPr>
        <w:t xml:space="preserve">7. </w:t>
      </w:r>
      <w:r>
        <w:rPr>
          <w:rFonts w:cs="Times New Roman" w:ascii="Times New Roman" w:hAnsi="Times New Roman"/>
          <w:color w:val="000000"/>
        </w:rPr>
        <w:t xml:space="preserve">Caso o licitante seja considerado isento dos tributos estaduais relacionados ao objeto licitatório, deverá comprovar tal condição mediante declaração da Fazenda Estadual do seu domicílio ou sede, ou outra equivalente, na forma da lei; </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b/>
          <w:b/>
          <w:bCs/>
          <w:iCs/>
          <w:color w:val="7030A0"/>
          <w:u w:val="single"/>
        </w:rPr>
      </w:pPr>
      <w:r>
        <w:rPr>
          <w:rFonts w:cs="Times New Roman" w:ascii="Times New Roman" w:hAnsi="Times New Roman"/>
          <w:lang w:eastAsia="en-US"/>
        </w:rPr>
        <w:t>25.5.</w:t>
      </w:r>
      <w:r>
        <w:rPr>
          <w:rFonts w:cs="Times New Roman" w:ascii="Times New Roman" w:hAnsi="Times New Roman"/>
          <w:color w:val="000000"/>
          <w:lang w:eastAsia="en-US"/>
        </w:rPr>
        <w:t>8. C</w:t>
      </w:r>
      <w:r>
        <w:rPr>
          <w:rFonts w:cs="Times New Roman" w:ascii="Times New Roman" w:hAnsi="Times New Roman"/>
          <w:color w:val="000000"/>
          <w:lang w:eastAsia="en-US" w:bidi="pt-BR"/>
        </w:rPr>
        <w:t xml:space="preserve">aso o licitante detentor do menor preço seja qualificado como microempresa ou empresa de pequeno porte </w:t>
      </w:r>
      <w:r>
        <w:rPr>
          <w:rFonts w:cs="Times New Roman" w:ascii="Times New Roman" w:hAnsi="Times New Roman"/>
          <w:color w:val="000000"/>
          <w:lang w:eastAsia="en-US"/>
        </w:rPr>
        <w:t>deverá apresentar toda a documentação exigida para efeito de comprovação de regularidade fiscal, mesmo que esta apresente alguma restrição, sob pena de inabilitação.</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color w:val="000000"/>
        </w:rPr>
      </w:pPr>
      <w:r>
        <w:rPr>
          <w:rFonts w:cs="Times New Roman" w:ascii="Times New Roman" w:hAnsi="Times New Roman"/>
          <w:b/>
          <w:color w:val="000000"/>
        </w:rPr>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color w:val="000000"/>
        </w:rPr>
      </w:pPr>
      <w:r>
        <w:rPr>
          <w:rFonts w:cs="Times New Roman" w:ascii="Times New Roman" w:hAnsi="Times New Roman"/>
          <w:b/>
          <w:color w:val="000000"/>
        </w:rPr>
        <w:t>25.6. Qualificação Econômico-Financeira</w:t>
      </w:r>
      <w:r>
        <w:rPr>
          <w:rFonts w:cs="Times New Roman" w:ascii="Times New Roman" w:hAnsi="Times New Roman"/>
          <w:color w:val="000000"/>
        </w:rPr>
        <w:t>.</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25.6.1.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color w:val="000000"/>
        </w:rPr>
        <w:t xml:space="preserve">25.6.1.1. </w:t>
      </w:r>
      <w:r>
        <w:rPr>
          <w:rFonts w:cs="Times New Roman" w:ascii="Times New Roman" w:hAnsi="Times New Roman"/>
          <w:bCs/>
          <w:iCs/>
          <w:color w:val="000000"/>
        </w:rPr>
        <w:t>No caso de fornecimento</w:t>
      </w:r>
      <w:r>
        <w:rPr>
          <w:rFonts w:cs="Times New Roman" w:ascii="Times New Roman" w:hAnsi="Times New Roman"/>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color w:val="000000"/>
        </w:rPr>
        <w:t>25.6.1.2. N</w:t>
      </w:r>
      <w:r>
        <w:rPr>
          <w:rFonts w:cs="Times New Roman" w:ascii="Times New Roman" w:hAnsi="Times New Roman"/>
          <w:color w:val="000000"/>
          <w:lang w:eastAsia="en-US"/>
        </w:rPr>
        <w:t>o caso de empresa constituída no exercício social vigente, admite-se a apresentação de balanço patrimonial e demonstrações contábeis referentes ao período de existência da sociedade;</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color w:val="000000"/>
        </w:rPr>
        <w:t>25.6.1.3. É</w:t>
      </w:r>
      <w:r>
        <w:rPr>
          <w:rFonts w:cs="Times New Roman" w:ascii="Times New Roman" w:hAnsi="Times New Roman"/>
          <w:color w:val="000000"/>
          <w:lang w:eastAsia="en-US"/>
        </w:rPr>
        <w:t xml:space="preserve"> admissível o balanço intermediário, se decorrer de lei ou contrato social/estatuto social.</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 xml:space="preserve">25.6.1.4. </w:t>
      </w:r>
      <w:r>
        <w:rPr>
          <w:rFonts w:cs="Times New Roman" w:ascii="Times New Roman" w:hAnsi="Times New Roman"/>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25.6.1.5. A comprovação da situação financeira da empresa será constatada mediante obtenção de índices de Liquidez Geral (LG), Solvência Geral (SG) e Liquidez Corrente (LC), superiores a 1 ( um) resultantes da aplicação das fórmulas:</w:t>
      </w:r>
    </w:p>
    <w:tbl>
      <w:tblPr>
        <w:tblW w:w="6912" w:type="dxa"/>
        <w:jc w:val="left"/>
        <w:tblInd w:w="1134" w:type="dxa"/>
        <w:tblCellMar>
          <w:top w:w="0" w:type="dxa"/>
          <w:left w:w="108" w:type="dxa"/>
          <w:bottom w:w="0" w:type="dxa"/>
          <w:right w:w="108" w:type="dxa"/>
        </w:tblCellMar>
        <w:tblLook w:firstRow="1" w:noVBand="1" w:lastRow="0" w:firstColumn="1" w:lastColumn="0" w:noHBand="0" w:val="04a0"/>
      </w:tblPr>
      <w:tblGrid>
        <w:gridCol w:w="2234"/>
        <w:gridCol w:w="4677"/>
      </w:tblGrid>
      <w:tr>
        <w:trPr/>
        <w:tc>
          <w:tcPr>
            <w:tcW w:w="2234" w:type="dxa"/>
            <w:vMerge w:val="restart"/>
            <w:tcBorders/>
            <w:shd w:color="auto" w:fill="auto" w:val="clear"/>
            <w:vAlign w:val="center"/>
          </w:tcPr>
          <w:p>
            <w:pPr>
              <w:pStyle w:val="Normal"/>
              <w:tabs>
                <w:tab w:val="clear" w:pos="708"/>
                <w:tab w:val="left" w:pos="-284" w:leader="none"/>
                <w:tab w:val="left" w:pos="1440" w:leader="none"/>
              </w:tabs>
              <w:snapToGrid w:val="false"/>
              <w:ind w:left="-284" w:hanging="0"/>
              <w:jc w:val="right"/>
              <w:rPr>
                <w:rFonts w:ascii="Times New Roman" w:hAnsi="Times New Roman" w:eastAsia="MS Mincho" w:cs="Times New Roman"/>
                <w:color w:val="000000"/>
              </w:rPr>
            </w:pPr>
            <w:r>
              <w:rPr>
                <w:rFonts w:eastAsia="MS Mincho" w:cs="Times New Roman" w:ascii="Times New Roman" w:hAnsi="Times New Roman"/>
                <w:color w:val="000000"/>
              </w:rPr>
              <w:t>LG =</w:t>
            </w:r>
          </w:p>
        </w:tc>
        <w:tc>
          <w:tcPr>
            <w:tcW w:w="4677" w:type="dxa"/>
            <w:tcBorders>
              <w:bottom w:val="single" w:sz="4" w:space="0" w:color="000000"/>
            </w:tcBorders>
            <w:shd w:color="auto" w:fill="auto" w:val="clear"/>
            <w:vAlign w:val="bottom"/>
          </w:tcPr>
          <w:p>
            <w:pPr>
              <w:pStyle w:val="Normal"/>
              <w:tabs>
                <w:tab w:val="clear" w:pos="708"/>
                <w:tab w:val="left" w:pos="1440" w:leader="none"/>
              </w:tabs>
              <w:snapToGrid w:val="false"/>
              <w:ind w:left="33" w:hanging="0"/>
              <w:rPr>
                <w:rFonts w:ascii="Times New Roman" w:hAnsi="Times New Roman" w:eastAsia="MS Mincho" w:cs="Times New Roman"/>
                <w:color w:val="000000"/>
              </w:rPr>
            </w:pPr>
            <w:r>
              <w:rPr>
                <w:rFonts w:eastAsia="MS Mincho" w:cs="Times New Roman" w:ascii="Times New Roman" w:hAnsi="Times New Roman"/>
                <w:color w:val="000000"/>
              </w:rPr>
              <w:t>Ativo Circulante + Realizável a Longo Prazo</w:t>
            </w:r>
          </w:p>
        </w:tc>
      </w:tr>
      <w:tr>
        <w:trPr/>
        <w:tc>
          <w:tcPr>
            <w:tcW w:w="2234" w:type="dxa"/>
            <w:vMerge w:val="continue"/>
            <w:tcBorders/>
            <w:shd w:color="auto" w:fill="auto" w:val="clear"/>
          </w:tcPr>
          <w:p>
            <w:pPr>
              <w:pStyle w:val="Normal"/>
              <w:tabs>
                <w:tab w:val="clear" w:pos="708"/>
                <w:tab w:val="left" w:pos="-284" w:leader="none"/>
                <w:tab w:val="left" w:pos="1440" w:leader="none"/>
              </w:tabs>
              <w:snapToGrid w:val="false"/>
              <w:ind w:left="-284" w:hanging="0"/>
              <w:jc w:val="both"/>
              <w:rPr>
                <w:rFonts w:ascii="Times New Roman" w:hAnsi="Times New Roman" w:eastAsia="MS Mincho" w:cs="Times New Roman"/>
                <w:color w:val="000000"/>
              </w:rPr>
            </w:pPr>
            <w:r>
              <w:rPr>
                <w:rFonts w:eastAsia="MS Mincho" w:cs="Times New Roman" w:ascii="Times New Roman" w:hAnsi="Times New Roman"/>
                <w:color w:val="000000"/>
              </w:rPr>
            </w:r>
          </w:p>
        </w:tc>
        <w:tc>
          <w:tcPr>
            <w:tcW w:w="4677" w:type="dxa"/>
            <w:tcBorders>
              <w:top w:val="single" w:sz="4" w:space="0" w:color="000000"/>
            </w:tcBorders>
            <w:shd w:color="auto" w:fill="auto" w:val="clear"/>
          </w:tcPr>
          <w:p>
            <w:pPr>
              <w:pStyle w:val="Normal"/>
              <w:tabs>
                <w:tab w:val="clear" w:pos="708"/>
                <w:tab w:val="left" w:pos="1440" w:leader="none"/>
              </w:tabs>
              <w:snapToGrid w:val="false"/>
              <w:ind w:left="33" w:hanging="0"/>
              <w:rPr>
                <w:rFonts w:ascii="Times New Roman" w:hAnsi="Times New Roman" w:eastAsia="MS Mincho" w:cs="Times New Roman"/>
                <w:color w:val="000000"/>
              </w:rPr>
            </w:pPr>
            <w:r>
              <w:rPr>
                <w:rFonts w:eastAsia="MS Mincho" w:cs="Times New Roman" w:ascii="Times New Roman" w:hAnsi="Times New Roman"/>
                <w:color w:val="000000"/>
              </w:rPr>
              <w:t>Passivo Circulante + Passivo Não Circulante</w:t>
            </w:r>
          </w:p>
        </w:tc>
      </w:tr>
    </w:tbl>
    <w:p>
      <w:pPr>
        <w:pStyle w:val="Normal"/>
        <w:tabs>
          <w:tab w:val="clear" w:pos="708"/>
          <w:tab w:val="left" w:pos="-284" w:leader="none"/>
          <w:tab w:val="left" w:pos="1440" w:leader="none"/>
        </w:tabs>
        <w:snapToGrid w:val="false"/>
        <w:ind w:left="-284" w:hanging="0"/>
        <w:jc w:val="both"/>
        <w:rPr>
          <w:rFonts w:ascii="Times New Roman" w:hAnsi="Times New Roman" w:cs="Times New Roman"/>
          <w:color w:val="000000"/>
        </w:rPr>
      </w:pPr>
      <w:r>
        <w:rPr>
          <w:rFonts w:cs="Times New Roman" w:ascii="Times New Roman" w:hAnsi="Times New Roman"/>
          <w:color w:val="000000"/>
        </w:rPr>
      </w:r>
    </w:p>
    <w:tbl>
      <w:tblPr>
        <w:tblW w:w="6912" w:type="dxa"/>
        <w:jc w:val="left"/>
        <w:tblInd w:w="1134" w:type="dxa"/>
        <w:tblCellMar>
          <w:top w:w="0" w:type="dxa"/>
          <w:left w:w="108" w:type="dxa"/>
          <w:bottom w:w="0" w:type="dxa"/>
          <w:right w:w="108" w:type="dxa"/>
        </w:tblCellMar>
        <w:tblLook w:firstRow="1" w:noVBand="1" w:lastRow="0" w:firstColumn="1" w:lastColumn="0" w:noHBand="0" w:val="04a0"/>
      </w:tblPr>
      <w:tblGrid>
        <w:gridCol w:w="2234"/>
        <w:gridCol w:w="4677"/>
      </w:tblGrid>
      <w:tr>
        <w:trPr/>
        <w:tc>
          <w:tcPr>
            <w:tcW w:w="2234" w:type="dxa"/>
            <w:vMerge w:val="restart"/>
            <w:tcBorders/>
            <w:shd w:color="auto" w:fill="auto" w:val="clear"/>
            <w:vAlign w:val="center"/>
          </w:tcPr>
          <w:p>
            <w:pPr>
              <w:pStyle w:val="Normal"/>
              <w:tabs>
                <w:tab w:val="clear" w:pos="708"/>
                <w:tab w:val="left" w:pos="-284" w:leader="none"/>
                <w:tab w:val="left" w:pos="1440" w:leader="none"/>
              </w:tabs>
              <w:snapToGrid w:val="false"/>
              <w:ind w:left="-284" w:hanging="0"/>
              <w:jc w:val="right"/>
              <w:rPr>
                <w:rFonts w:ascii="Times New Roman" w:hAnsi="Times New Roman" w:eastAsia="MS Mincho" w:cs="Times New Roman"/>
                <w:color w:val="000000"/>
              </w:rPr>
            </w:pPr>
            <w:r>
              <w:rPr>
                <w:rFonts w:eastAsia="MS Mincho" w:cs="Times New Roman" w:ascii="Times New Roman" w:hAnsi="Times New Roman"/>
                <w:color w:val="000000"/>
              </w:rPr>
              <w:t>SG =</w:t>
            </w:r>
          </w:p>
        </w:tc>
        <w:tc>
          <w:tcPr>
            <w:tcW w:w="4677" w:type="dxa"/>
            <w:tcBorders>
              <w:bottom w:val="single" w:sz="4" w:space="0" w:color="000000"/>
            </w:tcBorders>
            <w:shd w:color="auto" w:fill="auto" w:val="clear"/>
            <w:vAlign w:val="bottom"/>
          </w:tcPr>
          <w:p>
            <w:pPr>
              <w:pStyle w:val="Normal"/>
              <w:tabs>
                <w:tab w:val="clear" w:pos="708"/>
                <w:tab w:val="left" w:pos="-284" w:leader="none"/>
                <w:tab w:val="left" w:pos="1440" w:leader="none"/>
              </w:tabs>
              <w:snapToGrid w:val="false"/>
              <w:ind w:left="-284" w:hanging="0"/>
              <w:jc w:val="center"/>
              <w:rPr>
                <w:rFonts w:ascii="Times New Roman" w:hAnsi="Times New Roman" w:eastAsia="MS Mincho" w:cs="Times New Roman"/>
                <w:color w:val="000000"/>
              </w:rPr>
            </w:pPr>
            <w:r>
              <w:rPr>
                <w:rFonts w:eastAsia="MS Mincho" w:cs="Times New Roman" w:ascii="Times New Roman" w:hAnsi="Times New Roman"/>
                <w:color w:val="000000"/>
              </w:rPr>
              <w:t>Ativo Total</w:t>
            </w:r>
          </w:p>
        </w:tc>
      </w:tr>
      <w:tr>
        <w:trPr/>
        <w:tc>
          <w:tcPr>
            <w:tcW w:w="2234" w:type="dxa"/>
            <w:vMerge w:val="continue"/>
            <w:tcBorders/>
            <w:shd w:color="auto" w:fill="auto" w:val="clear"/>
          </w:tcPr>
          <w:p>
            <w:pPr>
              <w:pStyle w:val="Normal"/>
              <w:tabs>
                <w:tab w:val="clear" w:pos="708"/>
                <w:tab w:val="left" w:pos="-284" w:leader="none"/>
                <w:tab w:val="left" w:pos="1440" w:leader="none"/>
              </w:tabs>
              <w:snapToGrid w:val="false"/>
              <w:ind w:left="-284" w:hanging="0"/>
              <w:jc w:val="both"/>
              <w:rPr>
                <w:rFonts w:ascii="Times New Roman" w:hAnsi="Times New Roman" w:eastAsia="MS Mincho" w:cs="Times New Roman"/>
                <w:color w:val="000000"/>
              </w:rPr>
            </w:pPr>
            <w:r>
              <w:rPr>
                <w:rFonts w:eastAsia="MS Mincho" w:cs="Times New Roman" w:ascii="Times New Roman" w:hAnsi="Times New Roman"/>
                <w:color w:val="000000"/>
              </w:rPr>
            </w:r>
          </w:p>
        </w:tc>
        <w:tc>
          <w:tcPr>
            <w:tcW w:w="4677" w:type="dxa"/>
            <w:tcBorders>
              <w:top w:val="single" w:sz="4" w:space="0" w:color="000000"/>
            </w:tcBorders>
            <w:shd w:color="auto" w:fill="auto" w:val="clear"/>
          </w:tcPr>
          <w:p>
            <w:pPr>
              <w:pStyle w:val="Normal"/>
              <w:tabs>
                <w:tab w:val="clear" w:pos="708"/>
                <w:tab w:val="left" w:pos="-284" w:leader="none"/>
                <w:tab w:val="left" w:pos="1440" w:leader="none"/>
              </w:tabs>
              <w:snapToGrid w:val="false"/>
              <w:ind w:left="-284" w:hanging="0"/>
              <w:jc w:val="center"/>
              <w:rPr>
                <w:rFonts w:ascii="Times New Roman" w:hAnsi="Times New Roman" w:eastAsia="MS Mincho" w:cs="Times New Roman"/>
                <w:color w:val="000000"/>
              </w:rPr>
            </w:pPr>
            <w:r>
              <w:rPr>
                <w:rFonts w:eastAsia="MS Mincho" w:cs="Times New Roman" w:ascii="Times New Roman" w:hAnsi="Times New Roman"/>
                <w:color w:val="000000"/>
              </w:rPr>
              <w:t>Passivo Circulante + Passivo Não Circulante</w:t>
            </w:r>
          </w:p>
        </w:tc>
      </w:tr>
    </w:tbl>
    <w:p>
      <w:pPr>
        <w:pStyle w:val="Normal"/>
        <w:tabs>
          <w:tab w:val="clear" w:pos="708"/>
          <w:tab w:val="left" w:pos="-284" w:leader="none"/>
          <w:tab w:val="left" w:pos="1440" w:leader="none"/>
        </w:tabs>
        <w:snapToGrid w:val="false"/>
        <w:ind w:left="-284" w:hanging="0"/>
        <w:jc w:val="both"/>
        <w:rPr>
          <w:rFonts w:ascii="Times New Roman" w:hAnsi="Times New Roman" w:cs="Times New Roman"/>
          <w:color w:val="000000"/>
        </w:rPr>
      </w:pPr>
      <w:r>
        <w:rPr>
          <w:rFonts w:cs="Times New Roman" w:ascii="Times New Roman" w:hAnsi="Times New Roman"/>
          <w:color w:val="000000"/>
        </w:rPr>
      </w:r>
    </w:p>
    <w:tbl>
      <w:tblPr>
        <w:tblW w:w="6912" w:type="dxa"/>
        <w:jc w:val="left"/>
        <w:tblInd w:w="1134" w:type="dxa"/>
        <w:tblCellMar>
          <w:top w:w="0" w:type="dxa"/>
          <w:left w:w="108" w:type="dxa"/>
          <w:bottom w:w="0" w:type="dxa"/>
          <w:right w:w="108" w:type="dxa"/>
        </w:tblCellMar>
        <w:tblLook w:firstRow="1" w:noVBand="1" w:lastRow="0" w:firstColumn="1" w:lastColumn="0" w:noHBand="0" w:val="04a0"/>
      </w:tblPr>
      <w:tblGrid>
        <w:gridCol w:w="2234"/>
        <w:gridCol w:w="4677"/>
      </w:tblGrid>
      <w:tr>
        <w:trPr/>
        <w:tc>
          <w:tcPr>
            <w:tcW w:w="2234" w:type="dxa"/>
            <w:vMerge w:val="restart"/>
            <w:tcBorders/>
            <w:shd w:color="auto" w:fill="auto" w:val="clear"/>
            <w:vAlign w:val="center"/>
          </w:tcPr>
          <w:p>
            <w:pPr>
              <w:pStyle w:val="Normal"/>
              <w:tabs>
                <w:tab w:val="clear" w:pos="708"/>
                <w:tab w:val="left" w:pos="-284" w:leader="none"/>
                <w:tab w:val="left" w:pos="1440" w:leader="none"/>
              </w:tabs>
              <w:snapToGrid w:val="false"/>
              <w:ind w:left="-284" w:hanging="0"/>
              <w:jc w:val="right"/>
              <w:rPr>
                <w:rFonts w:ascii="Times New Roman" w:hAnsi="Times New Roman" w:eastAsia="MS Mincho" w:cs="Times New Roman"/>
                <w:color w:val="000000"/>
              </w:rPr>
            </w:pPr>
            <w:r>
              <w:rPr>
                <w:rFonts w:eastAsia="MS Mincho" w:cs="Times New Roman" w:ascii="Times New Roman" w:hAnsi="Times New Roman"/>
                <w:color w:val="000000"/>
              </w:rPr>
              <w:t>LC =</w:t>
            </w:r>
          </w:p>
        </w:tc>
        <w:tc>
          <w:tcPr>
            <w:tcW w:w="4677" w:type="dxa"/>
            <w:tcBorders>
              <w:bottom w:val="single" w:sz="4" w:space="0" w:color="000000"/>
            </w:tcBorders>
            <w:shd w:color="auto" w:fill="auto" w:val="clear"/>
            <w:vAlign w:val="bottom"/>
          </w:tcPr>
          <w:p>
            <w:pPr>
              <w:pStyle w:val="Normal"/>
              <w:tabs>
                <w:tab w:val="clear" w:pos="708"/>
                <w:tab w:val="left" w:pos="-284" w:leader="none"/>
                <w:tab w:val="left" w:pos="1440" w:leader="none"/>
              </w:tabs>
              <w:snapToGrid w:val="false"/>
              <w:ind w:left="-284" w:hanging="0"/>
              <w:jc w:val="center"/>
              <w:rPr>
                <w:rFonts w:ascii="Times New Roman" w:hAnsi="Times New Roman" w:eastAsia="MS Mincho" w:cs="Times New Roman"/>
                <w:color w:val="000000"/>
              </w:rPr>
            </w:pPr>
            <w:r>
              <w:rPr>
                <w:rFonts w:eastAsia="MS Mincho" w:cs="Times New Roman" w:ascii="Times New Roman" w:hAnsi="Times New Roman"/>
                <w:color w:val="000000"/>
              </w:rPr>
              <w:t>Ativo Circulante</w:t>
            </w:r>
          </w:p>
        </w:tc>
      </w:tr>
      <w:tr>
        <w:trPr/>
        <w:tc>
          <w:tcPr>
            <w:tcW w:w="2234" w:type="dxa"/>
            <w:vMerge w:val="continue"/>
            <w:tcBorders/>
            <w:shd w:color="auto" w:fill="auto" w:val="clear"/>
          </w:tcPr>
          <w:p>
            <w:pPr>
              <w:pStyle w:val="Normal"/>
              <w:tabs>
                <w:tab w:val="clear" w:pos="708"/>
                <w:tab w:val="left" w:pos="-284" w:leader="none"/>
                <w:tab w:val="left" w:pos="1440" w:leader="none"/>
              </w:tabs>
              <w:snapToGrid w:val="false"/>
              <w:ind w:left="-284" w:hanging="0"/>
              <w:jc w:val="both"/>
              <w:rPr>
                <w:rFonts w:ascii="Times New Roman" w:hAnsi="Times New Roman" w:eastAsia="MS Mincho" w:cs="Times New Roman"/>
                <w:color w:val="000000"/>
              </w:rPr>
            </w:pPr>
            <w:r>
              <w:rPr>
                <w:rFonts w:eastAsia="MS Mincho" w:cs="Times New Roman" w:ascii="Times New Roman" w:hAnsi="Times New Roman"/>
                <w:color w:val="000000"/>
              </w:rPr>
            </w:r>
          </w:p>
        </w:tc>
        <w:tc>
          <w:tcPr>
            <w:tcW w:w="4677" w:type="dxa"/>
            <w:tcBorders>
              <w:top w:val="single" w:sz="4" w:space="0" w:color="000000"/>
            </w:tcBorders>
            <w:shd w:color="auto" w:fill="auto" w:val="clear"/>
          </w:tcPr>
          <w:p>
            <w:pPr>
              <w:pStyle w:val="Normal"/>
              <w:tabs>
                <w:tab w:val="clear" w:pos="708"/>
                <w:tab w:val="left" w:pos="-284" w:leader="none"/>
                <w:tab w:val="left" w:pos="1440" w:leader="none"/>
              </w:tabs>
              <w:snapToGrid w:val="false"/>
              <w:ind w:left="-284" w:hanging="0"/>
              <w:jc w:val="center"/>
              <w:rPr>
                <w:rFonts w:ascii="Times New Roman" w:hAnsi="Times New Roman" w:eastAsia="MS Mincho" w:cs="Times New Roman"/>
                <w:color w:val="000000"/>
              </w:rPr>
            </w:pPr>
            <w:r>
              <w:rPr>
                <w:rFonts w:eastAsia="MS Mincho" w:cs="Times New Roman" w:ascii="Times New Roman" w:hAnsi="Times New Roman"/>
                <w:color w:val="000000"/>
              </w:rPr>
              <w:t>Passivo Circulante</w:t>
            </w:r>
          </w:p>
        </w:tc>
      </w:tr>
    </w:tbl>
    <w:p>
      <w:pPr>
        <w:pStyle w:val="Normal"/>
        <w:tabs>
          <w:tab w:val="clear" w:pos="708"/>
          <w:tab w:val="left" w:pos="-284" w:leader="none"/>
          <w:tab w:val="left" w:pos="1440" w:leader="none"/>
        </w:tabs>
        <w:snapToGrid w:val="false"/>
        <w:spacing w:lineRule="auto" w:line="276" w:before="120" w:after="120"/>
        <w:ind w:left="-284" w:hanging="0"/>
        <w:jc w:val="both"/>
        <w:rPr>
          <w:rFonts w:ascii="Times New Roman" w:hAnsi="Times New Roman" w:cs="Times New Roman"/>
          <w:color w:val="000000"/>
        </w:rPr>
      </w:pPr>
      <w:r>
        <w:rPr>
          <w:rFonts w:cs="Times New Roman" w:ascii="Times New Roman" w:hAnsi="Times New Roman"/>
          <w:color w:val="000000"/>
        </w:rPr>
      </w:r>
    </w:p>
    <w:p>
      <w:pPr>
        <w:pStyle w:val="Normal"/>
        <w:tabs>
          <w:tab w:val="clear" w:pos="708"/>
          <w:tab w:val="left" w:pos="-284" w:leader="none"/>
          <w:tab w:val="left" w:pos="1440" w:leader="none"/>
        </w:tabs>
        <w:suppressAutoHyphens w:val="false"/>
        <w:snapToGrid w:val="false"/>
        <w:spacing w:lineRule="auto" w:line="276" w:before="120" w:after="120"/>
        <w:ind w:left="-284" w:right="-427" w:hanging="0"/>
        <w:jc w:val="both"/>
        <w:rPr>
          <w:rFonts w:ascii="Times New Roman" w:hAnsi="Times New Roman" w:cs="Times New Roman"/>
          <w:lang w:eastAsia="en-US"/>
        </w:rPr>
      </w:pPr>
      <w:r>
        <w:rPr>
          <w:rFonts w:cs="Times New Roman" w:ascii="Times New Roman" w:hAnsi="Times New Roman"/>
          <w:color w:val="000000"/>
        </w:rPr>
        <w:t>25.6.1.</w:t>
      </w:r>
      <w:r>
        <w:rPr>
          <w:rFonts w:cs="Times New Roman" w:ascii="Times New Roman" w:hAnsi="Times New Roman"/>
          <w:bCs/>
        </w:rPr>
        <w:t xml:space="preserve">6. As empresas que apresentarem </w:t>
      </w:r>
      <w:r>
        <w:rPr>
          <w:rFonts w:cs="Times New Roman" w:ascii="Times New Roman" w:hAnsi="Times New Roman"/>
          <w:bCs/>
          <w:color w:val="000000"/>
        </w:rPr>
        <w:t>resultado inferior ou igual a 1(um) em qualquer dos índices de</w:t>
      </w:r>
      <w:r>
        <w:rPr>
          <w:rFonts w:cs="Times New Roman" w:ascii="Times New Roman" w:hAnsi="Times New Roman"/>
          <w:bCs/>
        </w:rPr>
        <w:t xml:space="preserve"> Liquidez Geral (LG), Solvência Geral (SG) e Liquidez Corrente (LC), deverão comprovar, considerados os riscos para a Administração, e, a critério da autoridade competente, o capital mínimo ou o patrimônio líquido mínimo  de</w:t>
      </w:r>
      <w:r>
        <w:rPr>
          <w:rFonts w:cs="Times New Roman" w:ascii="Times New Roman" w:hAnsi="Times New Roman"/>
          <w:lang w:eastAsia="en-US"/>
        </w:rPr>
        <w:t xml:space="preserve"> 10% (dez por cento)</w:t>
      </w:r>
      <w:r>
        <w:rPr>
          <w:rFonts w:cs="Times New Roman" w:ascii="Times New Roman" w:hAnsi="Times New Roman"/>
          <w:bCs/>
        </w:rPr>
        <w:t xml:space="preserve"> do valor estimado da contratação ou do item pertinente</w:t>
      </w:r>
      <w:r>
        <w:rPr>
          <w:rFonts w:cs="Times New Roman" w:ascii="Times New Roman" w:hAnsi="Times New Roman"/>
          <w:lang w:eastAsia="en-US"/>
        </w:rPr>
        <w:t>.</w:t>
      </w:r>
    </w:p>
    <w:p>
      <w:pPr>
        <w:pStyle w:val="Normal"/>
        <w:tabs>
          <w:tab w:val="clear" w:pos="708"/>
          <w:tab w:val="left" w:pos="-284" w:leader="none"/>
          <w:tab w:val="left" w:pos="1440" w:leader="none"/>
        </w:tabs>
        <w:suppressAutoHyphens w:val="false"/>
        <w:snapToGrid w:val="false"/>
        <w:spacing w:lineRule="auto" w:line="276" w:before="120" w:after="120"/>
        <w:ind w:left="-284" w:right="-427" w:hanging="0"/>
        <w:jc w:val="both"/>
        <w:rPr>
          <w:rFonts w:ascii="Times New Roman" w:hAnsi="Times New Roman" w:cs="Times New Roman"/>
          <w:i/>
          <w:i/>
          <w:lang w:eastAsia="en-US"/>
        </w:rPr>
      </w:pPr>
      <w:r>
        <w:rPr>
          <w:rFonts w:cs="Times New Roman" w:ascii="Times New Roman" w:hAnsi="Times New Roman"/>
          <w:i/>
          <w:lang w:eastAsia="en-US"/>
        </w:rPr>
      </w:r>
    </w:p>
    <w:p>
      <w:pPr>
        <w:pStyle w:val="Normal"/>
        <w:tabs>
          <w:tab w:val="clear" w:pos="708"/>
          <w:tab w:val="left" w:pos="-284" w:leader="none"/>
          <w:tab w:val="left" w:pos="1440" w:leader="none"/>
        </w:tabs>
        <w:suppressAutoHyphens w:val="false"/>
        <w:snapToGrid w:val="false"/>
        <w:spacing w:lineRule="auto" w:line="276" w:before="120" w:after="120"/>
        <w:ind w:left="-284" w:right="-427" w:hanging="0"/>
        <w:jc w:val="both"/>
        <w:rPr>
          <w:rFonts w:ascii="Times New Roman" w:hAnsi="Times New Roman" w:cs="Times New Roman"/>
          <w:i/>
          <w:i/>
          <w:lang w:eastAsia="en-US"/>
        </w:rPr>
      </w:pPr>
      <w:r>
        <w:rPr>
          <w:rFonts w:cs="Times New Roman" w:ascii="Times New Roman" w:hAnsi="Times New Roman"/>
          <w:b/>
          <w:color w:val="000000"/>
        </w:rPr>
        <w:t>25.7. Quadro Resumo</w:t>
      </w:r>
    </w:p>
    <w:p>
      <w:pPr>
        <w:pStyle w:val="ListParagraph"/>
        <w:tabs>
          <w:tab w:val="clear" w:pos="708"/>
          <w:tab w:val="left" w:pos="-284" w:leader="none"/>
        </w:tabs>
        <w:suppressAutoHyphens w:val="false"/>
        <w:spacing w:lineRule="auto" w:line="276" w:before="120" w:after="120"/>
        <w:ind w:left="-284" w:right="-427" w:hanging="0"/>
        <w:jc w:val="both"/>
        <w:rPr/>
      </w:pPr>
      <w:r>
        <w:rPr>
          <w:rFonts w:cs="Times New Roman" w:ascii="Times New Roman" w:hAnsi="Times New Roman"/>
          <w:color w:val="000000"/>
        </w:rPr>
        <w:t>25.7</w:t>
      </w:r>
      <w:r>
        <w:rPr>
          <w:rFonts w:cs="Times New Roman" w:ascii="Times New Roman" w:hAnsi="Times New Roman"/>
          <w:bCs/>
        </w:rPr>
        <w:t>. No anexo A, é apresentado o Quadro Auxiliar de Documentação relativa à Dispensa de Licitação nº 5</w:t>
      </w:r>
      <w:r>
        <w:rPr>
          <w:rFonts w:cs="Times New Roman" w:ascii="Times New Roman" w:hAnsi="Times New Roman"/>
          <w:bCs/>
        </w:rPr>
        <w:t>5</w:t>
      </w:r>
      <w:r>
        <w:rPr>
          <w:rFonts w:cs="Times New Roman" w:ascii="Times New Roman" w:hAnsi="Times New Roman"/>
          <w:bCs/>
        </w:rPr>
        <w:t>/2023- GUEs-9ª Bda Inf Mtz.</w:t>
      </w:r>
    </w:p>
    <w:p>
      <w:pPr>
        <w:pStyle w:val="ListParagraph"/>
        <w:tabs>
          <w:tab w:val="clear" w:pos="708"/>
          <w:tab w:val="left" w:pos="-284" w:leader="none"/>
        </w:tabs>
        <w:suppressAutoHyphens w:val="false"/>
        <w:spacing w:lineRule="auto" w:line="276" w:before="120" w:after="120"/>
        <w:ind w:left="-284" w:right="-427" w:hanging="0"/>
        <w:jc w:val="both"/>
        <w:rPr>
          <w:rFonts w:ascii="Times New Roman" w:hAnsi="Times New Roman" w:cs="Times New Roman"/>
          <w:color w:val="000000"/>
        </w:rPr>
      </w:pPr>
      <w:r>
        <w:rPr>
          <w:rFonts w:cs="Times New Roman" w:ascii="Times New Roman" w:hAnsi="Times New Roman"/>
          <w:color w:val="000000"/>
        </w:rPr>
        <w:t>25.7.1. Esta Administração recomenda que as empresas concorrentes verifiquem a documentação exigida no Quadro Auxiliar de Documentação (anexo A), a fim de que estejam em condições de habilitação no presente processo de Dispensa de Licitação.</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i/>
          <w:i/>
          <w:lang w:eastAsia="en-US"/>
        </w:rPr>
      </w:pPr>
      <w:r>
        <w:rPr>
          <w:rFonts w:cs="Times New Roman" w:ascii="Times New Roman" w:hAnsi="Times New Roman"/>
          <w:b/>
          <w:color w:val="000000"/>
        </w:rPr>
        <w:t>25.8. Necessidade ou desnecessidade de envio de documentação</w:t>
      </w:r>
    </w:p>
    <w:p>
      <w:pPr>
        <w:pStyle w:val="Normal"/>
        <w:widowControl w:val="false"/>
        <w:tabs>
          <w:tab w:val="clear" w:pos="708"/>
          <w:tab w:val="left" w:pos="5835" w:leader="none"/>
        </w:tabs>
        <w:spacing w:lineRule="auto" w:line="276" w:before="0" w:after="160"/>
        <w:ind w:left="-284" w:right="-568" w:hanging="0"/>
        <w:jc w:val="both"/>
        <w:rPr>
          <w:rFonts w:ascii="Times New Roman" w:hAnsi="Times New Roman" w:cs="Times New Roman"/>
          <w:color w:val="000000"/>
        </w:rPr>
      </w:pPr>
      <w:r>
        <w:rPr>
          <w:rFonts w:cs="Times New Roman" w:ascii="Times New Roman" w:hAnsi="Times New Roman"/>
          <w:color w:val="000000"/>
        </w:rPr>
        <w:t xml:space="preserve">25.8.1. Toda a documentação poderá ser conferida pela Administração mediante consulta ao SICAF e a outros sites oficiais. </w:t>
      </w:r>
    </w:p>
    <w:p>
      <w:pPr>
        <w:pStyle w:val="Normal"/>
        <w:widowControl w:val="false"/>
        <w:tabs>
          <w:tab w:val="clear" w:pos="708"/>
          <w:tab w:val="left" w:pos="5835" w:leader="none"/>
        </w:tabs>
        <w:spacing w:lineRule="auto" w:line="276" w:before="0" w:after="160"/>
        <w:ind w:left="-284" w:right="-568" w:hanging="0"/>
        <w:jc w:val="both"/>
        <w:rPr>
          <w:rFonts w:ascii="Times New Roman" w:hAnsi="Times New Roman" w:cs="Times New Roman"/>
          <w:color w:val="000000"/>
        </w:rPr>
      </w:pPr>
      <w:r>
        <w:rPr>
          <w:rFonts w:cs="Times New Roman" w:ascii="Times New Roman" w:hAnsi="Times New Roman"/>
          <w:color w:val="000000"/>
        </w:rPr>
        <w:t>25.8.1. Em face do contido no item 25.8.1, em princípio, não haverá a necessidade do envio da documentação de habilitação por parte das empresas.</w:t>
      </w:r>
    </w:p>
    <w:p>
      <w:pPr>
        <w:pStyle w:val="Normal"/>
        <w:widowControl w:val="false"/>
        <w:tabs>
          <w:tab w:val="clear" w:pos="708"/>
          <w:tab w:val="left" w:pos="5835" w:leader="none"/>
        </w:tabs>
        <w:spacing w:lineRule="auto" w:line="276" w:before="0" w:after="160"/>
        <w:ind w:left="-284" w:right="-568" w:hanging="0"/>
        <w:jc w:val="both"/>
        <w:rPr>
          <w:rFonts w:ascii="Times New Roman" w:hAnsi="Times New Roman" w:cs="Times New Roman"/>
          <w:color w:val="000000"/>
        </w:rPr>
      </w:pPr>
      <w:r>
        <w:rPr>
          <w:rFonts w:cs="Times New Roman" w:ascii="Times New Roman" w:hAnsi="Times New Roman"/>
          <w:color w:val="000000"/>
        </w:rPr>
        <w:t>25.8.2. No caso de alguma documentação estar vencida no SICAF, a Administração solicitará o envio da documentação necessária dentro de prazo a ser estipulado, nunca inferior a 02 (duas) horas.</w:t>
      </w:r>
    </w:p>
    <w:p>
      <w:pPr>
        <w:pStyle w:val="Normal"/>
        <w:widowControl w:val="false"/>
        <w:tabs>
          <w:tab w:val="clear" w:pos="708"/>
          <w:tab w:val="left" w:pos="5835" w:leader="none"/>
        </w:tabs>
        <w:spacing w:lineRule="auto" w:line="276" w:before="0" w:after="160"/>
        <w:ind w:left="-284" w:right="-568" w:hanging="0"/>
        <w:jc w:val="both"/>
        <w:rPr>
          <w:rFonts w:ascii="Times New Roman" w:hAnsi="Times New Roman" w:cs="Times New Roman"/>
          <w:color w:val="000000"/>
        </w:rPr>
      </w:pPr>
      <w:r>
        <w:rPr>
          <w:rFonts w:cs="Times New Roman" w:ascii="Times New Roman" w:hAnsi="Times New Roman"/>
          <w:b/>
          <w:color w:val="000000"/>
        </w:rPr>
        <w:t>25.9. Possibilidade de desclassificação da empresa vencedora</w:t>
      </w:r>
    </w:p>
    <w:p>
      <w:pPr>
        <w:pStyle w:val="Normal"/>
        <w:widowControl w:val="false"/>
        <w:tabs>
          <w:tab w:val="clear" w:pos="708"/>
          <w:tab w:val="left" w:pos="5835" w:leader="none"/>
        </w:tabs>
        <w:spacing w:lineRule="auto" w:line="276" w:before="0" w:after="160"/>
        <w:ind w:left="-284" w:right="-568" w:hanging="0"/>
        <w:jc w:val="both"/>
        <w:rPr>
          <w:rFonts w:ascii="Times New Roman" w:hAnsi="Times New Roman" w:cs="Times New Roman"/>
          <w:u w:val="single"/>
        </w:rPr>
      </w:pPr>
      <w:r>
        <w:rPr>
          <w:rFonts w:cs="Times New Roman" w:ascii="Times New Roman" w:hAnsi="Times New Roman"/>
          <w:color w:val="000000"/>
        </w:rPr>
        <w:t>25.9.1. Caso alguma empresa vencedora de item não satisfaça plenamente às condições de habilitação, a mesma será desclassificada e o item será passado à empresa subsequente, e assim sucessivamente.</w:t>
      </w:r>
    </w:p>
    <w:p>
      <w:pPr>
        <w:pStyle w:val="Normal"/>
        <w:widowControl w:val="false"/>
        <w:spacing w:before="0" w:after="160"/>
        <w:ind w:left="-284" w:right="-568" w:hanging="0"/>
        <w:jc w:val="center"/>
        <w:rPr>
          <w:rFonts w:ascii="Times New Roman" w:hAnsi="Times New Roman" w:cs="Times New Roman"/>
          <w:u w:val="single"/>
        </w:rPr>
      </w:pPr>
      <w:r>
        <w:rPr>
          <w:rFonts w:cs="Times New Roman" w:ascii="Times New Roman" w:hAnsi="Times New Roman"/>
          <w:u w:val="single"/>
        </w:rPr>
        <w:t>26. DISPOSIÇÕES GERAIS RELATIVAS AO ENVIO DA PROPOSTA</w:t>
      </w:r>
    </w:p>
    <w:p>
      <w:pPr>
        <w:pStyle w:val="Normal"/>
        <w:widowControl w:val="false"/>
        <w:tabs>
          <w:tab w:val="clear" w:pos="708"/>
          <w:tab w:val="right" w:pos="8881" w:leader="none"/>
        </w:tabs>
        <w:spacing w:lineRule="auto" w:line="276" w:before="0" w:after="160"/>
        <w:ind w:left="-284" w:right="-568" w:hanging="0"/>
        <w:jc w:val="both"/>
        <w:rPr>
          <w:rFonts w:ascii="Times New Roman" w:hAnsi="Times New Roman" w:cs="Times New Roman"/>
        </w:rPr>
      </w:pPr>
      <w:r>
        <w:rPr>
          <w:rFonts w:cs="Times New Roman" w:ascii="Times New Roman" w:hAnsi="Times New Roman"/>
        </w:rPr>
        <w:t>26.1. Nas propostas deverão estar especificados o modelo e a marca dos itens cotados. Não serão aceitas simplesmente as expressões “de acordo com o Edital”, “de acordo com o Termo de Referência” ou expressões similares. O não atendimento desta determinação inabilitará a proposta da empresa no respectivo item.</w:t>
      </w:r>
    </w:p>
    <w:p>
      <w:pPr>
        <w:pStyle w:val="Normal"/>
        <w:widowControl w:val="false"/>
        <w:tabs>
          <w:tab w:val="clear" w:pos="708"/>
          <w:tab w:val="right" w:pos="8881" w:leader="none"/>
        </w:tabs>
        <w:spacing w:lineRule="auto" w:line="276" w:before="0" w:after="160"/>
        <w:ind w:left="-284" w:right="-568" w:hanging="0"/>
        <w:jc w:val="both"/>
        <w:rPr>
          <w:rFonts w:ascii="Times New Roman" w:hAnsi="Times New Roman" w:cs="Times New Roman"/>
          <w:color w:val="000000"/>
        </w:rPr>
      </w:pPr>
      <w:r>
        <w:rPr>
          <w:rFonts w:cs="Times New Roman" w:ascii="Times New Roman" w:hAnsi="Times New Roman"/>
        </w:rPr>
        <w:t>26.2. A proposta deverá ser formulada</w:t>
      </w:r>
      <w:r>
        <w:rPr>
          <w:rFonts w:cs="Times New Roman" w:ascii="Times New Roman" w:hAnsi="Times New Roman"/>
          <w:color w:val="000000"/>
        </w:rPr>
        <w:t>, observando rigorosamente a quantidade fixada no Termo de Referência para cada item; não será aceita a cotação de quantidades inferiores ao especificado no Termo de Referência; nesse caso, as propostas serão desclassificadas.</w:t>
      </w:r>
    </w:p>
    <w:p>
      <w:pPr>
        <w:pStyle w:val="Normal"/>
        <w:widowControl w:val="false"/>
        <w:tabs>
          <w:tab w:val="clear" w:pos="708"/>
          <w:tab w:val="right" w:pos="8881" w:leader="none"/>
        </w:tabs>
        <w:spacing w:lineRule="auto" w:line="276"/>
        <w:ind w:left="-284" w:right="-568" w:hanging="0"/>
        <w:jc w:val="both"/>
        <w:rPr/>
      </w:pPr>
      <w:r>
        <w:rPr>
          <w:rFonts w:cs="Times New Roman" w:ascii="Times New Roman" w:hAnsi="Times New Roman"/>
        </w:rPr>
        <w:t xml:space="preserve">26.3. Existindo divergência entre a descrição de um item neste Termo de Referência e a sua descrição no site </w:t>
      </w:r>
      <w:hyperlink r:id="rId5">
        <w:r>
          <w:rPr>
            <w:rStyle w:val="LinkdaInternet"/>
            <w:rFonts w:cs="Times New Roman" w:ascii="Times New Roman" w:hAnsi="Times New Roman"/>
          </w:rPr>
          <w:t>www.comprasnet.gov.br</w:t>
        </w:r>
      </w:hyperlink>
      <w:r>
        <w:rPr>
          <w:rFonts w:cs="Times New Roman" w:ascii="Times New Roman" w:hAnsi="Times New Roman"/>
        </w:rPr>
        <w:t>, deverá ser considerada a descrição do TERMO DE REFERÊNCIA. É a descrição do Termo de Referência (tabela constante da página 2), que baseia todo o processo de compra.</w:t>
      </w:r>
    </w:p>
    <w:p>
      <w:pPr>
        <w:pStyle w:val="Normal"/>
        <w:spacing w:lineRule="auto" w:line="276"/>
        <w:ind w:left="-284" w:right="-568" w:hanging="0"/>
        <w:jc w:val="center"/>
        <w:rPr>
          <w:rFonts w:ascii="Times New Roman" w:hAnsi="Times New Roman" w:cs="Times New Roman"/>
        </w:rPr>
      </w:pPr>
      <w:r>
        <w:rPr>
          <w:rFonts w:cs="Times New Roman" w:ascii="Times New Roman" w:hAnsi="Times New Roman"/>
        </w:rPr>
      </w:r>
    </w:p>
    <w:p>
      <w:pPr>
        <w:pStyle w:val="Normal"/>
        <w:spacing w:lineRule="auto" w:line="276"/>
        <w:ind w:left="-284" w:right="-568" w:hanging="0"/>
        <w:jc w:val="center"/>
        <w:rPr/>
      </w:pPr>
      <w:r>
        <w:rPr>
          <w:rFonts w:cs="Times New Roman" w:ascii="Times New Roman" w:hAnsi="Times New Roman"/>
        </w:rPr>
        <w:t xml:space="preserve">Rio de Janeiro, RJ, </w:t>
      </w:r>
      <w:r>
        <w:rPr>
          <w:rFonts w:cs="Times New Roman" w:ascii="Times New Roman" w:hAnsi="Times New Roman"/>
        </w:rPr>
        <w:t>25</w:t>
      </w:r>
      <w:r>
        <w:rPr>
          <w:rFonts w:cs="Times New Roman" w:ascii="Times New Roman" w:hAnsi="Times New Roman"/>
        </w:rPr>
        <w:t xml:space="preserve"> de </w:t>
      </w:r>
      <w:bookmarkStart w:id="0" w:name="_GoBack"/>
      <w:bookmarkEnd w:id="0"/>
      <w:r>
        <w:rPr>
          <w:rFonts w:cs="Times New Roman" w:ascii="Times New Roman" w:hAnsi="Times New Roman"/>
        </w:rPr>
        <w:t>Outubro</w:t>
      </w:r>
      <w:r>
        <w:rPr>
          <w:rFonts w:cs="Times New Roman" w:ascii="Times New Roman" w:hAnsi="Times New Roman"/>
        </w:rPr>
        <w:t xml:space="preserve"> de 2023.</w:t>
      </w:r>
    </w:p>
    <w:p>
      <w:pPr>
        <w:pStyle w:val="Normal"/>
        <w:ind w:left="-284" w:right="-568" w:hanging="0"/>
        <w:jc w:val="center"/>
        <w:rPr>
          <w:rStyle w:val="Tiporegular2"/>
          <w:rFonts w:ascii="Times New Roman" w:hAnsi="Times New Roman"/>
          <w:b/>
          <w:b/>
        </w:rPr>
      </w:pPr>
      <w:r>
        <w:rPr>
          <w:rStyle w:val="Tiporegular2"/>
          <w:rFonts w:ascii="Times New Roman" w:hAnsi="Times New Roman"/>
          <w:b/>
        </w:rPr>
        <w:t>Setor de Aquisições, Licitações e Contratos</w:t>
      </w:r>
    </w:p>
    <w:p>
      <w:pPr>
        <w:pStyle w:val="Normal"/>
        <w:suppressAutoHyphens w:val="false"/>
        <w:spacing w:lineRule="auto" w:line="276" w:before="0" w:after="200"/>
        <w:rPr/>
      </w:pPr>
      <w:r>
        <w:rPr/>
      </w:r>
    </w:p>
    <w:sectPr>
      <w:headerReference w:type="default" r:id="rId6"/>
      <w:footerReference w:type="default" r:id="rId7"/>
      <w:type w:val="nextPage"/>
      <w:pgSz w:w="11906" w:h="16838"/>
      <w:pgMar w:left="1701" w:right="1701" w:header="708"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Ecofont_Spranq_eco_Sans">
    <w:charset w:val="00"/>
    <w:family w:val="roman"/>
    <w:pitch w:val="variable"/>
  </w:font>
  <w:font w:name="Cambria">
    <w:charset w:val="00"/>
    <w:family w:val="roman"/>
    <w:pitch w:val="variable"/>
  </w:font>
  <w:font w:name="Arial">
    <w:charset w:val="00"/>
    <w:family w:val="roman"/>
    <w:pitch w:val="variable"/>
  </w:font>
  <w:font w:name="Symbol">
    <w:charset w:val="00"/>
    <w:family w:val="roman"/>
    <w:pitch w:val="variable"/>
  </w:font>
  <w:font w:name="Tahoma">
    <w:charset w:val="00"/>
    <w:family w:val="roman"/>
    <w:pitch w:val="variable"/>
  </w:font>
  <w:font w:name="Courier New">
    <w:charset w:val="00"/>
    <w:family w:val="roman"/>
    <w:pitch w:val="variable"/>
  </w:font>
  <w:font w:name="Liberation Sans">
    <w:altName w:val="Arial"/>
    <w:charset w:val="00"/>
    <w:family w:val="swiss"/>
    <w:pitch w:val="variable"/>
  </w:font>
  <w:font w:name="NewZuric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center"/>
      <w:rPr/>
    </w:pPr>
    <w:r>
      <w:rPr>
        <w:rFonts w:ascii="Times New Roman" w:hAnsi="Times New Roman"/>
      </w:rPr>
      <w:t xml:space="preserve">Página </w:t>
    </w:r>
    <w:r>
      <w:rPr>
        <w:rFonts w:ascii="Times New Roman" w:hAnsi="Times New Roman"/>
      </w:rPr>
      <w:fldChar w:fldCharType="begin"/>
    </w:r>
    <w:r>
      <w:rPr>
        <w:rFonts w:ascii="Times New Roman" w:hAnsi="Times New Roman"/>
      </w:rPr>
      <w:instrText> PAGE </w:instrText>
    </w:r>
    <w:r>
      <w:rPr>
        <w:rFonts w:ascii="Times New Roman" w:hAnsi="Times New Roman"/>
      </w:rPr>
      <w:fldChar w:fldCharType="separate"/>
    </w:r>
    <w:r>
      <w:rPr>
        <w:rFonts w:ascii="Times New Roman" w:hAnsi="Times New Roman"/>
      </w:rPr>
      <w:t>13</w:t>
    </w:r>
    <w:r>
      <w:rPr>
        <w:rFonts w:ascii="Times New Roman" w:hAnsi="Times New Roman"/>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lvl w:ilvl="0">
      <w:start w:val="22"/>
      <w:numFmt w:val="decimal"/>
      <w:lvlText w:val="%1."/>
      <w:lvlJc w:val="left"/>
      <w:pPr>
        <w:ind w:left="480" w:hanging="480"/>
      </w:pPr>
    </w:lvl>
    <w:lvl w:ilvl="1">
      <w:start w:val="2"/>
      <w:numFmt w:val="decimal"/>
      <w:lvlText w:val="%1.%2."/>
      <w:lvlJc w:val="left"/>
      <w:pPr>
        <w:ind w:left="196" w:hanging="480"/>
      </w:pPr>
    </w:lvl>
    <w:lvl w:ilvl="2">
      <w:start w:val="1"/>
      <w:numFmt w:val="decimal"/>
      <w:lvlText w:val="%1.%2.%3."/>
      <w:lvlJc w:val="left"/>
      <w:pPr>
        <w:ind w:left="152" w:hanging="720"/>
      </w:pPr>
    </w:lvl>
    <w:lvl w:ilvl="3">
      <w:start w:val="1"/>
      <w:numFmt w:val="decimal"/>
      <w:lvlText w:val="%1.%2.%3.%4."/>
      <w:lvlJc w:val="left"/>
      <w:pPr>
        <w:ind w:left="-132" w:hanging="720"/>
      </w:pPr>
    </w:lvl>
    <w:lvl w:ilvl="4">
      <w:start w:val="1"/>
      <w:numFmt w:val="decimal"/>
      <w:lvlText w:val="%1.%2.%3.%4.%5."/>
      <w:lvlJc w:val="left"/>
      <w:pPr>
        <w:ind w:left="-56" w:hanging="1080"/>
      </w:pPr>
    </w:lvl>
    <w:lvl w:ilvl="5">
      <w:start w:val="1"/>
      <w:numFmt w:val="decimal"/>
      <w:lvlText w:val="%1.%2.%3.%4.%5.%6."/>
      <w:lvlJc w:val="left"/>
      <w:pPr>
        <w:ind w:left="-340" w:hanging="1080"/>
      </w:pPr>
    </w:lvl>
    <w:lvl w:ilvl="6">
      <w:start w:val="1"/>
      <w:numFmt w:val="decimal"/>
      <w:lvlText w:val="%1.%2.%3.%4.%5.%6.%7."/>
      <w:lvlJc w:val="left"/>
      <w:pPr>
        <w:ind w:left="-264" w:hanging="1440"/>
      </w:pPr>
    </w:lvl>
    <w:lvl w:ilvl="7">
      <w:start w:val="1"/>
      <w:numFmt w:val="decimal"/>
      <w:lvlText w:val="%1.%2.%3.%4.%5.%6.%7.%8."/>
      <w:lvlJc w:val="left"/>
      <w:pPr>
        <w:ind w:left="-548" w:hanging="1440"/>
      </w:pPr>
    </w:lvl>
    <w:lvl w:ilvl="8">
      <w:start w:val="1"/>
      <w:numFmt w:val="decimal"/>
      <w:lvlText w:val="%1.%2.%3.%4.%5.%6.%7.%8.%9."/>
      <w:lvlJc w:val="left"/>
      <w:pPr>
        <w:ind w:left="-472" w:hanging="180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97d25"/>
    <w:pPr>
      <w:widowControl/>
      <w:suppressAutoHyphens w:val="true"/>
      <w:bidi w:val="0"/>
      <w:spacing w:lineRule="auto" w:line="240" w:before="0" w:after="0"/>
      <w:jc w:val="left"/>
    </w:pPr>
    <w:rPr>
      <w:rFonts w:ascii="Ecofont_Spranq_eco_Sans" w:hAnsi="Ecofont_Spranq_eco_Sans" w:eastAsia="Times New Roman" w:cs="Tahoma"/>
      <w:color w:val="auto"/>
      <w:kern w:val="0"/>
      <w:sz w:val="24"/>
      <w:szCs w:val="24"/>
      <w:lang w:eastAsia="ar-SA" w:val="pt-BR" w:bidi="ar-SA"/>
    </w:rPr>
  </w:style>
  <w:style w:type="paragraph" w:styleId="Ttulo1">
    <w:name w:val="Heading 1"/>
    <w:basedOn w:val="Normal"/>
    <w:next w:val="Normal"/>
    <w:link w:val="Ttulo1Char"/>
    <w:uiPriority w:val="9"/>
    <w:qFormat/>
    <w:rsid w:val="00497d25"/>
    <w:pPr>
      <w:keepNext w:val="true"/>
      <w:spacing w:before="240" w:after="60"/>
      <w:outlineLvl w:val="0"/>
    </w:pPr>
    <w:rPr>
      <w:rFonts w:ascii="Cambria" w:hAnsi="Cambria" w:cs="Times New Roman"/>
      <w:b/>
      <w:bCs/>
      <w:kern w:val="2"/>
      <w:sz w:val="32"/>
      <w:szCs w:val="32"/>
    </w:rPr>
  </w:style>
  <w:style w:type="paragraph" w:styleId="Ttulo2">
    <w:name w:val="Heading 2"/>
    <w:basedOn w:val="Normal"/>
    <w:next w:val="Normal"/>
    <w:link w:val="Ttulo2Char"/>
    <w:qFormat/>
    <w:rsid w:val="00497d25"/>
    <w:pPr>
      <w:keepNext w:val="true"/>
      <w:ind w:right="-1" w:hanging="0"/>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val="true"/>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val="true"/>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clear" w:pos="708"/>
        <w:tab w:val="left" w:pos="0" w:leader="none"/>
      </w:tabs>
      <w:spacing w:before="240" w:after="60"/>
      <w:ind w:left="4320" w:hanging="1440"/>
      <w:outlineLvl w:val="8"/>
    </w:pPr>
    <w:rPr>
      <w:rFonts w:ascii="Arial" w:hAnsi="Arial" w:cs="Arial"/>
      <w:sz w:val="22"/>
      <w:szCs w:val="22"/>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link w:val="Ttulo1"/>
    <w:uiPriority w:val="9"/>
    <w:qFormat/>
    <w:rsid w:val="00497d25"/>
    <w:rPr>
      <w:rFonts w:ascii="Cambria" w:hAnsi="Cambria" w:eastAsia="Times New Roman" w:cs="Times New Roman"/>
      <w:b/>
      <w:bCs/>
      <w:kern w:val="2"/>
      <w:sz w:val="32"/>
      <w:szCs w:val="32"/>
      <w:lang w:eastAsia="ar-SA"/>
    </w:rPr>
  </w:style>
  <w:style w:type="character" w:styleId="Ttulo2Char" w:customStyle="1">
    <w:name w:val="Título 2 Char"/>
    <w:basedOn w:val="DefaultParagraphFont"/>
    <w:link w:val="Ttulo2"/>
    <w:qFormat/>
    <w:rsid w:val="00497d25"/>
    <w:rPr>
      <w:rFonts w:ascii="Times New Roman" w:hAnsi="Times New Roman" w:eastAsia="Times New Roman" w:cs="Times New Roman"/>
      <w:b/>
      <w:color w:val="000000"/>
      <w:sz w:val="24"/>
      <w:szCs w:val="20"/>
      <w:lang w:eastAsia="ar-SA"/>
    </w:rPr>
  </w:style>
  <w:style w:type="character" w:styleId="Ttulo3Char" w:customStyle="1">
    <w:name w:val="Título 3 Char"/>
    <w:basedOn w:val="DefaultParagraphFont"/>
    <w:link w:val="Ttulo3"/>
    <w:qFormat/>
    <w:rsid w:val="00497d25"/>
    <w:rPr>
      <w:rFonts w:ascii="Cambria" w:hAnsi="Cambria" w:eastAsia="Times New Roman" w:cs="Times New Roman"/>
      <w:b/>
      <w:bCs/>
      <w:sz w:val="26"/>
      <w:szCs w:val="26"/>
      <w:lang w:eastAsia="ar-SA"/>
    </w:rPr>
  </w:style>
  <w:style w:type="character" w:styleId="Ttulo4Char" w:customStyle="1">
    <w:name w:val="Título 4 Char"/>
    <w:basedOn w:val="DefaultParagraphFont"/>
    <w:link w:val="Ttulo4"/>
    <w:qFormat/>
    <w:rsid w:val="00497d25"/>
    <w:rPr>
      <w:rFonts w:ascii="Calibri" w:hAnsi="Calibri" w:eastAsia="Times New Roman" w:cs="Times New Roman"/>
      <w:b/>
      <w:bCs/>
      <w:sz w:val="28"/>
      <w:szCs w:val="28"/>
      <w:lang w:eastAsia="ar-SA"/>
    </w:rPr>
  </w:style>
  <w:style w:type="character" w:styleId="Ttulo5Char" w:customStyle="1">
    <w:name w:val="Título 5 Char"/>
    <w:basedOn w:val="DefaultParagraphFont"/>
    <w:link w:val="Ttulo5"/>
    <w:qFormat/>
    <w:rsid w:val="00497d25"/>
    <w:rPr>
      <w:rFonts w:ascii="Calibri" w:hAnsi="Calibri" w:eastAsia="Times New Roman" w:cs="Times New Roman"/>
      <w:b/>
      <w:bCs/>
      <w:i/>
      <w:iCs/>
      <w:sz w:val="26"/>
      <w:szCs w:val="26"/>
      <w:lang w:eastAsia="ar-SA"/>
    </w:rPr>
  </w:style>
  <w:style w:type="character" w:styleId="Ttulo6Char" w:customStyle="1">
    <w:name w:val="Título 6 Char"/>
    <w:basedOn w:val="DefaultParagraphFont"/>
    <w:link w:val="Ttulo6"/>
    <w:qFormat/>
    <w:rsid w:val="00497d25"/>
    <w:rPr>
      <w:rFonts w:ascii="Calibri" w:hAnsi="Calibri" w:eastAsia="Times New Roman" w:cs="Times New Roman"/>
      <w:b/>
      <w:bCs/>
      <w:lang w:eastAsia="ar-SA"/>
    </w:rPr>
  </w:style>
  <w:style w:type="character" w:styleId="Ttulo9Char" w:customStyle="1">
    <w:name w:val="Título 9 Char"/>
    <w:basedOn w:val="DefaultParagraphFont"/>
    <w:link w:val="Ttulo9"/>
    <w:qFormat/>
    <w:rsid w:val="00497d25"/>
    <w:rPr>
      <w:rFonts w:ascii="Arial" w:hAnsi="Arial" w:eastAsia="Times New Roman" w:cs="Arial"/>
      <w:lang w:eastAsia="ar-SA"/>
    </w:rPr>
  </w:style>
  <w:style w:type="character" w:styleId="WW8Num5z0" w:customStyle="1">
    <w:name w:val="WW8Num5z0"/>
    <w:qFormat/>
    <w:rsid w:val="00497d25"/>
    <w:rPr>
      <w:rFonts w:ascii="Times New Roman" w:hAnsi="Times New Roman" w:cs="Times New Roman"/>
      <w:b/>
    </w:rPr>
  </w:style>
  <w:style w:type="character" w:styleId="WW8Num6z0" w:customStyle="1">
    <w:name w:val="WW8Num6z0"/>
    <w:qFormat/>
    <w:rsid w:val="00497d25"/>
    <w:rPr>
      <w:rFonts w:ascii="Times New Roman" w:hAnsi="Times New Roman" w:cs="Times New Roman"/>
      <w:b/>
    </w:rPr>
  </w:style>
  <w:style w:type="character" w:styleId="WW8Num7z0" w:customStyle="1">
    <w:name w:val="WW8Num7z0"/>
    <w:qFormat/>
    <w:rsid w:val="00497d25"/>
    <w:rPr>
      <w:rFonts w:ascii="Times New Roman" w:hAnsi="Times New Roman" w:cs="Times New Roman"/>
    </w:rPr>
  </w:style>
  <w:style w:type="character" w:styleId="WW8Num8z0" w:customStyle="1">
    <w:name w:val="WW8Num8z0"/>
    <w:qFormat/>
    <w:rsid w:val="00497d25"/>
    <w:rPr>
      <w:rFonts w:ascii="Symbol" w:hAnsi="Symbol"/>
    </w:rPr>
  </w:style>
  <w:style w:type="character" w:styleId="WW8Num10z0" w:customStyle="1">
    <w:name w:val="WW8Num10z0"/>
    <w:qFormat/>
    <w:rsid w:val="00497d25"/>
    <w:rPr>
      <w:rFonts w:ascii="Symbol" w:hAnsi="Symbol"/>
    </w:rPr>
  </w:style>
  <w:style w:type="character" w:styleId="WW8Num12z0" w:customStyle="1">
    <w:name w:val="WW8Num12z0"/>
    <w:qFormat/>
    <w:rsid w:val="00497d25"/>
    <w:rPr>
      <w:sz w:val="20"/>
    </w:rPr>
  </w:style>
  <w:style w:type="character" w:styleId="WW8Num13z0" w:customStyle="1">
    <w:name w:val="WW8Num13z0"/>
    <w:qFormat/>
    <w:rsid w:val="00497d25"/>
    <w:rPr>
      <w:rFonts w:ascii="Times New Roman" w:hAnsi="Times New Roman" w:cs="Times New Roman"/>
    </w:rPr>
  </w:style>
  <w:style w:type="character" w:styleId="WW8Num14z0" w:customStyle="1">
    <w:name w:val="WW8Num14z0"/>
    <w:qFormat/>
    <w:rsid w:val="00497d25"/>
    <w:rPr>
      <w:sz w:val="20"/>
    </w:rPr>
  </w:style>
  <w:style w:type="character" w:styleId="WW8Num15z0" w:customStyle="1">
    <w:name w:val="WW8Num15z0"/>
    <w:qFormat/>
    <w:rsid w:val="00497d25"/>
    <w:rPr>
      <w:rFonts w:ascii="Times New Roman" w:hAnsi="Times New Roman" w:cs="Times New Roman"/>
    </w:rPr>
  </w:style>
  <w:style w:type="character" w:styleId="WW8Num19z0" w:customStyle="1">
    <w:name w:val="WW8Num19z0"/>
    <w:qFormat/>
    <w:rsid w:val="00497d25"/>
    <w:rPr>
      <w:rFonts w:eastAsia="Arial Unicode MS"/>
    </w:rPr>
  </w:style>
  <w:style w:type="character" w:styleId="WW8Num20z0" w:customStyle="1">
    <w:name w:val="WW8Num20z0"/>
    <w:qFormat/>
    <w:rsid w:val="00497d25"/>
    <w:rPr>
      <w:b/>
    </w:rPr>
  </w:style>
  <w:style w:type="character" w:styleId="WW8Num22z1" w:customStyle="1">
    <w:name w:val="WW8Num22z1"/>
    <w:qFormat/>
    <w:rsid w:val="00497d25"/>
    <w:rPr>
      <w:b w:val="false"/>
      <w:i w:val="false"/>
    </w:rPr>
  </w:style>
  <w:style w:type="character" w:styleId="WW8Num23z0" w:customStyle="1">
    <w:name w:val="WW8Num23z0"/>
    <w:qFormat/>
    <w:rsid w:val="00497d25"/>
    <w:rPr>
      <w:b/>
      <w:i w:val="false"/>
    </w:rPr>
  </w:style>
  <w:style w:type="character" w:styleId="WW8Num23z1" w:customStyle="1">
    <w:name w:val="WW8Num23z1"/>
    <w:qFormat/>
    <w:rsid w:val="00497d25"/>
    <w:rPr>
      <w:b/>
      <w:i w:val="false"/>
      <w:color w:val="000000"/>
    </w:rPr>
  </w:style>
  <w:style w:type="character" w:styleId="WW8Num25z1" w:customStyle="1">
    <w:name w:val="WW8Num25z1"/>
    <w:qFormat/>
    <w:rsid w:val="00497d25"/>
    <w:rPr>
      <w:b w:val="false"/>
    </w:rPr>
  </w:style>
  <w:style w:type="character" w:styleId="WW8Num26z0" w:customStyle="1">
    <w:name w:val="WW8Num26z0"/>
    <w:qFormat/>
    <w:rsid w:val="00497d25"/>
    <w:rPr>
      <w:b/>
      <w:i w:val="false"/>
    </w:rPr>
  </w:style>
  <w:style w:type="character" w:styleId="WW8Num27z0" w:customStyle="1">
    <w:name w:val="WW8Num27z0"/>
    <w:qFormat/>
    <w:rsid w:val="00497d25"/>
    <w:rPr>
      <w:color w:val="0000FF"/>
    </w:rPr>
  </w:style>
  <w:style w:type="character" w:styleId="WW8Num28z0" w:customStyle="1">
    <w:name w:val="WW8Num28z0"/>
    <w:qFormat/>
    <w:rsid w:val="00497d25"/>
    <w:rPr>
      <w:b w:val="false"/>
    </w:rPr>
  </w:style>
  <w:style w:type="character" w:styleId="WW8Num30z0" w:customStyle="1">
    <w:name w:val="WW8Num30z0"/>
    <w:qFormat/>
    <w:rsid w:val="00497d25"/>
    <w:rPr>
      <w:rFonts w:ascii="Ecofont_Spranq_eco_Sans" w:hAnsi="Ecofont_Spranq_eco_Sans" w:cs="Arial"/>
      <w:i/>
      <w:color w:val="FF0000"/>
    </w:rPr>
  </w:style>
  <w:style w:type="character" w:styleId="WW8Num31z0" w:customStyle="1">
    <w:name w:val="WW8Num31z0"/>
    <w:qFormat/>
    <w:rsid w:val="00497d25"/>
    <w:rPr>
      <w:sz w:val="20"/>
    </w:rPr>
  </w:style>
  <w:style w:type="character" w:styleId="WW8Num34z0" w:customStyle="1">
    <w:name w:val="WW8Num34z0"/>
    <w:qFormat/>
    <w:rsid w:val="00497d25"/>
    <w:rPr>
      <w:b/>
      <w:i w:val="false"/>
    </w:rPr>
  </w:style>
  <w:style w:type="character" w:styleId="WW8Num34z1" w:customStyle="1">
    <w:name w:val="WW8Num34z1"/>
    <w:qFormat/>
    <w:rsid w:val="00497d25"/>
    <w:rPr>
      <w:b/>
      <w:i w:val="false"/>
      <w:color w:val="000000"/>
    </w:rPr>
  </w:style>
  <w:style w:type="character" w:styleId="WW8Num35z0" w:customStyle="1">
    <w:name w:val="WW8Num35z0"/>
    <w:qFormat/>
    <w:rsid w:val="00497d25"/>
    <w:rPr>
      <w:b/>
    </w:rPr>
  </w:style>
  <w:style w:type="character" w:styleId="Fontepargpadro2" w:customStyle="1">
    <w:name w:val="Fonte parág. padrão2"/>
    <w:qFormat/>
    <w:rsid w:val="00497d25"/>
    <w:rPr/>
  </w:style>
  <w:style w:type="character" w:styleId="TextodebaloChar" w:customStyle="1">
    <w:name w:val="Texto de balão Char"/>
    <w:uiPriority w:val="99"/>
    <w:qFormat/>
    <w:rsid w:val="00497d25"/>
    <w:rPr>
      <w:rFonts w:ascii="Tahoma" w:hAnsi="Tahoma" w:cs="Tahoma"/>
      <w:sz w:val="16"/>
      <w:szCs w:val="16"/>
    </w:rPr>
  </w:style>
  <w:style w:type="character" w:styleId="Normalchar1" w:customStyle="1">
    <w:name w:val="normal__char1"/>
    <w:qFormat/>
    <w:rsid w:val="00497d25"/>
    <w:rPr>
      <w:rFonts w:ascii="Arial" w:hAnsi="Arial" w:cs="Arial"/>
      <w:strike w:val="false"/>
      <w:dstrike w:val="false"/>
      <w:sz w:val="24"/>
      <w:szCs w:val="24"/>
      <w:u w:val="none"/>
    </w:rPr>
  </w:style>
  <w:style w:type="character" w:styleId="Applestylespan" w:customStyle="1">
    <w:name w:val="apple-style-span"/>
    <w:basedOn w:val="Fontepargpadro2"/>
    <w:qFormat/>
    <w:rsid w:val="00497d25"/>
    <w:rPr/>
  </w:style>
  <w:style w:type="character" w:styleId="LinkdaInternet">
    <w:name w:val="Link da Internet"/>
    <w:rsid w:val="00497d25"/>
    <w:rPr>
      <w:color w:val="000080"/>
      <w:u w:val="single"/>
    </w:rPr>
  </w:style>
  <w:style w:type="character" w:styleId="CitaoChar" w:customStyle="1">
    <w:name w:val="Citação Char"/>
    <w:qFormat/>
    <w:rsid w:val="00497d25"/>
    <w:rPr>
      <w:rFonts w:ascii="Ecofont_Spranq_eco_Sans" w:hAnsi="Ecofont_Spranq_eco_Sans" w:eastAsia="Calibri" w:cs="Tahoma"/>
      <w:i/>
      <w:iCs/>
      <w:color w:val="000000"/>
      <w:szCs w:val="24"/>
      <w:shd w:fill="FFFFCC" w:val="clear"/>
    </w:rPr>
  </w:style>
  <w:style w:type="character" w:styleId="Citao2Char" w:customStyle="1">
    <w:name w:val="citação 2 Char"/>
    <w:basedOn w:val="CitaoChar"/>
    <w:qFormat/>
    <w:rsid w:val="00497d25"/>
    <w:rPr>
      <w:rFonts w:ascii="Ecofont_Spranq_eco_Sans" w:hAnsi="Ecofont_Spranq_eco_Sans" w:eastAsia="Calibri" w:cs="Tahoma"/>
      <w:i/>
      <w:iCs/>
      <w:color w:val="000000"/>
      <w:szCs w:val="24"/>
      <w:shd w:fill="FFFFCC" w:val="clear"/>
    </w:rPr>
  </w:style>
  <w:style w:type="character" w:styleId="CabealhoChar" w:customStyle="1">
    <w:name w:val="Cabeçalho Char"/>
    <w:uiPriority w:val="99"/>
    <w:qFormat/>
    <w:rsid w:val="00497d25"/>
    <w:rPr>
      <w:rFonts w:ascii="Ecofont_Spranq_eco_Sans" w:hAnsi="Ecofont_Spranq_eco_Sans" w:cs="Tahoma"/>
      <w:sz w:val="24"/>
      <w:szCs w:val="24"/>
    </w:rPr>
  </w:style>
  <w:style w:type="character" w:styleId="RodapChar" w:customStyle="1">
    <w:name w:val="Rodapé Char"/>
    <w:uiPriority w:val="99"/>
    <w:qFormat/>
    <w:rsid w:val="00497d25"/>
    <w:rPr>
      <w:rFonts w:ascii="Ecofont_Spranq_eco_Sans" w:hAnsi="Ecofont_Spranq_eco_Sans" w:cs="Tahoma"/>
      <w:sz w:val="24"/>
      <w:szCs w:val="24"/>
    </w:rPr>
  </w:style>
  <w:style w:type="character" w:styleId="RecuodecorpodetextoChar" w:customStyle="1">
    <w:name w:val="Recuo de corpo de texto Char"/>
    <w:qFormat/>
    <w:rsid w:val="00497d25"/>
    <w:rPr>
      <w:sz w:val="22"/>
      <w:szCs w:val="24"/>
    </w:rPr>
  </w:style>
  <w:style w:type="character" w:styleId="CorpodetextoChar" w:customStyle="1">
    <w:name w:val="Corpo de texto Char"/>
    <w:basedOn w:val="Fontepargpadro2"/>
    <w:qFormat/>
    <w:rsid w:val="00497d25"/>
    <w:rPr/>
  </w:style>
  <w:style w:type="character" w:styleId="Pagenumber">
    <w:name w:val="page number"/>
    <w:basedOn w:val="Fontepargpadro2"/>
    <w:qFormat/>
    <w:rsid w:val="00497d25"/>
    <w:rPr/>
  </w:style>
  <w:style w:type="character" w:styleId="TtuloChar" w:customStyle="1">
    <w:name w:val="Título Char"/>
    <w:qFormat/>
    <w:rsid w:val="00497d25"/>
    <w:rPr>
      <w:b/>
      <w:sz w:val="24"/>
      <w:szCs w:val="24"/>
      <w:u w:val="single"/>
    </w:rPr>
  </w:style>
  <w:style w:type="character" w:styleId="FollowedHyperlink">
    <w:name w:val="FollowedHyperlink"/>
    <w:uiPriority w:val="99"/>
    <w:qFormat/>
    <w:rsid w:val="00497d25"/>
    <w:rPr>
      <w:color w:val="800080"/>
      <w:u w:val="single"/>
    </w:rPr>
  </w:style>
  <w:style w:type="character" w:styleId="WW8Num2z0" w:customStyle="1">
    <w:name w:val="WW8Num2z0"/>
    <w:qFormat/>
    <w:rsid w:val="00497d25"/>
    <w:rPr>
      <w:sz w:val="20"/>
    </w:rPr>
  </w:style>
  <w:style w:type="character" w:styleId="WW8Num3z0" w:customStyle="1">
    <w:name w:val="WW8Num3z0"/>
    <w:qFormat/>
    <w:rsid w:val="00497d25"/>
    <w:rPr>
      <w:rFonts w:ascii="Times New Roman" w:hAnsi="Times New Roman" w:cs="Times New Roman"/>
    </w:rPr>
  </w:style>
  <w:style w:type="character" w:styleId="WW8Num4z0" w:customStyle="1">
    <w:name w:val="WW8Num4z0"/>
    <w:qFormat/>
    <w:rsid w:val="00497d25"/>
    <w:rPr>
      <w:sz w:val="20"/>
    </w:rPr>
  </w:style>
  <w:style w:type="character" w:styleId="AbsatzStandardschriftart" w:customStyle="1">
    <w:name w:val="Absatz-Standardschriftart"/>
    <w:qFormat/>
    <w:rsid w:val="00497d25"/>
    <w:rPr/>
  </w:style>
  <w:style w:type="character" w:styleId="WW8Num5z1" w:customStyle="1">
    <w:name w:val="WW8Num5z1"/>
    <w:qFormat/>
    <w:rsid w:val="00497d25"/>
    <w:rPr>
      <w:rFonts w:ascii="Times New Roman" w:hAnsi="Times New Roman" w:cs="Times New Roman"/>
      <w:b/>
    </w:rPr>
  </w:style>
  <w:style w:type="character" w:styleId="WWAbsatzStandardschriftart" w:customStyle="1">
    <w:name w:val="WW-Absatz-Standardschriftart"/>
    <w:qFormat/>
    <w:rsid w:val="00497d25"/>
    <w:rPr/>
  </w:style>
  <w:style w:type="character" w:styleId="WW8Num3z1" w:customStyle="1">
    <w:name w:val="WW8Num3z1"/>
    <w:qFormat/>
    <w:rsid w:val="00497d25"/>
    <w:rPr>
      <w:rFonts w:ascii="Times New Roman" w:hAnsi="Times New Roman" w:cs="Times New Roman"/>
      <w:b/>
    </w:rPr>
  </w:style>
  <w:style w:type="character" w:styleId="WW8Num7z1" w:customStyle="1">
    <w:name w:val="WW8Num7z1"/>
    <w:qFormat/>
    <w:rsid w:val="00497d25"/>
    <w:rPr>
      <w:rFonts w:ascii="Times New Roman" w:hAnsi="Times New Roman" w:cs="Times New Roman"/>
      <w:b/>
    </w:rPr>
  </w:style>
  <w:style w:type="character" w:styleId="WWAbsatzStandardschriftart1" w:customStyle="1">
    <w:name w:val="WW-Absatz-Standardschriftart1"/>
    <w:qFormat/>
    <w:rsid w:val="00497d25"/>
    <w:rPr/>
  </w:style>
  <w:style w:type="character" w:styleId="WWAbsatzStandardschriftart11" w:customStyle="1">
    <w:name w:val="WW-Absatz-Standardschriftart11"/>
    <w:qFormat/>
    <w:rsid w:val="00497d25"/>
    <w:rPr/>
  </w:style>
  <w:style w:type="character" w:styleId="Fontepargpadro1" w:customStyle="1">
    <w:name w:val="Fonte parág. padrão1"/>
    <w:qFormat/>
    <w:rsid w:val="00497d25"/>
    <w:rPr/>
  </w:style>
  <w:style w:type="character" w:styleId="Smbolosdenumerao" w:customStyle="1">
    <w:name w:val="Símbolos de numeração"/>
    <w:qFormat/>
    <w:rsid w:val="00497d25"/>
    <w:rPr/>
  </w:style>
  <w:style w:type="character" w:styleId="WW8Num13z1" w:customStyle="1">
    <w:name w:val="WW8Num13z1"/>
    <w:qFormat/>
    <w:rsid w:val="00497d25"/>
    <w:rPr>
      <w:rFonts w:ascii="Times New Roman" w:hAnsi="Times New Roman" w:cs="Times New Roman"/>
      <w:b/>
    </w:rPr>
  </w:style>
  <w:style w:type="character" w:styleId="SubttuloChar" w:customStyle="1">
    <w:name w:val="Subtítulo Char"/>
    <w:qFormat/>
    <w:rsid w:val="00497d25"/>
    <w:rPr>
      <w:rFonts w:ascii="Arial" w:hAnsi="Arial" w:eastAsia="Lucida Sans Unicode" w:cs="Tahoma"/>
      <w:i/>
      <w:iCs/>
      <w:sz w:val="28"/>
      <w:szCs w:val="28"/>
    </w:rPr>
  </w:style>
  <w:style w:type="character" w:styleId="SemEspaamentoChar" w:customStyle="1">
    <w:name w:val="Sem Espaçamento Char"/>
    <w:qFormat/>
    <w:rsid w:val="00497d25"/>
    <w:rPr>
      <w:rFonts w:ascii="Calibri" w:hAnsi="Calibri"/>
      <w:sz w:val="22"/>
      <w:szCs w:val="22"/>
      <w:lang w:val="pt-BR" w:eastAsia="ar-SA" w:bidi="ar-SA"/>
    </w:rPr>
  </w:style>
  <w:style w:type="character" w:styleId="Corpodetexto3Char" w:customStyle="1">
    <w:name w:val="Corpo de texto 3 Char"/>
    <w:qFormat/>
    <w:rsid w:val="00497d25"/>
    <w:rPr>
      <w:sz w:val="16"/>
      <w:szCs w:val="16"/>
    </w:rPr>
  </w:style>
  <w:style w:type="character" w:styleId="Estilo11pt" w:customStyle="1">
    <w:name w:val="Estilo 11 pt"/>
    <w:qFormat/>
    <w:rsid w:val="00497d25"/>
    <w:rPr>
      <w:rFonts w:ascii="Courier New" w:hAnsi="Courier New"/>
      <w:sz w:val="22"/>
    </w:rPr>
  </w:style>
  <w:style w:type="character" w:styleId="CorpodetextoChar1" w:customStyle="1">
    <w:name w:val="Corpo de texto Char1"/>
    <w:basedOn w:val="DefaultParagraphFont"/>
    <w:link w:val="Corpodetexto"/>
    <w:qFormat/>
    <w:rsid w:val="00497d25"/>
    <w:rPr>
      <w:rFonts w:ascii="Times New Roman" w:hAnsi="Times New Roman" w:eastAsia="Times New Roman" w:cs="Times New Roman"/>
      <w:sz w:val="20"/>
      <w:szCs w:val="20"/>
      <w:lang w:eastAsia="ar-SA"/>
    </w:rPr>
  </w:style>
  <w:style w:type="character" w:styleId="TextodebaloChar1" w:customStyle="1">
    <w:name w:val="Texto de balão Char1"/>
    <w:basedOn w:val="DefaultParagraphFont"/>
    <w:link w:val="Textodebalo"/>
    <w:uiPriority w:val="99"/>
    <w:qFormat/>
    <w:rsid w:val="00497d25"/>
    <w:rPr>
      <w:rFonts w:ascii="Tahoma" w:hAnsi="Tahoma" w:eastAsia="Times New Roman" w:cs="Times New Roman"/>
      <w:sz w:val="16"/>
      <w:szCs w:val="16"/>
      <w:lang w:eastAsia="ar-SA"/>
    </w:rPr>
  </w:style>
  <w:style w:type="character" w:styleId="CitaoChar1" w:customStyle="1">
    <w:name w:val="Citação Char1"/>
    <w:basedOn w:val="DefaultParagraphFont"/>
    <w:link w:val="Citao"/>
    <w:qFormat/>
    <w:rsid w:val="00497d25"/>
    <w:rPr>
      <w:rFonts w:ascii="Ecofont_Spranq_eco_Sans" w:hAnsi="Ecofont_Spranq_eco_Sans" w:eastAsia="Calibri" w:cs="Times New Roman"/>
      <w:i/>
      <w:iCs/>
      <w:color w:val="000000"/>
      <w:sz w:val="20"/>
      <w:szCs w:val="24"/>
      <w:shd w:fill="FFFFCC" w:val="clear"/>
      <w:lang w:eastAsia="ar-SA"/>
    </w:rPr>
  </w:style>
  <w:style w:type="character" w:styleId="CabealhoChar1" w:customStyle="1">
    <w:name w:val="Cabeçalho Char1"/>
    <w:basedOn w:val="DefaultParagraphFont"/>
    <w:link w:val="Cabealho"/>
    <w:uiPriority w:val="99"/>
    <w:qFormat/>
    <w:rsid w:val="00497d25"/>
    <w:rPr>
      <w:rFonts w:ascii="Ecofont_Spranq_eco_Sans" w:hAnsi="Ecofont_Spranq_eco_Sans" w:eastAsia="Times New Roman" w:cs="Times New Roman"/>
      <w:sz w:val="24"/>
      <w:szCs w:val="24"/>
      <w:lang w:eastAsia="ar-SA"/>
    </w:rPr>
  </w:style>
  <w:style w:type="character" w:styleId="RodapChar1" w:customStyle="1">
    <w:name w:val="Rodapé Char1"/>
    <w:basedOn w:val="DefaultParagraphFont"/>
    <w:link w:val="Rodap"/>
    <w:uiPriority w:val="99"/>
    <w:qFormat/>
    <w:rsid w:val="00497d25"/>
    <w:rPr>
      <w:rFonts w:ascii="Ecofont_Spranq_eco_Sans" w:hAnsi="Ecofont_Spranq_eco_Sans" w:eastAsia="Times New Roman" w:cs="Times New Roman"/>
      <w:sz w:val="24"/>
      <w:szCs w:val="24"/>
      <w:lang w:eastAsia="ar-SA"/>
    </w:rPr>
  </w:style>
  <w:style w:type="character" w:styleId="RecuodecorpodetextoChar1" w:customStyle="1">
    <w:name w:val="Recuo de corpo de texto Char1"/>
    <w:basedOn w:val="DefaultParagraphFont"/>
    <w:link w:val="Recuodecorpodetexto"/>
    <w:qFormat/>
    <w:rsid w:val="00497d25"/>
    <w:rPr>
      <w:rFonts w:ascii="Times New Roman" w:hAnsi="Times New Roman" w:eastAsia="Times New Roman" w:cs="Times New Roman"/>
      <w:szCs w:val="24"/>
      <w:lang w:val="x-none" w:eastAsia="ar-SA"/>
    </w:rPr>
  </w:style>
  <w:style w:type="character" w:styleId="TtuloChar1" w:customStyle="1">
    <w:name w:val="Título Char1"/>
    <w:basedOn w:val="DefaultParagraphFont"/>
    <w:link w:val="Ttulo"/>
    <w:qFormat/>
    <w:rsid w:val="00497d25"/>
    <w:rPr>
      <w:rFonts w:ascii="Times New Roman" w:hAnsi="Times New Roman" w:eastAsia="Times New Roman" w:cs="Times New Roman"/>
      <w:b/>
      <w:sz w:val="24"/>
      <w:szCs w:val="24"/>
      <w:u w:val="single"/>
      <w:lang w:val="x-none" w:eastAsia="ar-SA"/>
    </w:rPr>
  </w:style>
  <w:style w:type="character" w:styleId="SubttuloChar1" w:customStyle="1">
    <w:name w:val="Subtítulo Char1"/>
    <w:basedOn w:val="DefaultParagraphFont"/>
    <w:link w:val="Subttulo"/>
    <w:qFormat/>
    <w:rsid w:val="00497d25"/>
    <w:rPr>
      <w:rFonts w:ascii="Arial" w:hAnsi="Arial" w:eastAsia="Lucida Sans Unicode" w:cs="Times New Roman"/>
      <w:i/>
      <w:iCs/>
      <w:sz w:val="28"/>
      <w:szCs w:val="28"/>
      <w:lang w:val="x-none" w:eastAsia="ar-SA"/>
    </w:rPr>
  </w:style>
  <w:style w:type="character" w:styleId="Strong">
    <w:name w:val="Strong"/>
    <w:uiPriority w:val="22"/>
    <w:qFormat/>
    <w:rsid w:val="00497d25"/>
    <w:rPr>
      <w:b/>
      <w:bCs/>
    </w:rPr>
  </w:style>
  <w:style w:type="character" w:styleId="Nivel01Char" w:customStyle="1">
    <w:name w:val="Nivel 01 Char"/>
    <w:link w:val="Nivel01"/>
    <w:qFormat/>
    <w:rsid w:val="00497d25"/>
    <w:rPr>
      <w:rFonts w:ascii="Ecofont_Spranq_eco_Sans" w:hAnsi="Ecofont_Spranq_eco_Sans" w:eastAsia="MS Gothic" w:cs="Times New Roman"/>
      <w:b/>
      <w:bCs/>
      <w:color w:val="000000"/>
      <w:sz w:val="20"/>
      <w:szCs w:val="20"/>
      <w:lang w:eastAsia="pt-BR"/>
    </w:rPr>
  </w:style>
  <w:style w:type="character" w:styleId="Nivel1Char" w:customStyle="1">
    <w:name w:val="Nivel1 Char"/>
    <w:link w:val="Nivel10"/>
    <w:qFormat/>
    <w:rsid w:val="00497d25"/>
    <w:rPr>
      <w:rFonts w:ascii="Arial" w:hAnsi="Arial" w:eastAsia="Times New Roman" w:cs="Arial"/>
      <w:b/>
      <w:color w:val="000000"/>
      <w:sz w:val="20"/>
      <w:szCs w:val="20"/>
      <w:lang w:eastAsia="pt-BR"/>
    </w:rPr>
  </w:style>
  <w:style w:type="character" w:styleId="Nivel2Char" w:customStyle="1">
    <w:name w:val="Nivel 2 Char"/>
    <w:link w:val="Nivel2"/>
    <w:qFormat/>
    <w:rsid w:val="00497d25"/>
    <w:rPr>
      <w:rFonts w:ascii="Ecofont_Spranq_eco_Sans" w:hAnsi="Ecofont_Spranq_eco_Sans" w:eastAsia="Arial Unicode MS" w:cs="Times New Roman"/>
      <w:sz w:val="20"/>
      <w:szCs w:val="20"/>
      <w:lang w:eastAsia="pt-BR"/>
    </w:rPr>
  </w:style>
  <w:style w:type="character" w:styleId="QuoteChar" w:customStyle="1">
    <w:name w:val="Quote Char"/>
    <w:link w:val="Citao1"/>
    <w:qFormat/>
    <w:rsid w:val="00497d25"/>
    <w:rPr>
      <w:rFonts w:ascii="Ecofont_Spranq_eco_Sans" w:hAnsi="Ecofont_Spranq_eco_Sans" w:eastAsia="Times New Roman" w:cs="Ecofont_Spranq_eco_Sans"/>
      <w:i/>
      <w:iCs/>
      <w:color w:val="000000"/>
      <w:sz w:val="24"/>
      <w:szCs w:val="24"/>
      <w:shd w:fill="FFFFCC" w:val="clear"/>
    </w:rPr>
  </w:style>
  <w:style w:type="character" w:styleId="Tiporegular2" w:customStyle="1">
    <w:name w:val="tipo_regular2"/>
    <w:qFormat/>
    <w:rsid w:val="00497d25"/>
    <w:rPr/>
  </w:style>
  <w:style w:type="character" w:styleId="Fontstyle01" w:customStyle="1">
    <w:name w:val="fontstyle01"/>
    <w:basedOn w:val="DefaultParagraphFont"/>
    <w:qFormat/>
    <w:rsid w:val="00bd0401"/>
    <w:rPr>
      <w:rFonts w:ascii="Arial" w:hAnsi="Arial" w:cs="Arial"/>
      <w:b w:val="false"/>
      <w:bCs w:val="false"/>
      <w:i w:val="false"/>
      <w:iCs w:val="false"/>
      <w:color w:val="000000"/>
      <w:sz w:val="14"/>
      <w:szCs w:val="14"/>
    </w:rPr>
  </w:style>
  <w:style w:type="character" w:styleId="ListLabel1">
    <w:name w:val="ListLabel 1"/>
    <w:qFormat/>
    <w:rPr>
      <w:b w:val="false"/>
      <w:i w:val="false"/>
    </w:rPr>
  </w:style>
  <w:style w:type="character" w:styleId="ListLabel2">
    <w:name w:val="ListLabel 2"/>
    <w:qFormat/>
    <w:rPr>
      <w:b w:val="false"/>
      <w:i w:val="false"/>
    </w:rPr>
  </w:style>
  <w:style w:type="character" w:styleId="ListLabel3">
    <w:name w:val="ListLabel 3"/>
    <w:qFormat/>
    <w:rPr>
      <w:b/>
    </w:rPr>
  </w:style>
  <w:style w:type="character" w:styleId="ListLabel4">
    <w:name w:val="ListLabel 4"/>
    <w:qFormat/>
    <w:rPr>
      <w:color w:val="auto"/>
    </w:rPr>
  </w:style>
  <w:style w:type="character" w:styleId="ListLabel5">
    <w:name w:val="ListLabel 5"/>
    <w:qFormat/>
    <w:rPr>
      <w:b w:val="false"/>
      <w:color w:val="auto"/>
    </w:rPr>
  </w:style>
  <w:style w:type="character" w:styleId="ListLabel6">
    <w:name w:val="ListLabel 6"/>
    <w:qFormat/>
    <w:rPr>
      <w:color w:val="auto"/>
    </w:rPr>
  </w:style>
  <w:style w:type="character" w:styleId="ListLabel7">
    <w:name w:val="ListLabel 7"/>
    <w:qFormat/>
    <w:rPr>
      <w:color w:val="auto"/>
    </w:rPr>
  </w:style>
  <w:style w:type="character" w:styleId="ListLabel8">
    <w:name w:val="ListLabel 8"/>
    <w:qFormat/>
    <w:rPr>
      <w:color w:val="auto"/>
    </w:rPr>
  </w:style>
  <w:style w:type="character" w:styleId="ListLabel9">
    <w:name w:val="ListLabel 9"/>
    <w:qFormat/>
    <w:rPr>
      <w:color w:val="auto"/>
    </w:rPr>
  </w:style>
  <w:style w:type="character" w:styleId="ListLabel10">
    <w:name w:val="ListLabel 10"/>
    <w:qFormat/>
    <w:rPr>
      <w:color w:val="auto"/>
    </w:rPr>
  </w:style>
  <w:style w:type="character" w:styleId="ListLabel11">
    <w:name w:val="ListLabel 11"/>
    <w:qFormat/>
    <w:rPr>
      <w:color w:val="auto"/>
    </w:rPr>
  </w:style>
  <w:style w:type="character" w:styleId="ListLabel12">
    <w:name w:val="ListLabel 12"/>
    <w:qFormat/>
    <w:rPr>
      <w:color w:val="auto"/>
    </w:rPr>
  </w:style>
  <w:style w:type="character" w:styleId="ListLabel13">
    <w:name w:val="ListLabel 13"/>
    <w:qFormat/>
    <w:rPr>
      <w:color w:val="auto"/>
    </w:rPr>
  </w:style>
  <w:style w:type="character" w:styleId="ListLabel14">
    <w:name w:val="ListLabel 14"/>
    <w:qFormat/>
    <w:rPr>
      <w:b w:val="false"/>
      <w:color w:val="auto"/>
    </w:rPr>
  </w:style>
  <w:style w:type="character" w:styleId="ListLabel15">
    <w:name w:val="ListLabel 15"/>
    <w:qFormat/>
    <w:rPr>
      <w:color w:val="auto"/>
    </w:rPr>
  </w:style>
  <w:style w:type="character" w:styleId="ListLabel16">
    <w:name w:val="ListLabel 16"/>
    <w:qFormat/>
    <w:rPr>
      <w:color w:val="auto"/>
    </w:rPr>
  </w:style>
  <w:style w:type="character" w:styleId="ListLabel17">
    <w:name w:val="ListLabel 17"/>
    <w:qFormat/>
    <w:rPr>
      <w:color w:val="auto"/>
    </w:rPr>
  </w:style>
  <w:style w:type="character" w:styleId="ListLabel18">
    <w:name w:val="ListLabel 18"/>
    <w:qFormat/>
    <w:rPr>
      <w:color w:val="auto"/>
    </w:rPr>
  </w:style>
  <w:style w:type="character" w:styleId="ListLabel19">
    <w:name w:val="ListLabel 19"/>
    <w:qFormat/>
    <w:rPr>
      <w:color w:val="auto"/>
    </w:rPr>
  </w:style>
  <w:style w:type="character" w:styleId="ListLabel20">
    <w:name w:val="ListLabel 20"/>
    <w:qFormat/>
    <w:rPr>
      <w:color w:val="auto"/>
    </w:rPr>
  </w:style>
  <w:style w:type="character" w:styleId="ListLabel21">
    <w:name w:val="ListLabel 21"/>
    <w:qFormat/>
    <w:rPr>
      <w:color w:val="auto"/>
    </w:rPr>
  </w:style>
  <w:style w:type="character" w:styleId="ListLabel22">
    <w:name w:val="ListLabel 22"/>
    <w:qFormat/>
    <w:rPr>
      <w:b w:val="false"/>
      <w:sz w:val="24"/>
    </w:rPr>
  </w:style>
  <w:style w:type="character" w:styleId="ListLabel23">
    <w:name w:val="ListLabel 23"/>
    <w:qFormat/>
    <w:rPr>
      <w:b w:val="false"/>
      <w:sz w:val="24"/>
    </w:rPr>
  </w:style>
  <w:style w:type="character" w:styleId="ListLabel24">
    <w:name w:val="ListLabel 24"/>
    <w:qFormat/>
    <w:rPr>
      <w:b w:val="false"/>
      <w:sz w:val="24"/>
    </w:rPr>
  </w:style>
  <w:style w:type="character" w:styleId="ListLabel25">
    <w:name w:val="ListLabel 25"/>
    <w:qFormat/>
    <w:rPr>
      <w:b w:val="false"/>
      <w:sz w:val="24"/>
    </w:rPr>
  </w:style>
  <w:style w:type="character" w:styleId="ListLabel26">
    <w:name w:val="ListLabel 26"/>
    <w:qFormat/>
    <w:rPr>
      <w:b w:val="false"/>
      <w:sz w:val="24"/>
    </w:rPr>
  </w:style>
  <w:style w:type="character" w:styleId="ListLabel27">
    <w:name w:val="ListLabel 27"/>
    <w:qFormat/>
    <w:rPr>
      <w:b w:val="false"/>
      <w:sz w:val="24"/>
    </w:rPr>
  </w:style>
  <w:style w:type="character" w:styleId="ListLabel28">
    <w:name w:val="ListLabel 28"/>
    <w:qFormat/>
    <w:rPr>
      <w:b w:val="false"/>
      <w:sz w:val="24"/>
    </w:rPr>
  </w:style>
  <w:style w:type="character" w:styleId="ListLabel29">
    <w:name w:val="ListLabel 29"/>
    <w:qFormat/>
    <w:rPr>
      <w:b w:val="false"/>
      <w:sz w:val="24"/>
    </w:rPr>
  </w:style>
  <w:style w:type="character" w:styleId="ListLabel30">
    <w:name w:val="ListLabel 30"/>
    <w:qFormat/>
    <w:rPr>
      <w:b w:val="false"/>
      <w:sz w:val="24"/>
    </w:rPr>
  </w:style>
  <w:style w:type="character" w:styleId="ListLabel31">
    <w:name w:val="ListLabel 31"/>
    <w:qFormat/>
    <w:rPr>
      <w:b/>
    </w:rPr>
  </w:style>
  <w:style w:type="character" w:styleId="ListLabel32">
    <w:name w:val="ListLabel 32"/>
    <w:qFormat/>
    <w:rPr>
      <w:rFonts w:cs="Arial"/>
      <w:b w:val="false"/>
      <w:i w:val="false"/>
      <w:strike w:val="false"/>
      <w:dstrike w:val="false"/>
      <w:color w:val="auto"/>
      <w:sz w:val="20"/>
      <w:szCs w:val="20"/>
      <w:u w:val="none"/>
    </w:rPr>
  </w:style>
  <w:style w:type="character" w:styleId="ListLabel33">
    <w:name w:val="ListLabel 33"/>
    <w:qFormat/>
    <w:rPr>
      <w:rFonts w:cs="Arial"/>
      <w:b w:val="false"/>
      <w:i w:val="false"/>
      <w:strike w:val="false"/>
      <w:dstrike w:val="false"/>
      <w:color w:val="auto"/>
      <w:sz w:val="20"/>
      <w:szCs w:val="20"/>
    </w:rPr>
  </w:style>
  <w:style w:type="character" w:styleId="ListLabel34">
    <w:name w:val="ListLabel 34"/>
    <w:qFormat/>
    <w:rPr>
      <w:b w:val="false"/>
    </w:rPr>
  </w:style>
  <w:style w:type="character" w:styleId="ListLabel35">
    <w:name w:val="ListLabel 35"/>
    <w:qFormat/>
    <w:rPr>
      <w:b/>
    </w:rPr>
  </w:style>
  <w:style w:type="character" w:styleId="ListLabel36">
    <w:name w:val="ListLabel 36"/>
    <w:qFormat/>
    <w:rPr>
      <w:rFonts w:cs="Arial"/>
      <w:b w:val="false"/>
      <w:i w:val="false"/>
      <w:strike w:val="false"/>
      <w:dstrike w:val="false"/>
      <w:color w:val="auto"/>
      <w:sz w:val="20"/>
      <w:szCs w:val="20"/>
      <w:u w:val="none"/>
    </w:rPr>
  </w:style>
  <w:style w:type="character" w:styleId="ListLabel37">
    <w:name w:val="ListLabel 37"/>
    <w:qFormat/>
    <w:rPr>
      <w:rFonts w:cs="Arial"/>
      <w:b w:val="false"/>
      <w:i w:val="false"/>
      <w:strike w:val="false"/>
      <w:dstrike w:val="false"/>
      <w:color w:val="auto"/>
      <w:sz w:val="20"/>
      <w:szCs w:val="20"/>
    </w:rPr>
  </w:style>
  <w:style w:type="character" w:styleId="ListLabel38">
    <w:name w:val="ListLabel 38"/>
    <w:qFormat/>
    <w:rPr>
      <w:b/>
    </w:rPr>
  </w:style>
  <w:style w:type="character" w:styleId="ListLabel39">
    <w:name w:val="ListLabel 39"/>
    <w:qFormat/>
    <w:rPr>
      <w:rFonts w:cs="Arial"/>
      <w:b w:val="false"/>
      <w:i w:val="false"/>
      <w:strike w:val="false"/>
      <w:dstrike w:val="false"/>
      <w:color w:val="auto"/>
      <w:sz w:val="20"/>
      <w:szCs w:val="20"/>
      <w:u w:val="none"/>
    </w:rPr>
  </w:style>
  <w:style w:type="character" w:styleId="ListLabel40">
    <w:name w:val="ListLabel 40"/>
    <w:qFormat/>
    <w:rPr>
      <w:rFonts w:cs="Arial"/>
      <w:b w:val="false"/>
      <w:i w:val="false"/>
      <w:strike w:val="false"/>
      <w:dstrike w:val="false"/>
      <w:color w:val="auto"/>
      <w:sz w:val="20"/>
      <w:szCs w:val="20"/>
    </w:rPr>
  </w:style>
  <w:style w:type="character" w:styleId="ListLabel41">
    <w:name w:val="ListLabel 41"/>
    <w:qFormat/>
    <w:rPr>
      <w:b/>
    </w:rPr>
  </w:style>
  <w:style w:type="character" w:styleId="ListLabel42">
    <w:name w:val="ListLabel 42"/>
    <w:qFormat/>
    <w:rPr>
      <w:rFonts w:cs="Arial"/>
      <w:b w:val="false"/>
      <w:i w:val="false"/>
      <w:strike w:val="false"/>
      <w:dstrike w:val="false"/>
      <w:color w:val="auto"/>
      <w:sz w:val="20"/>
      <w:szCs w:val="20"/>
      <w:u w:val="none"/>
    </w:rPr>
  </w:style>
  <w:style w:type="character" w:styleId="ListLabel43">
    <w:name w:val="ListLabel 43"/>
    <w:qFormat/>
    <w:rPr>
      <w:rFonts w:cs="Arial"/>
      <w:b w:val="false"/>
      <w:i w:val="false"/>
      <w:strike w:val="false"/>
      <w:dstrike w:val="false"/>
      <w:color w:val="auto"/>
      <w:sz w:val="20"/>
      <w:szCs w:val="20"/>
    </w:rPr>
  </w:style>
  <w:style w:type="character" w:styleId="ListLabel44">
    <w:name w:val="ListLabel 44"/>
    <w:qFormat/>
    <w:rPr>
      <w:b/>
    </w:rPr>
  </w:style>
  <w:style w:type="character" w:styleId="ListLabel45">
    <w:name w:val="ListLabel 45"/>
    <w:qFormat/>
    <w:rPr>
      <w:rFonts w:cs="Arial"/>
      <w:b w:val="false"/>
      <w:i w:val="false"/>
      <w:strike w:val="false"/>
      <w:dstrike w:val="false"/>
      <w:color w:val="auto"/>
      <w:sz w:val="20"/>
      <w:szCs w:val="20"/>
      <w:u w:val="none"/>
    </w:rPr>
  </w:style>
  <w:style w:type="character" w:styleId="ListLabel46">
    <w:name w:val="ListLabel 46"/>
    <w:qFormat/>
    <w:rPr>
      <w:rFonts w:cs="Arial"/>
      <w:b w:val="false"/>
      <w:i w:val="false"/>
      <w:strike w:val="false"/>
      <w:dstrike w:val="false"/>
      <w:color w:val="auto"/>
      <w:sz w:val="20"/>
      <w:szCs w:val="20"/>
    </w:rPr>
  </w:style>
  <w:style w:type="character" w:styleId="ListLabel47">
    <w:name w:val="ListLabel 47"/>
    <w:qFormat/>
    <w:rPr>
      <w:b/>
      <w:i w:val="false"/>
      <w:strike w:val="false"/>
      <w:dstrike w:val="false"/>
    </w:rPr>
  </w:style>
  <w:style w:type="character" w:styleId="ListLabel48">
    <w:name w:val="ListLabel 48"/>
    <w:qFormat/>
    <w:rPr>
      <w:b w:val="false"/>
      <w:strike w:val="false"/>
      <w:dstrike w:val="false"/>
      <w:sz w:val="24"/>
    </w:rPr>
  </w:style>
  <w:style w:type="character" w:styleId="ListLabel49">
    <w:name w:val="ListLabel 49"/>
    <w:qFormat/>
    <w:rPr>
      <w:i w:val="false"/>
      <w:strike w:val="false"/>
      <w:dstrike w:val="false"/>
    </w:rPr>
  </w:style>
  <w:style w:type="character" w:styleId="ListLabel50">
    <w:name w:val="ListLabel 50"/>
    <w:qFormat/>
    <w:rPr>
      <w:b/>
    </w:rPr>
  </w:style>
  <w:style w:type="character" w:styleId="ListLabel51">
    <w:name w:val="ListLabel 51"/>
    <w:qFormat/>
    <w:rPr>
      <w:rFonts w:cs="Arial"/>
      <w:b w:val="false"/>
      <w:i w:val="false"/>
      <w:strike w:val="false"/>
      <w:dstrike w:val="false"/>
      <w:color w:val="auto"/>
      <w:sz w:val="20"/>
      <w:szCs w:val="20"/>
      <w:u w:val="none"/>
    </w:rPr>
  </w:style>
  <w:style w:type="character" w:styleId="ListLabel52">
    <w:name w:val="ListLabel 52"/>
    <w:qFormat/>
    <w:rPr>
      <w:rFonts w:cs="Arial"/>
      <w:b w:val="false"/>
      <w:i w:val="false"/>
      <w:strike w:val="false"/>
      <w:dstrike w:val="false"/>
      <w:color w:val="auto"/>
      <w:sz w:val="20"/>
      <w:szCs w:val="20"/>
    </w:rPr>
  </w:style>
  <w:style w:type="character" w:styleId="ListLabel53">
    <w:name w:val="ListLabel 53"/>
    <w:qFormat/>
    <w:rPr>
      <w:b/>
    </w:rPr>
  </w:style>
  <w:style w:type="character" w:styleId="ListLabel54">
    <w:name w:val="ListLabel 54"/>
    <w:qFormat/>
    <w:rPr>
      <w:rFonts w:cs="Arial"/>
      <w:b w:val="false"/>
      <w:i w:val="false"/>
      <w:strike w:val="false"/>
      <w:dstrike w:val="false"/>
      <w:color w:val="auto"/>
      <w:sz w:val="20"/>
      <w:szCs w:val="20"/>
      <w:u w:val="none"/>
    </w:rPr>
  </w:style>
  <w:style w:type="character" w:styleId="ListLabel55">
    <w:name w:val="ListLabel 55"/>
    <w:qFormat/>
    <w:rPr>
      <w:rFonts w:cs="Arial"/>
      <w:b w:val="false"/>
      <w:i w:val="false"/>
      <w:strike w:val="false"/>
      <w:dstrike w:val="false"/>
      <w:color w:val="auto"/>
      <w:sz w:val="20"/>
      <w:szCs w:val="20"/>
    </w:rPr>
  </w:style>
  <w:style w:type="character" w:styleId="ListLabel56">
    <w:name w:val="ListLabel 56"/>
    <w:qFormat/>
    <w:rPr>
      <w:b/>
    </w:rPr>
  </w:style>
  <w:style w:type="character" w:styleId="ListLabel57">
    <w:name w:val="ListLabel 57"/>
    <w:qFormat/>
    <w:rPr>
      <w:rFonts w:cs="Arial"/>
      <w:b w:val="false"/>
      <w:i w:val="false"/>
      <w:strike w:val="false"/>
      <w:dstrike w:val="false"/>
      <w:color w:val="auto"/>
      <w:sz w:val="20"/>
      <w:szCs w:val="20"/>
      <w:u w:val="none"/>
    </w:rPr>
  </w:style>
  <w:style w:type="character" w:styleId="ListLabel58">
    <w:name w:val="ListLabel 58"/>
    <w:qFormat/>
    <w:rPr>
      <w:rFonts w:cs="Arial"/>
      <w:b w:val="false"/>
      <w:i w:val="false"/>
      <w:strike w:val="false"/>
      <w:dstrike w:val="false"/>
      <w:color w:val="auto"/>
      <w:sz w:val="20"/>
      <w:szCs w:val="20"/>
    </w:rPr>
  </w:style>
  <w:style w:type="character" w:styleId="ListLabel59">
    <w:name w:val="ListLabel 59"/>
    <w:qFormat/>
    <w:rPr>
      <w:b w:val="false"/>
      <w:i w:val="false"/>
    </w:rPr>
  </w:style>
  <w:style w:type="character" w:styleId="ListLabel60">
    <w:name w:val="ListLabel 60"/>
    <w:qFormat/>
    <w:rPr>
      <w:b w:val="false"/>
    </w:rPr>
  </w:style>
  <w:style w:type="character" w:styleId="ListLabel61">
    <w:name w:val="ListLabel 61"/>
    <w:qFormat/>
    <w:rPr>
      <w:b/>
    </w:rPr>
  </w:style>
  <w:style w:type="character" w:styleId="ListLabel62">
    <w:name w:val="ListLabel 62"/>
    <w:qFormat/>
    <w:rPr>
      <w:rFonts w:cs="Arial"/>
      <w:b w:val="false"/>
      <w:i w:val="false"/>
      <w:strike w:val="false"/>
      <w:dstrike w:val="false"/>
      <w:color w:val="auto"/>
      <w:sz w:val="20"/>
      <w:szCs w:val="20"/>
      <w:u w:val="none"/>
    </w:rPr>
  </w:style>
  <w:style w:type="character" w:styleId="ListLabel63">
    <w:name w:val="ListLabel 63"/>
    <w:qFormat/>
    <w:rPr>
      <w:rFonts w:cs="Arial"/>
      <w:b w:val="false"/>
      <w:i w:val="false"/>
      <w:strike w:val="false"/>
      <w:dstrike w:val="false"/>
      <w:color w:val="auto"/>
      <w:sz w:val="20"/>
      <w:szCs w:val="20"/>
    </w:rPr>
  </w:style>
  <w:style w:type="character" w:styleId="ListLabel64">
    <w:name w:val="ListLabel 64"/>
    <w:qFormat/>
    <w:rPr>
      <w:b/>
    </w:rPr>
  </w:style>
  <w:style w:type="character" w:styleId="ListLabel65">
    <w:name w:val="ListLabel 65"/>
    <w:qFormat/>
    <w:rPr>
      <w:rFonts w:cs="Arial"/>
      <w:b w:val="false"/>
      <w:i w:val="false"/>
      <w:strike w:val="false"/>
      <w:dstrike w:val="false"/>
      <w:color w:val="auto"/>
      <w:sz w:val="20"/>
      <w:szCs w:val="20"/>
      <w:u w:val="none"/>
    </w:rPr>
  </w:style>
  <w:style w:type="character" w:styleId="ListLabel66">
    <w:name w:val="ListLabel 66"/>
    <w:qFormat/>
    <w:rPr>
      <w:rFonts w:cs="Arial"/>
      <w:b w:val="false"/>
      <w:i w:val="false"/>
      <w:strike w:val="false"/>
      <w:dstrike w:val="false"/>
      <w:color w:val="auto"/>
      <w:sz w:val="20"/>
      <w:szCs w:val="20"/>
    </w:rPr>
  </w:style>
  <w:style w:type="character" w:styleId="ListLabel67">
    <w:name w:val="ListLabel 67"/>
    <w:qFormat/>
    <w:rPr>
      <w:b/>
    </w:rPr>
  </w:style>
  <w:style w:type="character" w:styleId="ListLabel68">
    <w:name w:val="ListLabel 68"/>
    <w:qFormat/>
    <w:rPr>
      <w:rFonts w:cs="Arial"/>
      <w:b w:val="false"/>
      <w:i w:val="false"/>
      <w:strike w:val="false"/>
      <w:dstrike w:val="false"/>
      <w:color w:val="auto"/>
      <w:sz w:val="20"/>
      <w:szCs w:val="20"/>
      <w:u w:val="none"/>
    </w:rPr>
  </w:style>
  <w:style w:type="character" w:styleId="ListLabel69">
    <w:name w:val="ListLabel 69"/>
    <w:qFormat/>
    <w:rPr>
      <w:rFonts w:cs="Arial"/>
      <w:b w:val="false"/>
      <w:i w:val="false"/>
      <w:strike w:val="false"/>
      <w:dstrike w:val="false"/>
      <w:color w:val="auto"/>
      <w:sz w:val="20"/>
      <w:szCs w:val="20"/>
    </w:rPr>
  </w:style>
  <w:style w:type="character" w:styleId="ListLabel70">
    <w:name w:val="ListLabel 70"/>
    <w:qFormat/>
    <w:rPr>
      <w:b w:val="false"/>
      <w:i w:val="false"/>
    </w:rPr>
  </w:style>
  <w:style w:type="character" w:styleId="ListLabel71">
    <w:name w:val="ListLabel 71"/>
    <w:qFormat/>
    <w:rPr>
      <w:b w:val="false"/>
    </w:rPr>
  </w:style>
  <w:style w:type="character" w:styleId="ListLabel72">
    <w:name w:val="ListLabel 72"/>
    <w:qFormat/>
    <w:rPr>
      <w:b/>
    </w:rPr>
  </w:style>
  <w:style w:type="character" w:styleId="ListLabel73">
    <w:name w:val="ListLabel 73"/>
    <w:qFormat/>
    <w:rPr>
      <w:rFonts w:cs="Arial"/>
      <w:b w:val="false"/>
      <w:i w:val="false"/>
      <w:strike w:val="false"/>
      <w:dstrike w:val="false"/>
      <w:color w:val="auto"/>
      <w:sz w:val="20"/>
      <w:szCs w:val="20"/>
      <w:u w:val="none"/>
    </w:rPr>
  </w:style>
  <w:style w:type="character" w:styleId="ListLabel74">
    <w:name w:val="ListLabel 74"/>
    <w:qFormat/>
    <w:rPr>
      <w:rFonts w:cs="Arial"/>
      <w:b w:val="false"/>
      <w:i w:val="false"/>
      <w:strike w:val="false"/>
      <w:dstrike w:val="false"/>
      <w:color w:val="auto"/>
      <w:sz w:val="20"/>
      <w:szCs w:val="20"/>
    </w:rPr>
  </w:style>
  <w:style w:type="character" w:styleId="ListLabel75">
    <w:name w:val="ListLabel 75"/>
    <w:qFormat/>
    <w:rPr>
      <w:rFonts w:cs="Arial"/>
      <w:sz w:val="20"/>
    </w:rPr>
  </w:style>
  <w:style w:type="character" w:styleId="ListLabel76">
    <w:name w:val="ListLabel 76"/>
    <w:qFormat/>
    <w:rPr>
      <w:rFonts w:cs="Arial"/>
      <w:sz w:val="20"/>
    </w:rPr>
  </w:style>
  <w:style w:type="character" w:styleId="ListLabel77">
    <w:name w:val="ListLabel 77"/>
    <w:qFormat/>
    <w:rPr>
      <w:b/>
    </w:rPr>
  </w:style>
  <w:style w:type="character" w:styleId="ListLabel78">
    <w:name w:val="ListLabel 78"/>
    <w:qFormat/>
    <w:rPr>
      <w:b/>
    </w:rPr>
  </w:style>
  <w:style w:type="character" w:styleId="ListLabel79">
    <w:name w:val="ListLabel 79"/>
    <w:qFormat/>
    <w:rPr>
      <w:b/>
    </w:rPr>
  </w:style>
  <w:style w:type="character" w:styleId="ListLabel80">
    <w:name w:val="ListLabel 80"/>
    <w:qFormat/>
    <w:rPr>
      <w:b/>
    </w:rPr>
  </w:style>
  <w:style w:type="character" w:styleId="ListLabel81">
    <w:name w:val="ListLabel 81"/>
    <w:qFormat/>
    <w:rPr>
      <w:b/>
    </w:rPr>
  </w:style>
  <w:style w:type="character" w:styleId="ListLabel82">
    <w:name w:val="ListLabel 82"/>
    <w:qFormat/>
    <w:rPr>
      <w:b/>
    </w:rPr>
  </w:style>
  <w:style w:type="character" w:styleId="ListLabel83">
    <w:name w:val="ListLabel 83"/>
    <w:qFormat/>
    <w:rPr>
      <w:b/>
    </w:rPr>
  </w:style>
  <w:style w:type="character" w:styleId="ListLabel84">
    <w:name w:val="ListLabel 84"/>
    <w:qFormat/>
    <w:rPr>
      <w:b/>
    </w:rPr>
  </w:style>
  <w:style w:type="character" w:styleId="ListLabel85">
    <w:name w:val="ListLabel 85"/>
    <w:qFormat/>
    <w:rPr>
      <w:b/>
    </w:rPr>
  </w:style>
  <w:style w:type="character" w:styleId="ListLabel86">
    <w:name w:val="ListLabel 86"/>
    <w:qFormat/>
    <w:rPr>
      <w:b/>
    </w:rPr>
  </w:style>
  <w:style w:type="character" w:styleId="ListLabel87">
    <w:name w:val="ListLabel 87"/>
    <w:qFormat/>
    <w:rPr>
      <w:rFonts w:ascii="Times New Roman" w:hAnsi="Times New Roman" w:cs="Times New Roman"/>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link w:val="CorpodetextoChar1"/>
    <w:rsid w:val="00497d25"/>
    <w:pPr>
      <w:jc w:val="both"/>
    </w:pPr>
    <w:rPr>
      <w:rFonts w:ascii="Times New Roman" w:hAnsi="Times New Roman" w:cs="Times New Roman"/>
      <w:sz w:val="20"/>
      <w:szCs w:val="20"/>
    </w:rPr>
  </w:style>
  <w:style w:type="paragraph" w:styleId="Lista">
    <w:name w:val="List"/>
    <w:basedOn w:val="Corpodotexto"/>
    <w:rsid w:val="00497d25"/>
    <w:pPr/>
    <w:rPr>
      <w:rFonts w:cs="Tahoma"/>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rsid w:val="00497d25"/>
    <w:pPr>
      <w:suppressLineNumbers/>
    </w:pPr>
    <w:rPr>
      <w:rFonts w:ascii="Times New Roman" w:hAnsi="Times New Roman"/>
    </w:rPr>
  </w:style>
  <w:style w:type="paragraph" w:styleId="Captulo" w:customStyle="1">
    <w:name w:val="Capítulo"/>
    <w:basedOn w:val="Normal"/>
    <w:next w:val="Corpodotexto"/>
    <w:qFormat/>
    <w:rsid w:val="00497d25"/>
    <w:pPr>
      <w:keepNext w:val="true"/>
      <w:spacing w:before="240" w:after="120"/>
    </w:pPr>
    <w:rPr>
      <w:rFonts w:ascii="Arial" w:hAnsi="Arial" w:eastAsia="Lucida Sans Unicode"/>
      <w:sz w:val="28"/>
      <w:szCs w:val="28"/>
    </w:rPr>
  </w:style>
  <w:style w:type="paragraph" w:styleId="Legenda2" w:customStyle="1">
    <w:name w:val="Legenda2"/>
    <w:basedOn w:val="Normal"/>
    <w:next w:val="Normal"/>
    <w:qFormat/>
    <w:rsid w:val="00497d25"/>
    <w:pPr>
      <w:jc w:val="center"/>
    </w:pPr>
    <w:rPr>
      <w:rFonts w:ascii="NewZurica" w:hAnsi="NewZurica" w:cs="Times New Roman"/>
      <w:szCs w:val="20"/>
    </w:rPr>
  </w:style>
  <w:style w:type="paragraph" w:styleId="ListParagraph">
    <w:name w:val="List Paragraph"/>
    <w:basedOn w:val="Normal"/>
    <w:uiPriority w:val="34"/>
    <w:qFormat/>
    <w:rsid w:val="00497d25"/>
    <w:pPr>
      <w:ind w:left="720" w:hanging="0"/>
    </w:pPr>
    <w:rPr/>
  </w:style>
  <w:style w:type="paragraph" w:styleId="NormalWeb">
    <w:name w:val="Normal (Web)"/>
    <w:basedOn w:val="Normal"/>
    <w:uiPriority w:val="99"/>
    <w:qFormat/>
    <w:rsid w:val="00497d25"/>
    <w:pPr>
      <w:spacing w:before="280" w:after="280"/>
    </w:pPr>
    <w:rPr>
      <w:rFonts w:ascii="Times New Roman" w:hAnsi="Times New Roman" w:cs="Times New Roman"/>
    </w:rPr>
  </w:style>
  <w:style w:type="paragraph" w:styleId="BalloonText">
    <w:name w:val="Balloon Text"/>
    <w:basedOn w:val="Normal"/>
    <w:link w:val="TextodebaloChar1"/>
    <w:uiPriority w:val="99"/>
    <w:qFormat/>
    <w:rsid w:val="00497d25"/>
    <w:pPr/>
    <w:rPr>
      <w:rFonts w:ascii="Tahoma" w:hAnsi="Tahoma" w:cs="Times New Roman"/>
      <w:sz w:val="16"/>
      <w:szCs w:val="16"/>
    </w:rPr>
  </w:style>
  <w:style w:type="paragraph" w:styleId="Nvel2" w:customStyle="1">
    <w:name w:val="Nível 2"/>
    <w:basedOn w:val="Normal"/>
    <w:next w:val="Normal"/>
    <w:qFormat/>
    <w:rsid w:val="00497d25"/>
    <w:pPr>
      <w:spacing w:before="0" w:after="120"/>
      <w:jc w:val="both"/>
    </w:pPr>
    <w:rPr>
      <w:rFonts w:ascii="Arial" w:hAnsi="Arial" w:cs="Times New Roman"/>
      <w:b/>
      <w:szCs w:val="20"/>
    </w:rPr>
  </w:style>
  <w:style w:type="paragraph" w:styleId="Quote">
    <w:name w:val="Quote"/>
    <w:basedOn w:val="Normal"/>
    <w:next w:val="Normal"/>
    <w:link w:val="CitaoChar1"/>
    <w:qFormat/>
    <w:rsid w:val="00497d25"/>
    <w:pPr>
      <w:shd w:val="clear" w:color="auto" w:fill="FFFFCC"/>
      <w:spacing w:before="120" w:after="0"/>
      <w:jc w:val="both"/>
    </w:pPr>
    <w:rPr>
      <w:rFonts w:eastAsia="Calibri" w:cs="Times New Roman"/>
      <w:i/>
      <w:iCs/>
      <w:color w:val="000000"/>
      <w:sz w:val="20"/>
    </w:rPr>
  </w:style>
  <w:style w:type="paragraph" w:styleId="Commarcadores51" w:customStyle="1">
    <w:name w:val="Com marcadores 51"/>
    <w:basedOn w:val="Normal"/>
    <w:qFormat/>
    <w:rsid w:val="00497d25"/>
    <w:pPr/>
    <w:rPr/>
  </w:style>
  <w:style w:type="paragraph" w:styleId="Citao2" w:customStyle="1">
    <w:name w:val="citação 2"/>
    <w:basedOn w:val="Quote"/>
    <w:qFormat/>
    <w:rsid w:val="00497d25"/>
    <w:pPr>
      <w:shd w:fill="FFFFCC" w:val="clear"/>
    </w:pPr>
    <w:rPr>
      <w:szCs w:val="20"/>
    </w:rPr>
  </w:style>
  <w:style w:type="paragraph" w:styleId="Cabealho">
    <w:name w:val="Header"/>
    <w:basedOn w:val="Normal"/>
    <w:link w:val="CabealhoChar1"/>
    <w:uiPriority w:val="99"/>
    <w:rsid w:val="00497d25"/>
    <w:pPr>
      <w:tabs>
        <w:tab w:val="clear" w:pos="708"/>
        <w:tab w:val="center" w:pos="4252" w:leader="none"/>
        <w:tab w:val="right" w:pos="8504" w:leader="none"/>
      </w:tabs>
    </w:pPr>
    <w:rPr>
      <w:rFonts w:cs="Times New Roman"/>
    </w:rPr>
  </w:style>
  <w:style w:type="paragraph" w:styleId="Rodap">
    <w:name w:val="Footer"/>
    <w:basedOn w:val="Normal"/>
    <w:link w:val="RodapChar1"/>
    <w:uiPriority w:val="99"/>
    <w:rsid w:val="00497d25"/>
    <w:pPr>
      <w:tabs>
        <w:tab w:val="clear" w:pos="708"/>
        <w:tab w:val="center" w:pos="4252" w:leader="none"/>
        <w:tab w:val="right" w:pos="8504" w:leader="none"/>
      </w:tabs>
    </w:pPr>
    <w:rPr>
      <w:rFonts w:cs="Times New Roman"/>
    </w:rPr>
  </w:style>
  <w:style w:type="paragraph" w:styleId="Corpodotextorecuado">
    <w:name w:val="Body Text Indent"/>
    <w:basedOn w:val="Normal"/>
    <w:link w:val="RecuodecorpodetextoChar1"/>
    <w:rsid w:val="00497d25"/>
    <w:pPr>
      <w:widowControl w:val="false"/>
      <w:ind w:left="45" w:hanging="0"/>
    </w:pPr>
    <w:rPr>
      <w:rFonts w:ascii="Times New Roman" w:hAnsi="Times New Roman" w:cs="Times New Roman"/>
      <w:sz w:val="22"/>
      <w:lang w:val="x-none"/>
    </w:rPr>
  </w:style>
  <w:style w:type="paragraph" w:styleId="Textoembloco2" w:customStyle="1">
    <w:name w:val="Texto em bloco2"/>
    <w:basedOn w:val="Normal"/>
    <w:qFormat/>
    <w:rsid w:val="00497d25"/>
    <w:pPr>
      <w:widowControl w:val="false"/>
      <w:ind w:left="-567" w:right="-801" w:firstLine="567"/>
      <w:jc w:val="both"/>
    </w:pPr>
    <w:rPr>
      <w:rFonts w:ascii="Times New Roman" w:hAnsi="Times New Roman" w:cs="Times New Roman"/>
      <w:sz w:val="20"/>
    </w:rPr>
  </w:style>
  <w:style w:type="paragraph" w:styleId="Textopadro" w:customStyle="1">
    <w:name w:val="Texto padrão"/>
    <w:basedOn w:val="Normal"/>
    <w:qFormat/>
    <w:rsid w:val="00497d25"/>
    <w:pPr/>
    <w:rPr>
      <w:rFonts w:ascii="Times New Roman" w:hAnsi="Times New Roman" w:cs="Times New Roman"/>
      <w:szCs w:val="20"/>
      <w:lang w:val="en-US"/>
    </w:rPr>
  </w:style>
  <w:style w:type="paragraph" w:styleId="Xl28" w:customStyle="1">
    <w:name w:val="xl28"/>
    <w:basedOn w:val="Normal"/>
    <w:qFormat/>
    <w:rsid w:val="00497d25"/>
    <w:pPr>
      <w:spacing w:before="280" w:after="280"/>
      <w:jc w:val="center"/>
    </w:pPr>
    <w:rPr>
      <w:rFonts w:ascii="Times New Roman" w:hAnsi="Times New Roman" w:cs="Times New Roman"/>
    </w:rPr>
  </w:style>
  <w:style w:type="paragraph" w:styleId="Ttulododocumento">
    <w:name w:val="Title"/>
    <w:basedOn w:val="Normal"/>
    <w:next w:val="Subttulo"/>
    <w:link w:val="TtuloChar1"/>
    <w:qFormat/>
    <w:rsid w:val="00497d25"/>
    <w:pPr>
      <w:jc w:val="center"/>
    </w:pPr>
    <w:rPr>
      <w:rFonts w:ascii="Times New Roman" w:hAnsi="Times New Roman" w:cs="Times New Roman"/>
      <w:b/>
      <w:u w:val="single"/>
      <w:lang w:val="x-none"/>
    </w:rPr>
  </w:style>
  <w:style w:type="paragraph" w:styleId="Subttulo">
    <w:name w:val="Subtitle"/>
    <w:basedOn w:val="Captulo"/>
    <w:next w:val="Corpodotexto"/>
    <w:link w:val="SubttuloChar1"/>
    <w:qFormat/>
    <w:rsid w:val="00497d25"/>
    <w:pPr>
      <w:jc w:val="center"/>
    </w:pPr>
    <w:rPr>
      <w:rFonts w:cs="Times New Roman"/>
      <w:i/>
      <w:iCs/>
      <w:lang w:val="x-none"/>
    </w:rPr>
  </w:style>
  <w:style w:type="paragraph" w:styleId="Reservado3" w:customStyle="1">
    <w:name w:val="reservado3"/>
    <w:basedOn w:val="Normal"/>
    <w:qFormat/>
    <w:rsid w:val="00497d25"/>
    <w:pPr>
      <w:widowControl w:val="false"/>
      <w:tabs>
        <w:tab w:val="clear" w:pos="708"/>
        <w:tab w:val="left" w:pos="0" w:leader="none"/>
        <w:tab w:val="left" w:pos="566" w:leader="none"/>
        <w:tab w:val="left" w:pos="1133" w:leader="none"/>
        <w:tab w:val="left" w:pos="1699" w:leader="none"/>
        <w:tab w:val="left" w:pos="2266" w:leader="none"/>
        <w:tab w:val="left" w:pos="2832" w:leader="none"/>
        <w:tab w:val="left" w:pos="3398" w:leader="none"/>
        <w:tab w:val="left" w:pos="3965" w:leader="none"/>
        <w:tab w:val="left" w:pos="4531" w:leader="none"/>
        <w:tab w:val="left" w:pos="5098" w:leader="none"/>
        <w:tab w:val="left" w:pos="5664" w:leader="none"/>
        <w:tab w:val="left" w:pos="6230" w:leader="none"/>
        <w:tab w:val="left" w:pos="6797" w:leader="none"/>
        <w:tab w:val="left" w:pos="7363" w:leader="none"/>
        <w:tab w:val="left" w:pos="7930" w:leader="none"/>
        <w:tab w:val="left" w:pos="8496" w:leader="none"/>
        <w:tab w:val="left" w:pos="9000" w:leader="none"/>
        <w:tab w:val="left" w:pos="9062" w:leader="none"/>
        <w:tab w:val="right" w:pos="9360" w:leader="none"/>
        <w:tab w:val="left" w:pos="9629" w:leader="none"/>
        <w:tab w:val="left" w:pos="10195" w:leader="none"/>
        <w:tab w:val="left" w:pos="10762" w:leader="none"/>
      </w:tabs>
      <w:jc w:val="both"/>
    </w:pPr>
    <w:rPr>
      <w:rFonts w:ascii="Arial" w:hAnsi="Arial" w:cs="Times New Roman"/>
      <w:spacing w:val="-3"/>
      <w:szCs w:val="20"/>
      <w:lang w:val="en-US"/>
    </w:rPr>
  </w:style>
  <w:style w:type="paragraph" w:styleId="Xl24" w:customStyle="1">
    <w:name w:val="xl24"/>
    <w:basedOn w:val="Normal"/>
    <w:qFormat/>
    <w:rsid w:val="00497d25"/>
    <w:pPr>
      <w:spacing w:before="280" w:after="280"/>
    </w:pPr>
    <w:rPr>
      <w:rFonts w:ascii="Arial" w:hAnsi="Arial" w:cs="Arial"/>
      <w:sz w:val="16"/>
      <w:szCs w:val="16"/>
    </w:rPr>
  </w:style>
  <w:style w:type="paragraph" w:styleId="Xl25" w:customStyle="1">
    <w:name w:val="xl25"/>
    <w:basedOn w:val="Normal"/>
    <w:qFormat/>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styleId="Xl26" w:customStyle="1">
    <w:name w:val="xl26"/>
    <w:basedOn w:val="Normal"/>
    <w:qFormat/>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styleId="Xl27" w:customStyle="1">
    <w:name w:val="xl27"/>
    <w:basedOn w:val="Normal"/>
    <w:qFormat/>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styleId="Xl29" w:customStyle="1">
    <w:name w:val="xl29"/>
    <w:basedOn w:val="Normal"/>
    <w:qFormat/>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styleId="Xl30" w:customStyle="1">
    <w:name w:val="xl30"/>
    <w:basedOn w:val="Normal"/>
    <w:qFormat/>
    <w:rsid w:val="00497d25"/>
    <w:pPr>
      <w:spacing w:before="280" w:after="280"/>
      <w:jc w:val="both"/>
    </w:pPr>
    <w:rPr>
      <w:rFonts w:ascii="Arial" w:hAnsi="Arial" w:cs="Arial"/>
      <w:sz w:val="16"/>
      <w:szCs w:val="16"/>
    </w:rPr>
  </w:style>
  <w:style w:type="paragraph" w:styleId="Xl31" w:customStyle="1">
    <w:name w:val="xl31"/>
    <w:basedOn w:val="Normal"/>
    <w:qFormat/>
    <w:rsid w:val="00497d25"/>
    <w:pPr>
      <w:pBdr>
        <w:top w:val="single" w:sz="4" w:space="0" w:color="000000"/>
        <w:right w:val="single" w:sz="4" w:space="0" w:color="000000"/>
      </w:pBdr>
      <w:spacing w:before="280" w:after="280"/>
    </w:pPr>
    <w:rPr>
      <w:rFonts w:ascii="Arial" w:hAnsi="Arial" w:cs="Arial"/>
      <w:sz w:val="16"/>
      <w:szCs w:val="16"/>
    </w:rPr>
  </w:style>
  <w:style w:type="paragraph" w:styleId="Xl32" w:customStyle="1">
    <w:name w:val="xl32"/>
    <w:basedOn w:val="Normal"/>
    <w:qFormat/>
    <w:rsid w:val="00497d25"/>
    <w:pPr>
      <w:pBdr>
        <w:right w:val="single" w:sz="4" w:space="0" w:color="000000"/>
      </w:pBdr>
      <w:spacing w:before="280" w:after="280"/>
    </w:pPr>
    <w:rPr>
      <w:rFonts w:ascii="Arial" w:hAnsi="Arial" w:cs="Arial"/>
      <w:sz w:val="16"/>
      <w:szCs w:val="16"/>
    </w:rPr>
  </w:style>
  <w:style w:type="paragraph" w:styleId="Xl33" w:customStyle="1">
    <w:name w:val="xl33"/>
    <w:basedOn w:val="Normal"/>
    <w:qFormat/>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styleId="Xl34" w:customStyle="1">
    <w:name w:val="xl34"/>
    <w:basedOn w:val="Normal"/>
    <w:qFormat/>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styleId="Xl35" w:customStyle="1">
    <w:name w:val="xl35"/>
    <w:basedOn w:val="Normal"/>
    <w:qFormat/>
    <w:rsid w:val="00497d25"/>
    <w:pPr>
      <w:pBdr>
        <w:bottom w:val="single" w:sz="4" w:space="0" w:color="000000"/>
        <w:right w:val="single" w:sz="4" w:space="0" w:color="000000"/>
      </w:pBdr>
      <w:spacing w:before="280" w:after="280"/>
    </w:pPr>
    <w:rPr>
      <w:rFonts w:ascii="Arial" w:hAnsi="Arial" w:cs="Arial"/>
      <w:sz w:val="16"/>
      <w:szCs w:val="16"/>
    </w:rPr>
  </w:style>
  <w:style w:type="paragraph" w:styleId="Xl36" w:customStyle="1">
    <w:name w:val="xl36"/>
    <w:basedOn w:val="Normal"/>
    <w:qFormat/>
    <w:rsid w:val="00497d25"/>
    <w:pPr>
      <w:spacing w:before="280" w:after="280"/>
      <w:jc w:val="center"/>
    </w:pPr>
    <w:rPr>
      <w:rFonts w:ascii="Arial" w:hAnsi="Arial" w:cs="Arial"/>
      <w:sz w:val="16"/>
      <w:szCs w:val="16"/>
    </w:rPr>
  </w:style>
  <w:style w:type="paragraph" w:styleId="Xl37" w:customStyle="1">
    <w:name w:val="xl37"/>
    <w:basedOn w:val="Normal"/>
    <w:qFormat/>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styleId="Xl38" w:customStyle="1">
    <w:name w:val="xl38"/>
    <w:basedOn w:val="Normal"/>
    <w:qFormat/>
    <w:rsid w:val="00497d25"/>
    <w:pPr>
      <w:spacing w:before="280" w:after="280"/>
    </w:pPr>
    <w:rPr>
      <w:rFonts w:ascii="Arial" w:hAnsi="Arial" w:cs="Arial"/>
      <w:sz w:val="16"/>
      <w:szCs w:val="16"/>
    </w:rPr>
  </w:style>
  <w:style w:type="paragraph" w:styleId="Xl39" w:customStyle="1">
    <w:name w:val="xl39"/>
    <w:basedOn w:val="Normal"/>
    <w:qFormat/>
    <w:rsid w:val="00497d25"/>
    <w:pPr>
      <w:pBdr>
        <w:top w:val="single" w:sz="4" w:space="0" w:color="000000"/>
        <w:right w:val="single" w:sz="4" w:space="0" w:color="000000"/>
      </w:pBdr>
      <w:spacing w:before="280" w:after="280"/>
    </w:pPr>
    <w:rPr>
      <w:rFonts w:ascii="Arial" w:hAnsi="Arial" w:cs="Arial"/>
      <w:sz w:val="16"/>
      <w:szCs w:val="16"/>
    </w:rPr>
  </w:style>
  <w:style w:type="paragraph" w:styleId="Xl40" w:customStyle="1">
    <w:name w:val="xl40"/>
    <w:basedOn w:val="Normal"/>
    <w:qFormat/>
    <w:rsid w:val="00497d25"/>
    <w:pPr>
      <w:pBdr>
        <w:top w:val="single" w:sz="4" w:space="0" w:color="000000"/>
      </w:pBdr>
      <w:spacing w:before="280" w:after="280"/>
    </w:pPr>
    <w:rPr>
      <w:rFonts w:ascii="Arial" w:hAnsi="Arial" w:cs="Arial"/>
      <w:sz w:val="16"/>
      <w:szCs w:val="16"/>
    </w:rPr>
  </w:style>
  <w:style w:type="paragraph" w:styleId="Xl41" w:customStyle="1">
    <w:name w:val="xl41"/>
    <w:basedOn w:val="Normal"/>
    <w:qFormat/>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styleId="Xl42" w:customStyle="1">
    <w:name w:val="xl42"/>
    <w:basedOn w:val="Normal"/>
    <w:qFormat/>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styleId="Xl43" w:customStyle="1">
    <w:name w:val="xl43"/>
    <w:basedOn w:val="Normal"/>
    <w:qFormat/>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styleId="Xl44" w:customStyle="1">
    <w:name w:val="xl44"/>
    <w:basedOn w:val="Normal"/>
    <w:qFormat/>
    <w:rsid w:val="00497d25"/>
    <w:pPr>
      <w:pBdr>
        <w:top w:val="single" w:sz="4" w:space="0" w:color="000000"/>
      </w:pBdr>
      <w:spacing w:before="280" w:after="280"/>
    </w:pPr>
    <w:rPr>
      <w:rFonts w:ascii="Arial" w:hAnsi="Arial" w:cs="Arial"/>
      <w:sz w:val="16"/>
      <w:szCs w:val="16"/>
    </w:rPr>
  </w:style>
  <w:style w:type="paragraph" w:styleId="Xl45" w:customStyle="1">
    <w:name w:val="xl45"/>
    <w:basedOn w:val="Normal"/>
    <w:qFormat/>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styleId="Xl46" w:customStyle="1">
    <w:name w:val="xl46"/>
    <w:basedOn w:val="Normal"/>
    <w:qFormat/>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styleId="Xl47" w:customStyle="1">
    <w:name w:val="xl47"/>
    <w:basedOn w:val="Normal"/>
    <w:qFormat/>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styleId="Xl48" w:customStyle="1">
    <w:name w:val="xl48"/>
    <w:basedOn w:val="Normal"/>
    <w:qFormat/>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styleId="Xl49" w:customStyle="1">
    <w:name w:val="xl49"/>
    <w:basedOn w:val="Normal"/>
    <w:qFormat/>
    <w:rsid w:val="00497d25"/>
    <w:pPr>
      <w:pBdr>
        <w:top w:val="single" w:sz="4" w:space="0" w:color="000000"/>
        <w:left w:val="single" w:sz="4" w:space="0" w:color="000000"/>
      </w:pBdr>
      <w:spacing w:before="280" w:after="280"/>
      <w:jc w:val="center"/>
    </w:pPr>
    <w:rPr>
      <w:rFonts w:ascii="Arial" w:hAnsi="Arial" w:cs="Arial"/>
      <w:sz w:val="16"/>
      <w:szCs w:val="16"/>
    </w:rPr>
  </w:style>
  <w:style w:type="paragraph" w:styleId="Xl50" w:customStyle="1">
    <w:name w:val="xl50"/>
    <w:basedOn w:val="Normal"/>
    <w:qFormat/>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styleId="Xl51" w:customStyle="1">
    <w:name w:val="xl51"/>
    <w:basedOn w:val="Normal"/>
    <w:qFormat/>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styleId="Legenda1" w:customStyle="1">
    <w:name w:val="Legenda1"/>
    <w:basedOn w:val="Normal"/>
    <w:next w:val="Normal"/>
    <w:qFormat/>
    <w:rsid w:val="00497d25"/>
    <w:pPr>
      <w:jc w:val="center"/>
    </w:pPr>
    <w:rPr>
      <w:rFonts w:ascii="NewZurica" w:hAnsi="NewZurica" w:cs="Times New Roman"/>
      <w:szCs w:val="20"/>
    </w:rPr>
  </w:style>
  <w:style w:type="paragraph" w:styleId="Textoembloco1" w:customStyle="1">
    <w:name w:val="Texto em bloco1"/>
    <w:basedOn w:val="Normal"/>
    <w:qFormat/>
    <w:rsid w:val="00497d25"/>
    <w:pPr>
      <w:widowControl w:val="false"/>
      <w:ind w:left="-567" w:right="-801" w:firstLine="567"/>
      <w:jc w:val="both"/>
    </w:pPr>
    <w:rPr>
      <w:rFonts w:ascii="Times New Roman" w:hAnsi="Times New Roman" w:cs="Times New Roman"/>
      <w:sz w:val="20"/>
    </w:rPr>
  </w:style>
  <w:style w:type="paragraph" w:styleId="Contedodatabela" w:customStyle="1">
    <w:name w:val="Conteúdo da tabela"/>
    <w:basedOn w:val="Normal"/>
    <w:qFormat/>
    <w:rsid w:val="00497d25"/>
    <w:pPr>
      <w:suppressLineNumbers/>
    </w:pPr>
    <w:rPr>
      <w:rFonts w:ascii="Times New Roman" w:hAnsi="Times New Roman" w:cs="Times New Roman"/>
    </w:rPr>
  </w:style>
  <w:style w:type="paragraph" w:styleId="Ttulodatabela" w:customStyle="1">
    <w:name w:val="Título da tabela"/>
    <w:basedOn w:val="Contedodatabela"/>
    <w:qFormat/>
    <w:rsid w:val="00497d25"/>
    <w:pPr>
      <w:jc w:val="center"/>
    </w:pPr>
    <w:rPr>
      <w:b/>
      <w:bCs/>
    </w:rPr>
  </w:style>
  <w:style w:type="paragraph" w:styleId="Recuodecorpodetexto31" w:customStyle="1">
    <w:name w:val="Recuo de corpo de texto 31"/>
    <w:basedOn w:val="Normal"/>
    <w:qFormat/>
    <w:rsid w:val="00497d25"/>
    <w:pPr>
      <w:spacing w:before="0" w:after="120"/>
      <w:ind w:left="283" w:hanging="0"/>
    </w:pPr>
    <w:rPr>
      <w:rFonts w:ascii="Times New Roman" w:hAnsi="Times New Roman" w:cs="Times New Roman"/>
      <w:sz w:val="16"/>
      <w:szCs w:val="16"/>
    </w:rPr>
  </w:style>
  <w:style w:type="paragraph" w:styleId="Corpodetexto31" w:customStyle="1">
    <w:name w:val="Corpo de texto 31"/>
    <w:basedOn w:val="Normal"/>
    <w:qFormat/>
    <w:rsid w:val="00497d25"/>
    <w:pPr>
      <w:spacing w:before="0" w:after="120"/>
    </w:pPr>
    <w:rPr>
      <w:rFonts w:ascii="Times New Roman" w:hAnsi="Times New Roman" w:cs="Times New Roman"/>
      <w:sz w:val="16"/>
      <w:szCs w:val="16"/>
    </w:rPr>
  </w:style>
  <w:style w:type="paragraph" w:styleId="Ttulo31" w:customStyle="1">
    <w:name w:val="Título3"/>
    <w:basedOn w:val="Normal"/>
    <w:next w:val="Normal"/>
    <w:qFormat/>
    <w:rsid w:val="00497d25"/>
    <w:pPr>
      <w:tabs>
        <w:tab w:val="clear" w:pos="708"/>
        <w:tab w:val="left" w:pos="720" w:leader="none"/>
      </w:tabs>
      <w:spacing w:before="240" w:after="480"/>
      <w:jc w:val="both"/>
    </w:pPr>
    <w:rPr>
      <w:rFonts w:ascii="Arial" w:hAnsi="Arial" w:cs="Times New Roman"/>
      <w:b/>
      <w:caps/>
      <w:szCs w:val="20"/>
      <w:lang w:val="pt-PT"/>
    </w:rPr>
  </w:style>
  <w:style w:type="paragraph" w:styleId="Recuodecorpodetexto21" w:customStyle="1">
    <w:name w:val="Recuo de corpo de texto 21"/>
    <w:basedOn w:val="Normal"/>
    <w:qFormat/>
    <w:rsid w:val="00497d25"/>
    <w:pPr>
      <w:spacing w:lineRule="auto" w:line="480" w:before="0" w:after="120"/>
      <w:ind w:left="283" w:hanging="0"/>
    </w:pPr>
    <w:rPr>
      <w:rFonts w:ascii="Times New Roman" w:hAnsi="Times New Roman" w:cs="Times New Roman"/>
    </w:rPr>
  </w:style>
  <w:style w:type="paragraph" w:styleId="NoSpacing">
    <w:name w:val="No Spacing"/>
    <w:qFormat/>
    <w:rsid w:val="00497d25"/>
    <w:pPr>
      <w:widowControl/>
      <w:suppressAutoHyphens w:val="true"/>
      <w:bidi w:val="0"/>
      <w:spacing w:lineRule="auto" w:line="240" w:before="0" w:after="0"/>
      <w:jc w:val="left"/>
    </w:pPr>
    <w:rPr>
      <w:rFonts w:ascii="Calibri" w:hAnsi="Calibri" w:eastAsia="Arial" w:cs="Times New Roman" w:asciiTheme="minorHAnsi" w:hAnsiTheme="minorHAnsi"/>
      <w:color w:val="auto"/>
      <w:kern w:val="0"/>
      <w:sz w:val="24"/>
      <w:szCs w:val="22"/>
      <w:lang w:eastAsia="ar-SA" w:val="pt-BR" w:bidi="ar-SA"/>
    </w:rPr>
  </w:style>
  <w:style w:type="paragraph" w:styleId="Default" w:customStyle="1">
    <w:name w:val="Default"/>
    <w:qFormat/>
    <w:rsid w:val="00497d25"/>
    <w:pPr>
      <w:widowControl w:val="false"/>
      <w:suppressAutoHyphens w:val="true"/>
      <w:bidi w:val="0"/>
      <w:spacing w:lineRule="auto" w:line="240" w:before="0" w:after="0"/>
      <w:jc w:val="left"/>
    </w:pPr>
    <w:rPr>
      <w:rFonts w:ascii="Arial" w:hAnsi="Arial" w:eastAsia="Arial" w:cs="Arial"/>
      <w:color w:val="000000"/>
      <w:kern w:val="0"/>
      <w:sz w:val="24"/>
      <w:szCs w:val="24"/>
      <w:lang w:eastAsia="ar-SA" w:val="pt-BR" w:bidi="ar-SA"/>
    </w:rPr>
  </w:style>
  <w:style w:type="paragraph" w:styleId="Corpodetexto32" w:customStyle="1">
    <w:name w:val="Corpo de texto 32"/>
    <w:basedOn w:val="Normal"/>
    <w:qFormat/>
    <w:rsid w:val="00497d25"/>
    <w:pPr>
      <w:spacing w:before="0" w:after="120"/>
    </w:pPr>
    <w:rPr>
      <w:rFonts w:ascii="Times New Roman" w:hAnsi="Times New Roman" w:cs="Times New Roman"/>
      <w:sz w:val="16"/>
      <w:szCs w:val="16"/>
    </w:rPr>
  </w:style>
  <w:style w:type="paragraph" w:styleId="Xl68" w:customStyle="1">
    <w:name w:val="xl68"/>
    <w:basedOn w:val="Normal"/>
    <w:qFormat/>
    <w:rsid w:val="00497d25"/>
    <w:pPr>
      <w:suppressAutoHyphens w:val="false"/>
      <w:spacing w:beforeAutospacing="1" w:afterAutospacing="1"/>
    </w:pPr>
    <w:rPr>
      <w:rFonts w:ascii="Arial" w:hAnsi="Arial" w:cs="Arial"/>
      <w:lang w:eastAsia="pt-BR"/>
    </w:rPr>
  </w:style>
  <w:style w:type="paragraph" w:styleId="Xl69" w:customStyle="1">
    <w:name w:val="xl69"/>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center"/>
    </w:pPr>
    <w:rPr>
      <w:rFonts w:ascii="Arial" w:hAnsi="Arial" w:cs="Arial"/>
      <w:b/>
      <w:bCs/>
      <w:sz w:val="16"/>
      <w:szCs w:val="16"/>
      <w:lang w:eastAsia="pt-BR"/>
    </w:rPr>
  </w:style>
  <w:style w:type="paragraph" w:styleId="Xl70" w:customStyle="1">
    <w:name w:val="xl70"/>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71" w:customStyle="1">
    <w:name w:val="xl71"/>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center"/>
    </w:pPr>
    <w:rPr>
      <w:rFonts w:ascii="Arial" w:hAnsi="Arial" w:cs="Arial"/>
      <w:color w:val="000000"/>
      <w:sz w:val="16"/>
      <w:szCs w:val="16"/>
      <w:lang w:eastAsia="pt-BR"/>
    </w:rPr>
  </w:style>
  <w:style w:type="paragraph" w:styleId="Xl72" w:customStyle="1">
    <w:name w:val="xl72"/>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pPr>
    <w:rPr>
      <w:rFonts w:ascii="Arial" w:hAnsi="Arial" w:cs="Arial"/>
      <w:color w:val="000000"/>
      <w:sz w:val="16"/>
      <w:szCs w:val="16"/>
      <w:lang w:eastAsia="pt-BR"/>
    </w:rPr>
  </w:style>
  <w:style w:type="paragraph" w:styleId="Xl73" w:customStyle="1">
    <w:name w:val="xl73"/>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pPr>
    <w:rPr>
      <w:rFonts w:ascii="Arial" w:hAnsi="Arial" w:cs="Arial"/>
      <w:color w:val="000000"/>
      <w:sz w:val="16"/>
      <w:szCs w:val="16"/>
      <w:lang w:eastAsia="pt-BR"/>
    </w:rPr>
  </w:style>
  <w:style w:type="paragraph" w:styleId="Xl74" w:customStyle="1">
    <w:name w:val="xl74"/>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both"/>
    </w:pPr>
    <w:rPr>
      <w:rFonts w:ascii="Arial" w:hAnsi="Arial" w:cs="Arial"/>
      <w:color w:val="000000"/>
      <w:sz w:val="16"/>
      <w:szCs w:val="16"/>
      <w:lang w:eastAsia="pt-BR"/>
    </w:rPr>
  </w:style>
  <w:style w:type="paragraph" w:styleId="Xl75" w:customStyle="1">
    <w:name w:val="xl75"/>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76" w:customStyle="1">
    <w:name w:val="xl76"/>
    <w:basedOn w:val="Normal"/>
    <w:qFormat/>
    <w:rsid w:val="00497d25"/>
    <w:pPr>
      <w:pBdr>
        <w:top w:val="single" w:sz="4" w:space="0" w:color="000000"/>
        <w:left w:val="single" w:sz="4" w:space="0" w:color="000000"/>
        <w:bottom w:val="single" w:sz="4" w:space="0" w:color="000000"/>
      </w:pBdr>
      <w:suppressAutoHyphens w:val="false"/>
      <w:spacing w:beforeAutospacing="1" w:afterAutospacing="1"/>
      <w:jc w:val="center"/>
    </w:pPr>
    <w:rPr>
      <w:rFonts w:ascii="Arial" w:hAnsi="Arial" w:cs="Arial"/>
      <w:b/>
      <w:bCs/>
      <w:sz w:val="16"/>
      <w:szCs w:val="16"/>
      <w:lang w:eastAsia="pt-BR"/>
    </w:rPr>
  </w:style>
  <w:style w:type="paragraph" w:styleId="Xl77" w:customStyle="1">
    <w:name w:val="xl77"/>
    <w:basedOn w:val="Normal"/>
    <w:qFormat/>
    <w:rsid w:val="00497d25"/>
    <w:pPr>
      <w:pBdr>
        <w:top w:val="single" w:sz="4" w:space="0" w:color="000000"/>
        <w:bottom w:val="single" w:sz="4" w:space="0" w:color="000000"/>
        <w:right w:val="single" w:sz="4" w:space="0" w:color="000000"/>
      </w:pBdr>
      <w:suppressAutoHyphens w:val="false"/>
      <w:spacing w:beforeAutospacing="1" w:afterAutospacing="1"/>
      <w:jc w:val="center"/>
    </w:pPr>
    <w:rPr>
      <w:rFonts w:ascii="Arial" w:hAnsi="Arial" w:cs="Arial"/>
      <w:b/>
      <w:bCs/>
      <w:sz w:val="16"/>
      <w:szCs w:val="16"/>
      <w:lang w:eastAsia="pt-BR"/>
    </w:rPr>
  </w:style>
  <w:style w:type="paragraph" w:styleId="Xl78" w:customStyle="1">
    <w:name w:val="xl78"/>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center"/>
    </w:pPr>
    <w:rPr>
      <w:rFonts w:ascii="Arial" w:hAnsi="Arial" w:cs="Arial"/>
      <w:b/>
      <w:bCs/>
      <w:sz w:val="16"/>
      <w:szCs w:val="16"/>
      <w:lang w:eastAsia="pt-BR"/>
    </w:rPr>
  </w:style>
  <w:style w:type="paragraph" w:styleId="Xl79" w:customStyle="1">
    <w:name w:val="xl79"/>
    <w:basedOn w:val="Normal"/>
    <w:qFormat/>
    <w:rsid w:val="00497d25"/>
    <w:pPr>
      <w:suppressAutoHyphens w:val="false"/>
      <w:spacing w:beforeAutospacing="1" w:afterAutospacing="1"/>
    </w:pPr>
    <w:rPr>
      <w:rFonts w:ascii="Arial" w:hAnsi="Arial" w:cs="Arial"/>
      <w:lang w:eastAsia="pt-BR"/>
    </w:rPr>
  </w:style>
  <w:style w:type="paragraph" w:styleId="Xl80" w:customStyle="1">
    <w:name w:val="xl80"/>
    <w:basedOn w:val="Normal"/>
    <w:qFormat/>
    <w:rsid w:val="00497d25"/>
    <w:pPr>
      <w:pBdr>
        <w:top w:val="single" w:sz="4" w:space="0" w:color="000000"/>
        <w:left w:val="single" w:sz="4" w:space="0" w:color="000000"/>
        <w:bottom w:val="single" w:sz="4" w:space="0" w:color="000000"/>
      </w:pBdr>
      <w:suppressAutoHyphens w:val="false"/>
      <w:spacing w:beforeAutospacing="1" w:afterAutospacing="1"/>
      <w:jc w:val="center"/>
    </w:pPr>
    <w:rPr>
      <w:rFonts w:ascii="Arial" w:hAnsi="Arial" w:cs="Arial"/>
      <w:color w:val="000000"/>
      <w:sz w:val="16"/>
      <w:szCs w:val="16"/>
      <w:lang w:eastAsia="pt-BR"/>
    </w:rPr>
  </w:style>
  <w:style w:type="paragraph" w:styleId="Xl81" w:customStyle="1">
    <w:name w:val="xl81"/>
    <w:basedOn w:val="Normal"/>
    <w:qFormat/>
    <w:rsid w:val="00497d25"/>
    <w:pPr>
      <w:pBdr>
        <w:top w:val="single" w:sz="4" w:space="0" w:color="000000"/>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82" w:customStyle="1">
    <w:name w:val="xl82"/>
    <w:basedOn w:val="Normal"/>
    <w:qFormat/>
    <w:rsid w:val="00497d25"/>
    <w:pPr>
      <w:pBdr>
        <w:left w:val="single" w:sz="4" w:space="0" w:color="000000"/>
        <w:bottom w:val="single" w:sz="4" w:space="0" w:color="000000"/>
        <w:right w:val="single" w:sz="4" w:space="0" w:color="000000"/>
      </w:pBdr>
      <w:suppressAutoHyphens w:val="false"/>
      <w:spacing w:beforeAutospacing="1" w:afterAutospacing="1"/>
      <w:jc w:val="center"/>
    </w:pPr>
    <w:rPr>
      <w:rFonts w:ascii="Arial" w:hAnsi="Arial" w:cs="Arial"/>
      <w:color w:val="000000"/>
      <w:sz w:val="16"/>
      <w:szCs w:val="16"/>
      <w:lang w:eastAsia="pt-BR"/>
    </w:rPr>
  </w:style>
  <w:style w:type="paragraph" w:styleId="Xl83" w:customStyle="1">
    <w:name w:val="xl83"/>
    <w:basedOn w:val="Normal"/>
    <w:qFormat/>
    <w:rsid w:val="00497d25"/>
    <w:pPr>
      <w:pBdr>
        <w:left w:val="single" w:sz="4" w:space="0" w:color="000000"/>
        <w:bottom w:val="single" w:sz="4" w:space="0" w:color="000000"/>
        <w:right w:val="single" w:sz="4" w:space="0" w:color="000000"/>
      </w:pBdr>
      <w:suppressAutoHyphens w:val="false"/>
      <w:spacing w:beforeAutospacing="1" w:afterAutospacing="1"/>
    </w:pPr>
    <w:rPr>
      <w:rFonts w:ascii="Arial" w:hAnsi="Arial" w:cs="Arial"/>
      <w:color w:val="000000"/>
      <w:sz w:val="16"/>
      <w:szCs w:val="16"/>
      <w:lang w:eastAsia="pt-BR"/>
    </w:rPr>
  </w:style>
  <w:style w:type="paragraph" w:styleId="Xl84" w:customStyle="1">
    <w:name w:val="xl84"/>
    <w:basedOn w:val="Normal"/>
    <w:qFormat/>
    <w:rsid w:val="00497d25"/>
    <w:pPr>
      <w:pBdr>
        <w:left w:val="single" w:sz="4" w:space="0" w:color="000000"/>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85" w:customStyle="1">
    <w:name w:val="xl85"/>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right"/>
    </w:pPr>
    <w:rPr>
      <w:rFonts w:ascii="Arial" w:hAnsi="Arial" w:cs="Arial"/>
      <w:sz w:val="16"/>
      <w:szCs w:val="16"/>
      <w:lang w:eastAsia="pt-BR"/>
    </w:rPr>
  </w:style>
  <w:style w:type="paragraph" w:styleId="Xl86" w:customStyle="1">
    <w:name w:val="xl86"/>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center"/>
    </w:pPr>
    <w:rPr>
      <w:rFonts w:ascii="Arial" w:hAnsi="Arial" w:cs="Arial"/>
      <w:sz w:val="16"/>
      <w:szCs w:val="16"/>
      <w:lang w:eastAsia="pt-BR"/>
    </w:rPr>
  </w:style>
  <w:style w:type="paragraph" w:styleId="Xl87" w:customStyle="1">
    <w:name w:val="xl87"/>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88" w:customStyle="1">
    <w:name w:val="xl88"/>
    <w:basedOn w:val="Normal"/>
    <w:qFormat/>
    <w:rsid w:val="00497d25"/>
    <w:pPr>
      <w:pBdr>
        <w:top w:val="single" w:sz="4" w:space="0" w:color="000000"/>
        <w:left w:val="single" w:sz="4" w:space="0" w:color="000000"/>
        <w:bottom w:val="single" w:sz="4" w:space="0" w:color="000000"/>
      </w:pBdr>
      <w:suppressAutoHyphens w:val="false"/>
      <w:spacing w:beforeAutospacing="1" w:afterAutospacing="1"/>
      <w:jc w:val="center"/>
    </w:pPr>
    <w:rPr>
      <w:rFonts w:ascii="Arial" w:hAnsi="Arial" w:cs="Arial"/>
      <w:sz w:val="16"/>
      <w:szCs w:val="16"/>
      <w:lang w:eastAsia="pt-BR"/>
    </w:rPr>
  </w:style>
  <w:style w:type="paragraph" w:styleId="Xl89" w:customStyle="1">
    <w:name w:val="xl89"/>
    <w:basedOn w:val="Normal"/>
    <w:qFormat/>
    <w:rsid w:val="00497d25"/>
    <w:pPr>
      <w:pBdr>
        <w:top w:val="single" w:sz="4" w:space="0" w:color="000000"/>
        <w:bottom w:val="single" w:sz="4" w:space="0" w:color="000000"/>
      </w:pBdr>
      <w:suppressAutoHyphens w:val="false"/>
      <w:spacing w:beforeAutospacing="1" w:afterAutospacing="1"/>
    </w:pPr>
    <w:rPr>
      <w:rFonts w:ascii="Arial" w:hAnsi="Arial" w:cs="Arial"/>
      <w:sz w:val="16"/>
      <w:szCs w:val="16"/>
      <w:lang w:eastAsia="pt-BR"/>
    </w:rPr>
  </w:style>
  <w:style w:type="paragraph" w:styleId="Xl90" w:customStyle="1">
    <w:name w:val="xl90"/>
    <w:basedOn w:val="Normal"/>
    <w:qFormat/>
    <w:rsid w:val="00497d25"/>
    <w:pPr>
      <w:pBdr>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91" w:customStyle="1">
    <w:name w:val="xl91"/>
    <w:basedOn w:val="Normal"/>
    <w:qFormat/>
    <w:rsid w:val="00497d25"/>
    <w:pPr>
      <w:pBdr>
        <w:top w:val="single" w:sz="4" w:space="0" w:color="000000"/>
        <w:bottom w:val="single" w:sz="4" w:space="0" w:color="000000"/>
      </w:pBdr>
      <w:suppressAutoHyphens w:val="false"/>
      <w:spacing w:beforeAutospacing="1" w:afterAutospacing="1"/>
      <w:jc w:val="center"/>
    </w:pPr>
    <w:rPr>
      <w:rFonts w:ascii="Arial" w:hAnsi="Arial" w:cs="Arial"/>
      <w:b/>
      <w:bCs/>
      <w:sz w:val="16"/>
      <w:szCs w:val="16"/>
      <w:lang w:eastAsia="pt-BR"/>
    </w:rPr>
  </w:style>
  <w:style w:type="paragraph" w:styleId="Xl92" w:customStyle="1">
    <w:name w:val="xl92"/>
    <w:basedOn w:val="Normal"/>
    <w:qFormat/>
    <w:rsid w:val="00497d25"/>
    <w:pPr>
      <w:pBdr>
        <w:top w:val="single" w:sz="4" w:space="0" w:color="000000"/>
        <w:left w:val="single" w:sz="4" w:space="0" w:color="000000"/>
        <w:bottom w:val="single" w:sz="4" w:space="0" w:color="000000"/>
      </w:pBdr>
      <w:suppressAutoHyphens w:val="false"/>
      <w:spacing w:beforeAutospacing="1" w:afterAutospacing="1"/>
    </w:pPr>
    <w:rPr>
      <w:rFonts w:ascii="Arial" w:hAnsi="Arial" w:cs="Arial"/>
      <w:sz w:val="16"/>
      <w:szCs w:val="16"/>
      <w:lang w:eastAsia="pt-BR"/>
    </w:rPr>
  </w:style>
  <w:style w:type="paragraph" w:styleId="Xl93" w:customStyle="1">
    <w:name w:val="xl93"/>
    <w:basedOn w:val="Normal"/>
    <w:qFormat/>
    <w:rsid w:val="00497d25"/>
    <w:pPr>
      <w:pBdr>
        <w:top w:val="single" w:sz="4" w:space="0" w:color="000000"/>
        <w:left w:val="single" w:sz="4" w:space="0" w:color="000000"/>
        <w:bottom w:val="single" w:sz="4" w:space="0" w:color="000000"/>
      </w:pBdr>
      <w:suppressAutoHyphens w:val="false"/>
      <w:spacing w:beforeAutospacing="1" w:afterAutospacing="1"/>
      <w:jc w:val="center"/>
    </w:pPr>
    <w:rPr>
      <w:rFonts w:ascii="Arial" w:hAnsi="Arial" w:cs="Arial"/>
      <w:color w:val="000000"/>
      <w:sz w:val="16"/>
      <w:szCs w:val="16"/>
      <w:lang w:eastAsia="pt-BR"/>
    </w:rPr>
  </w:style>
  <w:style w:type="paragraph" w:styleId="Xl94" w:customStyle="1">
    <w:name w:val="xl94"/>
    <w:basedOn w:val="Normal"/>
    <w:qFormat/>
    <w:rsid w:val="00497d25"/>
    <w:pPr>
      <w:pBdr>
        <w:top w:val="single" w:sz="4" w:space="0" w:color="000000"/>
        <w:left w:val="single" w:sz="4" w:space="0" w:color="000000"/>
        <w:bottom w:val="single" w:sz="4" w:space="0" w:color="000000"/>
      </w:pBdr>
      <w:suppressAutoHyphens w:val="false"/>
      <w:spacing w:beforeAutospacing="1" w:afterAutospacing="1"/>
      <w:jc w:val="center"/>
    </w:pPr>
    <w:rPr>
      <w:rFonts w:ascii="Arial" w:hAnsi="Arial" w:cs="Arial"/>
      <w:sz w:val="16"/>
      <w:szCs w:val="16"/>
      <w:lang w:eastAsia="pt-BR"/>
    </w:rPr>
  </w:style>
  <w:style w:type="paragraph" w:styleId="ListBullet5">
    <w:name w:val="List Bullet 5"/>
    <w:basedOn w:val="Normal"/>
    <w:qFormat/>
    <w:rsid w:val="00497d25"/>
    <w:pPr>
      <w:suppressAutoHyphens w:val="false"/>
      <w:spacing w:before="0" w:after="0"/>
      <w:contextualSpacing/>
    </w:pPr>
    <w:rPr>
      <w:lang w:eastAsia="pt-BR"/>
    </w:rPr>
  </w:style>
  <w:style w:type="paragraph" w:styleId="Nivel01" w:customStyle="1">
    <w:name w:val="Nivel 01"/>
    <w:basedOn w:val="Ttulo1"/>
    <w:next w:val="Normal"/>
    <w:link w:val="Nivel01Char"/>
    <w:qFormat/>
    <w:rsid w:val="00497d25"/>
    <w:pPr>
      <w:keepLines/>
      <w:tabs>
        <w:tab w:val="clear" w:pos="708"/>
        <w:tab w:val="left" w:pos="567" w:leader="none"/>
      </w:tabs>
      <w:suppressAutoHyphens w:val="false"/>
      <w:spacing w:before="240" w:after="0"/>
      <w:ind w:left="360" w:hanging="360"/>
      <w:jc w:val="both"/>
    </w:pPr>
    <w:rPr>
      <w:rFonts w:ascii="Ecofont_Spranq_eco_Sans" w:hAnsi="Ecofont_Spranq_eco_Sans" w:eastAsia="MS Gothic"/>
      <w:color w:val="000000"/>
      <w:kern w:val="0"/>
      <w:sz w:val="20"/>
      <w:szCs w:val="20"/>
      <w:lang w:eastAsia="pt-BR"/>
    </w:rPr>
  </w:style>
  <w:style w:type="paragraph" w:styleId="PADRO" w:customStyle="1">
    <w:name w:val="PADRÃO"/>
    <w:qFormat/>
    <w:rsid w:val="00497d25"/>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eastAsia="zh-CN" w:bidi="hi-IN" w:val="pt-BR"/>
    </w:rPr>
  </w:style>
  <w:style w:type="paragraph" w:styleId="Nivel1" w:customStyle="1">
    <w:name w:val="Nivel1"/>
    <w:basedOn w:val="Ttulo1"/>
    <w:next w:val="Normal"/>
    <w:link w:val="Nivel1Char"/>
    <w:qFormat/>
    <w:rsid w:val="00497d25"/>
    <w:pPr>
      <w:keepLines/>
      <w:tabs>
        <w:tab w:val="clear" w:pos="708"/>
        <w:tab w:val="left" w:pos="0" w:leader="none"/>
      </w:tabs>
      <w:suppressAutoHyphens w:val="false"/>
      <w:spacing w:lineRule="auto" w:line="276" w:before="480" w:after="120"/>
      <w:ind w:left="588" w:hanging="360"/>
      <w:jc w:val="both"/>
    </w:pPr>
    <w:rPr>
      <w:rFonts w:ascii="Arial" w:hAnsi="Arial" w:cs="Arial"/>
      <w:bCs w:val="false"/>
      <w:color w:val="000000"/>
      <w:kern w:val="0"/>
      <w:sz w:val="20"/>
      <w:szCs w:val="20"/>
      <w:lang w:eastAsia="pt-BR"/>
    </w:rPr>
  </w:style>
  <w:style w:type="paragraph" w:styleId="PargrafodaLista1" w:customStyle="1">
    <w:name w:val="Parágrafo da Lista1"/>
    <w:basedOn w:val="Normal"/>
    <w:qFormat/>
    <w:rsid w:val="00497d25"/>
    <w:pPr>
      <w:suppressAutoHyphens w:val="false"/>
      <w:ind w:left="720" w:hanging="0"/>
    </w:pPr>
    <w:rPr>
      <w:rFonts w:cs="Ecofont_Spranq_eco_Sans"/>
      <w:lang w:eastAsia="pt-BR"/>
    </w:rPr>
  </w:style>
  <w:style w:type="paragraph" w:styleId="Nivel2" w:customStyle="1">
    <w:name w:val="Nivel 2"/>
    <w:link w:val="Nivel2Char"/>
    <w:qFormat/>
    <w:rsid w:val="00497d25"/>
    <w:pPr>
      <w:widowControl/>
      <w:bidi w:val="0"/>
      <w:spacing w:lineRule="auto" w:line="276" w:before="120" w:after="120"/>
      <w:jc w:val="both"/>
    </w:pPr>
    <w:rPr>
      <w:rFonts w:ascii="Ecofont_Spranq_eco_Sans" w:hAnsi="Ecofont_Spranq_eco_Sans" w:eastAsia="Arial Unicode MS" w:cs="Times New Roman"/>
      <w:color w:val="auto"/>
      <w:kern w:val="0"/>
      <w:sz w:val="20"/>
      <w:szCs w:val="20"/>
      <w:lang w:eastAsia="pt-BR" w:val="pt-BR" w:bidi="ar-SA"/>
    </w:rPr>
  </w:style>
  <w:style w:type="paragraph" w:styleId="Nivel11" w:customStyle="1">
    <w:name w:val="Nivel 1"/>
    <w:basedOn w:val="Nivel2"/>
    <w:next w:val="Nivel2"/>
    <w:qFormat/>
    <w:rsid w:val="00497d25"/>
    <w:pPr>
      <w:tabs>
        <w:tab w:val="clear" w:pos="708"/>
        <w:tab w:val="left" w:pos="0" w:leader="none"/>
        <w:tab w:val="left" w:pos="360" w:leader="none"/>
      </w:tabs>
      <w:ind w:left="644" w:hanging="432"/>
    </w:pPr>
    <w:rPr>
      <w:rFonts w:cs="Arial"/>
      <w:b/>
    </w:rPr>
  </w:style>
  <w:style w:type="paragraph" w:styleId="Nivel3" w:customStyle="1">
    <w:name w:val="Nivel 3"/>
    <w:basedOn w:val="Nivel2"/>
    <w:qFormat/>
    <w:rsid w:val="00497d25"/>
    <w:pPr>
      <w:tabs>
        <w:tab w:val="clear" w:pos="708"/>
        <w:tab w:val="left" w:pos="0" w:leader="none"/>
        <w:tab w:val="left" w:pos="360" w:leader="none"/>
      </w:tabs>
      <w:ind w:left="1922" w:hanging="360"/>
    </w:pPr>
    <w:rPr>
      <w:rFonts w:cs="Arial"/>
      <w:color w:val="000000"/>
    </w:rPr>
  </w:style>
  <w:style w:type="paragraph" w:styleId="Nivel4" w:customStyle="1">
    <w:name w:val="Nivel 4"/>
    <w:basedOn w:val="Nivel3"/>
    <w:qFormat/>
    <w:rsid w:val="00497d25"/>
    <w:pPr>
      <w:tabs>
        <w:tab w:val="left" w:pos="0" w:leader="none"/>
        <w:tab w:val="left" w:pos="360" w:leader="none"/>
      </w:tabs>
      <w:ind w:left="2491" w:hanging="360"/>
    </w:pPr>
    <w:rPr>
      <w:color w:val="auto"/>
    </w:rPr>
  </w:style>
  <w:style w:type="paragraph" w:styleId="Nivel5" w:customStyle="1">
    <w:name w:val="Nivel 5"/>
    <w:basedOn w:val="Nivel4"/>
    <w:qFormat/>
    <w:rsid w:val="00497d25"/>
    <w:pPr>
      <w:tabs>
        <w:tab w:val="left" w:pos="0" w:leader="none"/>
        <w:tab w:val="left" w:pos="360" w:leader="none"/>
      </w:tabs>
      <w:ind w:left="3485" w:hanging="360"/>
    </w:pPr>
    <w:rPr/>
  </w:style>
  <w:style w:type="paragraph" w:styleId="Citao1" w:customStyle="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false"/>
      <w:spacing w:before="120" w:after="0"/>
      <w:jc w:val="both"/>
    </w:pPr>
    <w:rPr>
      <w:rFonts w:cs="Ecofont_Spranq_eco_Sans"/>
      <w:i/>
      <w:iCs/>
      <w:color w:val="000000"/>
      <w:shd w:fill="FFFFCC" w:val="clear"/>
      <w:lang w:eastAsia="en-US"/>
    </w:rPr>
  </w:style>
  <w:style w:type="paragraph" w:styleId="Xxmsonormal" w:customStyle="1">
    <w:name w:val="x_x_msonormal"/>
    <w:basedOn w:val="Normal"/>
    <w:qFormat/>
    <w:rsid w:val="00497d25"/>
    <w:pPr>
      <w:suppressAutoHyphens w:val="false"/>
      <w:spacing w:beforeAutospacing="1" w:afterAutospacing="1"/>
    </w:pPr>
    <w:rPr>
      <w:rFonts w:ascii="Times New Roman" w:hAnsi="Times New Roman" w:cs="Times New Roman"/>
      <w:lang w:eastAsia="pt-BR"/>
    </w:rPr>
  </w:style>
  <w:style w:type="paragraph" w:styleId="Xxtextopadro" w:customStyle="1">
    <w:name w:val="x_x_textopadro"/>
    <w:basedOn w:val="Normal"/>
    <w:qFormat/>
    <w:rsid w:val="00497d25"/>
    <w:pPr>
      <w:suppressAutoHyphens w:val="false"/>
      <w:spacing w:beforeAutospacing="1" w:afterAutospacing="1"/>
    </w:pPr>
    <w:rPr>
      <w:rFonts w:ascii="Times New Roman" w:hAnsi="Times New Roman" w:cs="Times New Roman"/>
      <w:lang w:eastAsia="pt-BR"/>
    </w:rPr>
  </w:style>
  <w:style w:type="paragraph" w:styleId="Standard" w:customStyle="1">
    <w:name w:val="Standard"/>
    <w:qFormat/>
    <w:rsid w:val="00bd0401"/>
    <w:pPr>
      <w:widowControl w:val="false"/>
      <w:suppressAutoHyphens w:val="true"/>
      <w:bidi w:val="0"/>
      <w:spacing w:lineRule="auto" w:line="240" w:before="0" w:after="0"/>
      <w:jc w:val="left"/>
      <w:textAlignment w:val="baseline"/>
    </w:pPr>
    <w:rPr>
      <w:rFonts w:ascii="Calibri" w:hAnsi="Calibri" w:eastAsia="Arial" w:cs="Tahoma"/>
      <w:color w:val="000000"/>
      <w:kern w:val="2"/>
      <w:sz w:val="24"/>
      <w:szCs w:val="24"/>
      <w:lang w:val="en-US" w:eastAsia="pt-BR" w:bidi="hi-IN"/>
    </w:rPr>
  </w:style>
  <w:style w:type="numbering" w:styleId="NoList" w:default="1">
    <w:name w:val="No List"/>
    <w:uiPriority w:val="99"/>
    <w:semiHidden/>
    <w:unhideWhenUsed/>
    <w:qFormat/>
  </w:style>
  <w:style w:type="numbering" w:styleId="Estilo1" w:customStyle="1">
    <w:name w:val="Estilo1"/>
    <w:uiPriority w:val="99"/>
    <w:qFormat/>
    <w:rsid w:val="00497d25"/>
  </w:style>
  <w:style w:type="numbering" w:styleId="Estilo2" w:customStyle="1">
    <w:name w:val="Estilo2"/>
    <w:uiPriority w:val="99"/>
    <w:qFormat/>
    <w:rsid w:val="00497d25"/>
  </w:style>
  <w:style w:type="numbering" w:styleId="Estilo3" w:customStyle="1">
    <w:name w:val="Estilo3"/>
    <w:uiPriority w:val="99"/>
    <w:qFormat/>
    <w:rsid w:val="00497d25"/>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497d25"/>
    <w:pPr>
      <w:spacing w:after="0" w:line="240" w:lineRule="auto"/>
    </w:pPr>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hyperlink" Target="http://www.comprasnet.gov.br/"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Application>LibreOffice/6.2.5.2$Windows_x86 LibreOffice_project/1ec314fa52f458adc18c4f025c545a4e8b22c159</Application>
  <Pages>13</Pages>
  <Words>4218</Words>
  <Characters>23948</Characters>
  <CharactersWithSpaces>27994</CharactersWithSpaces>
  <Paragraphs>188</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2023-09-06T19:23:00Z</dcterms:created>
  <dc:creator>S Ten Ary</dc:creator>
  <dc:description/>
  <dc:language>pt-BR</dc:language>
  <cp:lastModifiedBy/>
  <dcterms:modified xsi:type="dcterms:W3CDTF">2023-10-25T12:46:18Z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