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284" w:right="-568" w:hanging="0"/>
        <w:jc w:val="center"/>
        <w:rPr>
          <w:rFonts w:ascii="Times New Roman" w:hAnsi="Times New Roman" w:cs="Times New Roman"/>
          <w:sz w:val="22"/>
          <w:szCs w:val="22"/>
        </w:rPr>
      </w:pPr>
      <w:r>
        <w:rPr/>
        <w:drawing>
          <wp:inline distT="0" distB="0" distL="0" distR="0">
            <wp:extent cx="733425" cy="69088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733425" cy="690880"/>
                    </a:xfrm>
                    <a:prstGeom prst="rect">
                      <a:avLst/>
                    </a:prstGeom>
                  </pic:spPr>
                </pic:pic>
              </a:graphicData>
            </a:graphic>
          </wp:inline>
        </w:drawing>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MINISTÉRIO DA DEFESA</w:t>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EXÉRCITO BRASILEIRO</w:t>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CML   -   1ª DE</w:t>
      </w:r>
    </w:p>
    <w:p>
      <w:pPr>
        <w:pStyle w:val="Normal"/>
        <w:widowControl w:val="false"/>
        <w:ind w:left="-284" w:right="-568" w:hanging="0"/>
        <w:jc w:val="center"/>
        <w:rPr>
          <w:rFonts w:ascii="Times New Roman" w:hAnsi="Times New Roman" w:cs="Times New Roman"/>
        </w:rPr>
      </w:pPr>
      <w:r>
        <w:rPr>
          <w:rFonts w:cs="Times New Roman" w:ascii="Times New Roman" w:hAnsi="Times New Roman"/>
          <w:sz w:val="22"/>
          <w:szCs w:val="22"/>
        </w:rPr>
        <w:t>GRUPAMENTO DE UNIDADES ESCOLA - 9ª BRIGADA DE INFANTARIA MOTORIZADA</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pPr>
      <w:r>
        <w:rPr>
          <w:rFonts w:cs="Times New Roman" w:ascii="Times New Roman" w:hAnsi="Times New Roman"/>
          <w:b/>
        </w:rPr>
        <w:t>TERMO DE REFERÊNCIA DA DISPENSA ELETRÔNICA Nº 57/2023</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rPr>
      </w:pPr>
      <w:r>
        <w:rPr>
          <w:rFonts w:cs="Times New Roman" w:ascii="Times New Roman" w:hAnsi="Times New Roman"/>
          <w:u w:val="single"/>
        </w:rPr>
        <w:t>1. INTRODUÇÃO</w:t>
      </w:r>
      <w:r>
        <w:rPr>
          <w:rFonts w:cs="Times New Roman" w:ascii="Times New Roman" w:hAnsi="Times New Roman"/>
        </w:rPr>
        <w:t>:</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1.1. O Comando do Grupamento de Unidades Escola - 9ª Brigada de Infantaria Motorizada necessita dos serviços descritos no presente Termo de Referência.</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rPr>
      </w:pPr>
      <w:r>
        <w:rPr>
          <w:rFonts w:cs="Times New Roman" w:ascii="Times New Roman" w:hAnsi="Times New Roman"/>
          <w:u w:val="single"/>
        </w:rPr>
        <w:t>2. OBJETIVO E VALOR DE REFERÊNCIA</w:t>
      </w:r>
      <w:r>
        <w:rPr>
          <w:rFonts w:cs="Times New Roman" w:ascii="Times New Roman" w:hAnsi="Times New Roman"/>
        </w:rPr>
        <w:t>:</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pPr>
      <w:r>
        <w:rPr>
          <w:rFonts w:cs="Times New Roman" w:ascii="Times New Roman" w:hAnsi="Times New Roman"/>
        </w:rPr>
        <w:t xml:space="preserve">2.1. Grupamento de Unidades Escola - 9ª Brigada de Infantaria Motorizada deseja realizar </w:t>
      </w:r>
      <w:r>
        <w:rPr>
          <w:rFonts w:cs="Times New Roman" w:ascii="Times New Roman" w:hAnsi="Times New Roman"/>
          <w:color w:val="000000"/>
        </w:rPr>
        <w:t xml:space="preserve">a compra de pilha e bateria alcalina para </w:t>
      </w:r>
      <w:r>
        <w:rPr>
          <w:rFonts w:cs="Times New Roman" w:ascii="Times New Roman" w:hAnsi="Times New Roman"/>
        </w:rPr>
        <w:t>o 9º Pel PE do Grupamento de Unidades Escola - 9ª Brigada de Infantaria Motorizada.</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2.2. A emissão de Notas de Empenho para as empresas vencedoras está condicionada à homologação dos itens da Dispensa de Licitação pelo Ordenador de Despesas do Comando do Grupamento de Unidades Escola - 9ª Brigada de Infantaria Motorizada e à disponibilidade dos créditos necessários à presente contratação.</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2.3. Os produtos em referência compreendem a tabela descrita a seguir:</w:t>
      </w:r>
    </w:p>
    <w:p>
      <w:pPr>
        <w:pStyle w:val="Normal"/>
        <w:ind w:left="-284" w:hanging="0"/>
        <w:rPr>
          <w:rFonts w:ascii="Times New Roman" w:hAnsi="Times New Roman" w:cs="Times New Roman"/>
        </w:rPr>
      </w:pPr>
      <w:r>
        <w:rPr>
          <w:rFonts w:cs="Times New Roman" w:ascii="Times New Roman" w:hAnsi="Times New Roman"/>
        </w:rPr>
      </w:r>
    </w:p>
    <w:p>
      <w:pPr>
        <w:pStyle w:val="Normal"/>
        <w:ind w:left="-284" w:right="-994" w:hanging="0"/>
        <w:rPr>
          <w:rFonts w:ascii="Times New Roman" w:hAnsi="Times New Roman" w:cs="Times New Roman"/>
        </w:rPr>
      </w:pPr>
      <w:r>
        <w:rPr>
          <w:rFonts w:cs="Times New Roman" w:ascii="Times New Roman" w:hAnsi="Times New Roman"/>
        </w:rPr>
      </w:r>
    </w:p>
    <w:tbl>
      <w:tblPr>
        <w:tblW w:w="9782" w:type="dxa"/>
        <w:jc w:val="left"/>
        <w:tblInd w:w="-214" w:type="dxa"/>
        <w:tblCellMar>
          <w:top w:w="0" w:type="dxa"/>
          <w:left w:w="70" w:type="dxa"/>
          <w:bottom w:w="0" w:type="dxa"/>
          <w:right w:w="70" w:type="dxa"/>
        </w:tblCellMar>
        <w:tblLook w:firstRow="0" w:noVBand="0" w:lastRow="0" w:firstColumn="0" w:lastColumn="0" w:noHBand="0" w:val="0000"/>
      </w:tblPr>
      <w:tblGrid>
        <w:gridCol w:w="9782"/>
      </w:tblGrid>
      <w:tr>
        <w:trPr>
          <w:trHeight w:val="276" w:hRule="atLeast"/>
        </w:trPr>
        <w:tc>
          <w:tcPr>
            <w:tcW w:w="9782"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napToGrid w:val="false"/>
              <w:jc w:val="center"/>
              <w:rPr>
                <w:rFonts w:ascii="Times New Roman" w:hAnsi="Times New Roman" w:cs="Times New Roman"/>
                <w:b/>
                <w:b/>
                <w:bCs/>
              </w:rPr>
            </w:pPr>
            <w:r>
              <w:rPr>
                <w:rFonts w:cs="Times New Roman" w:ascii="Times New Roman" w:hAnsi="Times New Roman"/>
                <w:b/>
                <w:bCs/>
              </w:rPr>
            </w:r>
          </w:p>
          <w:p>
            <w:pPr>
              <w:pStyle w:val="Normal"/>
              <w:jc w:val="center"/>
              <w:rPr>
                <w:rFonts w:ascii="Times New Roman" w:hAnsi="Times New Roman" w:cs="Times New Roman"/>
                <w:b/>
                <w:b/>
                <w:bCs/>
              </w:rPr>
            </w:pPr>
            <w:r>
              <w:rPr>
                <w:rFonts w:cs="Times New Roman" w:ascii="Times New Roman" w:hAnsi="Times New Roman"/>
                <w:b/>
                <w:bCs/>
              </w:rPr>
              <w:t>AVISO IMPORTANTE</w:t>
            </w:r>
          </w:p>
          <w:p>
            <w:pPr>
              <w:pStyle w:val="Normal"/>
              <w:jc w:val="both"/>
              <w:rPr>
                <w:rFonts w:ascii="Times New Roman" w:hAnsi="Times New Roman" w:cs="Times New Roman"/>
                <w:b/>
                <w:b/>
              </w:rPr>
            </w:pPr>
            <w:r>
              <w:rPr>
                <w:rFonts w:cs="Times New Roman" w:ascii="Times New Roman" w:hAnsi="Times New Roman"/>
                <w:b/>
              </w:rPr>
            </w:r>
          </w:p>
          <w:p>
            <w:pPr>
              <w:pStyle w:val="Normal"/>
              <w:spacing w:lineRule="auto" w:line="360"/>
              <w:jc w:val="both"/>
              <w:rPr>
                <w:rFonts w:ascii="Times New Roman" w:hAnsi="Times New Roman" w:cs="Times New Roman"/>
              </w:rPr>
            </w:pPr>
            <w:r>
              <w:rPr>
                <w:rFonts w:cs="Times New Roman" w:ascii="Times New Roman" w:hAnsi="Times New Roman"/>
              </w:rPr>
              <w:t>Com finalidade de facilitar a busca de produtos por parte dos fornecedores, podem ter citados EXEMPLOS de produtos e marcas que atendem as exigências do presente Termo de Referência. Todas as marcas e produtos citados neste termo são apenas para fins de exemplificação.</w:t>
            </w:r>
          </w:p>
          <w:p>
            <w:pPr>
              <w:pStyle w:val="Normal"/>
              <w:jc w:val="both"/>
              <w:rPr>
                <w:rFonts w:ascii="Times New Roman" w:hAnsi="Times New Roman" w:cs="Times New Roman"/>
                <w:b/>
                <w:b/>
              </w:rPr>
            </w:pPr>
            <w:r>
              <w:rPr>
                <w:rFonts w:cs="Times New Roman" w:ascii="Times New Roman" w:hAnsi="Times New Roman"/>
                <w:b/>
              </w:rPr>
            </w:r>
          </w:p>
          <w:p>
            <w:pPr>
              <w:pStyle w:val="Normal"/>
              <w:jc w:val="both"/>
              <w:rPr>
                <w:rFonts w:ascii="Times New Roman" w:hAnsi="Times New Roman" w:cs="Times New Roman"/>
                <w:b/>
                <w:b/>
                <w:bCs/>
              </w:rPr>
            </w:pPr>
            <w:r>
              <w:rPr>
                <w:rFonts w:cs="Times New Roman" w:ascii="Times New Roman" w:hAnsi="Times New Roman"/>
                <w:b/>
                <w:bCs/>
              </w:rPr>
            </w:r>
          </w:p>
        </w:tc>
      </w:tr>
    </w:tbl>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tbl>
      <w:tblPr>
        <w:tblW w:w="8418" w:type="dxa"/>
        <w:jc w:val="left"/>
        <w:tblInd w:w="-214" w:type="dxa"/>
        <w:tblCellMar>
          <w:top w:w="0" w:type="dxa"/>
          <w:left w:w="70" w:type="dxa"/>
          <w:bottom w:w="0" w:type="dxa"/>
          <w:right w:w="70" w:type="dxa"/>
        </w:tblCellMar>
        <w:tblLook w:firstRow="1" w:noVBand="1" w:lastRow="0" w:firstColumn="1" w:lastColumn="0" w:noHBand="0" w:val="04a0"/>
      </w:tblPr>
      <w:tblGrid>
        <w:gridCol w:w="705"/>
        <w:gridCol w:w="634"/>
        <w:gridCol w:w="3274"/>
        <w:gridCol w:w="1"/>
        <w:gridCol w:w="991"/>
        <w:gridCol w:w="1"/>
        <w:gridCol w:w="1462"/>
        <w:gridCol w:w="1"/>
        <w:gridCol w:w="1349"/>
      </w:tblGrid>
      <w:tr>
        <w:trPr>
          <w:trHeight w:val="290" w:hRule="atLeast"/>
        </w:trPr>
        <w:tc>
          <w:tcPr>
            <w:tcW w:w="705"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ITEM</w:t>
            </w:r>
          </w:p>
        </w:tc>
        <w:tc>
          <w:tcPr>
            <w:tcW w:w="3908"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ESPECIFICAÇÃO DO SERVIÇO</w:t>
            </w:r>
          </w:p>
        </w:tc>
        <w:tc>
          <w:tcPr>
            <w:tcW w:w="992"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pPr>
            <w:r>
              <w:rPr>
                <w:rFonts w:cs="Times New Roman" w:ascii="Times New Roman" w:hAnsi="Times New Roman"/>
                <w:b/>
                <w:bCs/>
                <w:sz w:val="20"/>
                <w:szCs w:val="20"/>
                <w:lang w:eastAsia="pt-BR"/>
              </w:rPr>
              <w:t>QTD</w:t>
            </w:r>
          </w:p>
        </w:tc>
        <w:tc>
          <w:tcPr>
            <w:tcW w:w="1463"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VALOR DE REFERÊNCIA</w:t>
            </w:r>
          </w:p>
        </w:tc>
        <w:tc>
          <w:tcPr>
            <w:tcW w:w="1350"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VALOR TOTAL</w:t>
            </w:r>
          </w:p>
        </w:tc>
      </w:tr>
      <w:tr>
        <w:trPr>
          <w:trHeight w:val="407" w:hRule="atLeast"/>
        </w:trPr>
        <w:tc>
          <w:tcPr>
            <w:tcW w:w="70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3908"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992"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1463"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1350"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r>
      <w:tr>
        <w:trPr>
          <w:trHeight w:val="238" w:hRule="atLeast"/>
        </w:trPr>
        <w:tc>
          <w:tcPr>
            <w:tcW w:w="7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jc w:val="center"/>
              <w:rPr>
                <w:rFonts w:ascii="Times New Roman" w:hAnsi="Times New Roman" w:cs="Times New Roman"/>
                <w:color w:val="auto"/>
                <w:lang w:val="pt-BR"/>
              </w:rPr>
            </w:pPr>
            <w:r>
              <w:rPr>
                <w:rFonts w:cs="Times New Roman" w:ascii="Times New Roman" w:hAnsi="Times New Roman"/>
                <w:color w:val="auto"/>
                <w:sz w:val="24"/>
                <w:szCs w:val="24"/>
                <w:lang w:val="pt-BR"/>
              </w:rPr>
              <w:t>01</w:t>
            </w:r>
          </w:p>
        </w:tc>
        <w:tc>
          <w:tcPr>
            <w:tcW w:w="3908" w:type="dxa"/>
            <w:gridSpan w:val="2"/>
            <w:tcBorders>
              <w:top w:val="single" w:sz="4" w:space="0" w:color="000000"/>
              <w:bottom w:val="single" w:sz="4" w:space="0" w:color="000000"/>
              <w:right w:val="single" w:sz="4" w:space="0" w:color="000000"/>
            </w:tcBorders>
            <w:shd w:color="auto" w:fill="auto" w:val="clear"/>
          </w:tcPr>
          <w:p>
            <w:pPr>
              <w:pStyle w:val="Normal"/>
              <w:rPr>
                <w:rFonts w:ascii="Times New Roman" w:hAnsi="Times New Roman"/>
                <w:sz w:val="24"/>
                <w:szCs w:val="24"/>
              </w:rPr>
            </w:pPr>
            <w:r>
              <w:rPr>
                <w:rFonts w:cs="Times New Roman" w:ascii="Times New Roman" w:hAnsi="Times New Roman"/>
                <w:color w:val="000000"/>
                <w:sz w:val="24"/>
                <w:szCs w:val="24"/>
              </w:rPr>
              <w:t>Pilha comum D (embalagem com 2)</w:t>
            </w:r>
          </w:p>
        </w:tc>
        <w:tc>
          <w:tcPr>
            <w:tcW w:w="992" w:type="dxa"/>
            <w:gridSpan w:val="2"/>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sz w:val="24"/>
                <w:szCs w:val="24"/>
              </w:rPr>
            </w:pPr>
            <w:r>
              <w:rPr>
                <w:rFonts w:cs="Times New Roman" w:ascii="Times New Roman" w:hAnsi="Times New Roman"/>
                <w:sz w:val="24"/>
                <w:szCs w:val="24"/>
              </w:rPr>
              <w:t>12</w:t>
            </w:r>
          </w:p>
        </w:tc>
        <w:tc>
          <w:tcPr>
            <w:tcW w:w="1463" w:type="dxa"/>
            <w:gridSpan w:val="2"/>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sz w:val="24"/>
                <w:szCs w:val="24"/>
              </w:rPr>
            </w:pPr>
            <w:r>
              <w:rPr>
                <w:rFonts w:cs="Times New Roman" w:ascii="Times New Roman" w:hAnsi="Times New Roman"/>
                <w:sz w:val="24"/>
                <w:szCs w:val="24"/>
              </w:rPr>
              <w:t>R$ 8,72</w:t>
            </w:r>
          </w:p>
        </w:tc>
        <w:tc>
          <w:tcPr>
            <w:tcW w:w="1350" w:type="dxa"/>
            <w:gridSpan w:val="2"/>
            <w:tcBorders>
              <w:top w:val="single" w:sz="4" w:space="0" w:color="000000"/>
              <w:bottom w:val="single" w:sz="4" w:space="0" w:color="000000"/>
              <w:right w:val="single" w:sz="4" w:space="0" w:color="000000"/>
            </w:tcBorders>
            <w:shd w:color="auto" w:fill="auto" w:val="clear"/>
            <w:vAlign w:val="center"/>
          </w:tcPr>
          <w:p>
            <w:pPr>
              <w:pStyle w:val="Normal"/>
              <w:jc w:val="center"/>
              <w:rPr/>
            </w:pPr>
            <w:r>
              <w:rPr>
                <w:rFonts w:cs="Times New Roman" w:ascii="Times New Roman" w:hAnsi="Times New Roman"/>
                <w:color w:val="000000"/>
                <w:sz w:val="24"/>
                <w:szCs w:val="24"/>
              </w:rPr>
              <w:t>R$ 104,</w:t>
            </w:r>
            <w:r>
              <w:rPr>
                <w:rFonts w:cs="Times New Roman" w:ascii="Times New Roman" w:hAnsi="Times New Roman"/>
                <w:color w:val="000000"/>
                <w:sz w:val="24"/>
                <w:szCs w:val="24"/>
              </w:rPr>
              <w:t>64</w:t>
            </w:r>
          </w:p>
        </w:tc>
      </w:tr>
      <w:tr>
        <w:trPr>
          <w:trHeight w:val="238" w:hRule="atLeast"/>
        </w:trPr>
        <w:tc>
          <w:tcPr>
            <w:tcW w:w="705" w:type="dxa"/>
            <w:tcBorders>
              <w:left w:val="single" w:sz="4" w:space="0" w:color="000000"/>
              <w:bottom w:val="single" w:sz="4" w:space="0" w:color="000000"/>
              <w:right w:val="single" w:sz="4" w:space="0" w:color="000000"/>
            </w:tcBorders>
            <w:shd w:color="auto" w:fill="auto" w:val="clear"/>
            <w:vAlign w:val="center"/>
          </w:tcPr>
          <w:p>
            <w:pPr>
              <w:pStyle w:val="Standard"/>
              <w:jc w:val="center"/>
              <w:rPr>
                <w:rFonts w:ascii="Times New Roman" w:hAnsi="Times New Roman"/>
                <w:sz w:val="24"/>
                <w:szCs w:val="24"/>
              </w:rPr>
            </w:pPr>
            <w:r>
              <w:rPr>
                <w:rFonts w:ascii="Times New Roman" w:hAnsi="Times New Roman"/>
                <w:sz w:val="24"/>
                <w:szCs w:val="24"/>
              </w:rPr>
              <w:t>02</w:t>
            </w:r>
          </w:p>
        </w:tc>
        <w:tc>
          <w:tcPr>
            <w:tcW w:w="3908" w:type="dxa"/>
            <w:gridSpan w:val="2"/>
            <w:tcBorders>
              <w:bottom w:val="single" w:sz="4" w:space="0" w:color="000000"/>
              <w:right w:val="single" w:sz="4" w:space="0" w:color="000000"/>
            </w:tcBorders>
            <w:shd w:color="auto" w:fill="auto" w:val="clear"/>
          </w:tcPr>
          <w:p>
            <w:pPr>
              <w:pStyle w:val="Normal"/>
              <w:rPr/>
            </w:pPr>
            <w:r>
              <w:rPr>
                <w:rFonts w:ascii="Times New Roman" w:hAnsi="Times New Roman"/>
                <w:sz w:val="24"/>
                <w:szCs w:val="24"/>
              </w:rPr>
              <w:t>Bateria alcalina 9v</w:t>
            </w:r>
          </w:p>
        </w:tc>
        <w:tc>
          <w:tcPr>
            <w:tcW w:w="992" w:type="dxa"/>
            <w:gridSpan w:val="2"/>
            <w:tcBorders>
              <w:bottom w:val="single" w:sz="4" w:space="0" w:color="000000"/>
              <w:right w:val="single" w:sz="4" w:space="0" w:color="000000"/>
            </w:tcBorders>
            <w:shd w:color="auto" w:fill="auto" w:val="clear"/>
            <w:vAlign w:val="center"/>
          </w:tcPr>
          <w:p>
            <w:pPr>
              <w:pStyle w:val="Normal"/>
              <w:jc w:val="center"/>
              <w:rPr/>
            </w:pPr>
            <w:r>
              <w:rPr>
                <w:rFonts w:ascii="Times New Roman" w:hAnsi="Times New Roman"/>
                <w:sz w:val="24"/>
                <w:szCs w:val="24"/>
              </w:rPr>
              <w:t>10</w:t>
            </w:r>
          </w:p>
        </w:tc>
        <w:tc>
          <w:tcPr>
            <w:tcW w:w="1463" w:type="dxa"/>
            <w:gridSpan w:val="2"/>
            <w:tcBorders>
              <w:bottom w:val="single" w:sz="4" w:space="0" w:color="000000"/>
              <w:right w:val="single" w:sz="4" w:space="0" w:color="000000"/>
            </w:tcBorders>
            <w:shd w:color="auto" w:fill="auto" w:val="clear"/>
            <w:vAlign w:val="center"/>
          </w:tcPr>
          <w:p>
            <w:pPr>
              <w:pStyle w:val="Normal"/>
              <w:jc w:val="center"/>
              <w:rPr>
                <w:rFonts w:ascii="Times New Roman" w:hAnsi="Times New Roman"/>
                <w:sz w:val="24"/>
                <w:szCs w:val="24"/>
              </w:rPr>
            </w:pPr>
            <w:r>
              <w:rPr>
                <w:rFonts w:ascii="Times New Roman" w:hAnsi="Times New Roman"/>
                <w:sz w:val="24"/>
                <w:szCs w:val="24"/>
              </w:rPr>
              <w:t>R$ 14,04</w:t>
            </w:r>
          </w:p>
        </w:tc>
        <w:tc>
          <w:tcPr>
            <w:tcW w:w="1350" w:type="dxa"/>
            <w:gridSpan w:val="2"/>
            <w:tcBorders>
              <w:bottom w:val="single" w:sz="4" w:space="0" w:color="000000"/>
              <w:right w:val="single" w:sz="4" w:space="0" w:color="000000"/>
            </w:tcBorders>
            <w:shd w:color="auto" w:fill="auto" w:val="clear"/>
            <w:vAlign w:val="center"/>
          </w:tcPr>
          <w:p>
            <w:pPr>
              <w:pStyle w:val="Normal"/>
              <w:jc w:val="center"/>
              <w:rPr>
                <w:rFonts w:ascii="Times New Roman" w:hAnsi="Times New Roman"/>
                <w:sz w:val="24"/>
                <w:szCs w:val="24"/>
              </w:rPr>
            </w:pPr>
            <w:r>
              <w:rPr>
                <w:rFonts w:ascii="Times New Roman" w:hAnsi="Times New Roman"/>
                <w:sz w:val="24"/>
                <w:szCs w:val="24"/>
              </w:rPr>
              <w:t>R$ 140,40</w:t>
            </w:r>
          </w:p>
        </w:tc>
      </w:tr>
      <w:tr>
        <w:trPr>
          <w:trHeight w:val="238" w:hRule="atLeast"/>
        </w:trPr>
        <w:tc>
          <w:tcPr>
            <w:tcW w:w="13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60" w:after="60"/>
              <w:jc w:val="center"/>
              <w:rPr/>
            </w:pPr>
            <w:r>
              <w:rPr>
                <w:rFonts w:cs="Times New Roman" w:ascii="Times New Roman" w:hAnsi="Times New Roman"/>
                <w:b/>
                <w:bCs/>
                <w:sz w:val="24"/>
                <w:szCs w:val="24"/>
              </w:rPr>
              <w:t>245,</w:t>
            </w:r>
            <w:r>
              <w:rPr>
                <w:rFonts w:cs="Times New Roman" w:ascii="Times New Roman" w:hAnsi="Times New Roman"/>
                <w:b/>
                <w:bCs/>
                <w:sz w:val="24"/>
                <w:szCs w:val="24"/>
              </w:rPr>
              <w:t>04</w:t>
            </w:r>
          </w:p>
        </w:tc>
        <w:tc>
          <w:tcPr>
            <w:tcW w:w="3275" w:type="dxa"/>
            <w:gridSpan w:val="2"/>
            <w:tcBorders/>
            <w:shd w:fill="auto" w:val="clear"/>
          </w:tcPr>
          <w:p>
            <w:pPr>
              <w:pStyle w:val="Normal"/>
              <w:rPr>
                <w:rFonts w:ascii="Times New Roman" w:hAnsi="Times New Roman"/>
                <w:sz w:val="24"/>
                <w:szCs w:val="24"/>
              </w:rPr>
            </w:pPr>
            <w:r>
              <w:rPr>
                <w:rFonts w:ascii="Times New Roman" w:hAnsi="Times New Roman"/>
                <w:sz w:val="24"/>
                <w:szCs w:val="24"/>
              </w:rPr>
            </w:r>
          </w:p>
        </w:tc>
        <w:tc>
          <w:tcPr>
            <w:tcW w:w="992" w:type="dxa"/>
            <w:gridSpan w:val="2"/>
            <w:tcBorders/>
            <w:shd w:fill="auto" w:val="clear"/>
          </w:tcPr>
          <w:p>
            <w:pPr>
              <w:pStyle w:val="Normal"/>
              <w:rPr>
                <w:rFonts w:ascii="Times New Roman" w:hAnsi="Times New Roman"/>
                <w:sz w:val="24"/>
                <w:szCs w:val="24"/>
              </w:rPr>
            </w:pPr>
            <w:r>
              <w:rPr>
                <w:rFonts w:ascii="Times New Roman" w:hAnsi="Times New Roman"/>
                <w:sz w:val="24"/>
                <w:szCs w:val="24"/>
              </w:rPr>
            </w:r>
          </w:p>
        </w:tc>
        <w:tc>
          <w:tcPr>
            <w:tcW w:w="1463" w:type="dxa"/>
            <w:gridSpan w:val="2"/>
            <w:tcBorders/>
            <w:shd w:fill="auto" w:val="clear"/>
          </w:tcPr>
          <w:p>
            <w:pPr>
              <w:pStyle w:val="Normal"/>
              <w:rPr>
                <w:rFonts w:ascii="Times New Roman" w:hAnsi="Times New Roman"/>
                <w:sz w:val="24"/>
                <w:szCs w:val="24"/>
              </w:rPr>
            </w:pPr>
            <w:r>
              <w:rPr>
                <w:rFonts w:ascii="Times New Roman" w:hAnsi="Times New Roman"/>
                <w:sz w:val="24"/>
                <w:szCs w:val="24"/>
              </w:rPr>
            </w:r>
          </w:p>
        </w:tc>
        <w:tc>
          <w:tcPr>
            <w:tcW w:w="1349" w:type="dxa"/>
            <w:tcBorders/>
            <w:shd w:fill="auto" w:val="clear"/>
          </w:tcPr>
          <w:p>
            <w:pPr>
              <w:pStyle w:val="Normal"/>
              <w:rPr>
                <w:rFonts w:ascii="Times New Roman" w:hAnsi="Times New Roman"/>
                <w:sz w:val="24"/>
                <w:szCs w:val="24"/>
              </w:rPr>
            </w:pPr>
            <w:r>
              <w:rPr>
                <w:rFonts w:ascii="Times New Roman" w:hAnsi="Times New Roman"/>
                <w:sz w:val="24"/>
                <w:szCs w:val="24"/>
              </w:rPr>
            </w:r>
          </w:p>
        </w:tc>
      </w:tr>
    </w:tbl>
    <w:p>
      <w:pPr>
        <w:pStyle w:val="Normal"/>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rPr>
        <w:t>2.4. Esta Administração recomenda que as empresas concorrentes atentem para o contido no item 26.3 do presente Termo de Referência.</w:t>
      </w:r>
    </w:p>
    <w:p>
      <w:pPr>
        <w:pStyle w:val="Nivel1"/>
        <w:rPr>
          <w:rFonts w:ascii="Times New Roman" w:hAnsi="Times New Roman" w:cs="Times New Roman"/>
          <w:b w:val="false"/>
          <w:b w:val="false"/>
          <w:sz w:val="24"/>
          <w:szCs w:val="24"/>
          <w:u w:val="single"/>
        </w:rPr>
      </w:pPr>
      <w:r>
        <w:rPr>
          <w:rFonts w:cs="Times New Roman" w:ascii="Times New Roman" w:hAnsi="Times New Roman"/>
          <w:b w:val="false"/>
          <w:sz w:val="24"/>
          <w:szCs w:val="24"/>
          <w:u w:val="single"/>
        </w:rPr>
        <w:t>3. JUSTIFICATIVA DA CONTRATAÇÃO</w:t>
      </w:r>
    </w:p>
    <w:p>
      <w:pPr>
        <w:pStyle w:val="Normal"/>
        <w:suppressAutoHyphens w:val="false"/>
        <w:spacing w:lineRule="auto" w:line="276" w:before="120" w:after="120"/>
        <w:ind w:left="-284" w:right="-568" w:hanging="0"/>
        <w:jc w:val="both"/>
        <w:rPr/>
      </w:pPr>
      <w:r>
        <w:rPr>
          <w:rFonts w:cs="Times New Roman" w:ascii="Times New Roman" w:hAnsi="Times New Roman"/>
        </w:rPr>
        <w:t>3.1. A Justificativa da aquisição está presente nos autos do processo de Dispensa de Licitação nº 57/2023 – GUEs-9ª Bda Inf Mtz.</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r>
    </w:p>
    <w:p>
      <w:pPr>
        <w:pStyle w:val="Normal"/>
        <w:suppressAutoHyphens w:val="false"/>
        <w:spacing w:lineRule="auto" w:line="276" w:before="120" w:after="120"/>
        <w:ind w:left="588" w:right="-568" w:hanging="0"/>
        <w:jc w:val="center"/>
        <w:rPr>
          <w:rFonts w:ascii="Times New Roman" w:hAnsi="Times New Roman" w:cs="Times New Roman"/>
          <w:color w:val="000000"/>
          <w:u w:val="single"/>
        </w:rPr>
      </w:pPr>
      <w:r>
        <w:rPr>
          <w:rFonts w:cs="Times New Roman" w:ascii="Times New Roman" w:hAnsi="Times New Roman"/>
          <w:u w:val="single"/>
        </w:rPr>
        <w:t>4. CLASSIFICAÇÃO DOS BENS COMUNS</w:t>
      </w:r>
    </w:p>
    <w:p>
      <w:pPr>
        <w:pStyle w:val="Normal"/>
        <w:suppressAutoHyphens w:val="false"/>
        <w:spacing w:lineRule="auto" w:line="276" w:before="120" w:after="120"/>
        <w:ind w:left="-284" w:right="-568" w:hanging="0"/>
        <w:jc w:val="both"/>
        <w:rPr>
          <w:rFonts w:ascii="Times New Roman" w:hAnsi="Times New Roman" w:cs="Times New Roman"/>
          <w:bCs/>
          <w:color w:val="000000"/>
        </w:rPr>
      </w:pPr>
      <w:r>
        <w:rPr>
          <w:rFonts w:cs="Times New Roman" w:ascii="Times New Roman" w:hAnsi="Times New Roman"/>
          <w:iCs/>
        </w:rPr>
        <w:t>5.1. Trata-se de aquisição de bem comum, a ser contratada mediante dispensa de licitação.</w:t>
      </w:r>
    </w:p>
    <w:p>
      <w:pPr>
        <w:pStyle w:val="Normal"/>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r>
    </w:p>
    <w:p>
      <w:pPr>
        <w:pStyle w:val="Normal"/>
        <w:suppressAutoHyphens w:val="false"/>
        <w:spacing w:lineRule="auto" w:line="276" w:before="120" w:after="120"/>
        <w:ind w:left="-284" w:right="-568" w:hanging="0"/>
        <w:jc w:val="center"/>
        <w:rPr>
          <w:rFonts w:ascii="Times New Roman" w:hAnsi="Times New Roman" w:cs="Times New Roman"/>
          <w:b/>
          <w:b/>
          <w:color w:val="000000"/>
          <w:u w:val="single"/>
        </w:rPr>
      </w:pPr>
      <w:r>
        <w:rPr>
          <w:rFonts w:cs="Times New Roman" w:ascii="Times New Roman" w:hAnsi="Times New Roman"/>
          <w:u w:val="single"/>
        </w:rPr>
        <w:t>5. DA SUBCONTRATAÇÃO</w:t>
      </w:r>
    </w:p>
    <w:p>
      <w:pPr>
        <w:pStyle w:val="Normal"/>
        <w:suppressAutoHyphens w:val="false"/>
        <w:spacing w:lineRule="auto" w:line="276" w:before="120" w:after="120"/>
        <w:ind w:left="-284" w:right="-568" w:hanging="0"/>
        <w:rPr>
          <w:rFonts w:ascii="Times New Roman" w:hAnsi="Times New Roman" w:cs="Times New Roman"/>
        </w:rPr>
      </w:pPr>
      <w:r>
        <w:rPr>
          <w:rFonts w:cs="Times New Roman" w:ascii="Times New Roman" w:hAnsi="Times New Roman"/>
          <w:color w:val="000000"/>
        </w:rPr>
        <w:t xml:space="preserve">5.1. </w:t>
      </w:r>
      <w:r>
        <w:rPr>
          <w:rFonts w:cs="Times New Roman" w:ascii="Times New Roman" w:hAnsi="Times New Roman"/>
        </w:rPr>
        <w:t>Não será admitida a subcontratação do objeto licitatório.</w:t>
      </w:r>
    </w:p>
    <w:p>
      <w:pPr>
        <w:pStyle w:val="Normal"/>
        <w:suppressAutoHyphens w:val="false"/>
        <w:spacing w:lineRule="auto" w:line="276" w:before="120" w:after="120"/>
        <w:ind w:left="-284" w:right="-568" w:hanging="0"/>
        <w:rPr>
          <w:rFonts w:ascii="Times New Roman" w:hAnsi="Times New Roman" w:cs="Times New Roman"/>
          <w:lang w:eastAsia="en-US"/>
        </w:rPr>
      </w:pPr>
      <w:r>
        <w:rPr>
          <w:rFonts w:cs="Times New Roman" w:ascii="Times New Roman" w:hAnsi="Times New Roman"/>
          <w:lang w:eastAsia="en-US"/>
        </w:rPr>
      </w:r>
    </w:p>
    <w:p>
      <w:pPr>
        <w:pStyle w:val="Normal"/>
        <w:suppressAutoHyphens w:val="false"/>
        <w:spacing w:lineRule="auto" w:line="276" w:before="120" w:after="120"/>
        <w:ind w:left="-284" w:right="-568" w:hanging="0"/>
        <w:jc w:val="center"/>
        <w:rPr>
          <w:rFonts w:ascii="Times New Roman" w:hAnsi="Times New Roman" w:cs="Times New Roman"/>
          <w:b/>
          <w:b/>
          <w:color w:val="000000"/>
          <w:u w:val="single"/>
        </w:rPr>
      </w:pPr>
      <w:r>
        <w:rPr>
          <w:rFonts w:cs="Times New Roman" w:ascii="Times New Roman" w:hAnsi="Times New Roman"/>
          <w:u w:val="single"/>
          <w:lang w:eastAsia="en-US"/>
        </w:rPr>
        <w:t>6. DA ALTERAÇÃO SUBJETIVA</w:t>
      </w:r>
    </w:p>
    <w:p>
      <w:pPr>
        <w:pStyle w:val="Normal"/>
        <w:suppressAutoHyphens w:val="false"/>
        <w:spacing w:lineRule="auto" w:line="276" w:before="120" w:after="120"/>
        <w:ind w:left="-284" w:right="-568" w:hanging="0"/>
        <w:jc w:val="both"/>
        <w:rPr>
          <w:rFonts w:ascii="Times New Roman" w:hAnsi="Times New Roman" w:cs="Times New Roman"/>
          <w:b/>
          <w:b/>
          <w:color w:val="000000"/>
          <w:u w:val="single"/>
        </w:rPr>
      </w:pPr>
      <w:r>
        <w:rPr>
          <w:rFonts w:cs="Times New Roman" w:ascii="Times New Roman" w:hAnsi="Times New Roman"/>
          <w:color w:val="000000"/>
        </w:rPr>
        <w:t xml:space="preserve">6.1. </w:t>
      </w:r>
      <w:r>
        <w:rPr>
          <w:rFonts w:cs="Times New Roman" w:ascii="Times New Roman" w:hAnsi="Times New Roman"/>
          <w:lang w:eastAsia="en-US"/>
        </w:rPr>
        <w:t>É admissível a fusão, cisão ou incorporação da contratada com/em outra pessoa jurídica, desde que sejam observados pela nova pessoa jurídica todos os requisitos de habilitação exigidos na Dispensa de Licitação original; sejam mantidas as demais cláusulas e condições do contrato; não haja prejuízo à execução do objeto pactuado e haja a anuência expressa da Administração à continuidade do contrato.</w:t>
      </w:r>
    </w:p>
    <w:p>
      <w:pPr>
        <w:pStyle w:val="Nivel1"/>
        <w:tabs>
          <w:tab w:val="clear" w:pos="0"/>
        </w:tabs>
        <w:ind w:left="-284" w:right="-568" w:hanging="0"/>
        <w:jc w:val="center"/>
        <w:rPr>
          <w:rFonts w:ascii="Times New Roman" w:hAnsi="Times New Roman" w:cs="Times New Roman"/>
          <w:b w:val="false"/>
          <w:b w:val="false"/>
          <w:sz w:val="24"/>
          <w:szCs w:val="24"/>
          <w:u w:val="single"/>
        </w:rPr>
      </w:pPr>
      <w:r>
        <w:rPr>
          <w:rFonts w:cs="Times New Roman" w:ascii="Times New Roman" w:hAnsi="Times New Roman"/>
          <w:b w:val="false"/>
          <w:sz w:val="24"/>
          <w:szCs w:val="24"/>
          <w:u w:val="single"/>
        </w:rPr>
        <w:t>7. DO PAGAMENTO</w:t>
      </w:r>
    </w:p>
    <w:p>
      <w:pPr>
        <w:pStyle w:val="Normal"/>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lang w:eastAsia="en-US"/>
        </w:rPr>
        <w:t xml:space="preserve">7.1. O pagamento será realizado no prazo máximo de até </w:t>
      </w:r>
      <w:r>
        <w:rPr>
          <w:rFonts w:cs="Times New Roman" w:ascii="Times New Roman" w:hAnsi="Times New Roman"/>
          <w:lang w:eastAsia="en-US"/>
        </w:rPr>
        <w:t>30 (trinta) d</w:t>
      </w:r>
      <w:r>
        <w:rPr>
          <w:rFonts w:cs="Times New Roman" w:ascii="Times New Roman" w:hAnsi="Times New Roman"/>
          <w:color w:val="000000"/>
          <w:lang w:eastAsia="en-US"/>
        </w:rPr>
        <w:t xml:space="preserve">ias, contados a partir </w:t>
      </w:r>
      <w:r>
        <w:rPr>
          <w:rFonts w:cs="Times New Roman" w:ascii="Times New Roman" w:hAnsi="Times New Roman"/>
          <w:color w:val="000000"/>
        </w:rPr>
        <w:t xml:space="preserve">do recebimento da Nota Fiscal ou Fatura, </w:t>
      </w:r>
      <w:r>
        <w:rPr>
          <w:rFonts w:cs="Times New Roman" w:ascii="Times New Roman" w:hAnsi="Times New Roman"/>
          <w:color w:val="000000"/>
          <w:lang w:eastAsia="en-US"/>
        </w:rPr>
        <w:t>através de ordem bancária, para crédito em banco, agência e conta corrente indicados pelo contratado.</w:t>
      </w:r>
    </w:p>
    <w:p>
      <w:pPr>
        <w:pStyle w:val="Normal"/>
        <w:suppressAutoHyphens w:val="false"/>
        <w:spacing w:lineRule="auto" w:line="276" w:before="120" w:after="120"/>
        <w:ind w:left="-284" w:right="-568" w:hanging="0"/>
        <w:jc w:val="both"/>
        <w:rPr>
          <w:rFonts w:ascii="Times New Roman" w:hAnsi="Times New Roman" w:cs="Times New Roman"/>
          <w:strike/>
          <w:color w:val="000000"/>
        </w:rPr>
      </w:pPr>
      <w:r>
        <w:rPr>
          <w:rFonts w:cs="Times New Roman" w:ascii="Times New Roman" w:hAnsi="Times New Roman"/>
          <w:color w:val="000000"/>
        </w:rPr>
        <w:t>7.2. Considera-se ocorrido o recebimento da nota fiscal ou fatura quando o órgão contratante atestar a execução do objeto do contrato.</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7.3. A Nota Fiscal ou Fatura deverá ser obrigatoriamente acompanhada da comprovação da regularidade fiscal, constatada por meio de consulta on-line ao SICAF ou, na impossibilidade de acesso </w:t>
      </w:r>
      <w:r>
        <w:rPr>
          <w:rFonts w:cs="Times New Roman" w:ascii="Times New Roman" w:hAnsi="Times New Roman"/>
          <w:color w:val="000000"/>
          <w:lang w:eastAsia="en-US"/>
        </w:rPr>
        <w:t>ao</w:t>
      </w:r>
      <w:r>
        <w:rPr>
          <w:rFonts w:cs="Times New Roman" w:ascii="Times New Roman" w:hAnsi="Times New Roman"/>
          <w:color w:val="000000"/>
        </w:rPr>
        <w:t xml:space="preserve"> referido Sistema, mediante consulta aos sítios eletrônicos oficiais ou à documentação mencionada no art. 29 da Lei nº 8.666, de 1993. </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7.4. Constatando-se, junto ao SICAF, a situação de irregularidade do fornecedor contratado, deverão ser tomadas as providências previstas no do art. 31 da Instrução </w:t>
      </w:r>
      <w:r>
        <w:rPr>
          <w:rFonts w:cs="Times New Roman" w:ascii="Times New Roman" w:hAnsi="Times New Roman"/>
          <w:color w:val="000000"/>
          <w:lang w:eastAsia="en-US"/>
        </w:rPr>
        <w:t>Normativa</w:t>
      </w:r>
      <w:r>
        <w:rPr>
          <w:rFonts w:cs="Times New Roman" w:ascii="Times New Roman" w:hAnsi="Times New Roman"/>
          <w:color w:val="000000"/>
        </w:rPr>
        <w:t xml:space="preserve"> nº 3, de 26 de abril de 2018.</w:t>
      </w:r>
    </w:p>
    <w:p>
      <w:pPr>
        <w:pStyle w:val="Normal"/>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lang w:eastAsia="en-US"/>
        </w:rPr>
        <w:t xml:space="preserve">7.5. Havendo erro na apresentação da Nota Fiscal ou dos documentos pertinentes à contratação, ou, ainda, circunstância que impeça a liquidação da despesa, como, por exemplo, </w:t>
      </w:r>
      <w:r>
        <w:rPr>
          <w:rFonts w:cs="Times New Roman" w:ascii="Times New Roman" w:hAnsi="Times New Roman"/>
          <w:color w:val="000000"/>
        </w:rPr>
        <w:t>obrigação financeira pendente, decorrente de penalidade imposta ou inadimplência,</w:t>
      </w:r>
      <w:r>
        <w:rPr>
          <w:rFonts w:cs="Times New Roman" w:ascii="Times New Roman" w:hAnsi="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7.6. Será considerada data do pagamento o dia em que constar como emitida a ordem bancária para pagamento.</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7.7. Antes de cada pagamento à contratada, será realizada consulta ao SICAF para verificar a manutenção das condições de habilitação exigidas neste Termo de Referência.</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7.9.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 xml:space="preserve">7.10.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7.11. Persistindo a irregularidade, a contratante deverá adotar as medidas necessárias à rescisão contratual nos autos do processo administrativo correspondente, assegurada à contratada a ampla defesa.</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 xml:space="preserve">7.12. Havendo a efetiva execução do objeto, os pagamentos serão realizados normalmente, até que se decida pela rescisão do contrato, caso a contratada não regularize sua situação junto ao SICAF.  </w:t>
      </w:r>
    </w:p>
    <w:p>
      <w:pPr>
        <w:pStyle w:val="ListParagraph"/>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lang w:eastAsia="en-US"/>
        </w:rPr>
        <w:t>7.13 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7.14. Quando do pagamento, será efetuada a retenção tributária prevista na legislação aplicável.</w:t>
      </w:r>
    </w:p>
    <w:p>
      <w:pPr>
        <w:pStyle w:val="Normal"/>
        <w:tabs>
          <w:tab w:val="clear" w:pos="708"/>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color w:val="000000"/>
        </w:rPr>
        <w:t>7.15.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Times New Roman" w:ascii="Times New Roman" w:hAnsi="Times New Roman"/>
          <w:lang w:eastAsia="en-US"/>
        </w:rPr>
        <w:t xml:space="preserve"> </w:t>
      </w:r>
    </w:p>
    <w:p>
      <w:pPr>
        <w:pStyle w:val="Normal"/>
        <w:tabs>
          <w:tab w:val="clear" w:pos="708"/>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r>
    </w:p>
    <w:p>
      <w:pPr>
        <w:pStyle w:val="Normal"/>
        <w:tabs>
          <w:tab w:val="clear" w:pos="708"/>
          <w:tab w:val="left" w:pos="1440" w:leader="none"/>
        </w:tabs>
        <w:suppressAutoHyphens w:val="false"/>
        <w:snapToGrid w:val="false"/>
        <w:spacing w:lineRule="auto" w:line="276" w:before="120" w:after="120"/>
        <w:ind w:left="-284" w:right="-568" w:hanging="0"/>
        <w:jc w:val="center"/>
        <w:rPr>
          <w:rFonts w:ascii="Times New Roman" w:hAnsi="Times New Roman" w:cs="Times New Roman"/>
          <w:color w:val="000000"/>
          <w:u w:val="single"/>
        </w:rPr>
      </w:pPr>
      <w:r>
        <w:rPr>
          <w:rFonts w:cs="Times New Roman" w:ascii="Times New Roman" w:hAnsi="Times New Roman"/>
          <w:u w:val="single"/>
          <w:lang w:eastAsia="en-US"/>
        </w:rPr>
        <w:t xml:space="preserve">8. </w:t>
      </w:r>
      <w:r>
        <w:rPr>
          <w:rFonts w:cs="Times New Roman" w:ascii="Times New Roman" w:hAnsi="Times New Roman"/>
          <w:u w:val="single"/>
        </w:rPr>
        <w:t>DO REAJUSTE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szCs w:val="20"/>
        </w:rPr>
        <w:t>8.1. Os preços serão fixos e irreajustáveis.</w:t>
      </w:r>
    </w:p>
    <w:p>
      <w:pPr>
        <w:pStyle w:val="Normal"/>
        <w:suppressAutoHyphens w:val="false"/>
        <w:spacing w:lineRule="auto" w:line="276" w:before="120" w:after="120"/>
        <w:ind w:left="-284" w:right="-568" w:hanging="0"/>
        <w:jc w:val="both"/>
        <w:rPr>
          <w:b/>
          <w:b/>
        </w:rPr>
      </w:pPr>
      <w:r>
        <w:rPr>
          <w:b/>
        </w:rPr>
      </w:r>
    </w:p>
    <w:p>
      <w:pPr>
        <w:pStyle w:val="Nivel1"/>
        <w:tabs>
          <w:tab w:val="clear" w:pos="0"/>
        </w:tabs>
        <w:spacing w:before="0" w:after="120"/>
        <w:ind w:left="-284" w:right="-568" w:hanging="0"/>
        <w:jc w:val="center"/>
        <w:rPr>
          <w:rFonts w:ascii="Times New Roman" w:hAnsi="Times New Roman" w:cs="Times New Roman"/>
          <w:b w:val="false"/>
          <w:b w:val="false"/>
          <w:sz w:val="24"/>
          <w:szCs w:val="24"/>
          <w:u w:val="single"/>
        </w:rPr>
      </w:pPr>
      <w:r>
        <w:rPr>
          <w:rFonts w:ascii="Times New Roman" w:hAnsi="Times New Roman"/>
          <w:b w:val="false"/>
          <w:sz w:val="24"/>
          <w:u w:val="single"/>
        </w:rPr>
        <w:t>9.</w:t>
      </w:r>
      <w:r>
        <w:rPr>
          <w:rFonts w:cs="Times New Roman" w:ascii="Times New Roman" w:hAnsi="Times New Roman"/>
          <w:b w:val="false"/>
          <w:sz w:val="24"/>
          <w:szCs w:val="24"/>
          <w:u w:val="single"/>
        </w:rPr>
        <w:t xml:space="preserve"> DA GARANTIA DE EXECUÇÃO</w:t>
      </w:r>
    </w:p>
    <w:p>
      <w:pPr>
        <w:pStyle w:val="Normal"/>
        <w:suppressAutoHyphens w:val="false"/>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rPr>
        <w:t>9.1. Não haverá exigência de garantia contratual da execução.</w:t>
      </w:r>
    </w:p>
    <w:p>
      <w:pPr>
        <w:pStyle w:val="Nivel1"/>
        <w:tabs>
          <w:tab w:val="clear" w:pos="0"/>
        </w:tabs>
        <w:spacing w:before="120" w:after="120"/>
        <w:ind w:left="0" w:right="-568" w:hanging="0"/>
        <w:rPr>
          <w:rFonts w:ascii="Times New Roman" w:hAnsi="Times New Roman" w:cs="Times New Roman"/>
          <w:bCs/>
          <w:sz w:val="24"/>
          <w:szCs w:val="24"/>
        </w:rPr>
      </w:pPr>
      <w:r>
        <w:rPr>
          <w:rFonts w:cs="Times New Roman" w:ascii="Times New Roman" w:hAnsi="Times New Roman"/>
          <w:bCs/>
          <w:sz w:val="24"/>
          <w:szCs w:val="24"/>
        </w:rPr>
      </w:r>
    </w:p>
    <w:p>
      <w:pPr>
        <w:pStyle w:val="Nivel1"/>
        <w:tabs>
          <w:tab w:val="clear" w:pos="0"/>
        </w:tabs>
        <w:spacing w:before="120" w:after="120"/>
        <w:ind w:left="-284" w:right="-568" w:hanging="0"/>
        <w:jc w:val="center"/>
        <w:rPr>
          <w:rFonts w:ascii="Times New Roman" w:hAnsi="Times New Roman" w:cs="Times New Roman"/>
          <w:b w:val="false"/>
          <w:b w:val="false"/>
          <w:bCs/>
          <w:color w:val="auto"/>
          <w:sz w:val="24"/>
          <w:szCs w:val="24"/>
          <w:u w:val="single"/>
        </w:rPr>
      </w:pPr>
      <w:r>
        <w:rPr>
          <w:rFonts w:cs="Times New Roman" w:ascii="Times New Roman" w:hAnsi="Times New Roman"/>
          <w:b w:val="false"/>
          <w:bCs/>
          <w:color w:val="auto"/>
          <w:sz w:val="24"/>
          <w:szCs w:val="24"/>
          <w:u w:val="single"/>
        </w:rPr>
        <w:t xml:space="preserve">10. ESTIMATIVA DE </w:t>
      </w:r>
      <w:r>
        <w:rPr>
          <w:rFonts w:cs="Times New Roman" w:ascii="Times New Roman" w:hAnsi="Times New Roman"/>
          <w:b w:val="false"/>
          <w:color w:val="auto"/>
          <w:sz w:val="24"/>
          <w:szCs w:val="24"/>
          <w:u w:val="single"/>
        </w:rPr>
        <w:t>PREÇOS</w:t>
      </w:r>
      <w:r>
        <w:rPr>
          <w:rFonts w:cs="Times New Roman" w:ascii="Times New Roman" w:hAnsi="Times New Roman"/>
          <w:b w:val="false"/>
          <w:bCs/>
          <w:color w:val="auto"/>
          <w:sz w:val="24"/>
          <w:szCs w:val="24"/>
          <w:u w:val="single"/>
        </w:rPr>
        <w:t xml:space="preserve"> E PREÇOS REFERENCIAIS</w:t>
      </w:r>
    </w:p>
    <w:p>
      <w:pPr>
        <w:pStyle w:val="Nivel1"/>
        <w:tabs>
          <w:tab w:val="clear" w:pos="0"/>
        </w:tabs>
        <w:spacing w:before="120" w:after="120"/>
        <w:ind w:left="-284" w:right="-568" w:hanging="0"/>
        <w:rPr/>
      </w:pPr>
      <w:r>
        <w:rPr>
          <w:rFonts w:cs="Times New Roman" w:ascii="Times New Roman" w:hAnsi="Times New Roman"/>
          <w:b w:val="false"/>
          <w:color w:val="auto"/>
          <w:sz w:val="24"/>
          <w:szCs w:val="24"/>
        </w:rPr>
        <w:t>10.1. O custo estimado da contratação é de R$ 245,28</w:t>
      </w:r>
      <w:r>
        <w:rPr>
          <w:rFonts w:cs="Times New Roman" w:ascii="Times New Roman" w:hAnsi="Times New Roman"/>
          <w:b w:val="false"/>
          <w:bCs/>
          <w:sz w:val="24"/>
          <w:szCs w:val="24"/>
        </w:rPr>
        <w:t>.</w:t>
      </w:r>
    </w:p>
    <w:p>
      <w:pPr>
        <w:pStyle w:val="Nivel1"/>
        <w:tabs>
          <w:tab w:val="clear" w:pos="0"/>
          <w:tab w:val="left" w:pos="142" w:leader="none"/>
        </w:tabs>
        <w:spacing w:before="120" w:after="120"/>
        <w:ind w:left="0" w:hanging="0"/>
        <w:rPr>
          <w:rFonts w:ascii="Times New Roman" w:hAnsi="Times New Roman" w:cs="Times New Roman"/>
          <w:b w:val="false"/>
          <w:b w:val="false"/>
          <w:color w:val="auto"/>
          <w:sz w:val="24"/>
          <w:szCs w:val="24"/>
          <w:lang w:eastAsia="ar-SA"/>
        </w:rPr>
      </w:pPr>
      <w:r>
        <w:rPr>
          <w:rFonts w:cs="Times New Roman" w:ascii="Times New Roman" w:hAnsi="Times New Roman"/>
          <w:b w:val="false"/>
          <w:color w:val="auto"/>
          <w:sz w:val="24"/>
          <w:szCs w:val="24"/>
          <w:lang w:eastAsia="ar-SA"/>
        </w:rPr>
      </w:r>
    </w:p>
    <w:p>
      <w:pPr>
        <w:pStyle w:val="Nivel1"/>
        <w:tabs>
          <w:tab w:val="clear" w:pos="0"/>
          <w:tab w:val="left" w:pos="142" w:leader="none"/>
        </w:tabs>
        <w:spacing w:before="120" w:after="120"/>
        <w:ind w:left="-284" w:right="-568" w:hanging="0"/>
        <w:jc w:val="center"/>
        <w:rPr>
          <w:rFonts w:ascii="Times New Roman" w:hAnsi="Times New Roman" w:cs="Times New Roman"/>
          <w:b w:val="false"/>
          <w:b w:val="false"/>
          <w:bCs/>
          <w:sz w:val="24"/>
          <w:szCs w:val="24"/>
          <w:u w:val="single"/>
        </w:rPr>
      </w:pPr>
      <w:r>
        <w:rPr>
          <w:rFonts w:cs="Times New Roman" w:ascii="Times New Roman" w:hAnsi="Times New Roman"/>
          <w:b w:val="false"/>
          <w:sz w:val="24"/>
          <w:szCs w:val="24"/>
          <w:u w:val="single"/>
        </w:rPr>
        <w:t>11. DOS RECURSOS ORÇAMENTÁRIOS</w:t>
      </w:r>
    </w:p>
    <w:p>
      <w:pPr>
        <w:pStyle w:val="Normal"/>
        <w:suppressAutoHyphens w:val="false"/>
        <w:spacing w:lineRule="auto" w:line="276" w:before="120" w:after="120"/>
        <w:ind w:left="-284" w:right="-568" w:hanging="0"/>
        <w:jc w:val="both"/>
        <w:rPr>
          <w:rFonts w:ascii="Times New Roman" w:hAnsi="Times New Roman" w:cs="Times New Roman"/>
          <w:iCs/>
        </w:rPr>
      </w:pPr>
      <w:r>
        <w:rPr>
          <w:rFonts w:cs="Times New Roman" w:ascii="Times New Roman" w:hAnsi="Times New Roman"/>
          <w:iCs/>
        </w:rPr>
        <w:t>11.1. As despesas decorrentes da presente contratação correrão à conta de recursos específicos consignados no Orçamento Geral da União, relativos ao Exercício Financeiro de 2023. A indicação dos recursos da presente contratação está descrita a seguir:</w:t>
      </w:r>
    </w:p>
    <w:p>
      <w:pPr>
        <w:pStyle w:val="Normal"/>
        <w:suppressAutoHyphens w:val="false"/>
        <w:spacing w:lineRule="auto" w:line="276" w:before="120" w:after="120"/>
        <w:ind w:left="-284" w:right="-568" w:hanging="0"/>
        <w:jc w:val="both"/>
        <w:rPr/>
      </w:pPr>
      <w:r>
        <w:rPr>
          <w:rFonts w:cs="Times New Roman" w:ascii="Times New Roman" w:hAnsi="Times New Roman"/>
          <w:iCs/>
        </w:rPr>
        <w:t>UG: 160295</w:t>
      </w:r>
    </w:p>
    <w:p>
      <w:pPr>
        <w:pStyle w:val="Normal"/>
        <w:suppressAutoHyphens w:val="false"/>
        <w:spacing w:lineRule="auto" w:line="276" w:before="120" w:after="120"/>
        <w:ind w:left="-284" w:right="-568" w:hanging="0"/>
        <w:jc w:val="both"/>
        <w:rPr/>
      </w:pPr>
      <w:r>
        <w:rPr>
          <w:rFonts w:cs="Times New Roman" w:ascii="Times New Roman" w:hAnsi="Times New Roman"/>
          <w:iCs/>
        </w:rPr>
        <w:t>FONTE: 1000000000</w:t>
      </w:r>
    </w:p>
    <w:p>
      <w:pPr>
        <w:pStyle w:val="Normal"/>
        <w:suppressAutoHyphens w:val="false"/>
        <w:spacing w:lineRule="auto" w:line="276" w:before="120" w:after="120"/>
        <w:ind w:left="-284" w:right="-568" w:hanging="0"/>
        <w:jc w:val="both"/>
        <w:rPr/>
      </w:pPr>
      <w:r>
        <w:rPr>
          <w:rFonts w:cs="Times New Roman" w:ascii="Times New Roman" w:hAnsi="Times New Roman"/>
          <w:iCs/>
        </w:rPr>
        <w:t>PI: FAOPPREININ</w:t>
      </w:r>
    </w:p>
    <w:p>
      <w:pPr>
        <w:pStyle w:val="Normal"/>
        <w:suppressAutoHyphens w:val="false"/>
        <w:spacing w:lineRule="auto" w:line="276" w:before="120" w:after="120"/>
        <w:ind w:left="-284" w:right="-568" w:hanging="0"/>
        <w:jc w:val="both"/>
        <w:rPr/>
      </w:pPr>
      <w:r>
        <w:rPr>
          <w:rFonts w:cs="Times New Roman" w:ascii="Times New Roman" w:hAnsi="Times New Roman"/>
          <w:iCs/>
        </w:rPr>
        <w:t>ND: 339030</w:t>
      </w:r>
    </w:p>
    <w:p>
      <w:pPr>
        <w:pStyle w:val="Normal"/>
        <w:suppressAutoHyphens w:val="false"/>
        <w:spacing w:lineRule="auto" w:line="276" w:before="120" w:after="120"/>
        <w:ind w:left="-284" w:right="-568" w:hanging="0"/>
        <w:jc w:val="both"/>
        <w:rPr/>
      </w:pPr>
      <w:r>
        <w:rPr>
          <w:rFonts w:cs="Times New Roman" w:ascii="Times New Roman" w:hAnsi="Times New Roman"/>
          <w:iCs/>
        </w:rPr>
        <w:t>UGR: 160539</w:t>
      </w:r>
    </w:p>
    <w:p>
      <w:pPr>
        <w:pStyle w:val="Normal"/>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color w:val="FF0000"/>
        </w:rPr>
      </w:r>
    </w:p>
    <w:p>
      <w:pPr>
        <w:pStyle w:val="Normal"/>
        <w:tabs>
          <w:tab w:val="clear" w:pos="708"/>
          <w:tab w:val="left" w:pos="400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12. DEFINIÇÃO DOS MÉTODOS</w:t>
      </w:r>
    </w:p>
    <w:p>
      <w:pPr>
        <w:pStyle w:val="Normal"/>
        <w:spacing w:lineRule="auto" w:line="276"/>
        <w:ind w:left="-284" w:right="-568" w:hanging="0"/>
        <w:jc w:val="both"/>
        <w:rPr>
          <w:rFonts w:ascii="Times New Roman" w:hAnsi="Times New Roman" w:cs="Times New Roman"/>
        </w:rPr>
      </w:pPr>
      <w:r>
        <w:rPr>
          <w:rFonts w:cs="Times New Roman" w:ascii="Times New Roman" w:hAnsi="Times New Roman"/>
        </w:rPr>
        <w:t>12.1. A metodologia para avaliação dos produtos será o atendimento das especificações contidas na Relação de Serviços constante deste termo de Referência. Os Serviços que exijam, a critério desta Organização Militar, análise mais minuciosa, serão avaliados por comissão técnica designada para tal e só serão recebidos após aprovação da mesma.</w:t>
      </w:r>
    </w:p>
    <w:p>
      <w:pPr>
        <w:pStyle w:val="Normal"/>
        <w:tabs>
          <w:tab w:val="clear" w:pos="708"/>
          <w:tab w:val="left" w:pos="4005" w:leader="none"/>
        </w:tabs>
        <w:ind w:left="-284"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left="-284"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13 ESTRATÉGIA DE SUPRIMENTO</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t>13.1. O fornecimento dos itens deverá ser imediato. Assim que ocorrer a homologação, as Notas de Empenho serão confeccionadas no menor prazo possível. Os itens serão fornecidos de uma vez só, ou seja, não haverá parcelamento de entregas.</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14. CRITÉRIO DE ACEITAÇÃO DO OBJETO</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14.1. Em princípio, as propostas referentes aos itens da presente Dispensa de Licitação só serão aceitas pela Administração caso a mesma seja de valor inferior ou igual ao valor unitário estimado.</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14.2. A aceitação de cada item de cada proposta da presente dispensa de licitação também estará condicionada à verificação, pela Administração, da adequação do item às especificações na Relação de serviços constante deste termo de Referência. Os itens de cada proposta que não atenderem às especificações contidas na Relação de serviços serão desclassificados pela Administração.</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15. PREÇO UNITÁRIO MÁXIMO</w:t>
      </w:r>
    </w:p>
    <w:p>
      <w:pPr>
        <w:pStyle w:val="Normal"/>
        <w:tabs>
          <w:tab w:val="clear" w:pos="708"/>
          <w:tab w:val="left" w:pos="3012" w:leader="none"/>
        </w:tabs>
        <w:spacing w:lineRule="auto" w:line="276"/>
        <w:ind w:left="-284" w:right="-568" w:hanging="0"/>
        <w:jc w:val="both"/>
        <w:rPr/>
      </w:pPr>
      <w:r>
        <w:rPr>
          <w:rFonts w:cs="Times New Roman" w:ascii="Times New Roman" w:hAnsi="Times New Roman"/>
        </w:rPr>
        <w:t>15.1. O preço unitário máximo de cada item da presente Dispensa de Licitação é o equivalente ao Valor de Referência do item. O Valor de Referência é equivalente ao valor estipulado na coluna “VALOR DE REFERÊNCIA” da Relação de Serviços da Dispensa de Licitação 57/2023.</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16. QUANTIDADE MÍNIMA DE UNIDADES A SER COTADA</w:t>
      </w:r>
    </w:p>
    <w:p>
      <w:pPr>
        <w:pStyle w:val="Normal"/>
        <w:tabs>
          <w:tab w:val="clear" w:pos="708"/>
          <w:tab w:val="left" w:pos="3012" w:leader="none"/>
        </w:tabs>
        <w:spacing w:lineRule="auto" w:line="276" w:before="0" w:after="120"/>
        <w:ind w:left="-284" w:right="-568" w:hanging="0"/>
        <w:jc w:val="both"/>
        <w:rPr/>
      </w:pPr>
      <w:r>
        <w:rPr>
          <w:rFonts w:cs="Times New Roman" w:ascii="Times New Roman" w:hAnsi="Times New Roman"/>
        </w:rPr>
        <w:t>16.1. A quantidade mínima de unidades a ser cotada por cada item da presente dispensa de licitação é o equivalente ao total do quantitativo de cada item. A quantidade mínima a ser cotada por cada item é equivalente à quantidade descrita na coluna “QUANTIDADE” da Relação de Serviço da Dispensa de Licitação 57/2023.</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t>16.2. A proposta que apresentar uma quantidade menor do que a quantidade mínima de unidades a ser cotada em determinado item será desclassificada.</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17. EXIGÊNCIAS TÉCNICAS PARA ACEITAÇÃO DOS ITENS</w:t>
      </w:r>
    </w:p>
    <w:p>
      <w:pPr>
        <w:pStyle w:val="Normal"/>
        <w:tabs>
          <w:tab w:val="clear" w:pos="708"/>
          <w:tab w:val="left" w:pos="3012" w:leader="none"/>
        </w:tabs>
        <w:spacing w:lineRule="auto" w:line="276"/>
        <w:ind w:left="-284" w:right="-568" w:hanging="0"/>
        <w:jc w:val="both"/>
        <w:rPr/>
      </w:pPr>
      <w:r>
        <w:rPr>
          <w:rFonts w:cs="Times New Roman" w:ascii="Times New Roman" w:hAnsi="Times New Roman"/>
        </w:rPr>
        <w:t xml:space="preserve">17.1. Os itens constantes desta Dispensa de Licitação deverão obedecer às especificações exigidas na </w:t>
      </w:r>
      <w:r>
        <w:rPr>
          <w:rFonts w:cs="Times New Roman" w:ascii="Times New Roman" w:hAnsi="Times New Roman"/>
          <w:bCs/>
        </w:rPr>
        <w:t>RELAÇÃO DE SERVIÇO DA</w:t>
      </w:r>
      <w:r>
        <w:rPr/>
        <w:t xml:space="preserve"> </w:t>
      </w:r>
      <w:r>
        <w:rPr>
          <w:rFonts w:cs="Times New Roman" w:ascii="Times New Roman" w:hAnsi="Times New Roman"/>
          <w:bCs/>
        </w:rPr>
        <w:t xml:space="preserve">DISPENSA DE LICITAÇÃO 57/2023, constantes deste </w:t>
      </w:r>
      <w:r>
        <w:rPr>
          <w:rFonts w:cs="Times New Roman" w:ascii="Times New Roman" w:hAnsi="Times New Roman"/>
        </w:rPr>
        <w:t>Termo de Referência, na página 2 do presente Termo de Referência.</w:t>
      </w:r>
    </w:p>
    <w:p>
      <w:pPr>
        <w:pStyle w:val="Normal"/>
        <w:ind w:left="-284" w:right="-568" w:hanging="0"/>
        <w:jc w:val="both"/>
        <w:rPr>
          <w:rFonts w:ascii="Times New Roman" w:hAnsi="Times New Roman" w:cs="Times New Roman"/>
        </w:rPr>
      </w:pPr>
      <w:r>
        <w:rPr>
          <w:rFonts w:cs="Times New Roman" w:ascii="Times New Roman" w:hAnsi="Times New Roman"/>
        </w:rPr>
      </w:r>
    </w:p>
    <w:p>
      <w:pPr>
        <w:pStyle w:val="Normal"/>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18. DEVERES DA CONTRATADA</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18.1. A empresa vencedora, doravante denominada CONTRATADA ficará obrigada a cumprir todos os encargos estabelecidos neste Termo de Referência,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18.2. A CONTRATADA deverá realizar a entrega dos itens adjudicados dentro das especificações exigidas na Relação de serviço constante do presente Termo de Referência.</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18.3. A CONTRATADA deverá entregar os artigos adquiridos por intermédio desta dispensa de licitação nas embalagens previstas na Relação de serviço.</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18.4. A CONTRATADA deverá garantir o objeto desta dispensa de licitação pelo prazo de 12 (doze) meses, contados a partir da data do aceite final emitido pela Comissão de Recebimento e pelo Encarregado de Material, independentemente da garantia fornecida pelo fabricante.</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18.5. Os itens adquiridos nesta Dispensa de Licitação serão entregues por conta e risco do licitante contratado e em conformidade com as quantidades que forem solicitadas nas respectivas Notas de Empenho, devendo os itens serem entregues na sede do Órgão emissor da Nota de Empenho, conforme abaixo: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b/>
        </w:rPr>
        <w:t>Comando do Grupamento de Unidades Escola - 9ª Brigada de Infantaria Motorizada</w:t>
      </w:r>
      <w:r>
        <w:rPr>
          <w:rFonts w:cs="Times New Roman" w:ascii="Times New Roman" w:hAnsi="Times New Roman"/>
        </w:rPr>
        <w:t>, situado na Rua Bernardo de Vasconcelos, nº 1090, Realengo, Rio de Janeiro, RJ. A entrega deverá ser feita de segunda a quinta-feira, das 09h30min às 11h45min e das 13h30min às 16h15min e nas sextas-feiras, das 08h às 11h45min. O prazo de entrega do serviço é de 30 (trinta) dias corridos, a contar do recebimento da Nota de Empenho pelo fornecedor. O recebimento em horários diferentes dos estabelecidos deverá ser solicitado e, se for autorizado, agendado com o Setor de Material, através do telefone (21) 3338-7122.</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18.6. Todo o transporte a ser executado em função das entregas será de única e total responsabilidade da CONTRATADA, correndo por sua conta e risco tal operação, inclusive carga e descarga, seguro e demais despesas.</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18.7. A CONTRATADA deverá efetuar a entrega dos artigos de acordo com suas especificações técnicas, modelos, embalagens e instruções.</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18.8. A CONTRATADA é obrigada a reparar, corrigir, remover ou substituir, às suas custas, no total ou em parte, serviço fornecido em que se verificarem vícios, defeitos ou incorreções.</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18.9. A CONTRATADA responderá,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serviço, o defeito inexistia; ou quando demonstrar a culpa exclusiva do Órgão emissor da Nota de Empenho.</w:t>
      </w:r>
    </w:p>
    <w:p>
      <w:pPr>
        <w:pStyle w:val="Normal"/>
        <w:tabs>
          <w:tab w:val="clear" w:pos="708"/>
          <w:tab w:val="left" w:pos="-1135" w:leader="none"/>
        </w:tabs>
        <w:spacing w:lineRule="auto" w:line="276"/>
        <w:ind w:left="-284" w:right="-568" w:hanging="0"/>
        <w:jc w:val="both"/>
        <w:rPr>
          <w:rFonts w:ascii="Times New Roman" w:hAnsi="Times New Roman" w:cs="Times New Roman"/>
        </w:rPr>
      </w:pPr>
      <w:r>
        <w:rPr>
          <w:rFonts w:cs="Times New Roman" w:ascii="Times New Roman" w:hAnsi="Times New Roman"/>
        </w:rPr>
        <w:t>18.10.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pPr>
        <w:pStyle w:val="Normal"/>
        <w:tabs>
          <w:tab w:val="clear" w:pos="708"/>
          <w:tab w:val="left" w:pos="-1135"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1135" w:leader="none"/>
        </w:tabs>
        <w:ind w:left="-284" w:right="-568" w:hanging="0"/>
        <w:jc w:val="center"/>
        <w:rPr>
          <w:rFonts w:ascii="Times New Roman" w:hAnsi="Times New Roman" w:cs="Times New Roman"/>
          <w:u w:val="single"/>
        </w:rPr>
      </w:pPr>
      <w:r>
        <w:rPr>
          <w:rFonts w:cs="Times New Roman" w:ascii="Times New Roman" w:hAnsi="Times New Roman"/>
          <w:u w:val="single"/>
        </w:rPr>
      </w:r>
    </w:p>
    <w:p>
      <w:pPr>
        <w:pStyle w:val="Normal"/>
        <w:tabs>
          <w:tab w:val="clear" w:pos="708"/>
          <w:tab w:val="left" w:pos="-113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19. DEVERES DO CONTRATANTE</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19.1. Emitir Nota de Empenho, e proceder ao pagamento da CONTRATADA de acordo com a disponibilidade da Diretoria de Contabilidade. O pagamento estará condicionado à entrega dos itens de acordo com o estabelecido na Relação de serviço.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19.2. Disponibilizar militares do Setor de Material para efetuar o recebimento do serviço nos horários descritos neste Termo de Referência.</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u w:val="single"/>
        </w:rPr>
      </w:pPr>
      <w:r>
        <w:rPr>
          <w:rFonts w:cs="Times New Roman" w:ascii="Times New Roman" w:hAnsi="Times New Roman"/>
          <w:u w:val="single"/>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20. FISCALIZAÇÃO E GERENCIAMENTO DO CONTRATO</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20.1 Os Contratos resultantes desta Dispensa de Licitação serão substituídos por Nota de Empenho, nas condições previstas no artigo 62 da Lei 8.666, de 21 de junho de 1993.</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20.2. O responsável pela liquidação das Notas Fiscais será o Encarregado do Setor de Material.</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20.5. O responsável pelo gerenciamento das atividades relativas ao pagamento das Notas Fiscais será o Encarregado do Setor Financeiro,</w:t>
      </w:r>
    </w:p>
    <w:p>
      <w:pPr>
        <w:pStyle w:val="Normal"/>
        <w:widowControl w:val="false"/>
        <w:ind w:left="-284" w:right="-568" w:hanging="0"/>
        <w:jc w:val="both"/>
        <w:rPr>
          <w:rFonts w:ascii="Times New Roman" w:hAnsi="Times New Roman" w:cs="Times New Roman"/>
          <w:bCs/>
          <w:color w:val="000000"/>
        </w:rPr>
      </w:pPr>
      <w:r>
        <w:rPr>
          <w:rFonts w:cs="Times New Roman" w:ascii="Times New Roman" w:hAnsi="Times New Roman"/>
          <w:bCs/>
          <w:color w:val="000000"/>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21. PRAZO DE EXECUÇÃO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21.1. Os itens adquiridos nesta Dispensa de Licitação por meio das eventuais Notas de Empenho deverão ser entregues, por conta e risco da CONTRATADA, no endereço e horários descritos no item 18.5 deste Termo de Referência, no prazo de 15 (quinze) dias corridos, a contar do recebimento da Nota de Empenho pelo fornecedor.</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22. SANÇÕES ADMINISTRATIVAS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22.1. Comete infração administrativa nos termos da Lei nº 10.520, de 2002, a Contratada que:</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falhar na execução do contrato, pela inexecução, total ou parcial, de quaisquer das obrigações assumidas na contratação;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ensejar o retardamento da execução do objeto;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fraudar na execução do contrato;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comportar-se de modo inidôneo; ou</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cometer fraude fiscal.</w:t>
      </w:r>
    </w:p>
    <w:p>
      <w:pPr>
        <w:pStyle w:val="ListParagraph"/>
        <w:numPr>
          <w:ilvl w:val="1"/>
          <w:numId w:val="2"/>
        </w:numPr>
        <w:tabs>
          <w:tab w:val="clear" w:pos="708"/>
          <w:tab w:val="left" w:pos="284" w:leader="none"/>
        </w:tabs>
        <w:suppressAutoHyphens w:val="false"/>
        <w:spacing w:lineRule="auto" w:line="276" w:before="120" w:after="120"/>
        <w:ind w:left="196" w:right="-568" w:hanging="480"/>
        <w:contextualSpacing/>
        <w:jc w:val="both"/>
        <w:rPr>
          <w:rFonts w:ascii="Times New Roman" w:hAnsi="Times New Roman" w:cs="Times New Roman"/>
        </w:rPr>
      </w:pPr>
      <w:r>
        <w:rPr>
          <w:rFonts w:cs="Times New Roman" w:ascii="Times New Roman" w:hAnsi="Times New Roman"/>
        </w:rPr>
        <w:t xml:space="preserve">Pela inexecução </w:t>
      </w:r>
      <w:r>
        <w:rPr>
          <w:rFonts w:cs="Times New Roman" w:ascii="Times New Roman" w:hAnsi="Times New Roman"/>
          <w:u w:val="single"/>
        </w:rPr>
        <w:t>total ou parcial</w:t>
      </w:r>
      <w:r>
        <w:rPr>
          <w:rFonts w:cs="Times New Roman" w:ascii="Times New Roman" w:hAnsi="Times New Roman"/>
        </w:rPr>
        <w:t xml:space="preserve"> do objeto deste contrato, a Administração pode aplicar à CONTRATADA as seguintes sanções: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bCs/>
        </w:rPr>
        <w:t>22.2.1.</w:t>
      </w:r>
      <w:r>
        <w:rPr>
          <w:rFonts w:cs="Times New Roman" w:ascii="Times New Roman" w:hAnsi="Times New Roman"/>
          <w:bCs/>
        </w:rPr>
        <w:t xml:space="preserve"> </w:t>
      </w:r>
      <w:r>
        <w:rPr>
          <w:rFonts w:cs="Times New Roman" w:ascii="Times New Roman" w:hAnsi="Times New Roman"/>
          <w:b/>
          <w:bCs/>
        </w:rPr>
        <w:t>Advertência por escrito</w:t>
      </w:r>
      <w:r>
        <w:rPr>
          <w:rFonts w:cs="Times New Roman" w:ascii="Times New Roman" w:hAnsi="Times New Roman"/>
        </w:rPr>
        <w:t>, quando do não cumprimento de quaisquer das obrigações contratuais consideradas faltas leves, assim entendidas aquelas que não acarretam prejuízos significativos para o serviço contratado;</w:t>
      </w:r>
    </w:p>
    <w:p>
      <w:pPr>
        <w:pStyle w:val="Normal"/>
        <w:suppressAutoHyphens w:val="false"/>
        <w:spacing w:lineRule="auto" w:line="276" w:before="120" w:after="120"/>
        <w:ind w:left="-284" w:right="-568" w:hanging="0"/>
        <w:jc w:val="both"/>
        <w:rPr>
          <w:rFonts w:ascii="Times New Roman" w:hAnsi="Times New Roman" w:cs="Times New Roman"/>
          <w:b/>
          <w:b/>
          <w:bCs/>
        </w:rPr>
      </w:pPr>
      <w:r>
        <w:rPr>
          <w:rFonts w:cs="Times New Roman" w:ascii="Times New Roman" w:hAnsi="Times New Roman"/>
          <w:b/>
          <w:bCs/>
        </w:rPr>
        <w:t>22.2.2.</w:t>
      </w:r>
      <w:r>
        <w:rPr>
          <w:rFonts w:cs="Times New Roman" w:ascii="Times New Roman" w:hAnsi="Times New Roman"/>
          <w:bCs/>
        </w:rPr>
        <w:t xml:space="preserve"> </w:t>
      </w:r>
      <w:r>
        <w:rPr>
          <w:rFonts w:cs="Times New Roman" w:ascii="Times New Roman" w:hAnsi="Times New Roman"/>
          <w:b/>
          <w:bCs/>
        </w:rPr>
        <w:t xml:space="preserve">Multa: </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a) moratória de 0,5% (zero vírgula cinco por cento) por dia de atraso injustificado sobre o valor da parcela inadimplida, até o limite de 10 (dez) dias;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b) compensatória de 1% (um por cento) sobre o valor total do contrato, no caso de inexecução total do objeto;</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rPr>
        <w:t>22.2.3</w:t>
      </w:r>
      <w:r>
        <w:rPr>
          <w:rFonts w:cs="Times New Roman" w:ascii="Times New Roman" w:hAnsi="Times New Roman"/>
        </w:rPr>
        <w:t xml:space="preserve">. </w:t>
      </w:r>
      <w:r>
        <w:rPr>
          <w:rFonts w:cs="Times New Roman" w:ascii="Times New Roman" w:hAnsi="Times New Roman"/>
          <w:b/>
          <w:bCs/>
        </w:rPr>
        <w:t>Suspensão de licitar e impedimento de contratar</w:t>
      </w:r>
      <w:r>
        <w:rPr>
          <w:rFonts w:cs="Times New Roman" w:ascii="Times New Roman" w:hAnsi="Times New Roman"/>
        </w:rPr>
        <w:t xml:space="preserve"> com o órgão, entidade ou unidade administrativa pela qual a Administração Pública opera e atua concretamente, pelo prazo de até dois anos;</w:t>
      </w:r>
    </w:p>
    <w:p>
      <w:pPr>
        <w:pStyle w:val="Normal"/>
        <w:suppressAutoHyphens w:val="false"/>
        <w:spacing w:lineRule="auto" w:line="276"/>
        <w:ind w:left="-284" w:right="-568" w:hanging="0"/>
        <w:jc w:val="both"/>
        <w:rPr>
          <w:rFonts w:ascii="Times New Roman" w:hAnsi="Times New Roman" w:cs="Times New Roman"/>
        </w:rPr>
      </w:pPr>
      <w:r>
        <w:rPr>
          <w:rFonts w:cs="Times New Roman" w:ascii="Times New Roman" w:hAnsi="Times New Roman"/>
          <w:b/>
          <w:bCs/>
        </w:rPr>
        <w:t>22.2.4. Sanção de impedimento de licitar e contratar com órgãos e entidades da União</w:t>
      </w:r>
      <w:r>
        <w:rPr>
          <w:rFonts w:cs="Times New Roman" w:ascii="Times New Roman" w:hAnsi="Times New Roman"/>
        </w:rPr>
        <w:t>, com o consequente descredenciamento no SICAF pelo prazo de até cinco anos.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bCs/>
        </w:rPr>
        <w:t>22.2.5. Declaração de inidoneidade para licitar ou contratar</w:t>
      </w:r>
      <w:r>
        <w:rPr>
          <w:rFonts w:cs="Times New Roman" w:ascii="Times New Roman" w:hAnsi="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22.3. A Sanção de impedimento de licitar e contratar também é aplicável em quaisquer das hipóteses previstas como infração administrativa neste Termo de Referência.</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22.4. As sanções poderão ser aplicadas à CONTRATADA juntamente com as de multa, descontando-a dos pagamentos a serem efetuados.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22.5. Também ficam sujeitas às penalidades do artigo 87, III e IV da Lei nº 8.666, de 1993, as empresas ou profissionais que: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a) tenham sofrido condenação definitiva por praticar, por meio dolosos, fraude fiscal no recolhimento de quaisquer tributos;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b) tenham praticado atos ilícitos visando a frustrar os objetivos da dispensa de licitação;</w:t>
      </w:r>
    </w:p>
    <w:p>
      <w:pPr>
        <w:pStyle w:val="Normal"/>
        <w:suppressAutoHyphens w:val="false"/>
        <w:spacing w:lineRule="auto" w:line="276" w:before="240" w:after="120"/>
        <w:ind w:left="-284" w:right="-568" w:hanging="0"/>
        <w:jc w:val="both"/>
        <w:rPr>
          <w:rFonts w:ascii="Times New Roman" w:hAnsi="Times New Roman" w:cs="Times New Roman"/>
        </w:rPr>
      </w:pPr>
      <w:r>
        <w:rPr>
          <w:rFonts w:cs="Times New Roman" w:ascii="Times New Roman" w:hAnsi="Times New Roman"/>
        </w:rPr>
        <w:t>c) demonstrem não possuir idoneidade para contratar com a Administração em virtude de atos ilícitos praticados.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22.6. 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22.7. 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22.8. Caso a Contratante determine, a multa deverá ser recolhida no prazo máximo de 10 (dez) dias corridos, a contar da data do recebimento da comunicação enviada pela autoridade competente.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22.9. Caso o valor da multa não seja suficiente para cobrir os prejuízos causados pela conduta do licitante, a União ou Entidade poderá cobrar o valor remanescente judicialmente, conforme artigo 419 do Código Civil.</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22.10 A autoridade competente, na aplicação das sanções, levará em consideração a gravidade da conduta do infrator, o caráter educativo da pena, bem como o dano causado à Administração, observado o princípio da proporcionalidade.</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 xml:space="preserve">22.11.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22.12. 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 xml:space="preserve">22.13.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22.14. As penalidades serão obrigatoriamente registradas no SICAF.</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23. CRITÉRIOS DE SUSTENTABILIDADE AMBIENTAL</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23.1. A CONTRATADA se comprometerá a fornecer materiais que sejam constituídos no todo ou em parte, por material reciclado, atóxico, biodegradável, conforme ABNT NBR - 15448 e 15448 - 2.</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23.2. A CONTRATADA se comprometerá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23.3. A CONTRATADA se comprometerá a fornecer materiais acondicionados em embalagem individual adequada, com o menor volume possível, que utilize materiais recicláveis, de modo a garantir a máxima proteção durante o transporte e o armazenamento.</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23.4. A CONTRATADA se comprometerá a fornecer materiais que não contenham substâncias perigosas em concentração acima da recomendada na diretiva RoHS (Resctriction of Certain Hazardous Substances), tais como mercúrio (Hg), chumbo (Pb), cromo hexavalente (Cr(VI)), cádmio (Cd), bifenil-polibromados (PBBs), éteres difenil-polibromados (PBDEs).</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24. MARGEM DE PREFERÊNCIA</w:t>
      </w:r>
    </w:p>
    <w:p>
      <w:pPr>
        <w:pStyle w:val="Normal"/>
        <w:widowControl w:val="false"/>
        <w:tabs>
          <w:tab w:val="clear" w:pos="708"/>
          <w:tab w:val="left" w:pos="5835" w:leader="none"/>
        </w:tabs>
        <w:ind w:left="-284" w:right="-568" w:hanging="0"/>
        <w:jc w:val="both"/>
        <w:rPr/>
      </w:pPr>
      <w:r>
        <w:rPr>
          <w:rFonts w:cs="Times New Roman" w:ascii="Times New Roman" w:hAnsi="Times New Roman"/>
        </w:rPr>
        <w:t>24.1. Não haverá aplicação da margem de preferência em virtude do</w:t>
        <w:tab/>
        <w:t>Decreto nº 7.174/2010, devido ao fato de não haver itens de informática a serem adquiridos no presente processo.</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25. HABILITAÇÃO</w:t>
      </w:r>
    </w:p>
    <w:p>
      <w:pPr>
        <w:pStyle w:val="Nivel01"/>
        <w:tabs>
          <w:tab w:val="clear" w:pos="567"/>
          <w:tab w:val="left" w:pos="-284" w:leader="none"/>
        </w:tabs>
        <w:spacing w:lineRule="auto" w:line="276" w:before="120" w:after="120"/>
        <w:ind w:left="-284" w:right="-568" w:hanging="0"/>
        <w:rPr>
          <w:rFonts w:ascii="Times New Roman" w:hAnsi="Times New Roman"/>
          <w:b w:val="false"/>
          <w:b w:val="false"/>
          <w:sz w:val="24"/>
          <w:szCs w:val="24"/>
          <w:lang w:eastAsia="ar-SA"/>
        </w:rPr>
      </w:pPr>
      <w:r>
        <w:rPr>
          <w:rFonts w:ascii="Times New Roman" w:hAnsi="Times New Roman"/>
          <w:b w:val="false"/>
          <w:sz w:val="24"/>
          <w:szCs w:val="24"/>
          <w:lang w:eastAsia="ar-SA"/>
        </w:rPr>
        <w:t>25.1.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ivel01"/>
        <w:tabs>
          <w:tab w:val="clear" w:pos="567"/>
          <w:tab w:val="left" w:pos="-284" w:leader="none"/>
        </w:tabs>
        <w:spacing w:lineRule="auto" w:line="276" w:before="0" w:after="120"/>
        <w:ind w:left="-284" w:right="-568" w:hanging="0"/>
        <w:rPr>
          <w:rFonts w:ascii="Times New Roman" w:hAnsi="Times New Roman"/>
          <w:b w:val="false"/>
          <w:b w:val="false"/>
          <w:sz w:val="24"/>
          <w:szCs w:val="24"/>
        </w:rPr>
      </w:pPr>
      <w:r>
        <w:rPr>
          <w:rFonts w:ascii="Times New Roman" w:hAnsi="Times New Roman"/>
          <w:b w:val="false"/>
          <w:sz w:val="24"/>
          <w:szCs w:val="24"/>
        </w:rPr>
        <w:t>a) SICAF;</w:t>
      </w:r>
    </w:p>
    <w:p>
      <w:pPr>
        <w:pStyle w:val="ListParagraph"/>
        <w:tabs>
          <w:tab w:val="clear" w:pos="708"/>
          <w:tab w:val="left" w:pos="-284" w:leader="none"/>
        </w:tabs>
        <w:spacing w:lineRule="auto" w:line="276" w:before="120" w:after="120"/>
        <w:ind w:left="-284" w:right="-568" w:hanging="0"/>
        <w:jc w:val="both"/>
        <w:rPr/>
      </w:pPr>
      <w:r>
        <w:rPr>
          <w:rFonts w:cs="Times New Roman" w:ascii="Times New Roman" w:hAnsi="Times New Roman"/>
        </w:rPr>
        <w:t>b) Cadastro Nacional de Empresas Inidôneas e Suspensas - CEIS, mantido pela Controladoria-Geral da União (</w:t>
      </w:r>
      <w:hyperlink r:id="rId3">
        <w:r>
          <w:rPr>
            <w:rStyle w:val="LinkdaInternet"/>
            <w:rFonts w:cs="Times New Roman" w:ascii="Times New Roman" w:hAnsi="Times New Roman"/>
          </w:rPr>
          <w:t>www.portaldatransparencia.gov.br/ceis</w:t>
        </w:r>
      </w:hyperlink>
      <w:r>
        <w:rPr>
          <w:rFonts w:cs="Times New Roman" w:ascii="Times New Roman" w:hAnsi="Times New Roman"/>
        </w:rPr>
        <w:t>);</w:t>
      </w:r>
    </w:p>
    <w:p>
      <w:pPr>
        <w:pStyle w:val="ListParagraph"/>
        <w:tabs>
          <w:tab w:val="clear" w:pos="708"/>
          <w:tab w:val="left" w:pos="-284" w:leader="none"/>
        </w:tabs>
        <w:spacing w:lineRule="auto" w:line="276" w:before="120" w:after="120"/>
        <w:ind w:left="-284" w:right="-568" w:hanging="0"/>
        <w:jc w:val="both"/>
        <w:rPr/>
      </w:pPr>
      <w:r>
        <w:rPr>
          <w:rFonts w:cs="Times New Roman" w:ascii="Times New Roman" w:hAnsi="Times New Roman"/>
        </w:rPr>
        <w:t>c) Cadastro Nacional de Condenações Cíveis por Atos de Improbidade Administrativa, mantido pelo Conselho Nacional de Justiça (</w:t>
      </w:r>
      <w:hyperlink r:id="rId4">
        <w:r>
          <w:rPr>
            <w:rStyle w:val="LinkdaInternet"/>
            <w:rFonts w:cs="Times New Roman" w:ascii="Times New Roman" w:hAnsi="Times New Roman"/>
          </w:rPr>
          <w:t>www.cnj.jus.br/improbidade_adm/consultar_requerido.php</w:t>
        </w:r>
      </w:hyperlink>
      <w:r>
        <w:rPr>
          <w:rFonts w:cs="Times New Roman" w:ascii="Times New Roman" w:hAnsi="Times New Roman"/>
        </w:rPr>
        <w:t xml:space="preserve">).  </w:t>
      </w:r>
    </w:p>
    <w:p>
      <w:pPr>
        <w:pStyle w:val="ListParagraph"/>
        <w:tabs>
          <w:tab w:val="clear" w:pos="708"/>
          <w:tab w:val="left" w:pos="-284" w:leader="none"/>
        </w:tabs>
        <w:spacing w:lineRule="auto" w:line="276" w:before="120" w:after="120"/>
        <w:ind w:left="-284" w:right="-568" w:hanging="0"/>
        <w:jc w:val="both"/>
        <w:rPr>
          <w:rFonts w:ascii="Times New Roman" w:hAnsi="Times New Roman" w:cs="Times New Roman"/>
        </w:rPr>
      </w:pPr>
      <w:r>
        <w:rPr>
          <w:rFonts w:cs="Times New Roman" w:ascii="Times New Roman" w:hAnsi="Times New Roman"/>
        </w:rPr>
        <w:t xml:space="preserve">d) Lista de Inidôneos e o Cadastro Integrado de Condenações por Ilícitos Administrativos - CADICON, mantidos pelo Tribunal de Contas da União - TCU; </w:t>
      </w:r>
    </w:p>
    <w:p>
      <w:pPr>
        <w:pStyle w:val="Nivel01"/>
        <w:tabs>
          <w:tab w:val="clear" w:pos="567"/>
          <w:tab w:val="left" w:pos="-284" w:leader="none"/>
        </w:tabs>
        <w:spacing w:lineRule="auto" w:line="276" w:before="240" w:after="120"/>
        <w:ind w:left="-284" w:right="-568" w:hanging="0"/>
        <w:rPr>
          <w:rFonts w:ascii="Times New Roman" w:hAnsi="Times New Roman"/>
          <w:b w:val="false"/>
          <w:b w:val="false"/>
          <w:sz w:val="24"/>
          <w:szCs w:val="24"/>
        </w:rPr>
      </w:pPr>
      <w:r>
        <w:rPr>
          <w:rFonts w:ascii="Times New Roman" w:hAnsi="Times New Roman"/>
          <w:b w:val="false"/>
          <w:bCs w:val="false"/>
          <w:sz w:val="24"/>
          <w:szCs w:val="24"/>
          <w:lang w:eastAsia="ar-SA"/>
        </w:rPr>
        <w:t>25.2. Para a consulta de licitante pessoa jurídica poderá haver a substituição das consultas</w:t>
      </w:r>
      <w:r>
        <w:rPr>
          <w:rFonts w:ascii="Times New Roman" w:hAnsi="Times New Roman"/>
          <w:b w:val="false"/>
          <w:sz w:val="24"/>
          <w:szCs w:val="24"/>
          <w:lang w:eastAsia="ar-SA"/>
        </w:rPr>
        <w:t xml:space="preserve"> das alíneas “b”, “c” e “d” acima pela Consulta Consolidada de Pessoa Jurídica do TCU (https://certidoesapf.apps.tcu.gov.br/)</w:t>
      </w:r>
    </w:p>
    <w:p>
      <w:pPr>
        <w:pStyle w:val="ListParagraph"/>
        <w:tabs>
          <w:tab w:val="clear" w:pos="708"/>
          <w:tab w:val="left" w:pos="-284" w:leader="none"/>
        </w:tabs>
        <w:suppressAutoHyphens w:val="false"/>
        <w:spacing w:lineRule="auto" w:line="276" w:before="120" w:after="120"/>
        <w:ind w:left="-284" w:right="-568" w:hanging="0"/>
        <w:contextualSpacing/>
        <w:jc w:val="both"/>
        <w:rPr>
          <w:rFonts w:ascii="Times New Roman" w:hAnsi="Times New Roman" w:cs="Times New Roman"/>
        </w:rPr>
      </w:pPr>
      <w:r>
        <w:rPr>
          <w:rFonts w:cs="Times New Roman" w:ascii="Times New Roman" w:hAnsi="Times New Roman"/>
        </w:rPr>
        <w:t>25.3. As empresas vencedoras deverão estar em dia com a documentação relacionada nos itens a seguir:</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t>25.4. Habilitação jurídica:</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Cs/>
          <w:color w:val="000000"/>
        </w:rPr>
        <w:t>25.4.1. Contrato Social ou documento equivalente.</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t xml:space="preserve">25.5. Regularidade fiscal </w:t>
      </w:r>
      <w:r>
        <w:rPr>
          <w:rFonts w:cs="Times New Roman" w:ascii="Times New Roman" w:hAnsi="Times New Roman"/>
          <w:b/>
          <w:bCs/>
        </w:rPr>
        <w:t>e trabalhista</w:t>
      </w:r>
      <w:r>
        <w:rPr>
          <w:rFonts w:cs="Times New Roman" w:ascii="Times New Roman" w:hAnsi="Times New Roman"/>
          <w:b/>
          <w:bCs/>
          <w:color w:val="0000FF"/>
        </w:rPr>
        <w:t>:</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25.5.1. Prova de inscrição no Cadastro Nacional de Pessoas Jurídicas ou no Cadastro de Pessoas Físicas, conforme o caso;</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rPr>
      </w:pPr>
      <w:r>
        <w:rPr>
          <w:rFonts w:cs="Times New Roman" w:ascii="Times New Roman" w:hAnsi="Times New Roman"/>
          <w:lang w:eastAsia="en-US"/>
        </w:rPr>
        <w:t>25.5.</w:t>
      </w:r>
      <w:r>
        <w:rPr>
          <w:rFonts w:cs="Times New Roman" w:ascii="Times New Roman" w:hAnsi="Times New Roman"/>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lang w:eastAsia="en-US"/>
        </w:rPr>
        <w:t>25.5.</w:t>
      </w:r>
      <w:r>
        <w:rPr>
          <w:rFonts w:cs="Times New Roman" w:ascii="Times New Roman" w:hAnsi="Times New Roman"/>
          <w:color w:val="000000"/>
          <w:lang w:eastAsia="en-US"/>
        </w:rPr>
        <w:t>3. Prova de regularidade com o Fundo de Garantia do Tempo de Serviço (FGTS);</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rPr>
      </w:pPr>
      <w:r>
        <w:rPr>
          <w:rFonts w:cs="Times New Roman" w:ascii="Times New Roman" w:hAnsi="Times New Roman"/>
          <w:lang w:eastAsia="en-US"/>
        </w:rPr>
        <w:t>25.5.4.</w:t>
      </w:r>
      <w:r>
        <w:rPr>
          <w:rFonts w:cs="Times New Roman" w:ascii="Times New Roman" w:hAnsi="Times New Roman"/>
          <w:color w:val="000000"/>
          <w:lang w:eastAsia="en-US"/>
        </w:rPr>
        <w:t xml:space="preserve"> P</w:t>
      </w:r>
      <w:r>
        <w:rPr>
          <w:rFonts w:cs="Times New Roman" w:ascii="Times New Roman" w:hAnsi="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lang w:eastAsia="en-US"/>
        </w:rPr>
        <w:t>25.5.</w:t>
      </w:r>
      <w:r>
        <w:rPr>
          <w:rFonts w:cs="Times New Roman" w:ascii="Times New Roman" w:hAnsi="Times New Roman"/>
          <w:color w:val="000000"/>
          <w:lang w:eastAsia="en-US"/>
        </w:rPr>
        <w:t>5. P</w:t>
      </w:r>
      <w:r>
        <w:rPr>
          <w:rFonts w:cs="Times New Roman" w:ascii="Times New Roman" w:hAnsi="Times New Roman"/>
        </w:rPr>
        <w:t>rova de regularidade com a Fazenda Estadual do domicílio ou sede do licitante, relativa à atividade em cujo exercício contrata ou concorre;</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rPr>
      </w:pPr>
      <w:r>
        <w:rPr>
          <w:rFonts w:cs="Times New Roman" w:ascii="Times New Roman" w:hAnsi="Times New Roman"/>
          <w:lang w:eastAsia="en-US"/>
        </w:rPr>
        <w:t>25.5.</w:t>
      </w:r>
      <w:r>
        <w:rPr>
          <w:rFonts w:cs="Times New Roman" w:ascii="Times New Roman" w:hAnsi="Times New Roman"/>
          <w:color w:val="000000"/>
          <w:lang w:eastAsia="en-US"/>
        </w:rPr>
        <w:t>6. P</w:t>
      </w:r>
      <w:r>
        <w:rPr>
          <w:rFonts w:cs="Times New Roman" w:ascii="Times New Roman" w:hAnsi="Times New Roman"/>
        </w:rPr>
        <w:t>rova de regularidade com a Fazenda Municipal do domicílio ou sede do licitante, relativa à atividade em cujo exercício contrata ou concorre;</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lang w:eastAsia="en-US"/>
        </w:rPr>
        <w:t>25.5.</w:t>
      </w:r>
      <w:r>
        <w:rPr>
          <w:rFonts w:cs="Times New Roman" w:ascii="Times New Roman" w:hAnsi="Times New Roman"/>
          <w:color w:val="000000"/>
          <w:lang w:eastAsia="en-US"/>
        </w:rPr>
        <w:t xml:space="preserve">7. </w:t>
      </w:r>
      <w:r>
        <w:rPr>
          <w:rFonts w:cs="Times New Roman" w:ascii="Times New Roman" w:hAnsi="Times New Roman"/>
          <w:color w:val="000000"/>
        </w:rPr>
        <w:t xml:space="preserve">Caso o licitante seja considerado isento dos tributos estaduais relacionados ao objeto licitatório, deverá comprovar tal condição mediante declaração da Fazenda Estadual do seu domicílio ou sede, ou outra equivalente, na forma da lei; </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bCs/>
          <w:iCs/>
          <w:color w:val="7030A0"/>
          <w:u w:val="single"/>
        </w:rPr>
      </w:pPr>
      <w:r>
        <w:rPr>
          <w:rFonts w:cs="Times New Roman" w:ascii="Times New Roman" w:hAnsi="Times New Roman"/>
          <w:lang w:eastAsia="en-US"/>
        </w:rPr>
        <w:t>25.5.</w:t>
      </w:r>
      <w:r>
        <w:rPr>
          <w:rFonts w:cs="Times New Roman" w:ascii="Times New Roman" w:hAnsi="Times New Roman"/>
          <w:color w:val="000000"/>
          <w:lang w:eastAsia="en-US"/>
        </w:rPr>
        <w:t>8. C</w:t>
      </w:r>
      <w:r>
        <w:rPr>
          <w:rFonts w:cs="Times New Roman" w:ascii="Times New Roman" w:hAnsi="Times New Roman"/>
          <w:color w:val="000000"/>
          <w:lang w:eastAsia="en-US" w:bidi="pt-BR"/>
        </w:rPr>
        <w:t xml:space="preserve">aso o licitante detentor do menor preço seja qualificado como microempresa ou empresa de pequeno porte </w:t>
      </w:r>
      <w:r>
        <w:rPr>
          <w:rFonts w:cs="Times New Roman" w:ascii="Times New Roman" w:hAnsi="Times New Roman"/>
          <w:color w:val="000000"/>
          <w:lang w:eastAsia="en-US"/>
        </w:rPr>
        <w:t>deverá apresentar toda a documentação exigida para efeito de comprovação de regularidade fiscal, mesmo que esta apresente alguma restrição, sob pena de inabilitação.</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t>25.6. Qualificação Econômico-Financeira</w:t>
      </w:r>
      <w:r>
        <w:rPr>
          <w:rFonts w:cs="Times New Roman" w:ascii="Times New Roman" w:hAnsi="Times New Roman"/>
          <w:color w:val="000000"/>
        </w:rPr>
        <w:t>.</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25.6.1.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 xml:space="preserve">25.6.1.1. </w:t>
      </w:r>
      <w:r>
        <w:rPr>
          <w:rFonts w:cs="Times New Roman" w:ascii="Times New Roman" w:hAnsi="Times New Roman"/>
          <w:bCs/>
          <w:iCs/>
          <w:color w:val="000000"/>
        </w:rPr>
        <w:t>No caso de fornecimento</w:t>
      </w:r>
      <w:r>
        <w:rPr>
          <w:rFonts w:cs="Times New Roman" w:ascii="Times New Roman" w:hAnsi="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25.6.1.2. N</w:t>
      </w:r>
      <w:r>
        <w:rPr>
          <w:rFonts w:cs="Times New Roman" w:ascii="Times New Roman" w:hAnsi="Times New Roman"/>
          <w:color w:val="000000"/>
          <w:lang w:eastAsia="en-US"/>
        </w:rPr>
        <w:t>o caso de empresa constituída no exercício social vigente, admite-se a apresentação de balanço patrimonial e demonstrações contábeis referentes ao período de existência da sociedade;</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25.6.1.3. É</w:t>
      </w:r>
      <w:r>
        <w:rPr>
          <w:rFonts w:cs="Times New Roman" w:ascii="Times New Roman" w:hAnsi="Times New Roman"/>
          <w:color w:val="000000"/>
          <w:lang w:eastAsia="en-US"/>
        </w:rPr>
        <w:t xml:space="preserve"> admissível o balanço intermediário, se decorrer de lei ou contrato social/estatuto social.</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25.6.1.4. </w:t>
      </w:r>
      <w:r>
        <w:rPr>
          <w:rFonts w:cs="Times New Roman" w:ascii="Times New Roman" w:hAnsi="Times New Roman"/>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25.6.1.5. A comprovação da situação financeira da empresa será constatada mediante obtenção de índices de Liquidez Geral (LG), Solvência Geral (SG) e Liquidez Corrente (LC), superiores a 1 ( um) resultantes da aplicação das fórmulas:</w:t>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LG =</w:t>
            </w:r>
          </w:p>
        </w:tc>
        <w:tc>
          <w:tcPr>
            <w:tcW w:w="4678" w:type="dxa"/>
            <w:tcBorders>
              <w:bottom w:val="single" w:sz="4" w:space="0" w:color="000000"/>
            </w:tcBorders>
            <w:shd w:color="auto" w:fill="auto" w:val="clear"/>
            <w:vAlign w:val="bottom"/>
          </w:tcPr>
          <w:p>
            <w:pPr>
              <w:pStyle w:val="Normal"/>
              <w:tabs>
                <w:tab w:val="clear" w:pos="708"/>
                <w:tab w:val="left" w:pos="1440" w:leader="none"/>
              </w:tabs>
              <w:snapToGrid w:val="false"/>
              <w:ind w:left="33" w:hanging="0"/>
              <w:rPr>
                <w:rFonts w:ascii="Times New Roman" w:hAnsi="Times New Roman" w:eastAsia="MS Mincho" w:cs="Times New Roman"/>
                <w:color w:val="000000"/>
              </w:rPr>
            </w:pPr>
            <w:r>
              <w:rPr>
                <w:rFonts w:eastAsia="MS Mincho" w:cs="Times New Roman" w:ascii="Times New Roman" w:hAnsi="Times New Roman"/>
                <w:color w:val="000000"/>
              </w:rPr>
              <w:t>Ativo Circulante + Realizável a Longo Prazo</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1440" w:leader="none"/>
              </w:tabs>
              <w:snapToGrid w:val="false"/>
              <w:ind w:left="33" w:hanging="0"/>
              <w:rPr>
                <w:rFonts w:ascii="Times New Roman" w:hAnsi="Times New Roman" w:eastAsia="MS Mincho" w:cs="Times New Roman"/>
                <w:color w:val="000000"/>
              </w:rPr>
            </w:pPr>
            <w:r>
              <w:rPr>
                <w:rFonts w:eastAsia="MS Mincho" w:cs="Times New Roman" w:ascii="Times New Roman" w:hAnsi="Times New Roman"/>
                <w:color w:val="000000"/>
              </w:rPr>
              <w:t>Passivo Circulante + Passivo Não Circulante</w:t>
            </w:r>
          </w:p>
        </w:tc>
      </w:tr>
    </w:tbl>
    <w:p>
      <w:pPr>
        <w:pStyle w:val="Normal"/>
        <w:tabs>
          <w:tab w:val="clear" w:pos="708"/>
          <w:tab w:val="left" w:pos="-284" w:leader="none"/>
          <w:tab w:val="left" w:pos="1440" w:leader="none"/>
        </w:tabs>
        <w:snapToGrid w:val="false"/>
        <w:ind w:left="-284" w:hanging="0"/>
        <w:jc w:val="both"/>
        <w:rPr>
          <w:rFonts w:ascii="Times New Roman" w:hAnsi="Times New Roman" w:cs="Times New Roman"/>
          <w:color w:val="000000"/>
        </w:rPr>
      </w:pPr>
      <w:r>
        <w:rPr>
          <w:rFonts w:cs="Times New Roman" w:ascii="Times New Roman" w:hAnsi="Times New Roman"/>
          <w:color w:val="000000"/>
        </w:rPr>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SG =</w:t>
            </w:r>
          </w:p>
        </w:tc>
        <w:tc>
          <w:tcPr>
            <w:tcW w:w="4678" w:type="dxa"/>
            <w:tcBorders>
              <w:bottom w:val="single" w:sz="4" w:space="0" w:color="000000"/>
            </w:tcBorders>
            <w:shd w:color="auto" w:fill="auto" w:val="clear"/>
            <w:vAlign w:val="bottom"/>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Ativo Total</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Passivo Circulante + Passivo Não Circulante</w:t>
            </w:r>
          </w:p>
        </w:tc>
      </w:tr>
    </w:tbl>
    <w:p>
      <w:pPr>
        <w:pStyle w:val="Normal"/>
        <w:tabs>
          <w:tab w:val="clear" w:pos="708"/>
          <w:tab w:val="left" w:pos="-284" w:leader="none"/>
          <w:tab w:val="left" w:pos="1440" w:leader="none"/>
        </w:tabs>
        <w:snapToGrid w:val="false"/>
        <w:ind w:left="-284" w:hanging="0"/>
        <w:jc w:val="both"/>
        <w:rPr>
          <w:rFonts w:ascii="Times New Roman" w:hAnsi="Times New Roman" w:cs="Times New Roman"/>
          <w:color w:val="000000"/>
        </w:rPr>
      </w:pPr>
      <w:r>
        <w:rPr>
          <w:rFonts w:cs="Times New Roman" w:ascii="Times New Roman" w:hAnsi="Times New Roman"/>
          <w:color w:val="000000"/>
        </w:rPr>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LC =</w:t>
            </w:r>
          </w:p>
        </w:tc>
        <w:tc>
          <w:tcPr>
            <w:tcW w:w="4678" w:type="dxa"/>
            <w:tcBorders>
              <w:bottom w:val="single" w:sz="4" w:space="0" w:color="000000"/>
            </w:tcBorders>
            <w:shd w:color="auto" w:fill="auto" w:val="clear"/>
            <w:vAlign w:val="bottom"/>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Ativo Circulante</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Passivo Circulante</w:t>
            </w:r>
          </w:p>
        </w:tc>
      </w:tr>
    </w:tbl>
    <w:p>
      <w:pPr>
        <w:pStyle w:val="Normal"/>
        <w:tabs>
          <w:tab w:val="clear" w:pos="708"/>
          <w:tab w:val="left" w:pos="-284" w:leader="none"/>
          <w:tab w:val="left" w:pos="1440" w:leader="none"/>
        </w:tabs>
        <w:snapToGrid w:val="false"/>
        <w:spacing w:lineRule="auto" w:line="276" w:before="120" w:after="120"/>
        <w:ind w:left="-284" w:hanging="0"/>
        <w:jc w:val="both"/>
        <w:rPr>
          <w:rFonts w:ascii="Times New Roman" w:hAnsi="Times New Roman" w:cs="Times New Roman"/>
          <w:color w:val="000000"/>
        </w:rPr>
      </w:pPr>
      <w:r>
        <w:rPr>
          <w:rFonts w:cs="Times New Roman" w:ascii="Times New Roman" w:hAnsi="Times New Roman"/>
          <w:color w:val="000000"/>
        </w:rPr>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lang w:eastAsia="en-US"/>
        </w:rPr>
      </w:pPr>
      <w:r>
        <w:rPr>
          <w:rFonts w:cs="Times New Roman" w:ascii="Times New Roman" w:hAnsi="Times New Roman"/>
          <w:color w:val="000000"/>
        </w:rPr>
        <w:t>25.6.1.</w:t>
      </w:r>
      <w:r>
        <w:rPr>
          <w:rFonts w:cs="Times New Roman" w:ascii="Times New Roman" w:hAnsi="Times New Roman"/>
          <w:bCs/>
        </w:rPr>
        <w:t xml:space="preserve">6. As empresas que apresentarem </w:t>
      </w:r>
      <w:r>
        <w:rPr>
          <w:rFonts w:cs="Times New Roman" w:ascii="Times New Roman" w:hAnsi="Times New Roman"/>
          <w:bCs/>
          <w:color w:val="000000"/>
        </w:rPr>
        <w:t>resultado inferior ou igual a 1(um) em qualquer dos índices de</w:t>
      </w:r>
      <w:r>
        <w:rPr>
          <w:rFonts w:cs="Times New Roman" w:ascii="Times New Roman" w:hAnsi="Times New Roman"/>
          <w:bCs/>
        </w:rPr>
        <w:t xml:space="preserve"> Liquidez Geral (LG), Solvência Geral (SG) e Liquidez Corrente (LC), deverão comprovar, considerados os riscos para a Administração, e, a critério da autoridade competente, o capital mínimo ou o patrimônio líquido mínimo  de</w:t>
      </w:r>
      <w:r>
        <w:rPr>
          <w:rFonts w:cs="Times New Roman" w:ascii="Times New Roman" w:hAnsi="Times New Roman"/>
          <w:lang w:eastAsia="en-US"/>
        </w:rPr>
        <w:t xml:space="preserve"> 10% (dez por cento)</w:t>
      </w:r>
      <w:r>
        <w:rPr>
          <w:rFonts w:cs="Times New Roman" w:ascii="Times New Roman" w:hAnsi="Times New Roman"/>
          <w:bCs/>
        </w:rPr>
        <w:t xml:space="preserve"> do valor estimado da contratação ou do item pertinente</w:t>
      </w:r>
      <w:r>
        <w:rPr>
          <w:rFonts w:cs="Times New Roman" w:ascii="Times New Roman" w:hAnsi="Times New Roman"/>
          <w:lang w:eastAsia="en-US"/>
        </w:rPr>
        <w:t>.</w:t>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i/>
          <w:i/>
          <w:lang w:eastAsia="en-US"/>
        </w:rPr>
      </w:pPr>
      <w:r>
        <w:rPr>
          <w:rFonts w:cs="Times New Roman" w:ascii="Times New Roman" w:hAnsi="Times New Roman"/>
          <w:i/>
          <w:lang w:eastAsia="en-US"/>
        </w:rPr>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i/>
          <w:i/>
          <w:lang w:eastAsia="en-US"/>
        </w:rPr>
      </w:pPr>
      <w:r>
        <w:rPr>
          <w:rFonts w:cs="Times New Roman" w:ascii="Times New Roman" w:hAnsi="Times New Roman"/>
          <w:b/>
          <w:color w:val="000000"/>
        </w:rPr>
        <w:t>25.7. Quadro Resumo</w:t>
      </w:r>
    </w:p>
    <w:p>
      <w:pPr>
        <w:pStyle w:val="ListParagraph"/>
        <w:tabs>
          <w:tab w:val="clear" w:pos="708"/>
          <w:tab w:val="left" w:pos="-284" w:leader="none"/>
        </w:tabs>
        <w:suppressAutoHyphens w:val="false"/>
        <w:spacing w:lineRule="auto" w:line="276" w:before="120" w:after="120"/>
        <w:ind w:left="-284" w:right="-427" w:hanging="0"/>
        <w:jc w:val="both"/>
        <w:rPr/>
      </w:pPr>
      <w:r>
        <w:rPr>
          <w:rFonts w:cs="Times New Roman" w:ascii="Times New Roman" w:hAnsi="Times New Roman"/>
          <w:color w:val="000000"/>
        </w:rPr>
        <w:t>25.7</w:t>
      </w:r>
      <w:r>
        <w:rPr>
          <w:rFonts w:cs="Times New Roman" w:ascii="Times New Roman" w:hAnsi="Times New Roman"/>
          <w:bCs/>
        </w:rPr>
        <w:t>. No anexo A, é apresentado o Quadro Auxiliar de Documentação relativa à Dispensa de Licitação nº 57/2023- GUEs-9ª Bda Inf Mtz.</w:t>
      </w:r>
    </w:p>
    <w:p>
      <w:pPr>
        <w:pStyle w:val="ListParagraph"/>
        <w:tabs>
          <w:tab w:val="clear" w:pos="708"/>
          <w:tab w:val="left" w:pos="-284" w:leader="none"/>
        </w:tabs>
        <w:suppressAutoHyphens w:val="false"/>
        <w:spacing w:lineRule="auto" w:line="276" w:before="120" w:after="120"/>
        <w:ind w:left="-284" w:right="-427" w:hanging="0"/>
        <w:jc w:val="both"/>
        <w:rPr>
          <w:rFonts w:ascii="Times New Roman" w:hAnsi="Times New Roman" w:cs="Times New Roman"/>
          <w:color w:val="000000"/>
        </w:rPr>
      </w:pPr>
      <w:r>
        <w:rPr>
          <w:rFonts w:cs="Times New Roman" w:ascii="Times New Roman" w:hAnsi="Times New Roman"/>
          <w:color w:val="000000"/>
        </w:rPr>
        <w:t>25.7.1. Esta Administração recomenda que as empresas concorrentes verifiquem a documentação exigida no Quadro Auxiliar de Documentação (anexo A), a fim de que estejam em condições de habilitação no presente processo de Dispensa de Licitação.</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i/>
          <w:i/>
          <w:lang w:eastAsia="en-US"/>
        </w:rPr>
      </w:pPr>
      <w:r>
        <w:rPr>
          <w:rFonts w:cs="Times New Roman" w:ascii="Times New Roman" w:hAnsi="Times New Roman"/>
          <w:b/>
          <w:color w:val="000000"/>
        </w:rPr>
        <w:t>25.8. Necessidade ou desnecessidade de envio de documentação</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 xml:space="preserve">25.8.1. Toda a documentação poderá ser conferida pela Administração mediante consulta ao SICAF e a outros sites oficiais. </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25.8.1. Em face do contido no item 25.8.1, em princípio, não haverá a necessidade do envio da documentação de habilitação por parte das empresas.</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25.8.2. No caso de alguma documentação estar vencida no SICAF, a Administração solicitará o envio da documentação necessária dentro de prazo a ser estipulado, nunca inferior a 02 (duas) horas.</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b/>
          <w:color w:val="000000"/>
        </w:rPr>
        <w:t>25.9. Possibilidade de desclassificação da empresa vencedora</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u w:val="single"/>
        </w:rPr>
      </w:pPr>
      <w:r>
        <w:rPr>
          <w:rFonts w:cs="Times New Roman" w:ascii="Times New Roman" w:hAnsi="Times New Roman"/>
          <w:color w:val="000000"/>
        </w:rPr>
        <w:t>25.9.1. Caso alguma empresa vencedora de item não satisfaça plenamente às condições de habilitação, a mesma será desclassificada e o item será passado à empresa subsequente, e assim sucessivamente.</w:t>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26. DISPOSIÇÕES GERAIS RELATIVAS AO ENVIO DA PROPOSTA</w:t>
      </w:r>
    </w:p>
    <w:p>
      <w:pPr>
        <w:pStyle w:val="Normal"/>
        <w:widowControl w:val="false"/>
        <w:tabs>
          <w:tab w:val="clear" w:pos="708"/>
          <w:tab w:val="right" w:pos="8881" w:leader="none"/>
        </w:tabs>
        <w:spacing w:lineRule="auto" w:line="276" w:before="0" w:after="160"/>
        <w:ind w:left="-284" w:right="-568" w:hanging="0"/>
        <w:jc w:val="both"/>
        <w:rPr>
          <w:rFonts w:ascii="Times New Roman" w:hAnsi="Times New Roman" w:cs="Times New Roman"/>
        </w:rPr>
      </w:pPr>
      <w:r>
        <w:rPr>
          <w:rFonts w:cs="Times New Roman" w:ascii="Times New Roman" w:hAnsi="Times New Roman"/>
        </w:rPr>
        <w:t>26.1. Nas propostas deverão estar especificados o modelo e a marca dos itens cotados. Não serão aceitas simplesmente as expressões “de acordo com o Edital”, “de acordo com o Termo de Referência” ou expressões similares. O não atendimento desta determinação inabilitará a proposta da empresa no respectivo item.</w:t>
      </w:r>
    </w:p>
    <w:p>
      <w:pPr>
        <w:pStyle w:val="Normal"/>
        <w:widowControl w:val="false"/>
        <w:tabs>
          <w:tab w:val="clear" w:pos="708"/>
          <w:tab w:val="right" w:pos="8881"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rPr>
        <w:t>26.2. A proposta deverá ser formulada</w:t>
      </w:r>
      <w:r>
        <w:rPr>
          <w:rFonts w:cs="Times New Roman" w:ascii="Times New Roman" w:hAnsi="Times New Roman"/>
          <w:color w:val="000000"/>
        </w:rPr>
        <w:t>, observando rigorosamente a quantidade fixada no Termo de Referência para cada item; não será aceita a cotação de quantidades inferiores ao especificado no Termo de Referência; nesse caso, as propostas serão desclassificadas.</w:t>
      </w:r>
    </w:p>
    <w:p>
      <w:pPr>
        <w:pStyle w:val="Normal"/>
        <w:widowControl w:val="false"/>
        <w:tabs>
          <w:tab w:val="clear" w:pos="708"/>
          <w:tab w:val="right" w:pos="8881" w:leader="none"/>
        </w:tabs>
        <w:spacing w:lineRule="auto" w:line="276"/>
        <w:ind w:left="-284" w:right="-568" w:hanging="0"/>
        <w:jc w:val="both"/>
        <w:rPr/>
      </w:pPr>
      <w:r>
        <w:rPr>
          <w:rFonts w:cs="Times New Roman" w:ascii="Times New Roman" w:hAnsi="Times New Roman"/>
        </w:rPr>
        <w:t xml:space="preserve">26.3. Existindo divergência entre a descrição de um item neste Termo de Referência e a sua descrição no site </w:t>
      </w:r>
      <w:hyperlink r:id="rId5">
        <w:r>
          <w:rPr>
            <w:rStyle w:val="LinkdaInternet"/>
            <w:rFonts w:cs="Times New Roman" w:ascii="Times New Roman" w:hAnsi="Times New Roman"/>
          </w:rPr>
          <w:t>www.comprasnet.gov.br</w:t>
        </w:r>
      </w:hyperlink>
      <w:r>
        <w:rPr>
          <w:rFonts w:cs="Times New Roman" w:ascii="Times New Roman" w:hAnsi="Times New Roman"/>
        </w:rPr>
        <w:t>, deverá ser considerada a descrição do TERMO DE REFERÊNCIA. É a descrição do Termo de Referência (tabela constante da página 2), que baseia todo o processo de compra.</w:t>
      </w:r>
    </w:p>
    <w:p>
      <w:pPr>
        <w:pStyle w:val="Normal"/>
        <w:spacing w:lineRule="auto" w:line="276"/>
        <w:ind w:left="-284" w:right="-568" w:hanging="0"/>
        <w:jc w:val="center"/>
        <w:rPr>
          <w:rFonts w:ascii="Times New Roman" w:hAnsi="Times New Roman" w:cs="Times New Roman"/>
        </w:rPr>
      </w:pPr>
      <w:r>
        <w:rPr>
          <w:rFonts w:cs="Times New Roman" w:ascii="Times New Roman" w:hAnsi="Times New Roman"/>
        </w:rPr>
      </w:r>
    </w:p>
    <w:p>
      <w:pPr>
        <w:pStyle w:val="Normal"/>
        <w:spacing w:lineRule="auto" w:line="276"/>
        <w:ind w:left="-284" w:right="-568" w:hanging="0"/>
        <w:jc w:val="center"/>
        <w:rPr/>
      </w:pPr>
      <w:r>
        <w:rPr>
          <w:rFonts w:cs="Times New Roman" w:ascii="Times New Roman" w:hAnsi="Times New Roman"/>
        </w:rPr>
        <w:t xml:space="preserve">Rio de Janeiro, RJ, 26 de </w:t>
      </w:r>
      <w:bookmarkStart w:id="0" w:name="_GoBack"/>
      <w:bookmarkEnd w:id="0"/>
      <w:r>
        <w:rPr>
          <w:rFonts w:cs="Times New Roman" w:ascii="Times New Roman" w:hAnsi="Times New Roman"/>
        </w:rPr>
        <w:t>Outubro de 2023.</w:t>
      </w:r>
    </w:p>
    <w:p>
      <w:pPr>
        <w:pStyle w:val="Normal"/>
        <w:ind w:left="-284" w:right="-568" w:hanging="0"/>
        <w:jc w:val="center"/>
        <w:rPr>
          <w:rStyle w:val="Tiporegular2"/>
          <w:rFonts w:ascii="Times New Roman" w:hAnsi="Times New Roman"/>
          <w:b/>
          <w:b/>
        </w:rPr>
      </w:pPr>
      <w:r>
        <w:rPr>
          <w:rStyle w:val="Tiporegular2"/>
          <w:rFonts w:ascii="Times New Roman" w:hAnsi="Times New Roman"/>
          <w:b/>
        </w:rPr>
        <w:t>Setor de Aquisições, Licitações e Contratos</w:t>
      </w:r>
    </w:p>
    <w:p>
      <w:pPr>
        <w:pStyle w:val="Normal"/>
        <w:suppressAutoHyphens w:val="false"/>
        <w:spacing w:lineRule="auto" w:line="276" w:before="0" w:after="200"/>
        <w:rPr/>
      </w:pPr>
      <w:r>
        <w:rPr/>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roman"/>
    <w:pitch w:val="variable"/>
  </w:font>
  <w:font w:name="Cambria">
    <w:charset w:val="00"/>
    <w:family w:val="roman"/>
    <w:pitch w:val="variable"/>
  </w:font>
  <w:font w:name="Arial">
    <w:charset w:val="00"/>
    <w:family w:val="roman"/>
    <w:pitch w:val="variable"/>
  </w:font>
  <w:font w:name="Symbo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 w:name="NewZuric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pPr>
    <w:r>
      <w:rPr>
        <w:rFonts w:ascii="Times New Roman" w:hAnsi="Times New Roman"/>
      </w:rPr>
      <w:t xml:space="preserve">Página </w:t>
    </w:r>
    <w:r>
      <w:rPr>
        <w:rFonts w:ascii="Times New Roman" w:hAnsi="Times New Roman"/>
      </w:rPr>
      <w:fldChar w:fldCharType="begin"/>
    </w:r>
    <w:r>
      <w:rPr>
        <w:rFonts w:ascii="Times New Roman" w:hAnsi="Times New Roman"/>
      </w:rPr>
      <w:instrText> PAGE </w:instrText>
    </w:r>
    <w:r>
      <w:rPr>
        <w:rFonts w:ascii="Times New Roman" w:hAnsi="Times New Roman"/>
      </w:rPr>
      <w:fldChar w:fldCharType="separate"/>
    </w:r>
    <w:r>
      <w:rPr>
        <w:rFonts w:ascii="Times New Roman" w:hAnsi="Times New Roman"/>
      </w:rPr>
      <w:t>12</w:t>
    </w:r>
    <w:r>
      <w:rPr>
        <w:rFonts w:ascii="Times New Roman" w:hAnsi="Times New Roman"/>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lvl w:ilvl="0">
      <w:start w:val="22"/>
      <w:numFmt w:val="decimal"/>
      <w:lvlText w:val="%1."/>
      <w:lvlJc w:val="left"/>
      <w:pPr>
        <w:ind w:left="480" w:hanging="480"/>
      </w:pPr>
    </w:lvl>
    <w:lvl w:ilvl="1">
      <w:start w:val="2"/>
      <w:numFmt w:val="decimal"/>
      <w:lvlText w:val="%1.%2."/>
      <w:lvlJc w:val="left"/>
      <w:pPr>
        <w:ind w:left="196" w:hanging="48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97d25"/>
    <w:pPr>
      <w:widowControl/>
      <w:suppressAutoHyphens w:val="true"/>
      <w:bidi w:val="0"/>
      <w:spacing w:lineRule="auto" w:line="240" w:before="0" w:after="0"/>
      <w:jc w:val="left"/>
    </w:pPr>
    <w:rPr>
      <w:rFonts w:ascii="Ecofont_Spranq_eco_Sans" w:hAnsi="Ecofont_Spranq_eco_Sans" w:eastAsia="Times New Roman" w:cs="Tahoma"/>
      <w:color w:val="auto"/>
      <w:kern w:val="0"/>
      <w:sz w:val="24"/>
      <w:szCs w:val="24"/>
      <w:lang w:val="pt-BR" w:eastAsia="ar-SA" w:bidi="ar-SA"/>
    </w:rPr>
  </w:style>
  <w:style w:type="paragraph" w:styleId="Ttulo1">
    <w:name w:val="Heading 1"/>
    <w:basedOn w:val="Normal"/>
    <w:next w:val="Normal"/>
    <w:link w:val="Ttulo1Char"/>
    <w:uiPriority w:val="9"/>
    <w:qFormat/>
    <w:rsid w:val="00497d25"/>
    <w:pPr>
      <w:keepNext w:val="true"/>
      <w:spacing w:before="240" w:after="60"/>
      <w:outlineLvl w:val="0"/>
    </w:pPr>
    <w:rPr>
      <w:rFonts w:ascii="Cambria" w:hAnsi="Cambria" w:cs="Times New Roman"/>
      <w:b/>
      <w:bCs/>
      <w:kern w:val="2"/>
      <w:sz w:val="32"/>
      <w:szCs w:val="32"/>
    </w:rPr>
  </w:style>
  <w:style w:type="paragraph" w:styleId="Ttulo2">
    <w:name w:val="Heading 2"/>
    <w:basedOn w:val="Normal"/>
    <w:next w:val="Normal"/>
    <w:link w:val="Ttulo2Char"/>
    <w:qFormat/>
    <w:rsid w:val="00497d25"/>
    <w:pPr>
      <w:keepNext w:val="true"/>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val="true"/>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val="true"/>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clear" w:pos="708"/>
        <w:tab w:val="left" w:pos="0" w:leader="none"/>
      </w:tabs>
      <w:spacing w:before="240" w:after="60"/>
      <w:ind w:left="4320" w:hanging="1440"/>
      <w:outlineLvl w:val="8"/>
    </w:pPr>
    <w:rPr>
      <w:rFonts w:ascii="Arial" w:hAnsi="Arial" w:cs="Arial"/>
      <w:sz w:val="22"/>
      <w:szCs w:val="22"/>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497d25"/>
    <w:rPr>
      <w:rFonts w:ascii="Cambria" w:hAnsi="Cambria" w:eastAsia="Times New Roman" w:cs="Times New Roman"/>
      <w:b/>
      <w:bCs/>
      <w:kern w:val="2"/>
      <w:sz w:val="32"/>
      <w:szCs w:val="32"/>
      <w:lang w:eastAsia="ar-SA"/>
    </w:rPr>
  </w:style>
  <w:style w:type="character" w:styleId="Ttulo2Char" w:customStyle="1">
    <w:name w:val="Título 2 Char"/>
    <w:basedOn w:val="DefaultParagraphFont"/>
    <w:link w:val="Ttulo2"/>
    <w:qFormat/>
    <w:rsid w:val="00497d25"/>
    <w:rPr>
      <w:rFonts w:ascii="Times New Roman" w:hAnsi="Times New Roman" w:eastAsia="Times New Roman" w:cs="Times New Roman"/>
      <w:b/>
      <w:color w:val="000000"/>
      <w:sz w:val="24"/>
      <w:szCs w:val="20"/>
      <w:lang w:eastAsia="ar-SA"/>
    </w:rPr>
  </w:style>
  <w:style w:type="character" w:styleId="Ttulo3Char" w:customStyle="1">
    <w:name w:val="Título 3 Char"/>
    <w:basedOn w:val="DefaultParagraphFont"/>
    <w:link w:val="Ttulo3"/>
    <w:qFormat/>
    <w:rsid w:val="00497d25"/>
    <w:rPr>
      <w:rFonts w:ascii="Cambria" w:hAnsi="Cambria" w:eastAsia="Times New Roman" w:cs="Times New Roman"/>
      <w:b/>
      <w:bCs/>
      <w:sz w:val="26"/>
      <w:szCs w:val="26"/>
      <w:lang w:eastAsia="ar-SA"/>
    </w:rPr>
  </w:style>
  <w:style w:type="character" w:styleId="Ttulo4Char" w:customStyle="1">
    <w:name w:val="Título 4 Char"/>
    <w:basedOn w:val="DefaultParagraphFont"/>
    <w:link w:val="Ttulo4"/>
    <w:qFormat/>
    <w:rsid w:val="00497d25"/>
    <w:rPr>
      <w:rFonts w:ascii="Calibri" w:hAnsi="Calibri" w:eastAsia="Times New Roman" w:cs="Times New Roman"/>
      <w:b/>
      <w:bCs/>
      <w:sz w:val="28"/>
      <w:szCs w:val="28"/>
      <w:lang w:eastAsia="ar-SA"/>
    </w:rPr>
  </w:style>
  <w:style w:type="character" w:styleId="Ttulo5Char" w:customStyle="1">
    <w:name w:val="Título 5 Char"/>
    <w:basedOn w:val="DefaultParagraphFont"/>
    <w:link w:val="Ttulo5"/>
    <w:qFormat/>
    <w:rsid w:val="00497d25"/>
    <w:rPr>
      <w:rFonts w:ascii="Calibri" w:hAnsi="Calibri" w:eastAsia="Times New Roman" w:cs="Times New Roman"/>
      <w:b/>
      <w:bCs/>
      <w:i/>
      <w:iCs/>
      <w:sz w:val="26"/>
      <w:szCs w:val="26"/>
      <w:lang w:eastAsia="ar-SA"/>
    </w:rPr>
  </w:style>
  <w:style w:type="character" w:styleId="Ttulo6Char" w:customStyle="1">
    <w:name w:val="Título 6 Char"/>
    <w:basedOn w:val="DefaultParagraphFont"/>
    <w:link w:val="Ttulo6"/>
    <w:qFormat/>
    <w:rsid w:val="00497d25"/>
    <w:rPr>
      <w:rFonts w:ascii="Calibri" w:hAnsi="Calibri" w:eastAsia="Times New Roman" w:cs="Times New Roman"/>
      <w:b/>
      <w:bCs/>
      <w:lang w:eastAsia="ar-SA"/>
    </w:rPr>
  </w:style>
  <w:style w:type="character" w:styleId="Ttulo9Char" w:customStyle="1">
    <w:name w:val="Título 9 Char"/>
    <w:basedOn w:val="DefaultParagraphFont"/>
    <w:link w:val="Ttulo9"/>
    <w:qFormat/>
    <w:rsid w:val="00497d25"/>
    <w:rPr>
      <w:rFonts w:ascii="Arial" w:hAnsi="Arial" w:eastAsia="Times New Roman" w:cs="Arial"/>
      <w:lang w:eastAsia="ar-SA"/>
    </w:rPr>
  </w:style>
  <w:style w:type="character" w:styleId="WW8Num5z0" w:customStyle="1">
    <w:name w:val="WW8Num5z0"/>
    <w:qFormat/>
    <w:rsid w:val="00497d25"/>
    <w:rPr>
      <w:rFonts w:ascii="Times New Roman" w:hAnsi="Times New Roman" w:cs="Times New Roman"/>
      <w:b/>
    </w:rPr>
  </w:style>
  <w:style w:type="character" w:styleId="WW8Num6z0" w:customStyle="1">
    <w:name w:val="WW8Num6z0"/>
    <w:qFormat/>
    <w:rsid w:val="00497d25"/>
    <w:rPr>
      <w:rFonts w:ascii="Times New Roman" w:hAnsi="Times New Roman" w:cs="Times New Roman"/>
      <w:b/>
    </w:rPr>
  </w:style>
  <w:style w:type="character" w:styleId="WW8Num7z0" w:customStyle="1">
    <w:name w:val="WW8Num7z0"/>
    <w:qFormat/>
    <w:rsid w:val="00497d25"/>
    <w:rPr>
      <w:rFonts w:ascii="Times New Roman" w:hAnsi="Times New Roman" w:cs="Times New Roman"/>
    </w:rPr>
  </w:style>
  <w:style w:type="character" w:styleId="WW8Num8z0" w:customStyle="1">
    <w:name w:val="WW8Num8z0"/>
    <w:qFormat/>
    <w:rsid w:val="00497d25"/>
    <w:rPr>
      <w:rFonts w:ascii="Symbol" w:hAnsi="Symbol"/>
    </w:rPr>
  </w:style>
  <w:style w:type="character" w:styleId="WW8Num10z0" w:customStyle="1">
    <w:name w:val="WW8Num10z0"/>
    <w:qFormat/>
    <w:rsid w:val="00497d25"/>
    <w:rPr>
      <w:rFonts w:ascii="Symbol" w:hAnsi="Symbol"/>
    </w:rPr>
  </w:style>
  <w:style w:type="character" w:styleId="WW8Num12z0" w:customStyle="1">
    <w:name w:val="WW8Num12z0"/>
    <w:qFormat/>
    <w:rsid w:val="00497d25"/>
    <w:rPr>
      <w:sz w:val="20"/>
    </w:rPr>
  </w:style>
  <w:style w:type="character" w:styleId="WW8Num13z0" w:customStyle="1">
    <w:name w:val="WW8Num13z0"/>
    <w:qFormat/>
    <w:rsid w:val="00497d25"/>
    <w:rPr>
      <w:rFonts w:ascii="Times New Roman" w:hAnsi="Times New Roman" w:cs="Times New Roman"/>
    </w:rPr>
  </w:style>
  <w:style w:type="character" w:styleId="WW8Num14z0" w:customStyle="1">
    <w:name w:val="WW8Num14z0"/>
    <w:qFormat/>
    <w:rsid w:val="00497d25"/>
    <w:rPr>
      <w:sz w:val="20"/>
    </w:rPr>
  </w:style>
  <w:style w:type="character" w:styleId="WW8Num15z0" w:customStyle="1">
    <w:name w:val="WW8Num15z0"/>
    <w:qFormat/>
    <w:rsid w:val="00497d25"/>
    <w:rPr>
      <w:rFonts w:ascii="Times New Roman" w:hAnsi="Times New Roman" w:cs="Times New Roman"/>
    </w:rPr>
  </w:style>
  <w:style w:type="character" w:styleId="WW8Num19z0" w:customStyle="1">
    <w:name w:val="WW8Num19z0"/>
    <w:qFormat/>
    <w:rsid w:val="00497d25"/>
    <w:rPr>
      <w:rFonts w:eastAsia="Arial Unicode MS"/>
    </w:rPr>
  </w:style>
  <w:style w:type="character" w:styleId="WW8Num20z0" w:customStyle="1">
    <w:name w:val="WW8Num20z0"/>
    <w:qFormat/>
    <w:rsid w:val="00497d25"/>
    <w:rPr>
      <w:b/>
    </w:rPr>
  </w:style>
  <w:style w:type="character" w:styleId="WW8Num22z1" w:customStyle="1">
    <w:name w:val="WW8Num22z1"/>
    <w:qFormat/>
    <w:rsid w:val="00497d25"/>
    <w:rPr>
      <w:b w:val="false"/>
      <w:i w:val="false"/>
    </w:rPr>
  </w:style>
  <w:style w:type="character" w:styleId="WW8Num23z0" w:customStyle="1">
    <w:name w:val="WW8Num23z0"/>
    <w:qFormat/>
    <w:rsid w:val="00497d25"/>
    <w:rPr>
      <w:b/>
      <w:i w:val="false"/>
    </w:rPr>
  </w:style>
  <w:style w:type="character" w:styleId="WW8Num23z1" w:customStyle="1">
    <w:name w:val="WW8Num23z1"/>
    <w:qFormat/>
    <w:rsid w:val="00497d25"/>
    <w:rPr>
      <w:b/>
      <w:i w:val="false"/>
      <w:color w:val="000000"/>
    </w:rPr>
  </w:style>
  <w:style w:type="character" w:styleId="WW8Num25z1" w:customStyle="1">
    <w:name w:val="WW8Num25z1"/>
    <w:qFormat/>
    <w:rsid w:val="00497d25"/>
    <w:rPr>
      <w:b w:val="false"/>
    </w:rPr>
  </w:style>
  <w:style w:type="character" w:styleId="WW8Num26z0" w:customStyle="1">
    <w:name w:val="WW8Num26z0"/>
    <w:qFormat/>
    <w:rsid w:val="00497d25"/>
    <w:rPr>
      <w:b/>
      <w:i w:val="false"/>
    </w:rPr>
  </w:style>
  <w:style w:type="character" w:styleId="WW8Num27z0" w:customStyle="1">
    <w:name w:val="WW8Num27z0"/>
    <w:qFormat/>
    <w:rsid w:val="00497d25"/>
    <w:rPr>
      <w:color w:val="0000FF"/>
    </w:rPr>
  </w:style>
  <w:style w:type="character" w:styleId="WW8Num28z0" w:customStyle="1">
    <w:name w:val="WW8Num28z0"/>
    <w:qFormat/>
    <w:rsid w:val="00497d25"/>
    <w:rPr>
      <w:b w:val="false"/>
    </w:rPr>
  </w:style>
  <w:style w:type="character" w:styleId="WW8Num30z0" w:customStyle="1">
    <w:name w:val="WW8Num30z0"/>
    <w:qFormat/>
    <w:rsid w:val="00497d25"/>
    <w:rPr>
      <w:rFonts w:ascii="Ecofont_Spranq_eco_Sans" w:hAnsi="Ecofont_Spranq_eco_Sans" w:cs="Arial"/>
      <w:i/>
      <w:color w:val="FF0000"/>
    </w:rPr>
  </w:style>
  <w:style w:type="character" w:styleId="WW8Num31z0" w:customStyle="1">
    <w:name w:val="WW8Num31z0"/>
    <w:qFormat/>
    <w:rsid w:val="00497d25"/>
    <w:rPr>
      <w:sz w:val="20"/>
    </w:rPr>
  </w:style>
  <w:style w:type="character" w:styleId="WW8Num34z0" w:customStyle="1">
    <w:name w:val="WW8Num34z0"/>
    <w:qFormat/>
    <w:rsid w:val="00497d25"/>
    <w:rPr>
      <w:b/>
      <w:i w:val="false"/>
    </w:rPr>
  </w:style>
  <w:style w:type="character" w:styleId="WW8Num34z1" w:customStyle="1">
    <w:name w:val="WW8Num34z1"/>
    <w:qFormat/>
    <w:rsid w:val="00497d25"/>
    <w:rPr>
      <w:b/>
      <w:i w:val="false"/>
      <w:color w:val="000000"/>
    </w:rPr>
  </w:style>
  <w:style w:type="character" w:styleId="WW8Num35z0" w:customStyle="1">
    <w:name w:val="WW8Num35z0"/>
    <w:qFormat/>
    <w:rsid w:val="00497d25"/>
    <w:rPr>
      <w:b/>
    </w:rPr>
  </w:style>
  <w:style w:type="character" w:styleId="Fontepargpadro2" w:customStyle="1">
    <w:name w:val="Fonte parág. padrão2"/>
    <w:qFormat/>
    <w:rsid w:val="00497d25"/>
    <w:rPr/>
  </w:style>
  <w:style w:type="character" w:styleId="TextodebaloChar" w:customStyle="1">
    <w:name w:val="Texto de balão Char"/>
    <w:uiPriority w:val="99"/>
    <w:qFormat/>
    <w:rsid w:val="00497d25"/>
    <w:rPr>
      <w:rFonts w:ascii="Tahoma" w:hAnsi="Tahoma" w:cs="Tahoma"/>
      <w:sz w:val="16"/>
      <w:szCs w:val="16"/>
    </w:rPr>
  </w:style>
  <w:style w:type="character" w:styleId="Normalchar1" w:customStyle="1">
    <w:name w:val="normal__char1"/>
    <w:qFormat/>
    <w:rsid w:val="00497d25"/>
    <w:rPr>
      <w:rFonts w:ascii="Arial" w:hAnsi="Arial" w:cs="Arial"/>
      <w:strike w:val="false"/>
      <w:dstrike w:val="false"/>
      <w:sz w:val="24"/>
      <w:szCs w:val="24"/>
      <w:u w:val="none"/>
    </w:rPr>
  </w:style>
  <w:style w:type="character" w:styleId="Applestylespan" w:customStyle="1">
    <w:name w:val="apple-style-span"/>
    <w:basedOn w:val="Fontepargpadro2"/>
    <w:qFormat/>
    <w:rsid w:val="00497d25"/>
    <w:rPr/>
  </w:style>
  <w:style w:type="character" w:styleId="LinkdaInternet">
    <w:name w:val="Link da Internet"/>
    <w:rsid w:val="00497d25"/>
    <w:rPr>
      <w:color w:val="000080"/>
      <w:u w:val="single"/>
    </w:rPr>
  </w:style>
  <w:style w:type="character" w:styleId="CitaoChar" w:customStyle="1">
    <w:name w:val="Citação Char"/>
    <w:qFormat/>
    <w:rsid w:val="00497d25"/>
    <w:rPr>
      <w:rFonts w:ascii="Ecofont_Spranq_eco_Sans" w:hAnsi="Ecofont_Spranq_eco_Sans" w:eastAsia="Calibri" w:cs="Tahoma"/>
      <w:i/>
      <w:iCs/>
      <w:color w:val="000000"/>
      <w:szCs w:val="24"/>
      <w:shd w:fill="FFFFCC" w:val="clear"/>
    </w:rPr>
  </w:style>
  <w:style w:type="character" w:styleId="Citao2Char" w:customStyle="1">
    <w:name w:val="citação 2 Char"/>
    <w:basedOn w:val="CitaoChar"/>
    <w:qFormat/>
    <w:rsid w:val="00497d25"/>
    <w:rPr>
      <w:rFonts w:ascii="Ecofont_Spranq_eco_Sans" w:hAnsi="Ecofont_Spranq_eco_Sans" w:eastAsia="Calibri" w:cs="Tahoma"/>
      <w:i/>
      <w:iCs/>
      <w:color w:val="000000"/>
      <w:szCs w:val="24"/>
      <w:shd w:fill="FFFFCC" w:val="clear"/>
    </w:rPr>
  </w:style>
  <w:style w:type="character" w:styleId="CabealhoChar" w:customStyle="1">
    <w:name w:val="Cabeçalho Char"/>
    <w:uiPriority w:val="99"/>
    <w:qFormat/>
    <w:rsid w:val="00497d25"/>
    <w:rPr>
      <w:rFonts w:ascii="Ecofont_Spranq_eco_Sans" w:hAnsi="Ecofont_Spranq_eco_Sans" w:cs="Tahoma"/>
      <w:sz w:val="24"/>
      <w:szCs w:val="24"/>
    </w:rPr>
  </w:style>
  <w:style w:type="character" w:styleId="RodapChar" w:customStyle="1">
    <w:name w:val="Rodapé Char"/>
    <w:uiPriority w:val="99"/>
    <w:qFormat/>
    <w:rsid w:val="00497d25"/>
    <w:rPr>
      <w:rFonts w:ascii="Ecofont_Spranq_eco_Sans" w:hAnsi="Ecofont_Spranq_eco_Sans" w:cs="Tahoma"/>
      <w:sz w:val="24"/>
      <w:szCs w:val="24"/>
    </w:rPr>
  </w:style>
  <w:style w:type="character" w:styleId="RecuodecorpodetextoChar" w:customStyle="1">
    <w:name w:val="Recuo de corpo de texto Char"/>
    <w:qFormat/>
    <w:rsid w:val="00497d25"/>
    <w:rPr>
      <w:sz w:val="22"/>
      <w:szCs w:val="24"/>
    </w:rPr>
  </w:style>
  <w:style w:type="character" w:styleId="CorpodetextoChar" w:customStyle="1">
    <w:name w:val="Corpo de texto Char"/>
    <w:basedOn w:val="Fontepargpadro2"/>
    <w:qFormat/>
    <w:rsid w:val="00497d25"/>
    <w:rPr/>
  </w:style>
  <w:style w:type="character" w:styleId="Pagenumber">
    <w:name w:val="page number"/>
    <w:basedOn w:val="Fontepargpadro2"/>
    <w:qFormat/>
    <w:rsid w:val="00497d25"/>
    <w:rPr/>
  </w:style>
  <w:style w:type="character" w:styleId="TtuloChar" w:customStyle="1">
    <w:name w:val="Título Char"/>
    <w:qFormat/>
    <w:rsid w:val="00497d25"/>
    <w:rPr>
      <w:b/>
      <w:sz w:val="24"/>
      <w:szCs w:val="24"/>
      <w:u w:val="single"/>
    </w:rPr>
  </w:style>
  <w:style w:type="character" w:styleId="FollowedHyperlink">
    <w:name w:val="FollowedHyperlink"/>
    <w:uiPriority w:val="99"/>
    <w:qFormat/>
    <w:rsid w:val="00497d25"/>
    <w:rPr>
      <w:color w:val="800080"/>
      <w:u w:val="single"/>
    </w:rPr>
  </w:style>
  <w:style w:type="character" w:styleId="WW8Num2z0" w:customStyle="1">
    <w:name w:val="WW8Num2z0"/>
    <w:qFormat/>
    <w:rsid w:val="00497d25"/>
    <w:rPr>
      <w:sz w:val="20"/>
    </w:rPr>
  </w:style>
  <w:style w:type="character" w:styleId="WW8Num3z0" w:customStyle="1">
    <w:name w:val="WW8Num3z0"/>
    <w:qFormat/>
    <w:rsid w:val="00497d25"/>
    <w:rPr>
      <w:rFonts w:ascii="Times New Roman" w:hAnsi="Times New Roman" w:cs="Times New Roman"/>
    </w:rPr>
  </w:style>
  <w:style w:type="character" w:styleId="WW8Num4z0" w:customStyle="1">
    <w:name w:val="WW8Num4z0"/>
    <w:qFormat/>
    <w:rsid w:val="00497d25"/>
    <w:rPr>
      <w:sz w:val="20"/>
    </w:rPr>
  </w:style>
  <w:style w:type="character" w:styleId="AbsatzStandardschriftart" w:customStyle="1">
    <w:name w:val="Absatz-Standardschriftart"/>
    <w:qFormat/>
    <w:rsid w:val="00497d25"/>
    <w:rPr/>
  </w:style>
  <w:style w:type="character" w:styleId="WW8Num5z1" w:customStyle="1">
    <w:name w:val="WW8Num5z1"/>
    <w:qFormat/>
    <w:rsid w:val="00497d25"/>
    <w:rPr>
      <w:rFonts w:ascii="Times New Roman" w:hAnsi="Times New Roman" w:cs="Times New Roman"/>
      <w:b/>
    </w:rPr>
  </w:style>
  <w:style w:type="character" w:styleId="WWAbsatzStandardschriftart" w:customStyle="1">
    <w:name w:val="WW-Absatz-Standardschriftart"/>
    <w:qFormat/>
    <w:rsid w:val="00497d25"/>
    <w:rPr/>
  </w:style>
  <w:style w:type="character" w:styleId="WW8Num3z1" w:customStyle="1">
    <w:name w:val="WW8Num3z1"/>
    <w:qFormat/>
    <w:rsid w:val="00497d25"/>
    <w:rPr>
      <w:rFonts w:ascii="Times New Roman" w:hAnsi="Times New Roman" w:cs="Times New Roman"/>
      <w:b/>
    </w:rPr>
  </w:style>
  <w:style w:type="character" w:styleId="WW8Num7z1" w:customStyle="1">
    <w:name w:val="WW8Num7z1"/>
    <w:qFormat/>
    <w:rsid w:val="00497d25"/>
    <w:rPr>
      <w:rFonts w:ascii="Times New Roman" w:hAnsi="Times New Roman" w:cs="Times New Roman"/>
      <w:b/>
    </w:rPr>
  </w:style>
  <w:style w:type="character" w:styleId="WWAbsatzStandardschriftart1" w:customStyle="1">
    <w:name w:val="WW-Absatz-Standardschriftart1"/>
    <w:qFormat/>
    <w:rsid w:val="00497d25"/>
    <w:rPr/>
  </w:style>
  <w:style w:type="character" w:styleId="WWAbsatzStandardschriftart11" w:customStyle="1">
    <w:name w:val="WW-Absatz-Standardschriftart11"/>
    <w:qFormat/>
    <w:rsid w:val="00497d25"/>
    <w:rPr/>
  </w:style>
  <w:style w:type="character" w:styleId="Fontepargpadro1" w:customStyle="1">
    <w:name w:val="Fonte parág. padrão1"/>
    <w:qFormat/>
    <w:rsid w:val="00497d25"/>
    <w:rPr/>
  </w:style>
  <w:style w:type="character" w:styleId="Smbolosdenumerao" w:customStyle="1">
    <w:name w:val="Símbolos de numeração"/>
    <w:qFormat/>
    <w:rsid w:val="00497d25"/>
    <w:rPr/>
  </w:style>
  <w:style w:type="character" w:styleId="WW8Num13z1" w:customStyle="1">
    <w:name w:val="WW8Num13z1"/>
    <w:qFormat/>
    <w:rsid w:val="00497d25"/>
    <w:rPr>
      <w:rFonts w:ascii="Times New Roman" w:hAnsi="Times New Roman" w:cs="Times New Roman"/>
      <w:b/>
    </w:rPr>
  </w:style>
  <w:style w:type="character" w:styleId="SubttuloChar" w:customStyle="1">
    <w:name w:val="Subtítulo Char"/>
    <w:qFormat/>
    <w:rsid w:val="00497d25"/>
    <w:rPr>
      <w:rFonts w:ascii="Arial" w:hAnsi="Arial" w:eastAsia="Lucida Sans Unicode" w:cs="Tahoma"/>
      <w:i/>
      <w:iCs/>
      <w:sz w:val="28"/>
      <w:szCs w:val="28"/>
    </w:rPr>
  </w:style>
  <w:style w:type="character" w:styleId="SemEspaamentoChar" w:customStyle="1">
    <w:name w:val="Sem Espaçamento Char"/>
    <w:qFormat/>
    <w:rsid w:val="00497d25"/>
    <w:rPr>
      <w:rFonts w:ascii="Calibri" w:hAnsi="Calibri"/>
      <w:sz w:val="22"/>
      <w:szCs w:val="22"/>
      <w:lang w:val="pt-BR" w:eastAsia="ar-SA" w:bidi="ar-SA"/>
    </w:rPr>
  </w:style>
  <w:style w:type="character" w:styleId="Corpodetexto3Char" w:customStyle="1">
    <w:name w:val="Corpo de texto 3 Char"/>
    <w:qFormat/>
    <w:rsid w:val="00497d25"/>
    <w:rPr>
      <w:sz w:val="16"/>
      <w:szCs w:val="16"/>
    </w:rPr>
  </w:style>
  <w:style w:type="character" w:styleId="Estilo11pt" w:customStyle="1">
    <w:name w:val="Estilo 11 pt"/>
    <w:qFormat/>
    <w:rsid w:val="00497d25"/>
    <w:rPr>
      <w:rFonts w:ascii="Courier New" w:hAnsi="Courier New"/>
      <w:sz w:val="22"/>
    </w:rPr>
  </w:style>
  <w:style w:type="character" w:styleId="CorpodetextoChar1" w:customStyle="1">
    <w:name w:val="Corpo de texto Char1"/>
    <w:basedOn w:val="DefaultParagraphFont"/>
    <w:link w:val="Corpodetexto"/>
    <w:qFormat/>
    <w:rsid w:val="00497d25"/>
    <w:rPr>
      <w:rFonts w:ascii="Times New Roman" w:hAnsi="Times New Roman" w:eastAsia="Times New Roman" w:cs="Times New Roman"/>
      <w:sz w:val="20"/>
      <w:szCs w:val="20"/>
      <w:lang w:eastAsia="ar-SA"/>
    </w:rPr>
  </w:style>
  <w:style w:type="character" w:styleId="TextodebaloChar1" w:customStyle="1">
    <w:name w:val="Texto de balão Char1"/>
    <w:basedOn w:val="DefaultParagraphFont"/>
    <w:link w:val="Textodebalo"/>
    <w:uiPriority w:val="99"/>
    <w:qFormat/>
    <w:rsid w:val="00497d25"/>
    <w:rPr>
      <w:rFonts w:ascii="Tahoma" w:hAnsi="Tahoma" w:eastAsia="Times New Roman" w:cs="Times New Roman"/>
      <w:sz w:val="16"/>
      <w:szCs w:val="16"/>
      <w:lang w:eastAsia="ar-SA"/>
    </w:rPr>
  </w:style>
  <w:style w:type="character" w:styleId="CitaoChar1" w:customStyle="1">
    <w:name w:val="Citação Char1"/>
    <w:basedOn w:val="DefaultParagraphFont"/>
    <w:link w:val="Citao"/>
    <w:qFormat/>
    <w:rsid w:val="00497d25"/>
    <w:rPr>
      <w:rFonts w:ascii="Ecofont_Spranq_eco_Sans" w:hAnsi="Ecofont_Spranq_eco_Sans" w:eastAsia="Calibri" w:cs="Times New Roman"/>
      <w:i/>
      <w:iCs/>
      <w:color w:val="000000"/>
      <w:sz w:val="20"/>
      <w:szCs w:val="24"/>
      <w:shd w:fill="FFFFCC" w:val="clear"/>
      <w:lang w:eastAsia="ar-SA"/>
    </w:rPr>
  </w:style>
  <w:style w:type="character" w:styleId="CabealhoChar1" w:customStyle="1">
    <w:name w:val="Cabeçalho Char1"/>
    <w:basedOn w:val="DefaultParagraphFont"/>
    <w:link w:val="Cabealho"/>
    <w:uiPriority w:val="99"/>
    <w:qFormat/>
    <w:rsid w:val="00497d25"/>
    <w:rPr>
      <w:rFonts w:ascii="Ecofont_Spranq_eco_Sans" w:hAnsi="Ecofont_Spranq_eco_Sans" w:eastAsia="Times New Roman" w:cs="Times New Roman"/>
      <w:sz w:val="24"/>
      <w:szCs w:val="24"/>
      <w:lang w:eastAsia="ar-SA"/>
    </w:rPr>
  </w:style>
  <w:style w:type="character" w:styleId="RodapChar1" w:customStyle="1">
    <w:name w:val="Rodapé Char1"/>
    <w:basedOn w:val="DefaultParagraphFont"/>
    <w:link w:val="Rodap"/>
    <w:uiPriority w:val="99"/>
    <w:qFormat/>
    <w:rsid w:val="00497d25"/>
    <w:rPr>
      <w:rFonts w:ascii="Ecofont_Spranq_eco_Sans" w:hAnsi="Ecofont_Spranq_eco_Sans" w:eastAsia="Times New Roman" w:cs="Times New Roman"/>
      <w:sz w:val="24"/>
      <w:szCs w:val="24"/>
      <w:lang w:eastAsia="ar-SA"/>
    </w:rPr>
  </w:style>
  <w:style w:type="character" w:styleId="RecuodecorpodetextoChar1" w:customStyle="1">
    <w:name w:val="Recuo de corpo de texto Char1"/>
    <w:basedOn w:val="DefaultParagraphFont"/>
    <w:link w:val="Recuodecorpodetexto"/>
    <w:qFormat/>
    <w:rsid w:val="00497d25"/>
    <w:rPr>
      <w:rFonts w:ascii="Times New Roman" w:hAnsi="Times New Roman" w:eastAsia="Times New Roman" w:cs="Times New Roman"/>
      <w:szCs w:val="24"/>
      <w:lang w:val="x-none" w:eastAsia="ar-SA"/>
    </w:rPr>
  </w:style>
  <w:style w:type="character" w:styleId="TtuloChar1" w:customStyle="1">
    <w:name w:val="Título Char1"/>
    <w:basedOn w:val="DefaultParagraphFont"/>
    <w:link w:val="Ttulo"/>
    <w:qFormat/>
    <w:rsid w:val="00497d25"/>
    <w:rPr>
      <w:rFonts w:ascii="Times New Roman" w:hAnsi="Times New Roman" w:eastAsia="Times New Roman" w:cs="Times New Roman"/>
      <w:b/>
      <w:sz w:val="24"/>
      <w:szCs w:val="24"/>
      <w:u w:val="single"/>
      <w:lang w:val="x-none" w:eastAsia="ar-SA"/>
    </w:rPr>
  </w:style>
  <w:style w:type="character" w:styleId="SubttuloChar1" w:customStyle="1">
    <w:name w:val="Subtítulo Char1"/>
    <w:basedOn w:val="DefaultParagraphFont"/>
    <w:link w:val="Subttulo"/>
    <w:qFormat/>
    <w:rsid w:val="00497d25"/>
    <w:rPr>
      <w:rFonts w:ascii="Arial" w:hAnsi="Arial" w:eastAsia="Lucida Sans Unicode" w:cs="Times New Roman"/>
      <w:i/>
      <w:iCs/>
      <w:sz w:val="28"/>
      <w:szCs w:val="28"/>
      <w:lang w:val="x-none" w:eastAsia="ar-SA"/>
    </w:rPr>
  </w:style>
  <w:style w:type="character" w:styleId="Strong">
    <w:name w:val="Strong"/>
    <w:uiPriority w:val="22"/>
    <w:qFormat/>
    <w:rsid w:val="00497d25"/>
    <w:rPr>
      <w:b/>
      <w:bCs/>
    </w:rPr>
  </w:style>
  <w:style w:type="character" w:styleId="Nivel01Char" w:customStyle="1">
    <w:name w:val="Nivel 01 Char"/>
    <w:link w:val="Nivel01"/>
    <w:qFormat/>
    <w:rsid w:val="00497d25"/>
    <w:rPr>
      <w:rFonts w:ascii="Ecofont_Spranq_eco_Sans" w:hAnsi="Ecofont_Spranq_eco_Sans" w:eastAsia="MS Gothic" w:cs="Times New Roman"/>
      <w:b/>
      <w:bCs/>
      <w:color w:val="000000"/>
      <w:sz w:val="20"/>
      <w:szCs w:val="20"/>
      <w:lang w:eastAsia="pt-BR"/>
    </w:rPr>
  </w:style>
  <w:style w:type="character" w:styleId="Nivel1Char" w:customStyle="1">
    <w:name w:val="Nivel1 Char"/>
    <w:link w:val="Nivel10"/>
    <w:qFormat/>
    <w:rsid w:val="00497d25"/>
    <w:rPr>
      <w:rFonts w:ascii="Arial" w:hAnsi="Arial" w:eastAsia="Times New Roman" w:cs="Arial"/>
      <w:b/>
      <w:color w:val="000000"/>
      <w:sz w:val="20"/>
      <w:szCs w:val="20"/>
      <w:lang w:eastAsia="pt-BR"/>
    </w:rPr>
  </w:style>
  <w:style w:type="character" w:styleId="Nivel2Char" w:customStyle="1">
    <w:name w:val="Nivel 2 Char"/>
    <w:link w:val="Nivel2"/>
    <w:qFormat/>
    <w:rsid w:val="00497d25"/>
    <w:rPr>
      <w:rFonts w:ascii="Ecofont_Spranq_eco_Sans" w:hAnsi="Ecofont_Spranq_eco_Sans" w:eastAsia="Arial Unicode MS" w:cs="Times New Roman"/>
      <w:sz w:val="20"/>
      <w:szCs w:val="20"/>
      <w:lang w:eastAsia="pt-BR"/>
    </w:rPr>
  </w:style>
  <w:style w:type="character" w:styleId="QuoteChar" w:customStyle="1">
    <w:name w:val="Quote Char"/>
    <w:link w:val="Citao1"/>
    <w:qFormat/>
    <w:rsid w:val="00497d25"/>
    <w:rPr>
      <w:rFonts w:ascii="Ecofont_Spranq_eco_Sans" w:hAnsi="Ecofont_Spranq_eco_Sans" w:eastAsia="Times New Roman" w:cs="Ecofont_Spranq_eco_Sans"/>
      <w:i/>
      <w:iCs/>
      <w:color w:val="000000"/>
      <w:sz w:val="24"/>
      <w:szCs w:val="24"/>
      <w:shd w:fill="FFFFCC" w:val="clear"/>
    </w:rPr>
  </w:style>
  <w:style w:type="character" w:styleId="Tiporegular2" w:customStyle="1">
    <w:name w:val="tipo_regular2"/>
    <w:qFormat/>
    <w:rsid w:val="00497d25"/>
    <w:rPr/>
  </w:style>
  <w:style w:type="character" w:styleId="Fontstyle01" w:customStyle="1">
    <w:name w:val="fontstyle01"/>
    <w:basedOn w:val="DefaultParagraphFont"/>
    <w:qFormat/>
    <w:rsid w:val="00bd0401"/>
    <w:rPr>
      <w:rFonts w:ascii="Arial" w:hAnsi="Arial" w:cs="Arial"/>
      <w:b w:val="false"/>
      <w:bCs w:val="false"/>
      <w:i w:val="false"/>
      <w:iCs w:val="false"/>
      <w:color w:val="000000"/>
      <w:sz w:val="14"/>
      <w:szCs w:val="14"/>
    </w:rPr>
  </w:style>
  <w:style w:type="character" w:styleId="ListLabel1">
    <w:name w:val="ListLabel 1"/>
    <w:qFormat/>
    <w:rPr>
      <w:b w:val="false"/>
      <w:i w:val="false"/>
    </w:rPr>
  </w:style>
  <w:style w:type="character" w:styleId="ListLabel2">
    <w:name w:val="ListLabel 2"/>
    <w:qFormat/>
    <w:rPr>
      <w:b w:val="false"/>
      <w:i w:val="false"/>
    </w:rPr>
  </w:style>
  <w:style w:type="character" w:styleId="ListLabel3">
    <w:name w:val="ListLabel 3"/>
    <w:qFormat/>
    <w:rPr>
      <w:b/>
    </w:rPr>
  </w:style>
  <w:style w:type="character" w:styleId="ListLabel4">
    <w:name w:val="ListLabel 4"/>
    <w:qFormat/>
    <w:rPr>
      <w:color w:val="auto"/>
    </w:rPr>
  </w:style>
  <w:style w:type="character" w:styleId="ListLabel5">
    <w:name w:val="ListLabel 5"/>
    <w:qFormat/>
    <w:rPr>
      <w:b w:val="false"/>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val="false"/>
      <w:color w:val="auto"/>
    </w:rPr>
  </w:style>
  <w:style w:type="character" w:styleId="ListLabel15">
    <w:name w:val="ListLabel 15"/>
    <w:qFormat/>
    <w:rPr>
      <w:color w:val="auto"/>
    </w:rPr>
  </w:style>
  <w:style w:type="character" w:styleId="ListLabel16">
    <w:name w:val="ListLabel 16"/>
    <w:qFormat/>
    <w:rPr>
      <w:color w:val="auto"/>
    </w:rPr>
  </w:style>
  <w:style w:type="character" w:styleId="ListLabel17">
    <w:name w:val="ListLabel 17"/>
    <w:qFormat/>
    <w:rPr>
      <w:color w:val="auto"/>
    </w:rPr>
  </w:style>
  <w:style w:type="character" w:styleId="ListLabel18">
    <w:name w:val="ListLabel 18"/>
    <w:qFormat/>
    <w:rPr>
      <w:color w:val="auto"/>
    </w:rPr>
  </w:style>
  <w:style w:type="character" w:styleId="ListLabel19">
    <w:name w:val="ListLabel 19"/>
    <w:qFormat/>
    <w:rPr>
      <w:color w:val="auto"/>
    </w:rPr>
  </w:style>
  <w:style w:type="character" w:styleId="ListLabel20">
    <w:name w:val="ListLabel 20"/>
    <w:qFormat/>
    <w:rPr>
      <w:color w:val="auto"/>
    </w:rPr>
  </w:style>
  <w:style w:type="character" w:styleId="ListLabel21">
    <w:name w:val="ListLabel 21"/>
    <w:qFormat/>
    <w:rPr>
      <w:color w:val="auto"/>
    </w:rPr>
  </w:style>
  <w:style w:type="character" w:styleId="ListLabel22">
    <w:name w:val="ListLabel 22"/>
    <w:qFormat/>
    <w:rPr>
      <w:b w:val="false"/>
      <w:sz w:val="24"/>
    </w:rPr>
  </w:style>
  <w:style w:type="character" w:styleId="ListLabel23">
    <w:name w:val="ListLabel 23"/>
    <w:qFormat/>
    <w:rPr>
      <w:b w:val="false"/>
      <w:sz w:val="24"/>
    </w:rPr>
  </w:style>
  <w:style w:type="character" w:styleId="ListLabel24">
    <w:name w:val="ListLabel 24"/>
    <w:qFormat/>
    <w:rPr>
      <w:b w:val="false"/>
      <w:sz w:val="24"/>
    </w:rPr>
  </w:style>
  <w:style w:type="character" w:styleId="ListLabel25">
    <w:name w:val="ListLabel 25"/>
    <w:qFormat/>
    <w:rPr>
      <w:b w:val="false"/>
      <w:sz w:val="24"/>
    </w:rPr>
  </w:style>
  <w:style w:type="character" w:styleId="ListLabel26">
    <w:name w:val="ListLabel 26"/>
    <w:qFormat/>
    <w:rPr>
      <w:b w:val="false"/>
      <w:sz w:val="24"/>
    </w:rPr>
  </w:style>
  <w:style w:type="character" w:styleId="ListLabel27">
    <w:name w:val="ListLabel 27"/>
    <w:qFormat/>
    <w:rPr>
      <w:b w:val="false"/>
      <w:sz w:val="24"/>
    </w:rPr>
  </w:style>
  <w:style w:type="character" w:styleId="ListLabel28">
    <w:name w:val="ListLabel 28"/>
    <w:qFormat/>
    <w:rPr>
      <w:b w:val="false"/>
      <w:sz w:val="24"/>
    </w:rPr>
  </w:style>
  <w:style w:type="character" w:styleId="ListLabel29">
    <w:name w:val="ListLabel 29"/>
    <w:qFormat/>
    <w:rPr>
      <w:b w:val="false"/>
      <w:sz w:val="24"/>
    </w:rPr>
  </w:style>
  <w:style w:type="character" w:styleId="ListLabel30">
    <w:name w:val="ListLabel 30"/>
    <w:qFormat/>
    <w:rPr>
      <w:b w:val="false"/>
      <w:sz w:val="24"/>
    </w:rPr>
  </w:style>
  <w:style w:type="character" w:styleId="ListLabel31">
    <w:name w:val="ListLabel 31"/>
    <w:qFormat/>
    <w:rPr>
      <w:b/>
    </w:rPr>
  </w:style>
  <w:style w:type="character" w:styleId="ListLabel32">
    <w:name w:val="ListLabel 32"/>
    <w:qFormat/>
    <w:rPr>
      <w:rFonts w:cs="Arial"/>
      <w:b w:val="false"/>
      <w:i w:val="false"/>
      <w:strike w:val="false"/>
      <w:dstrike w:val="false"/>
      <w:color w:val="auto"/>
      <w:sz w:val="20"/>
      <w:szCs w:val="20"/>
      <w:u w:val="none"/>
    </w:rPr>
  </w:style>
  <w:style w:type="character" w:styleId="ListLabel33">
    <w:name w:val="ListLabel 33"/>
    <w:qFormat/>
    <w:rPr>
      <w:rFonts w:cs="Arial"/>
      <w:b w:val="false"/>
      <w:i w:val="false"/>
      <w:strike w:val="false"/>
      <w:dstrike w:val="false"/>
      <w:color w:val="auto"/>
      <w:sz w:val="20"/>
      <w:szCs w:val="20"/>
    </w:rPr>
  </w:style>
  <w:style w:type="character" w:styleId="ListLabel34">
    <w:name w:val="ListLabel 34"/>
    <w:qFormat/>
    <w:rPr>
      <w:b w:val="false"/>
    </w:rPr>
  </w:style>
  <w:style w:type="character" w:styleId="ListLabel35">
    <w:name w:val="ListLabel 35"/>
    <w:qFormat/>
    <w:rPr>
      <w:b/>
    </w:rPr>
  </w:style>
  <w:style w:type="character" w:styleId="ListLabel36">
    <w:name w:val="ListLabel 36"/>
    <w:qFormat/>
    <w:rPr>
      <w:rFonts w:cs="Arial"/>
      <w:b w:val="false"/>
      <w:i w:val="false"/>
      <w:strike w:val="false"/>
      <w:dstrike w:val="false"/>
      <w:color w:val="auto"/>
      <w:sz w:val="20"/>
      <w:szCs w:val="20"/>
      <w:u w:val="none"/>
    </w:rPr>
  </w:style>
  <w:style w:type="character" w:styleId="ListLabel37">
    <w:name w:val="ListLabel 37"/>
    <w:qFormat/>
    <w:rPr>
      <w:rFonts w:cs="Arial"/>
      <w:b w:val="false"/>
      <w:i w:val="false"/>
      <w:strike w:val="false"/>
      <w:dstrike w:val="false"/>
      <w:color w:val="auto"/>
      <w:sz w:val="20"/>
      <w:szCs w:val="20"/>
    </w:rPr>
  </w:style>
  <w:style w:type="character" w:styleId="ListLabel38">
    <w:name w:val="ListLabel 38"/>
    <w:qFormat/>
    <w:rPr>
      <w:b/>
    </w:rPr>
  </w:style>
  <w:style w:type="character" w:styleId="ListLabel39">
    <w:name w:val="ListLabel 39"/>
    <w:qFormat/>
    <w:rPr>
      <w:rFonts w:cs="Arial"/>
      <w:b w:val="false"/>
      <w:i w:val="false"/>
      <w:strike w:val="false"/>
      <w:dstrike w:val="false"/>
      <w:color w:val="auto"/>
      <w:sz w:val="20"/>
      <w:szCs w:val="20"/>
      <w:u w:val="none"/>
    </w:rPr>
  </w:style>
  <w:style w:type="character" w:styleId="ListLabel40">
    <w:name w:val="ListLabel 40"/>
    <w:qFormat/>
    <w:rPr>
      <w:rFonts w:cs="Arial"/>
      <w:b w:val="false"/>
      <w:i w:val="false"/>
      <w:strike w:val="false"/>
      <w:dstrike w:val="false"/>
      <w:color w:val="auto"/>
      <w:sz w:val="20"/>
      <w:szCs w:val="20"/>
    </w:rPr>
  </w:style>
  <w:style w:type="character" w:styleId="ListLabel41">
    <w:name w:val="ListLabel 41"/>
    <w:qFormat/>
    <w:rPr>
      <w:b/>
    </w:rPr>
  </w:style>
  <w:style w:type="character" w:styleId="ListLabel42">
    <w:name w:val="ListLabel 42"/>
    <w:qFormat/>
    <w:rPr>
      <w:rFonts w:cs="Arial"/>
      <w:b w:val="false"/>
      <w:i w:val="false"/>
      <w:strike w:val="false"/>
      <w:dstrike w:val="false"/>
      <w:color w:val="auto"/>
      <w:sz w:val="20"/>
      <w:szCs w:val="20"/>
      <w:u w:val="none"/>
    </w:rPr>
  </w:style>
  <w:style w:type="character" w:styleId="ListLabel43">
    <w:name w:val="ListLabel 43"/>
    <w:qFormat/>
    <w:rPr>
      <w:rFonts w:cs="Arial"/>
      <w:b w:val="false"/>
      <w:i w:val="false"/>
      <w:strike w:val="false"/>
      <w:dstrike w:val="false"/>
      <w:color w:val="auto"/>
      <w:sz w:val="20"/>
      <w:szCs w:val="20"/>
    </w:rPr>
  </w:style>
  <w:style w:type="character" w:styleId="ListLabel44">
    <w:name w:val="ListLabel 44"/>
    <w:qFormat/>
    <w:rPr>
      <w:b/>
    </w:rPr>
  </w:style>
  <w:style w:type="character" w:styleId="ListLabel45">
    <w:name w:val="ListLabel 45"/>
    <w:qFormat/>
    <w:rPr>
      <w:rFonts w:cs="Arial"/>
      <w:b w:val="false"/>
      <w:i w:val="false"/>
      <w:strike w:val="false"/>
      <w:dstrike w:val="false"/>
      <w:color w:val="auto"/>
      <w:sz w:val="20"/>
      <w:szCs w:val="20"/>
      <w:u w:val="none"/>
    </w:rPr>
  </w:style>
  <w:style w:type="character" w:styleId="ListLabel46">
    <w:name w:val="ListLabel 46"/>
    <w:qFormat/>
    <w:rPr>
      <w:rFonts w:cs="Arial"/>
      <w:b w:val="false"/>
      <w:i w:val="false"/>
      <w:strike w:val="false"/>
      <w:dstrike w:val="false"/>
      <w:color w:val="auto"/>
      <w:sz w:val="20"/>
      <w:szCs w:val="20"/>
    </w:rPr>
  </w:style>
  <w:style w:type="character" w:styleId="ListLabel47">
    <w:name w:val="ListLabel 47"/>
    <w:qFormat/>
    <w:rPr>
      <w:b/>
      <w:i w:val="false"/>
      <w:strike w:val="false"/>
      <w:dstrike w:val="false"/>
    </w:rPr>
  </w:style>
  <w:style w:type="character" w:styleId="ListLabel48">
    <w:name w:val="ListLabel 48"/>
    <w:qFormat/>
    <w:rPr>
      <w:b w:val="false"/>
      <w:strike w:val="false"/>
      <w:dstrike w:val="false"/>
      <w:sz w:val="24"/>
    </w:rPr>
  </w:style>
  <w:style w:type="character" w:styleId="ListLabel49">
    <w:name w:val="ListLabel 49"/>
    <w:qFormat/>
    <w:rPr>
      <w:i w:val="false"/>
      <w:strike w:val="false"/>
      <w:dstrike w:val="false"/>
    </w:rPr>
  </w:style>
  <w:style w:type="character" w:styleId="ListLabel50">
    <w:name w:val="ListLabel 50"/>
    <w:qFormat/>
    <w:rPr>
      <w:b/>
    </w:rPr>
  </w:style>
  <w:style w:type="character" w:styleId="ListLabel51">
    <w:name w:val="ListLabel 51"/>
    <w:qFormat/>
    <w:rPr>
      <w:rFonts w:cs="Arial"/>
      <w:b w:val="false"/>
      <w:i w:val="false"/>
      <w:strike w:val="false"/>
      <w:dstrike w:val="false"/>
      <w:color w:val="auto"/>
      <w:sz w:val="20"/>
      <w:szCs w:val="20"/>
      <w:u w:val="none"/>
    </w:rPr>
  </w:style>
  <w:style w:type="character" w:styleId="ListLabel52">
    <w:name w:val="ListLabel 52"/>
    <w:qFormat/>
    <w:rPr>
      <w:rFonts w:cs="Arial"/>
      <w:b w:val="false"/>
      <w:i w:val="false"/>
      <w:strike w:val="false"/>
      <w:dstrike w:val="false"/>
      <w:color w:val="auto"/>
      <w:sz w:val="20"/>
      <w:szCs w:val="20"/>
    </w:rPr>
  </w:style>
  <w:style w:type="character" w:styleId="ListLabel53">
    <w:name w:val="ListLabel 53"/>
    <w:qFormat/>
    <w:rPr>
      <w:b/>
    </w:rPr>
  </w:style>
  <w:style w:type="character" w:styleId="ListLabel54">
    <w:name w:val="ListLabel 54"/>
    <w:qFormat/>
    <w:rPr>
      <w:rFonts w:cs="Arial"/>
      <w:b w:val="false"/>
      <w:i w:val="false"/>
      <w:strike w:val="false"/>
      <w:dstrike w:val="false"/>
      <w:color w:val="auto"/>
      <w:sz w:val="20"/>
      <w:szCs w:val="20"/>
      <w:u w:val="none"/>
    </w:rPr>
  </w:style>
  <w:style w:type="character" w:styleId="ListLabel55">
    <w:name w:val="ListLabel 55"/>
    <w:qFormat/>
    <w:rPr>
      <w:rFonts w:cs="Arial"/>
      <w:b w:val="false"/>
      <w:i w:val="false"/>
      <w:strike w:val="false"/>
      <w:dstrike w:val="false"/>
      <w:color w:val="auto"/>
      <w:sz w:val="20"/>
      <w:szCs w:val="20"/>
    </w:rPr>
  </w:style>
  <w:style w:type="character" w:styleId="ListLabel56">
    <w:name w:val="ListLabel 56"/>
    <w:qFormat/>
    <w:rPr>
      <w:b/>
    </w:rPr>
  </w:style>
  <w:style w:type="character" w:styleId="ListLabel57">
    <w:name w:val="ListLabel 57"/>
    <w:qFormat/>
    <w:rPr>
      <w:rFonts w:cs="Arial"/>
      <w:b w:val="false"/>
      <w:i w:val="false"/>
      <w:strike w:val="false"/>
      <w:dstrike w:val="false"/>
      <w:color w:val="auto"/>
      <w:sz w:val="20"/>
      <w:szCs w:val="20"/>
      <w:u w:val="none"/>
    </w:rPr>
  </w:style>
  <w:style w:type="character" w:styleId="ListLabel58">
    <w:name w:val="ListLabel 58"/>
    <w:qFormat/>
    <w:rPr>
      <w:rFonts w:cs="Arial"/>
      <w:b w:val="false"/>
      <w:i w:val="false"/>
      <w:strike w:val="false"/>
      <w:dstrike w:val="false"/>
      <w:color w:val="auto"/>
      <w:sz w:val="20"/>
      <w:szCs w:val="20"/>
    </w:rPr>
  </w:style>
  <w:style w:type="character" w:styleId="ListLabel59">
    <w:name w:val="ListLabel 59"/>
    <w:qFormat/>
    <w:rPr>
      <w:b w:val="false"/>
      <w:i w:val="false"/>
    </w:rPr>
  </w:style>
  <w:style w:type="character" w:styleId="ListLabel60">
    <w:name w:val="ListLabel 60"/>
    <w:qFormat/>
    <w:rPr>
      <w:b w:val="false"/>
    </w:rPr>
  </w:style>
  <w:style w:type="character" w:styleId="ListLabel61">
    <w:name w:val="ListLabel 61"/>
    <w:qFormat/>
    <w:rPr>
      <w:b/>
    </w:rPr>
  </w:style>
  <w:style w:type="character" w:styleId="ListLabel62">
    <w:name w:val="ListLabel 62"/>
    <w:qFormat/>
    <w:rPr>
      <w:rFonts w:cs="Arial"/>
      <w:b w:val="false"/>
      <w:i w:val="false"/>
      <w:strike w:val="false"/>
      <w:dstrike w:val="false"/>
      <w:color w:val="auto"/>
      <w:sz w:val="20"/>
      <w:szCs w:val="20"/>
      <w:u w:val="none"/>
    </w:rPr>
  </w:style>
  <w:style w:type="character" w:styleId="ListLabel63">
    <w:name w:val="ListLabel 63"/>
    <w:qFormat/>
    <w:rPr>
      <w:rFonts w:cs="Arial"/>
      <w:b w:val="false"/>
      <w:i w:val="false"/>
      <w:strike w:val="false"/>
      <w:dstrike w:val="false"/>
      <w:color w:val="auto"/>
      <w:sz w:val="20"/>
      <w:szCs w:val="20"/>
    </w:rPr>
  </w:style>
  <w:style w:type="character" w:styleId="ListLabel64">
    <w:name w:val="ListLabel 64"/>
    <w:qFormat/>
    <w:rPr>
      <w:b/>
    </w:rPr>
  </w:style>
  <w:style w:type="character" w:styleId="ListLabel65">
    <w:name w:val="ListLabel 65"/>
    <w:qFormat/>
    <w:rPr>
      <w:rFonts w:cs="Arial"/>
      <w:b w:val="false"/>
      <w:i w:val="false"/>
      <w:strike w:val="false"/>
      <w:dstrike w:val="false"/>
      <w:color w:val="auto"/>
      <w:sz w:val="20"/>
      <w:szCs w:val="20"/>
      <w:u w:val="none"/>
    </w:rPr>
  </w:style>
  <w:style w:type="character" w:styleId="ListLabel66">
    <w:name w:val="ListLabel 66"/>
    <w:qFormat/>
    <w:rPr>
      <w:rFonts w:cs="Arial"/>
      <w:b w:val="false"/>
      <w:i w:val="false"/>
      <w:strike w:val="false"/>
      <w:dstrike w:val="false"/>
      <w:color w:val="auto"/>
      <w:sz w:val="20"/>
      <w:szCs w:val="20"/>
    </w:rPr>
  </w:style>
  <w:style w:type="character" w:styleId="ListLabel67">
    <w:name w:val="ListLabel 67"/>
    <w:qFormat/>
    <w:rPr>
      <w:b/>
    </w:rPr>
  </w:style>
  <w:style w:type="character" w:styleId="ListLabel68">
    <w:name w:val="ListLabel 68"/>
    <w:qFormat/>
    <w:rPr>
      <w:rFonts w:cs="Arial"/>
      <w:b w:val="false"/>
      <w:i w:val="false"/>
      <w:strike w:val="false"/>
      <w:dstrike w:val="false"/>
      <w:color w:val="auto"/>
      <w:sz w:val="20"/>
      <w:szCs w:val="20"/>
      <w:u w:val="none"/>
    </w:rPr>
  </w:style>
  <w:style w:type="character" w:styleId="ListLabel69">
    <w:name w:val="ListLabel 69"/>
    <w:qFormat/>
    <w:rPr>
      <w:rFonts w:cs="Arial"/>
      <w:b w:val="false"/>
      <w:i w:val="false"/>
      <w:strike w:val="false"/>
      <w:dstrike w:val="false"/>
      <w:color w:val="auto"/>
      <w:sz w:val="20"/>
      <w:szCs w:val="20"/>
    </w:rPr>
  </w:style>
  <w:style w:type="character" w:styleId="ListLabel70">
    <w:name w:val="ListLabel 70"/>
    <w:qFormat/>
    <w:rPr>
      <w:b w:val="false"/>
      <w:i w:val="false"/>
    </w:rPr>
  </w:style>
  <w:style w:type="character" w:styleId="ListLabel71">
    <w:name w:val="ListLabel 71"/>
    <w:qFormat/>
    <w:rPr>
      <w:b w:val="false"/>
    </w:rPr>
  </w:style>
  <w:style w:type="character" w:styleId="ListLabel72">
    <w:name w:val="ListLabel 72"/>
    <w:qFormat/>
    <w:rPr>
      <w:b/>
    </w:rPr>
  </w:style>
  <w:style w:type="character" w:styleId="ListLabel73">
    <w:name w:val="ListLabel 73"/>
    <w:qFormat/>
    <w:rPr>
      <w:rFonts w:cs="Arial"/>
      <w:b w:val="false"/>
      <w:i w:val="false"/>
      <w:strike w:val="false"/>
      <w:dstrike w:val="false"/>
      <w:color w:val="auto"/>
      <w:sz w:val="20"/>
      <w:szCs w:val="20"/>
      <w:u w:val="none"/>
    </w:rPr>
  </w:style>
  <w:style w:type="character" w:styleId="ListLabel74">
    <w:name w:val="ListLabel 74"/>
    <w:qFormat/>
    <w:rPr>
      <w:rFonts w:cs="Arial"/>
      <w:b w:val="false"/>
      <w:i w:val="false"/>
      <w:strike w:val="false"/>
      <w:dstrike w:val="false"/>
      <w:color w:val="auto"/>
      <w:sz w:val="20"/>
      <w:szCs w:val="20"/>
    </w:rPr>
  </w:style>
  <w:style w:type="character" w:styleId="ListLabel75">
    <w:name w:val="ListLabel 75"/>
    <w:qFormat/>
    <w:rPr>
      <w:rFonts w:cs="Arial"/>
      <w:sz w:val="20"/>
    </w:rPr>
  </w:style>
  <w:style w:type="character" w:styleId="ListLabel76">
    <w:name w:val="ListLabel 76"/>
    <w:qFormat/>
    <w:rPr>
      <w:rFonts w:cs="Arial"/>
      <w:sz w:val="20"/>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rPr>
  </w:style>
  <w:style w:type="character" w:styleId="ListLabel81">
    <w:name w:val="ListLabel 81"/>
    <w:qFormat/>
    <w:rPr>
      <w:b/>
    </w:rPr>
  </w:style>
  <w:style w:type="character" w:styleId="ListLabel82">
    <w:name w:val="ListLabel 82"/>
    <w:qFormat/>
    <w:rPr>
      <w:b/>
    </w:rPr>
  </w:style>
  <w:style w:type="character" w:styleId="ListLabel83">
    <w:name w:val="ListLabel 83"/>
    <w:qFormat/>
    <w:rPr>
      <w:b/>
    </w:rPr>
  </w:style>
  <w:style w:type="character" w:styleId="ListLabel84">
    <w:name w:val="ListLabel 84"/>
    <w:qFormat/>
    <w:rPr>
      <w:b/>
    </w:rPr>
  </w:style>
  <w:style w:type="character" w:styleId="ListLabel85">
    <w:name w:val="ListLabel 85"/>
    <w:qFormat/>
    <w:rPr>
      <w:b/>
    </w:rPr>
  </w:style>
  <w:style w:type="character" w:styleId="ListLabel86">
    <w:name w:val="ListLabel 86"/>
    <w:qFormat/>
    <w:rPr>
      <w:b/>
    </w:rPr>
  </w:style>
  <w:style w:type="character" w:styleId="ListLabel87">
    <w:name w:val="ListLabel 87"/>
    <w:qFormat/>
    <w:rPr>
      <w:rFonts w:ascii="Times New Roman" w:hAnsi="Times New Roman" w:cs="Times New Roman"/>
    </w:rPr>
  </w:style>
  <w:style w:type="character" w:styleId="ListLabel88">
    <w:name w:val="ListLabel 88"/>
    <w:qFormat/>
    <w:rPr>
      <w:rFonts w:ascii="Times New Roman" w:hAnsi="Times New Roman" w:cs="Times New Roman"/>
    </w:rPr>
  </w:style>
  <w:style w:type="character" w:styleId="ListLabel89">
    <w:name w:val="ListLabel 89"/>
    <w:qFormat/>
    <w:rPr>
      <w:rFonts w:ascii="Times New Roman" w:hAnsi="Times New Roman" w:cs="Times New Roman"/>
    </w:rPr>
  </w:style>
  <w:style w:type="character" w:styleId="ListLabel90">
    <w:name w:val="ListLabel 90"/>
    <w:qFormat/>
    <w:rPr>
      <w:rFonts w:ascii="Times New Roman" w:hAnsi="Times New Roman" w:cs="Times New Roman"/>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1"/>
    <w:rsid w:val="00497d25"/>
    <w:pPr>
      <w:jc w:val="both"/>
    </w:pPr>
    <w:rPr>
      <w:rFonts w:ascii="Times New Roman" w:hAnsi="Times New Roman" w:cs="Times New Roman"/>
      <w:sz w:val="20"/>
      <w:szCs w:val="20"/>
    </w:rPr>
  </w:style>
  <w:style w:type="paragraph" w:styleId="Lista">
    <w:name w:val="List"/>
    <w:basedOn w:val="Corpodotexto"/>
    <w:rsid w:val="00497d25"/>
    <w:pPr/>
    <w:rPr>
      <w:rFonts w:cs="Tahoma"/>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497d25"/>
    <w:pPr>
      <w:suppressLineNumbers/>
    </w:pPr>
    <w:rPr>
      <w:rFonts w:ascii="Times New Roman" w:hAnsi="Times New Roman"/>
    </w:rPr>
  </w:style>
  <w:style w:type="paragraph" w:styleId="Captulo" w:customStyle="1">
    <w:name w:val="Capítulo"/>
    <w:basedOn w:val="Normal"/>
    <w:next w:val="Corpodotexto"/>
    <w:qFormat/>
    <w:rsid w:val="00497d25"/>
    <w:pPr>
      <w:keepNext w:val="true"/>
      <w:spacing w:before="240" w:after="120"/>
    </w:pPr>
    <w:rPr>
      <w:rFonts w:ascii="Arial" w:hAnsi="Arial" w:eastAsia="Lucida Sans Unicode"/>
      <w:sz w:val="28"/>
      <w:szCs w:val="28"/>
    </w:rPr>
  </w:style>
  <w:style w:type="paragraph" w:styleId="Legenda2" w:customStyle="1">
    <w:name w:val="Legenda2"/>
    <w:basedOn w:val="Normal"/>
    <w:next w:val="Normal"/>
    <w:qFormat/>
    <w:rsid w:val="00497d25"/>
    <w:pPr>
      <w:jc w:val="center"/>
    </w:pPr>
    <w:rPr>
      <w:rFonts w:ascii="NewZurica" w:hAnsi="NewZurica" w:cs="Times New Roman"/>
      <w:szCs w:val="20"/>
    </w:rPr>
  </w:style>
  <w:style w:type="paragraph" w:styleId="ListParagraph">
    <w:name w:val="List Paragraph"/>
    <w:basedOn w:val="Normal"/>
    <w:uiPriority w:val="34"/>
    <w:qFormat/>
    <w:rsid w:val="00497d25"/>
    <w:pPr>
      <w:ind w:left="720" w:hanging="0"/>
    </w:pPr>
    <w:rPr/>
  </w:style>
  <w:style w:type="paragraph" w:styleId="NormalWeb">
    <w:name w:val="Normal (Web)"/>
    <w:basedOn w:val="Normal"/>
    <w:uiPriority w:val="99"/>
    <w:qFormat/>
    <w:rsid w:val="00497d25"/>
    <w:pPr>
      <w:spacing w:before="280" w:after="280"/>
    </w:pPr>
    <w:rPr>
      <w:rFonts w:ascii="Times New Roman" w:hAnsi="Times New Roman" w:cs="Times New Roman"/>
    </w:rPr>
  </w:style>
  <w:style w:type="paragraph" w:styleId="BalloonText">
    <w:name w:val="Balloon Text"/>
    <w:basedOn w:val="Normal"/>
    <w:link w:val="TextodebaloChar1"/>
    <w:uiPriority w:val="99"/>
    <w:qFormat/>
    <w:rsid w:val="00497d25"/>
    <w:pPr/>
    <w:rPr>
      <w:rFonts w:ascii="Tahoma" w:hAnsi="Tahoma" w:cs="Times New Roman"/>
      <w:sz w:val="16"/>
      <w:szCs w:val="16"/>
    </w:rPr>
  </w:style>
  <w:style w:type="paragraph" w:styleId="Nvel2" w:customStyle="1">
    <w:name w:val="Nível 2"/>
    <w:basedOn w:val="Normal"/>
    <w:next w:val="Normal"/>
    <w:qFormat/>
    <w:rsid w:val="00497d25"/>
    <w:pPr>
      <w:spacing w:before="0" w:after="120"/>
      <w:jc w:val="both"/>
    </w:pPr>
    <w:rPr>
      <w:rFonts w:ascii="Arial" w:hAnsi="Arial" w:cs="Times New Roman"/>
      <w:b/>
      <w:szCs w:val="20"/>
    </w:rPr>
  </w:style>
  <w:style w:type="paragraph" w:styleId="Quote">
    <w:name w:val="Quote"/>
    <w:basedOn w:val="Normal"/>
    <w:next w:val="Normal"/>
    <w:link w:val="CitaoChar1"/>
    <w:qFormat/>
    <w:rsid w:val="00497d25"/>
    <w:pPr>
      <w:shd w:val="clear" w:color="auto" w:fill="FFFFCC"/>
      <w:spacing w:before="120" w:after="0"/>
      <w:jc w:val="both"/>
    </w:pPr>
    <w:rPr>
      <w:rFonts w:eastAsia="Calibri" w:cs="Times New Roman"/>
      <w:i/>
      <w:iCs/>
      <w:color w:val="000000"/>
      <w:sz w:val="20"/>
    </w:rPr>
  </w:style>
  <w:style w:type="paragraph" w:styleId="Commarcadores51" w:customStyle="1">
    <w:name w:val="Com marcadores 51"/>
    <w:basedOn w:val="Normal"/>
    <w:qFormat/>
    <w:rsid w:val="00497d25"/>
    <w:pPr/>
    <w:rPr/>
  </w:style>
  <w:style w:type="paragraph" w:styleId="Citao2" w:customStyle="1">
    <w:name w:val="citação 2"/>
    <w:basedOn w:val="Quote"/>
    <w:qFormat/>
    <w:rsid w:val="00497d25"/>
    <w:pPr>
      <w:shd w:val="clear" w:fill="FFFFCC"/>
    </w:pPr>
    <w:rPr>
      <w:szCs w:val="20"/>
    </w:rPr>
  </w:style>
  <w:style w:type="paragraph" w:styleId="Cabealho">
    <w:name w:val="Header"/>
    <w:basedOn w:val="Normal"/>
    <w:link w:val="CabealhoChar1"/>
    <w:uiPriority w:val="99"/>
    <w:rsid w:val="00497d25"/>
    <w:pPr>
      <w:tabs>
        <w:tab w:val="clear" w:pos="708"/>
        <w:tab w:val="center" w:pos="4252" w:leader="none"/>
        <w:tab w:val="right" w:pos="8504" w:leader="none"/>
      </w:tabs>
    </w:pPr>
    <w:rPr>
      <w:rFonts w:cs="Times New Roman"/>
    </w:rPr>
  </w:style>
  <w:style w:type="paragraph" w:styleId="Rodap">
    <w:name w:val="Footer"/>
    <w:basedOn w:val="Normal"/>
    <w:link w:val="RodapChar1"/>
    <w:uiPriority w:val="99"/>
    <w:rsid w:val="00497d25"/>
    <w:pPr>
      <w:tabs>
        <w:tab w:val="clear" w:pos="708"/>
        <w:tab w:val="center" w:pos="4252" w:leader="none"/>
        <w:tab w:val="right" w:pos="8504" w:leader="none"/>
      </w:tabs>
    </w:pPr>
    <w:rPr>
      <w:rFonts w:cs="Times New Roman"/>
    </w:rPr>
  </w:style>
  <w:style w:type="paragraph" w:styleId="Corpodotextorecuado">
    <w:name w:val="Body Text Indent"/>
    <w:basedOn w:val="Normal"/>
    <w:link w:val="RecuodecorpodetextoChar1"/>
    <w:rsid w:val="00497d25"/>
    <w:pPr>
      <w:widowControl w:val="false"/>
      <w:ind w:left="45" w:hanging="0"/>
    </w:pPr>
    <w:rPr>
      <w:rFonts w:ascii="Times New Roman" w:hAnsi="Times New Roman" w:cs="Times New Roman"/>
      <w:sz w:val="22"/>
      <w:lang w:val="x-none"/>
    </w:rPr>
  </w:style>
  <w:style w:type="paragraph" w:styleId="Textoembloco2" w:customStyle="1">
    <w:name w:val="Texto em bloco2"/>
    <w:basedOn w:val="Normal"/>
    <w:qFormat/>
    <w:rsid w:val="00497d25"/>
    <w:pPr>
      <w:widowControl w:val="false"/>
      <w:ind w:left="-567" w:right="-801" w:firstLine="567"/>
      <w:jc w:val="both"/>
    </w:pPr>
    <w:rPr>
      <w:rFonts w:ascii="Times New Roman" w:hAnsi="Times New Roman" w:cs="Times New Roman"/>
      <w:sz w:val="20"/>
    </w:rPr>
  </w:style>
  <w:style w:type="paragraph" w:styleId="Textopadro" w:customStyle="1">
    <w:name w:val="Texto padrão"/>
    <w:basedOn w:val="Normal"/>
    <w:qFormat/>
    <w:rsid w:val="00497d25"/>
    <w:pPr/>
    <w:rPr>
      <w:rFonts w:ascii="Times New Roman" w:hAnsi="Times New Roman" w:cs="Times New Roman"/>
      <w:szCs w:val="20"/>
      <w:lang w:val="en-US"/>
    </w:rPr>
  </w:style>
  <w:style w:type="paragraph" w:styleId="Xl28" w:customStyle="1">
    <w:name w:val="xl28"/>
    <w:basedOn w:val="Normal"/>
    <w:qFormat/>
    <w:rsid w:val="00497d25"/>
    <w:pPr>
      <w:spacing w:before="280" w:after="280"/>
      <w:jc w:val="center"/>
    </w:pPr>
    <w:rPr>
      <w:rFonts w:ascii="Times New Roman" w:hAnsi="Times New Roman" w:cs="Times New Roman"/>
    </w:rPr>
  </w:style>
  <w:style w:type="paragraph" w:styleId="Ttulododocumento">
    <w:name w:val="Title"/>
    <w:basedOn w:val="Normal"/>
    <w:next w:val="Subttulo"/>
    <w:link w:val="TtuloChar1"/>
    <w:qFormat/>
    <w:rsid w:val="00497d25"/>
    <w:pPr>
      <w:jc w:val="center"/>
    </w:pPr>
    <w:rPr>
      <w:rFonts w:ascii="Times New Roman" w:hAnsi="Times New Roman" w:cs="Times New Roman"/>
      <w:b/>
      <w:u w:val="single"/>
      <w:lang w:val="x-none"/>
    </w:rPr>
  </w:style>
  <w:style w:type="paragraph" w:styleId="Subttulo">
    <w:name w:val="Subtitle"/>
    <w:basedOn w:val="Captulo"/>
    <w:next w:val="Corpodotexto"/>
    <w:link w:val="SubttuloChar1"/>
    <w:qFormat/>
    <w:rsid w:val="00497d25"/>
    <w:pPr>
      <w:jc w:val="center"/>
    </w:pPr>
    <w:rPr>
      <w:rFonts w:cs="Times New Roman"/>
      <w:i/>
      <w:iCs/>
      <w:lang w:val="x-none"/>
    </w:rPr>
  </w:style>
  <w:style w:type="paragraph" w:styleId="Reservado3" w:customStyle="1">
    <w:name w:val="reservado3"/>
    <w:basedOn w:val="Normal"/>
    <w:qFormat/>
    <w:rsid w:val="00497d25"/>
    <w:pPr>
      <w:widowControl w:val="false"/>
      <w:tabs>
        <w:tab w:val="clear" w:pos="708"/>
        <w:tab w:val="left" w:pos="0" w:leader="none"/>
        <w:tab w:val="left" w:pos="566" w:leader="none"/>
        <w:tab w:val="left" w:pos="1133" w:leader="none"/>
        <w:tab w:val="left" w:pos="1699" w:leader="none"/>
        <w:tab w:val="left" w:pos="2266" w:leader="none"/>
        <w:tab w:val="left" w:pos="2832" w:leader="none"/>
        <w:tab w:val="left" w:pos="3398" w:leader="none"/>
        <w:tab w:val="left" w:pos="3965" w:leader="none"/>
        <w:tab w:val="left" w:pos="4531" w:leader="none"/>
        <w:tab w:val="left" w:pos="5098" w:leader="none"/>
        <w:tab w:val="left" w:pos="5664" w:leader="none"/>
        <w:tab w:val="left" w:pos="6230" w:leader="none"/>
        <w:tab w:val="left" w:pos="6797" w:leader="none"/>
        <w:tab w:val="left" w:pos="7363" w:leader="none"/>
        <w:tab w:val="left" w:pos="7930" w:leader="none"/>
        <w:tab w:val="left" w:pos="8496" w:leader="none"/>
        <w:tab w:val="left" w:pos="9000" w:leader="none"/>
        <w:tab w:val="left" w:pos="9062" w:leader="none"/>
        <w:tab w:val="right" w:pos="9360" w:leader="none"/>
        <w:tab w:val="left" w:pos="9629" w:leader="none"/>
        <w:tab w:val="left" w:pos="10195" w:leader="none"/>
        <w:tab w:val="left" w:pos="10762" w:leader="none"/>
      </w:tabs>
      <w:jc w:val="both"/>
    </w:pPr>
    <w:rPr>
      <w:rFonts w:ascii="Arial" w:hAnsi="Arial" w:cs="Times New Roman"/>
      <w:spacing w:val="-3"/>
      <w:szCs w:val="20"/>
      <w:lang w:val="en-US"/>
    </w:rPr>
  </w:style>
  <w:style w:type="paragraph" w:styleId="Xl24" w:customStyle="1">
    <w:name w:val="xl24"/>
    <w:basedOn w:val="Normal"/>
    <w:qFormat/>
    <w:rsid w:val="00497d25"/>
    <w:pPr>
      <w:spacing w:before="280" w:after="280"/>
    </w:pPr>
    <w:rPr>
      <w:rFonts w:ascii="Arial" w:hAnsi="Arial" w:cs="Arial"/>
      <w:sz w:val="16"/>
      <w:szCs w:val="16"/>
    </w:rPr>
  </w:style>
  <w:style w:type="paragraph" w:styleId="Xl25" w:customStyle="1">
    <w:name w:val="xl25"/>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26" w:customStyle="1">
    <w:name w:val="xl26"/>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27" w:customStyle="1">
    <w:name w:val="xl27"/>
    <w:basedOn w:val="Normal"/>
    <w:qFormat/>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29" w:customStyle="1">
    <w:name w:val="xl29"/>
    <w:basedOn w:val="Normal"/>
    <w:qFormat/>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30" w:customStyle="1">
    <w:name w:val="xl30"/>
    <w:basedOn w:val="Normal"/>
    <w:qFormat/>
    <w:rsid w:val="00497d25"/>
    <w:pPr>
      <w:spacing w:before="280" w:after="280"/>
      <w:jc w:val="both"/>
    </w:pPr>
    <w:rPr>
      <w:rFonts w:ascii="Arial" w:hAnsi="Arial" w:cs="Arial"/>
      <w:sz w:val="16"/>
      <w:szCs w:val="16"/>
    </w:rPr>
  </w:style>
  <w:style w:type="paragraph" w:styleId="Xl31" w:customStyle="1">
    <w:name w:val="xl31"/>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styleId="Xl32" w:customStyle="1">
    <w:name w:val="xl32"/>
    <w:basedOn w:val="Normal"/>
    <w:qFormat/>
    <w:rsid w:val="00497d25"/>
    <w:pPr>
      <w:pBdr>
        <w:right w:val="single" w:sz="4" w:space="0" w:color="000000"/>
      </w:pBdr>
      <w:spacing w:before="280" w:after="280"/>
    </w:pPr>
    <w:rPr>
      <w:rFonts w:ascii="Arial" w:hAnsi="Arial" w:cs="Arial"/>
      <w:sz w:val="16"/>
      <w:szCs w:val="16"/>
    </w:rPr>
  </w:style>
  <w:style w:type="paragraph" w:styleId="Xl33" w:customStyle="1">
    <w:name w:val="xl33"/>
    <w:basedOn w:val="Normal"/>
    <w:qFormat/>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34" w:customStyle="1">
    <w:name w:val="xl34"/>
    <w:basedOn w:val="Normal"/>
    <w:qFormat/>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styleId="Xl35" w:customStyle="1">
    <w:name w:val="xl35"/>
    <w:basedOn w:val="Normal"/>
    <w:qFormat/>
    <w:rsid w:val="00497d25"/>
    <w:pPr>
      <w:pBdr>
        <w:bottom w:val="single" w:sz="4" w:space="0" w:color="000000"/>
        <w:right w:val="single" w:sz="4" w:space="0" w:color="000000"/>
      </w:pBdr>
      <w:spacing w:before="280" w:after="280"/>
    </w:pPr>
    <w:rPr>
      <w:rFonts w:ascii="Arial" w:hAnsi="Arial" w:cs="Arial"/>
      <w:sz w:val="16"/>
      <w:szCs w:val="16"/>
    </w:rPr>
  </w:style>
  <w:style w:type="paragraph" w:styleId="Xl36" w:customStyle="1">
    <w:name w:val="xl36"/>
    <w:basedOn w:val="Normal"/>
    <w:qFormat/>
    <w:rsid w:val="00497d25"/>
    <w:pPr>
      <w:spacing w:before="280" w:after="280"/>
      <w:jc w:val="center"/>
    </w:pPr>
    <w:rPr>
      <w:rFonts w:ascii="Arial" w:hAnsi="Arial" w:cs="Arial"/>
      <w:sz w:val="16"/>
      <w:szCs w:val="16"/>
    </w:rPr>
  </w:style>
  <w:style w:type="paragraph" w:styleId="Xl37" w:customStyle="1">
    <w:name w:val="xl37"/>
    <w:basedOn w:val="Normal"/>
    <w:qFormat/>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styleId="Xl38" w:customStyle="1">
    <w:name w:val="xl38"/>
    <w:basedOn w:val="Normal"/>
    <w:qFormat/>
    <w:rsid w:val="00497d25"/>
    <w:pPr>
      <w:spacing w:before="280" w:after="280"/>
    </w:pPr>
    <w:rPr>
      <w:rFonts w:ascii="Arial" w:hAnsi="Arial" w:cs="Arial"/>
      <w:sz w:val="16"/>
      <w:szCs w:val="16"/>
    </w:rPr>
  </w:style>
  <w:style w:type="paragraph" w:styleId="Xl39" w:customStyle="1">
    <w:name w:val="xl39"/>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styleId="Xl40" w:customStyle="1">
    <w:name w:val="xl40"/>
    <w:basedOn w:val="Normal"/>
    <w:qFormat/>
    <w:rsid w:val="00497d25"/>
    <w:pPr>
      <w:pBdr>
        <w:top w:val="single" w:sz="4" w:space="0" w:color="000000"/>
      </w:pBdr>
      <w:spacing w:before="280" w:after="280"/>
    </w:pPr>
    <w:rPr>
      <w:rFonts w:ascii="Arial" w:hAnsi="Arial" w:cs="Arial"/>
      <w:sz w:val="16"/>
      <w:szCs w:val="16"/>
    </w:rPr>
  </w:style>
  <w:style w:type="paragraph" w:styleId="Xl41" w:customStyle="1">
    <w:name w:val="xl41"/>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styleId="Xl42" w:customStyle="1">
    <w:name w:val="xl42"/>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3" w:customStyle="1">
    <w:name w:val="xl43"/>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styleId="Xl44" w:customStyle="1">
    <w:name w:val="xl44"/>
    <w:basedOn w:val="Normal"/>
    <w:qFormat/>
    <w:rsid w:val="00497d25"/>
    <w:pPr>
      <w:pBdr>
        <w:top w:val="single" w:sz="4" w:space="0" w:color="000000"/>
      </w:pBdr>
      <w:spacing w:before="280" w:after="280"/>
    </w:pPr>
    <w:rPr>
      <w:rFonts w:ascii="Arial" w:hAnsi="Arial" w:cs="Arial"/>
      <w:sz w:val="16"/>
      <w:szCs w:val="16"/>
    </w:rPr>
  </w:style>
  <w:style w:type="paragraph" w:styleId="Xl45" w:customStyle="1">
    <w:name w:val="xl45"/>
    <w:basedOn w:val="Normal"/>
    <w:qFormat/>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6" w:customStyle="1">
    <w:name w:val="xl46"/>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7" w:customStyle="1">
    <w:name w:val="xl47"/>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48" w:customStyle="1">
    <w:name w:val="xl48"/>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styleId="Xl49" w:customStyle="1">
    <w:name w:val="xl49"/>
    <w:basedOn w:val="Normal"/>
    <w:qFormat/>
    <w:rsid w:val="00497d25"/>
    <w:pPr>
      <w:pBdr>
        <w:top w:val="single" w:sz="4" w:space="0" w:color="000000"/>
        <w:left w:val="single" w:sz="4" w:space="0" w:color="000000"/>
      </w:pBdr>
      <w:spacing w:before="280" w:after="280"/>
      <w:jc w:val="center"/>
    </w:pPr>
    <w:rPr>
      <w:rFonts w:ascii="Arial" w:hAnsi="Arial" w:cs="Arial"/>
      <w:sz w:val="16"/>
      <w:szCs w:val="16"/>
    </w:rPr>
  </w:style>
  <w:style w:type="paragraph" w:styleId="Xl50" w:customStyle="1">
    <w:name w:val="xl50"/>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styleId="Xl51" w:customStyle="1">
    <w:name w:val="xl51"/>
    <w:basedOn w:val="Normal"/>
    <w:qFormat/>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styleId="Legenda1" w:customStyle="1">
    <w:name w:val="Legenda1"/>
    <w:basedOn w:val="Normal"/>
    <w:next w:val="Normal"/>
    <w:qFormat/>
    <w:rsid w:val="00497d25"/>
    <w:pPr>
      <w:jc w:val="center"/>
    </w:pPr>
    <w:rPr>
      <w:rFonts w:ascii="NewZurica" w:hAnsi="NewZurica" w:cs="Times New Roman"/>
      <w:szCs w:val="20"/>
    </w:rPr>
  </w:style>
  <w:style w:type="paragraph" w:styleId="Textoembloco1" w:customStyle="1">
    <w:name w:val="Texto em bloco1"/>
    <w:basedOn w:val="Normal"/>
    <w:qFormat/>
    <w:rsid w:val="00497d25"/>
    <w:pPr>
      <w:widowControl w:val="false"/>
      <w:ind w:left="-567" w:right="-801" w:firstLine="567"/>
      <w:jc w:val="both"/>
    </w:pPr>
    <w:rPr>
      <w:rFonts w:ascii="Times New Roman" w:hAnsi="Times New Roman" w:cs="Times New Roman"/>
      <w:sz w:val="20"/>
    </w:rPr>
  </w:style>
  <w:style w:type="paragraph" w:styleId="Contedodatabela" w:customStyle="1">
    <w:name w:val="Conteúdo da tabela"/>
    <w:basedOn w:val="Normal"/>
    <w:qFormat/>
    <w:rsid w:val="00497d25"/>
    <w:pPr>
      <w:suppressLineNumbers/>
    </w:pPr>
    <w:rPr>
      <w:rFonts w:ascii="Times New Roman" w:hAnsi="Times New Roman" w:cs="Times New Roman"/>
    </w:rPr>
  </w:style>
  <w:style w:type="paragraph" w:styleId="Ttulodatabela" w:customStyle="1">
    <w:name w:val="Título da tabela"/>
    <w:basedOn w:val="Contedodatabela"/>
    <w:qFormat/>
    <w:rsid w:val="00497d25"/>
    <w:pPr>
      <w:jc w:val="center"/>
    </w:pPr>
    <w:rPr>
      <w:b/>
      <w:bCs/>
    </w:rPr>
  </w:style>
  <w:style w:type="paragraph" w:styleId="Recuodecorpodetexto31" w:customStyle="1">
    <w:name w:val="Recuo de corpo de texto 31"/>
    <w:basedOn w:val="Normal"/>
    <w:qFormat/>
    <w:rsid w:val="00497d25"/>
    <w:pPr>
      <w:spacing w:before="0" w:after="120"/>
      <w:ind w:left="283" w:hanging="0"/>
    </w:pPr>
    <w:rPr>
      <w:rFonts w:ascii="Times New Roman" w:hAnsi="Times New Roman" w:cs="Times New Roman"/>
      <w:sz w:val="16"/>
      <w:szCs w:val="16"/>
    </w:rPr>
  </w:style>
  <w:style w:type="paragraph" w:styleId="Corpodetexto31" w:customStyle="1">
    <w:name w:val="Corpo de texto 31"/>
    <w:basedOn w:val="Normal"/>
    <w:qFormat/>
    <w:rsid w:val="00497d25"/>
    <w:pPr>
      <w:spacing w:before="0" w:after="120"/>
    </w:pPr>
    <w:rPr>
      <w:rFonts w:ascii="Times New Roman" w:hAnsi="Times New Roman" w:cs="Times New Roman"/>
      <w:sz w:val="16"/>
      <w:szCs w:val="16"/>
    </w:rPr>
  </w:style>
  <w:style w:type="paragraph" w:styleId="Ttulo31" w:customStyle="1">
    <w:name w:val="Título3"/>
    <w:basedOn w:val="Normal"/>
    <w:next w:val="Normal"/>
    <w:qFormat/>
    <w:rsid w:val="00497d25"/>
    <w:pPr>
      <w:tabs>
        <w:tab w:val="clear" w:pos="708"/>
        <w:tab w:val="left" w:pos="720" w:leader="none"/>
      </w:tabs>
      <w:spacing w:before="240" w:after="480"/>
      <w:jc w:val="both"/>
    </w:pPr>
    <w:rPr>
      <w:rFonts w:ascii="Arial" w:hAnsi="Arial" w:cs="Times New Roman"/>
      <w:b/>
      <w:caps/>
      <w:szCs w:val="20"/>
      <w:lang w:val="pt-PT"/>
    </w:rPr>
  </w:style>
  <w:style w:type="paragraph" w:styleId="Recuodecorpodetexto21" w:customStyle="1">
    <w:name w:val="Recuo de corpo de texto 21"/>
    <w:basedOn w:val="Normal"/>
    <w:qFormat/>
    <w:rsid w:val="00497d25"/>
    <w:pPr>
      <w:spacing w:lineRule="auto" w:line="480" w:before="0" w:after="120"/>
      <w:ind w:left="283" w:hanging="0"/>
    </w:pPr>
    <w:rPr>
      <w:rFonts w:ascii="Times New Roman" w:hAnsi="Times New Roman" w:cs="Times New Roman"/>
    </w:rPr>
  </w:style>
  <w:style w:type="paragraph" w:styleId="NoSpacing">
    <w:name w:val="No Spacing"/>
    <w:qFormat/>
    <w:rsid w:val="00497d25"/>
    <w:pPr>
      <w:widowControl/>
      <w:suppressAutoHyphens w:val="true"/>
      <w:bidi w:val="0"/>
      <w:spacing w:lineRule="auto" w:line="240" w:before="0" w:after="0"/>
      <w:jc w:val="left"/>
    </w:pPr>
    <w:rPr>
      <w:rFonts w:ascii="Calibri" w:hAnsi="Calibri" w:eastAsia="Arial" w:cs="Times New Roman" w:asciiTheme="minorHAnsi" w:hAnsiTheme="minorHAnsi"/>
      <w:color w:val="auto"/>
      <w:kern w:val="0"/>
      <w:sz w:val="24"/>
      <w:szCs w:val="22"/>
      <w:lang w:val="pt-BR" w:eastAsia="ar-SA" w:bidi="ar-SA"/>
    </w:rPr>
  </w:style>
  <w:style w:type="paragraph" w:styleId="Default" w:customStyle="1">
    <w:name w:val="Default"/>
    <w:qFormat/>
    <w:rsid w:val="00497d25"/>
    <w:pPr>
      <w:widowControl w:val="false"/>
      <w:suppressAutoHyphens w:val="true"/>
      <w:bidi w:val="0"/>
      <w:spacing w:lineRule="auto" w:line="240" w:before="0" w:after="0"/>
      <w:jc w:val="left"/>
    </w:pPr>
    <w:rPr>
      <w:rFonts w:ascii="Arial" w:hAnsi="Arial" w:eastAsia="Arial" w:cs="Arial"/>
      <w:color w:val="000000"/>
      <w:kern w:val="0"/>
      <w:sz w:val="24"/>
      <w:szCs w:val="24"/>
      <w:lang w:val="pt-BR" w:eastAsia="ar-SA" w:bidi="ar-SA"/>
    </w:rPr>
  </w:style>
  <w:style w:type="paragraph" w:styleId="Corpodetexto32" w:customStyle="1">
    <w:name w:val="Corpo de texto 32"/>
    <w:basedOn w:val="Normal"/>
    <w:qFormat/>
    <w:rsid w:val="00497d25"/>
    <w:pPr>
      <w:spacing w:before="0" w:after="120"/>
    </w:pPr>
    <w:rPr>
      <w:rFonts w:ascii="Times New Roman" w:hAnsi="Times New Roman" w:cs="Times New Roman"/>
      <w:sz w:val="16"/>
      <w:szCs w:val="16"/>
    </w:rPr>
  </w:style>
  <w:style w:type="paragraph" w:styleId="Xl68" w:customStyle="1">
    <w:name w:val="xl68"/>
    <w:basedOn w:val="Normal"/>
    <w:qFormat/>
    <w:rsid w:val="00497d25"/>
    <w:pPr>
      <w:suppressAutoHyphens w:val="false"/>
      <w:spacing w:beforeAutospacing="1" w:afterAutospacing="1"/>
    </w:pPr>
    <w:rPr>
      <w:rFonts w:ascii="Arial" w:hAnsi="Arial" w:cs="Arial"/>
      <w:lang w:eastAsia="pt-BR"/>
    </w:rPr>
  </w:style>
  <w:style w:type="paragraph" w:styleId="Xl69" w:customStyle="1">
    <w:name w:val="xl69"/>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0" w:customStyle="1">
    <w:name w:val="xl70"/>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71" w:customStyle="1">
    <w:name w:val="xl71"/>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72" w:customStyle="1">
    <w:name w:val="xl72"/>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73" w:customStyle="1">
    <w:name w:val="xl73"/>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74" w:customStyle="1">
    <w:name w:val="xl74"/>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both"/>
    </w:pPr>
    <w:rPr>
      <w:rFonts w:ascii="Arial" w:hAnsi="Arial" w:cs="Arial"/>
      <w:color w:val="000000"/>
      <w:sz w:val="16"/>
      <w:szCs w:val="16"/>
      <w:lang w:eastAsia="pt-BR"/>
    </w:rPr>
  </w:style>
  <w:style w:type="paragraph" w:styleId="Xl75" w:customStyle="1">
    <w:name w:val="xl75"/>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76" w:customStyle="1">
    <w:name w:val="xl76"/>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7" w:customStyle="1">
    <w:name w:val="xl77"/>
    <w:basedOn w:val="Normal"/>
    <w:qFormat/>
    <w:rsid w:val="00497d25"/>
    <w:pPr>
      <w:pBdr>
        <w:top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8" w:customStyle="1">
    <w:name w:val="xl78"/>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9" w:customStyle="1">
    <w:name w:val="xl79"/>
    <w:basedOn w:val="Normal"/>
    <w:qFormat/>
    <w:rsid w:val="00497d25"/>
    <w:pPr>
      <w:suppressAutoHyphens w:val="false"/>
      <w:spacing w:beforeAutospacing="1" w:afterAutospacing="1"/>
    </w:pPr>
    <w:rPr>
      <w:rFonts w:ascii="Arial" w:hAnsi="Arial" w:cs="Arial"/>
      <w:lang w:eastAsia="pt-BR"/>
    </w:rPr>
  </w:style>
  <w:style w:type="paragraph" w:styleId="Xl80" w:customStyle="1">
    <w:name w:val="xl80"/>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81" w:customStyle="1">
    <w:name w:val="xl81"/>
    <w:basedOn w:val="Normal"/>
    <w:qFormat/>
    <w:rsid w:val="00497d25"/>
    <w:pPr>
      <w:pBdr>
        <w:top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2" w:customStyle="1">
    <w:name w:val="xl82"/>
    <w:basedOn w:val="Normal"/>
    <w:qFormat/>
    <w:rsid w:val="00497d25"/>
    <w:pPr>
      <w:pBdr>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83" w:customStyle="1">
    <w:name w:val="xl83"/>
    <w:basedOn w:val="Normal"/>
    <w:qFormat/>
    <w:rsid w:val="00497d25"/>
    <w:pPr>
      <w:pBdr>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84" w:customStyle="1">
    <w:name w:val="xl84"/>
    <w:basedOn w:val="Normal"/>
    <w:qFormat/>
    <w:rsid w:val="00497d25"/>
    <w:pPr>
      <w:pBdr>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5" w:customStyle="1">
    <w:name w:val="xl85"/>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right"/>
    </w:pPr>
    <w:rPr>
      <w:rFonts w:ascii="Arial" w:hAnsi="Arial" w:cs="Arial"/>
      <w:sz w:val="16"/>
      <w:szCs w:val="16"/>
      <w:lang w:eastAsia="pt-BR"/>
    </w:rPr>
  </w:style>
  <w:style w:type="paragraph" w:styleId="Xl86" w:customStyle="1">
    <w:name w:val="xl86"/>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sz w:val="16"/>
      <w:szCs w:val="16"/>
      <w:lang w:eastAsia="pt-BR"/>
    </w:rPr>
  </w:style>
  <w:style w:type="paragraph" w:styleId="Xl87" w:customStyle="1">
    <w:name w:val="xl87"/>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8" w:customStyle="1">
    <w:name w:val="xl88"/>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sz w:val="16"/>
      <w:szCs w:val="16"/>
      <w:lang w:eastAsia="pt-BR"/>
    </w:rPr>
  </w:style>
  <w:style w:type="paragraph" w:styleId="Xl89" w:customStyle="1">
    <w:name w:val="xl89"/>
    <w:basedOn w:val="Normal"/>
    <w:qFormat/>
    <w:rsid w:val="00497d25"/>
    <w:pPr>
      <w:pBdr>
        <w:top w:val="single" w:sz="4" w:space="0" w:color="000000"/>
        <w:bottom w:val="single" w:sz="4" w:space="0" w:color="000000"/>
      </w:pBdr>
      <w:suppressAutoHyphens w:val="false"/>
      <w:spacing w:beforeAutospacing="1" w:afterAutospacing="1"/>
    </w:pPr>
    <w:rPr>
      <w:rFonts w:ascii="Arial" w:hAnsi="Arial" w:cs="Arial"/>
      <w:sz w:val="16"/>
      <w:szCs w:val="16"/>
      <w:lang w:eastAsia="pt-BR"/>
    </w:rPr>
  </w:style>
  <w:style w:type="paragraph" w:styleId="Xl90" w:customStyle="1">
    <w:name w:val="xl90"/>
    <w:basedOn w:val="Normal"/>
    <w:qFormat/>
    <w:rsid w:val="00497d25"/>
    <w:pPr>
      <w:pBdr>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91" w:customStyle="1">
    <w:name w:val="xl91"/>
    <w:basedOn w:val="Normal"/>
    <w:qFormat/>
    <w:rsid w:val="00497d25"/>
    <w:pPr>
      <w:pBdr>
        <w:top w:val="single" w:sz="4" w:space="0" w:color="000000"/>
        <w:bottom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92" w:customStyle="1">
    <w:name w:val="xl92"/>
    <w:basedOn w:val="Normal"/>
    <w:qFormat/>
    <w:rsid w:val="00497d25"/>
    <w:pPr>
      <w:pBdr>
        <w:top w:val="single" w:sz="4" w:space="0" w:color="000000"/>
        <w:left w:val="single" w:sz="4" w:space="0" w:color="000000"/>
        <w:bottom w:val="single" w:sz="4" w:space="0" w:color="000000"/>
      </w:pBdr>
      <w:suppressAutoHyphens w:val="false"/>
      <w:spacing w:beforeAutospacing="1" w:afterAutospacing="1"/>
    </w:pPr>
    <w:rPr>
      <w:rFonts w:ascii="Arial" w:hAnsi="Arial" w:cs="Arial"/>
      <w:sz w:val="16"/>
      <w:szCs w:val="16"/>
      <w:lang w:eastAsia="pt-BR"/>
    </w:rPr>
  </w:style>
  <w:style w:type="paragraph" w:styleId="Xl93" w:customStyle="1">
    <w:name w:val="xl93"/>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94" w:customStyle="1">
    <w:name w:val="xl94"/>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sz w:val="16"/>
      <w:szCs w:val="16"/>
      <w:lang w:eastAsia="pt-BR"/>
    </w:rPr>
  </w:style>
  <w:style w:type="paragraph" w:styleId="ListBullet5">
    <w:name w:val="List Bullet 5"/>
    <w:basedOn w:val="Normal"/>
    <w:qFormat/>
    <w:rsid w:val="00497d25"/>
    <w:pPr>
      <w:suppressAutoHyphens w:val="false"/>
      <w:spacing w:before="0" w:after="0"/>
      <w:contextualSpacing/>
    </w:pPr>
    <w:rPr>
      <w:lang w:eastAsia="pt-BR"/>
    </w:rPr>
  </w:style>
  <w:style w:type="paragraph" w:styleId="Nivel01" w:customStyle="1">
    <w:name w:val="Nivel 01"/>
    <w:basedOn w:val="Ttulo1"/>
    <w:next w:val="Normal"/>
    <w:link w:val="Nivel01Char"/>
    <w:qFormat/>
    <w:rsid w:val="00497d25"/>
    <w:pPr>
      <w:keepLines/>
      <w:tabs>
        <w:tab w:val="clear" w:pos="708"/>
        <w:tab w:val="left" w:pos="567" w:leader="none"/>
      </w:tabs>
      <w:suppressAutoHyphens w:val="false"/>
      <w:spacing w:before="240" w:after="0"/>
      <w:ind w:left="360" w:hanging="360"/>
      <w:jc w:val="both"/>
    </w:pPr>
    <w:rPr>
      <w:rFonts w:ascii="Ecofont_Spranq_eco_Sans" w:hAnsi="Ecofont_Spranq_eco_Sans" w:eastAsia="MS Gothic"/>
      <w:color w:val="000000"/>
      <w:kern w:val="0"/>
      <w:sz w:val="20"/>
      <w:szCs w:val="20"/>
      <w:lang w:eastAsia="pt-BR"/>
    </w:rPr>
  </w:style>
  <w:style w:type="paragraph" w:styleId="PADRO" w:customStyle="1">
    <w:name w:val="PADRÃO"/>
    <w:qFormat/>
    <w:rsid w:val="00497d25"/>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Nivel1" w:customStyle="1">
    <w:name w:val="Nivel1"/>
    <w:basedOn w:val="Ttulo1"/>
    <w:next w:val="Normal"/>
    <w:link w:val="Nivel1Char"/>
    <w:qFormat/>
    <w:rsid w:val="00497d25"/>
    <w:pPr>
      <w:keepLines/>
      <w:tabs>
        <w:tab w:val="clear" w:pos="708"/>
        <w:tab w:val="left" w:pos="0" w:leader="none"/>
      </w:tabs>
      <w:suppressAutoHyphens w:val="false"/>
      <w:spacing w:lineRule="auto" w:line="276" w:before="480" w:after="120"/>
      <w:ind w:left="588" w:hanging="360"/>
      <w:jc w:val="both"/>
    </w:pPr>
    <w:rPr>
      <w:rFonts w:ascii="Arial" w:hAnsi="Arial" w:cs="Arial"/>
      <w:bCs w:val="false"/>
      <w:color w:val="000000"/>
      <w:kern w:val="0"/>
      <w:sz w:val="20"/>
      <w:szCs w:val="20"/>
      <w:lang w:eastAsia="pt-BR"/>
    </w:rPr>
  </w:style>
  <w:style w:type="paragraph" w:styleId="PargrafodaLista1" w:customStyle="1">
    <w:name w:val="Parágrafo da Lista1"/>
    <w:basedOn w:val="Normal"/>
    <w:qFormat/>
    <w:rsid w:val="00497d25"/>
    <w:pPr>
      <w:suppressAutoHyphens w:val="false"/>
      <w:ind w:left="720" w:hanging="0"/>
    </w:pPr>
    <w:rPr>
      <w:rFonts w:cs="Ecofont_Spranq_eco_Sans"/>
      <w:lang w:eastAsia="pt-BR"/>
    </w:rPr>
  </w:style>
  <w:style w:type="paragraph" w:styleId="Nivel2" w:customStyle="1">
    <w:name w:val="Nivel 2"/>
    <w:link w:val="Nivel2Char"/>
    <w:qFormat/>
    <w:rsid w:val="00497d25"/>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497d25"/>
    <w:pPr>
      <w:tabs>
        <w:tab w:val="clear" w:pos="708"/>
        <w:tab w:val="left" w:pos="0" w:leader="none"/>
        <w:tab w:val="left" w:pos="360" w:leader="none"/>
      </w:tabs>
      <w:ind w:left="644" w:hanging="432"/>
    </w:pPr>
    <w:rPr>
      <w:rFonts w:cs="Arial"/>
      <w:b/>
    </w:rPr>
  </w:style>
  <w:style w:type="paragraph" w:styleId="Nivel3" w:customStyle="1">
    <w:name w:val="Nivel 3"/>
    <w:basedOn w:val="Nivel2"/>
    <w:qFormat/>
    <w:rsid w:val="00497d25"/>
    <w:pPr>
      <w:tabs>
        <w:tab w:val="clear" w:pos="708"/>
        <w:tab w:val="left" w:pos="0" w:leader="none"/>
        <w:tab w:val="left" w:pos="360" w:leader="none"/>
      </w:tabs>
      <w:ind w:left="1922" w:hanging="360"/>
    </w:pPr>
    <w:rPr>
      <w:rFonts w:cs="Arial"/>
      <w:color w:val="000000"/>
    </w:rPr>
  </w:style>
  <w:style w:type="paragraph" w:styleId="Nivel4" w:customStyle="1">
    <w:name w:val="Nivel 4"/>
    <w:basedOn w:val="Nivel3"/>
    <w:qFormat/>
    <w:rsid w:val="00497d25"/>
    <w:pPr>
      <w:tabs>
        <w:tab w:val="left" w:pos="0" w:leader="none"/>
        <w:tab w:val="left" w:pos="360" w:leader="none"/>
      </w:tabs>
      <w:ind w:left="2491" w:hanging="360"/>
    </w:pPr>
    <w:rPr>
      <w:color w:val="auto"/>
    </w:rPr>
  </w:style>
  <w:style w:type="paragraph" w:styleId="Nivel5" w:customStyle="1">
    <w:name w:val="Nivel 5"/>
    <w:basedOn w:val="Nivel4"/>
    <w:qFormat/>
    <w:rsid w:val="00497d25"/>
    <w:pPr>
      <w:tabs>
        <w:tab w:val="left" w:pos="0" w:leader="none"/>
        <w:tab w:val="left" w:pos="360" w:leader="none"/>
      </w:tabs>
      <w:ind w:left="3485" w:hanging="360"/>
    </w:pPr>
    <w:rPr/>
  </w:style>
  <w:style w:type="paragraph" w:styleId="Citao1" w:customStyle="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false"/>
      <w:spacing w:before="120" w:after="0"/>
      <w:jc w:val="both"/>
    </w:pPr>
    <w:rPr>
      <w:rFonts w:cs="Ecofont_Spranq_eco_Sans"/>
      <w:i/>
      <w:iCs/>
      <w:color w:val="000000"/>
      <w:shd w:fill="FFFFCC" w:val="clear"/>
      <w:lang w:eastAsia="en-US"/>
    </w:rPr>
  </w:style>
  <w:style w:type="paragraph" w:styleId="Xxmsonormal" w:customStyle="1">
    <w:name w:val="x_x_msonormal"/>
    <w:basedOn w:val="Normal"/>
    <w:qFormat/>
    <w:rsid w:val="00497d25"/>
    <w:pPr>
      <w:suppressAutoHyphens w:val="false"/>
      <w:spacing w:beforeAutospacing="1" w:afterAutospacing="1"/>
    </w:pPr>
    <w:rPr>
      <w:rFonts w:ascii="Times New Roman" w:hAnsi="Times New Roman" w:cs="Times New Roman"/>
      <w:lang w:eastAsia="pt-BR"/>
    </w:rPr>
  </w:style>
  <w:style w:type="paragraph" w:styleId="Xxtextopadro" w:customStyle="1">
    <w:name w:val="x_x_textopadro"/>
    <w:basedOn w:val="Normal"/>
    <w:qFormat/>
    <w:rsid w:val="00497d25"/>
    <w:pPr>
      <w:suppressAutoHyphens w:val="false"/>
      <w:spacing w:beforeAutospacing="1" w:afterAutospacing="1"/>
    </w:pPr>
    <w:rPr>
      <w:rFonts w:ascii="Times New Roman" w:hAnsi="Times New Roman" w:cs="Times New Roman"/>
      <w:lang w:eastAsia="pt-BR"/>
    </w:rPr>
  </w:style>
  <w:style w:type="paragraph" w:styleId="Standard" w:customStyle="1">
    <w:name w:val="Standard"/>
    <w:qFormat/>
    <w:rsid w:val="00bd0401"/>
    <w:pPr>
      <w:widowControl w:val="false"/>
      <w:suppressAutoHyphens w:val="true"/>
      <w:bidi w:val="0"/>
      <w:spacing w:lineRule="auto" w:line="240" w:before="0" w:after="0"/>
      <w:jc w:val="left"/>
      <w:textAlignment w:val="baseline"/>
    </w:pPr>
    <w:rPr>
      <w:rFonts w:ascii="Calibri" w:hAnsi="Calibri" w:eastAsia="Arial" w:cs="Tahoma"/>
      <w:color w:val="000000"/>
      <w:kern w:val="2"/>
      <w:sz w:val="24"/>
      <w:szCs w:val="24"/>
      <w:lang w:val="en-US" w:eastAsia="pt-BR" w:bidi="hi-IN"/>
    </w:rPr>
  </w:style>
  <w:style w:type="numbering" w:styleId="NoList" w:default="1">
    <w:name w:val="No List"/>
    <w:uiPriority w:val="99"/>
    <w:semiHidden/>
    <w:unhideWhenUsed/>
    <w:qFormat/>
  </w:style>
  <w:style w:type="numbering" w:styleId="Estilo1" w:customStyle="1">
    <w:name w:val="Estilo1"/>
    <w:uiPriority w:val="99"/>
    <w:qFormat/>
    <w:rsid w:val="00497d25"/>
  </w:style>
  <w:style w:type="numbering" w:styleId="Estilo2" w:customStyle="1">
    <w:name w:val="Estilo2"/>
    <w:uiPriority w:val="99"/>
    <w:qFormat/>
    <w:rsid w:val="00497d25"/>
  </w:style>
  <w:style w:type="numbering" w:styleId="Estilo3" w:customStyle="1">
    <w:name w:val="Estilo3"/>
    <w:uiPriority w:val="99"/>
    <w:qFormat/>
    <w:rsid w:val="00497d25"/>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497d25"/>
    <w:pPr>
      <w:spacing w:after="0"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hyperlink" Target="http://www.comprasnet.gov.br/"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Application>LibreOffice/6.2.5.2$Windows_x86 LibreOffice_project/1ec314fa52f458adc18c4f025c545a4e8b22c159</Application>
  <Pages>12</Pages>
  <Words>4169</Words>
  <Characters>23590</Characters>
  <CharactersWithSpaces>27582</CharactersWithSpaces>
  <Paragraphs>193</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2023-09-06T19:23:00Z</dcterms:created>
  <dc:creator>S Ten Ary</dc:creator>
  <dc:description/>
  <dc:language>pt-BR</dc:language>
  <cp:lastModifiedBy/>
  <dcterms:modified xsi:type="dcterms:W3CDTF">2023-10-26T10:42:30Z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