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ind w:right="-15"/>
        <w:jc w:val="center"/>
        <w:rPr>
          <w:b/>
          <w:color w:val="000000"/>
        </w:rPr>
      </w:pPr>
      <w:bookmarkStart w:id="0" w:name="_heading=h.gjdgxs"/>
      <w:bookmarkEnd w:id="0"/>
      <w:r>
        <w:rPr/>
        <w:drawing>
          <wp:inline distT="0" distB="0" distL="0" distR="0">
            <wp:extent cx="942340" cy="774700"/>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tretch>
                      <a:fillRect/>
                    </a:stretch>
                  </pic:blipFill>
                  <pic:spPr bwMode="auto">
                    <a:xfrm>
                      <a:off x="0" y="0"/>
                      <a:ext cx="942340" cy="774700"/>
                    </a:xfrm>
                    <a:prstGeom prst="rect">
                      <a:avLst/>
                    </a:prstGeom>
                  </pic:spPr>
                </pic:pic>
              </a:graphicData>
            </a:graphic>
          </wp:inline>
        </w:drawing>
      </w:r>
    </w:p>
    <w:p>
      <w:pPr>
        <w:pStyle w:val="Normal"/>
        <w:spacing w:before="0" w:after="0"/>
        <w:jc w:val="center"/>
        <w:rPr>
          <w:b/>
          <w:sz w:val="20"/>
          <w:szCs w:val="20"/>
        </w:rPr>
      </w:pPr>
      <w:r>
        <w:rPr>
          <w:b/>
          <w:sz w:val="20"/>
          <w:szCs w:val="20"/>
        </w:rPr>
        <w:t>MINISTÉRIO DA DEFESA</w:t>
      </w:r>
    </w:p>
    <w:p>
      <w:pPr>
        <w:pStyle w:val="Normal"/>
        <w:spacing w:before="0" w:after="0"/>
        <w:jc w:val="center"/>
        <w:rPr>
          <w:b/>
          <w:sz w:val="20"/>
          <w:szCs w:val="20"/>
        </w:rPr>
      </w:pPr>
      <w:r>
        <w:rPr>
          <w:b/>
          <w:sz w:val="20"/>
          <w:szCs w:val="20"/>
        </w:rPr>
        <w:t>EXÉRCITO BRASILEIRO</w:t>
      </w:r>
    </w:p>
    <w:p>
      <w:pPr>
        <w:pStyle w:val="Normal"/>
        <w:spacing w:before="0" w:after="0"/>
        <w:ind w:right="-15"/>
        <w:jc w:val="center"/>
        <w:rPr>
          <w:b/>
          <w:sz w:val="20"/>
          <w:szCs w:val="20"/>
        </w:rPr>
      </w:pPr>
      <w:r>
        <w:rPr>
          <w:b/>
          <w:sz w:val="20"/>
          <w:szCs w:val="20"/>
        </w:rPr>
        <w:t>3º ESQUADRÃO DE CAVALARIA MECANIZADO</w:t>
      </w:r>
    </w:p>
    <w:p>
      <w:pPr>
        <w:pStyle w:val="Normal"/>
        <w:spacing w:before="0" w:after="0"/>
        <w:jc w:val="center"/>
        <w:rPr>
          <w:b/>
          <w:sz w:val="20"/>
          <w:szCs w:val="20"/>
        </w:rPr>
      </w:pPr>
      <w:r>
        <w:rPr>
          <w:b/>
          <w:sz w:val="20"/>
          <w:szCs w:val="20"/>
        </w:rPr>
        <w:t>(1°ESQD IND REC MEC/1963)</w:t>
      </w:r>
    </w:p>
    <w:p>
      <w:pPr>
        <w:pStyle w:val="Normal"/>
        <w:spacing w:before="0" w:after="0"/>
        <w:jc w:val="center"/>
        <w:rPr>
          <w:b/>
          <w:sz w:val="20"/>
          <w:szCs w:val="20"/>
        </w:rPr>
      </w:pPr>
      <w:r>
        <w:rPr>
          <w:b/>
          <w:sz w:val="20"/>
          <w:szCs w:val="20"/>
        </w:rPr>
        <w:t>ESQUADRÃO GENERAL LUCIANO PHAELANTE CASALES</w:t>
      </w:r>
    </w:p>
    <w:p>
      <w:pPr>
        <w:pStyle w:val="Normal"/>
        <w:spacing w:lineRule="auto" w:line="276" w:before="0" w:after="0"/>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spacing w:lineRule="auto" w:line="276" w:before="0" w:after="0"/>
        <w:jc w:val="center"/>
        <w:rPr>
          <w:rFonts w:ascii="Arial" w:hAnsi="Arial" w:eastAsia="Arial" w:cs="Arial"/>
          <w:b/>
          <w:color w:val="000000"/>
          <w:sz w:val="20"/>
          <w:szCs w:val="20"/>
        </w:rPr>
      </w:pPr>
      <w:r>
        <w:rPr>
          <w:rFonts w:eastAsia="Arial" w:cs="Arial" w:ascii="Arial" w:hAnsi="Arial"/>
          <w:b/>
          <w:color w:val="000000"/>
          <w:sz w:val="20"/>
          <w:szCs w:val="20"/>
        </w:rPr>
      </w:r>
    </w:p>
    <w:p>
      <w:pPr>
        <w:pStyle w:val="Normal"/>
        <w:spacing w:lineRule="auto" w:line="276" w:before="0" w:after="0"/>
        <w:jc w:val="center"/>
        <w:rPr>
          <w:rFonts w:ascii="Arial" w:hAnsi="Arial" w:eastAsia="Arial" w:cs="Arial"/>
          <w:b/>
          <w:color w:val="000000"/>
          <w:sz w:val="20"/>
          <w:szCs w:val="20"/>
        </w:rPr>
      </w:pPr>
      <w:r>
        <w:rPr>
          <w:rFonts w:eastAsia="Arial" w:cs="Arial" w:ascii="Arial" w:hAnsi="Arial"/>
          <w:b/>
          <w:color w:val="000000"/>
          <w:sz w:val="20"/>
          <w:szCs w:val="20"/>
        </w:rPr>
        <w:t>COMPRAS – CONTRATAÇÃO DIRETA</w:t>
      </w:r>
    </w:p>
    <w:p>
      <w:pPr>
        <w:pStyle w:val="Normal"/>
        <w:spacing w:lineRule="auto" w:line="276" w:before="0" w:after="0"/>
        <w:jc w:val="center"/>
        <w:rPr>
          <w:rFonts w:ascii="Arial" w:hAnsi="Arial" w:eastAsia="Arial" w:cs="Arial"/>
          <w:b/>
          <w:i/>
          <w:i/>
          <w:color w:val="FF0000"/>
          <w:sz w:val="20"/>
          <w:szCs w:val="20"/>
        </w:rPr>
      </w:pPr>
      <w:r>
        <w:rPr>
          <w:rFonts w:eastAsia="Arial" w:cs="Arial" w:ascii="Arial" w:hAnsi="Arial"/>
          <w:b/>
          <w:color w:val="000000"/>
          <w:sz w:val="20"/>
          <w:szCs w:val="20"/>
        </w:rPr>
        <w:t xml:space="preserve">Processo Administrativo nº </w:t>
      </w:r>
      <w:r>
        <w:rPr>
          <w:rFonts w:eastAsia="Arial" w:cs="Arial" w:ascii="Arial" w:hAnsi="Arial"/>
          <w:b/>
          <w:i/>
          <w:color w:val="000000"/>
          <w:sz w:val="20"/>
          <w:szCs w:val="20"/>
        </w:rPr>
        <w:t>65341.002637/2023-10</w:t>
      </w:r>
    </w:p>
    <w:p>
      <w:pPr>
        <w:pStyle w:val="Normal"/>
        <w:spacing w:lineRule="auto" w:line="276" w:before="0" w:after="0"/>
        <w:jc w:val="center"/>
        <w:rPr>
          <w:rFonts w:ascii="Arial" w:hAnsi="Arial" w:eastAsia="Arial" w:cs="Arial"/>
          <w:b/>
          <w:i/>
          <w:i/>
          <w:color w:val="FF0000"/>
          <w:sz w:val="20"/>
          <w:szCs w:val="20"/>
        </w:rPr>
      </w:pPr>
      <w:r>
        <w:rPr>
          <w:rFonts w:eastAsia="Arial" w:cs="Arial" w:ascii="Arial" w:hAnsi="Arial"/>
          <w:b/>
          <w:i/>
          <w:color w:val="FF0000"/>
          <w:sz w:val="20"/>
          <w:szCs w:val="20"/>
        </w:rPr>
      </w:r>
    </w:p>
    <w:p>
      <w:pPr>
        <w:pStyle w:val="Normal"/>
        <w:rPr/>
      </w:pPr>
      <w:r>
        <w:rPr/>
      </w:r>
      <w:bookmarkStart w:id="1" w:name="_heading=h.30j0zll"/>
      <w:bookmarkStart w:id="2" w:name="_heading=h.30j0zll"/>
      <w:bookmarkEnd w:id="2"/>
    </w:p>
    <w:p>
      <w:pPr>
        <w:pStyle w:val="Normal"/>
        <w:keepNext w:val="true"/>
        <w:keepLines/>
        <w:numPr>
          <w:ilvl w:val="0"/>
          <w:numId w:val="9"/>
        </w:numPr>
        <w:spacing w:lineRule="auto" w:line="276" w:before="0" w:after="0"/>
        <w:jc w:val="both"/>
        <w:rPr>
          <w:rFonts w:ascii="Arial" w:hAnsi="Arial" w:eastAsia="Arial" w:cs="Arial"/>
          <w:b/>
          <w:color w:val="000000"/>
          <w:sz w:val="20"/>
          <w:szCs w:val="20"/>
        </w:rPr>
      </w:pPr>
      <w:r>
        <w:rPr>
          <w:rFonts w:eastAsia="Arial" w:cs="Arial" w:ascii="Arial" w:hAnsi="Arial"/>
          <w:b/>
          <w:color w:val="000000"/>
          <w:sz w:val="20"/>
          <w:szCs w:val="20"/>
        </w:rPr>
        <w:t>DAS CONDIÇÕES GERAIS DA CONTRATAÇÃO (art. 6º, XXIII, “a” e “i” da Lei n. 14.133/2021).</w:t>
      </w:r>
    </w:p>
    <w:p>
      <w:pPr>
        <w:pStyle w:val="Normal"/>
        <w:spacing w:lineRule="auto" w:line="276" w:before="0" w:after="0"/>
        <w:ind w:left="716"/>
        <w:jc w:val="both"/>
        <w:rPr>
          <w:rFonts w:ascii="Arial" w:hAnsi="Arial" w:eastAsia="Arial" w:cs="Arial"/>
          <w:b/>
          <w:color w:val="000000"/>
          <w:sz w:val="20"/>
          <w:szCs w:val="20"/>
        </w:rPr>
      </w:pPr>
      <w:r>
        <w:rPr>
          <w:rFonts w:eastAsia="Arial" w:cs="Arial" w:ascii="Arial" w:hAnsi="Arial"/>
          <w:b/>
          <w:color w:val="000000"/>
          <w:sz w:val="20"/>
          <w:szCs w:val="20"/>
        </w:rPr>
      </w:r>
    </w:p>
    <w:p>
      <w:pPr>
        <w:pStyle w:val="Normal"/>
        <w:numPr>
          <w:ilvl w:val="1"/>
          <w:numId w:val="3"/>
        </w:numPr>
        <w:spacing w:lineRule="auto" w:line="276" w:before="0" w:after="0"/>
        <w:jc w:val="both"/>
        <w:rPr>
          <w:rFonts w:ascii="Arial" w:hAnsi="Arial" w:eastAsia="Arial" w:cs="Arial"/>
          <w:b/>
          <w:color w:val="000000"/>
          <w:sz w:val="20"/>
          <w:szCs w:val="20"/>
        </w:rPr>
      </w:pPr>
      <w:r>
        <w:rPr>
          <w:rFonts w:eastAsia="Arial" w:cs="Arial" w:ascii="Arial" w:hAnsi="Arial"/>
          <w:color w:val="000000"/>
          <w:sz w:val="20"/>
          <w:szCs w:val="20"/>
        </w:rPr>
        <w:t xml:space="preserve">Aquisição de </w:t>
      </w:r>
      <w:r>
        <w:rPr>
          <w:rFonts w:eastAsia="Arial" w:cs="Arial" w:ascii="Arial" w:hAnsi="Arial"/>
          <w:sz w:val="20"/>
          <w:szCs w:val="20"/>
        </w:rPr>
        <w:t>material de consumo para esta OM</w:t>
      </w:r>
      <w:r>
        <w:rPr>
          <w:rFonts w:eastAsia="Arial" w:cs="Arial" w:ascii="Arial" w:hAnsi="Arial"/>
          <w:b/>
          <w:color w:val="000000"/>
          <w:sz w:val="20"/>
          <w:szCs w:val="20"/>
        </w:rPr>
        <w:t xml:space="preserve">, </w:t>
      </w:r>
      <w:r>
        <w:rPr>
          <w:rFonts w:eastAsia="Arial" w:cs="Arial" w:ascii="Arial" w:hAnsi="Arial"/>
          <w:color w:val="000000"/>
          <w:sz w:val="20"/>
          <w:szCs w:val="20"/>
        </w:rPr>
        <w:t>nos termos da tabela abaixo, conforme condições e exigências estabelecidas neste instrumento.</w:t>
      </w:r>
    </w:p>
    <w:tbl>
      <w:tblPr>
        <w:tblW w:w="10703" w:type="dxa"/>
        <w:jc w:val="left"/>
        <w:tblInd w:w="-687" w:type="dxa"/>
        <w:tblLayout w:type="fixed"/>
        <w:tblCellMar>
          <w:top w:w="0" w:type="dxa"/>
          <w:left w:w="108" w:type="dxa"/>
          <w:bottom w:w="0" w:type="dxa"/>
          <w:right w:w="108" w:type="dxa"/>
        </w:tblCellMar>
        <w:tblLook w:val="0400"/>
      </w:tblPr>
      <w:tblGrid>
        <w:gridCol w:w="707"/>
        <w:gridCol w:w="4398"/>
        <w:gridCol w:w="1131"/>
        <w:gridCol w:w="1418"/>
        <w:gridCol w:w="712"/>
        <w:gridCol w:w="1276"/>
        <w:gridCol w:w="1060"/>
      </w:tblGrid>
      <w:tr>
        <w:trPr>
          <w:trHeight w:val="248" w:hRule="atLeast"/>
        </w:trPr>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b/>
                <w:color w:val="000000"/>
                <w:sz w:val="20"/>
                <w:szCs w:val="20"/>
              </w:rPr>
            </w:pPr>
            <w:r>
              <w:rPr>
                <w:rFonts w:eastAsia="Arial" w:cs="Arial" w:ascii="Arial" w:hAnsi="Arial"/>
                <w:b/>
                <w:color w:val="000000"/>
                <w:sz w:val="20"/>
                <w:szCs w:val="20"/>
              </w:rPr>
              <w:t>ITEM</w:t>
            </w:r>
          </w:p>
          <w:p>
            <w:pPr>
              <w:pStyle w:val="Normal"/>
              <w:widowControl w:val="false"/>
              <w:spacing w:lineRule="auto" w:line="276" w:before="0" w:after="0"/>
              <w:jc w:val="center"/>
              <w:rPr>
                <w:rFonts w:ascii="Arial" w:hAnsi="Arial" w:eastAsia="Arial" w:cs="Arial"/>
                <w:b/>
                <w:color w:val="000000"/>
                <w:sz w:val="20"/>
                <w:szCs w:val="20"/>
              </w:rPr>
            </w:pPr>
            <w:r>
              <w:rPr>
                <w:rFonts w:eastAsia="Arial" w:cs="Arial" w:ascii="Arial" w:hAnsi="Arial"/>
                <w:b/>
                <w:color w:val="000000"/>
                <w:sz w:val="20"/>
                <w:szCs w:val="20"/>
              </w:rPr>
            </w:r>
          </w:p>
        </w:tc>
        <w:tc>
          <w:tcPr>
            <w:tcW w:w="43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b/>
                <w:color w:val="000000"/>
                <w:sz w:val="20"/>
                <w:szCs w:val="20"/>
              </w:rPr>
              <w:t>ESPECIFICAÇÃO</w:t>
            </w:r>
          </w:p>
        </w:tc>
        <w:tc>
          <w:tcPr>
            <w:tcW w:w="11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b/>
                <w:color w:val="000000"/>
                <w:sz w:val="20"/>
                <w:szCs w:val="20"/>
              </w:rPr>
              <w:t>CATMAT</w:t>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b/>
                <w:color w:val="000000"/>
                <w:sz w:val="20"/>
                <w:szCs w:val="20"/>
              </w:rPr>
              <w:t>UNIDADE DE MEDIDA</w:t>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b/>
                <w:sz w:val="20"/>
                <w:szCs w:val="20"/>
              </w:rPr>
            </w:pPr>
            <w:r>
              <w:rPr>
                <w:rFonts w:eastAsia="Arial" w:cs="Arial" w:ascii="Arial" w:hAnsi="Arial"/>
                <w:b/>
                <w:sz w:val="20"/>
                <w:szCs w:val="20"/>
              </w:rPr>
              <w:t>QTD</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b/>
                <w:sz w:val="20"/>
                <w:szCs w:val="20"/>
              </w:rPr>
            </w:pPr>
            <w:r>
              <w:rPr>
                <w:rFonts w:eastAsia="Arial" w:cs="Arial" w:ascii="Arial" w:hAnsi="Arial"/>
                <w:b/>
                <w:sz w:val="20"/>
                <w:szCs w:val="20"/>
              </w:rPr>
              <w:t>VALOR UNITÁRIO</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b/>
                <w:sz w:val="20"/>
                <w:szCs w:val="20"/>
              </w:rPr>
            </w:pPr>
            <w:r>
              <w:rPr>
                <w:rFonts w:eastAsia="Arial" w:cs="Arial" w:ascii="Arial" w:hAnsi="Arial"/>
                <w:b/>
                <w:sz w:val="20"/>
                <w:szCs w:val="20"/>
              </w:rPr>
              <w:t>VALOR TOTAL</w:t>
            </w:r>
          </w:p>
        </w:tc>
      </w:tr>
      <w:tr>
        <w:trPr/>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b/>
                <w:color w:val="000000"/>
                <w:sz w:val="20"/>
                <w:szCs w:val="20"/>
              </w:rPr>
            </w:pPr>
            <w:r>
              <w:rPr>
                <w:rFonts w:eastAsia="Arial" w:cs="Arial" w:ascii="Arial" w:hAnsi="Arial"/>
                <w:b/>
                <w:color w:val="000000"/>
                <w:sz w:val="20"/>
                <w:szCs w:val="20"/>
              </w:rPr>
              <w:t>1</w:t>
            </w:r>
          </w:p>
        </w:tc>
        <w:tc>
          <w:tcPr>
            <w:tcW w:w="439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hd w:val="clear" w:color="auto" w:fill="FFFFFF"/>
              <w:spacing w:lineRule="auto" w:line="276" w:before="0" w:after="380"/>
              <w:rPr>
                <w:rFonts w:ascii="Arial" w:hAnsi="Arial" w:eastAsia="Arial" w:cs="Arial"/>
                <w:sz w:val="20"/>
                <w:szCs w:val="20"/>
              </w:rPr>
            </w:pPr>
            <w:r>
              <w:rPr>
                <w:rFonts w:eastAsia="Arial" w:cs="Arial" w:ascii="Arial" w:hAnsi="Arial"/>
                <w:sz w:val="20"/>
                <w:szCs w:val="20"/>
              </w:rPr>
              <w:t>Rodo plástico 40 cm com cabo: possui ganchos laterais que auxiliam na fixação do pano.Acompanha cabo de madeira de 1,20, tamanho:2,5 cm x 40 cm x 130 cm.</w:t>
            </w:r>
          </w:p>
        </w:tc>
        <w:tc>
          <w:tcPr>
            <w:tcW w:w="11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rPr>
                <w:rFonts w:ascii="Arial" w:hAnsi="Arial" w:eastAsia="Arial" w:cs="Arial"/>
                <w:color w:val="000000"/>
                <w:sz w:val="20"/>
                <w:szCs w:val="20"/>
              </w:rPr>
            </w:pPr>
            <w:r>
              <w:rPr>
                <w:rFonts w:eastAsia="Arial" w:cs="Arial" w:ascii="Arial" w:hAnsi="Arial"/>
                <w:color w:val="000000"/>
                <w:sz w:val="20"/>
                <w:szCs w:val="20"/>
              </w:rPr>
            </w:r>
          </w:p>
        </w:tc>
        <w:tc>
          <w:tcPr>
            <w:tcW w:w="141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color w:val="000000"/>
                <w:sz w:val="20"/>
                <w:szCs w:val="20"/>
              </w:rPr>
              <w:t>Unidade</w:t>
            </w:r>
          </w:p>
        </w:tc>
        <w:tc>
          <w:tcPr>
            <w:tcW w:w="71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color w:val="000000"/>
                <w:sz w:val="20"/>
                <w:szCs w:val="20"/>
              </w:rPr>
              <w:t>60</w:t>
            </w:r>
          </w:p>
        </w:tc>
        <w:tc>
          <w:tcPr>
            <w:tcW w:w="1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color w:val="000000"/>
                <w:sz w:val="20"/>
                <w:szCs w:val="20"/>
              </w:rPr>
              <w:t>26,90</w:t>
            </w:r>
          </w:p>
        </w:tc>
        <w:tc>
          <w:tcPr>
            <w:tcW w:w="10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0" w:after="0"/>
              <w:jc w:val="center"/>
              <w:rPr>
                <w:rFonts w:ascii="Arial" w:hAnsi="Arial" w:eastAsia="Arial" w:cs="Arial"/>
                <w:color w:val="000000"/>
                <w:sz w:val="20"/>
                <w:szCs w:val="20"/>
              </w:rPr>
            </w:pPr>
            <w:r>
              <w:rPr>
                <w:rFonts w:eastAsia="Arial" w:cs="Arial" w:ascii="Arial" w:hAnsi="Arial"/>
                <w:color w:val="000000"/>
                <w:sz w:val="20"/>
                <w:szCs w:val="20"/>
              </w:rPr>
              <w:t>1.614,00</w:t>
            </w:r>
          </w:p>
        </w:tc>
      </w:tr>
    </w:tbl>
    <w:p>
      <w:pPr>
        <w:pStyle w:val="Normal"/>
        <w:spacing w:lineRule="auto" w:line="276" w:before="0" w:after="0"/>
        <w:ind w:left="716"/>
        <w:jc w:val="both"/>
        <w:rPr>
          <w:rFonts w:ascii="Arial" w:hAnsi="Arial" w:eastAsia="Arial" w:cs="Arial"/>
          <w:color w:val="000000"/>
          <w:sz w:val="20"/>
          <w:szCs w:val="20"/>
        </w:rPr>
      </w:pPr>
      <w:r>
        <w:rPr>
          <w:rFonts w:eastAsia="Arial" w:cs="Arial" w:ascii="Arial" w:hAnsi="Arial"/>
          <w:color w:val="000000"/>
          <w:sz w:val="20"/>
          <w:szCs w:val="20"/>
        </w:rPr>
      </w:r>
    </w:p>
    <w:p>
      <w:pPr>
        <w:pStyle w:val="Normal"/>
        <w:numPr>
          <w:ilvl w:val="1"/>
          <w:numId w:val="3"/>
        </w:numPr>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Abaix</w:t>
      </w:r>
      <w:r>
        <mc:AlternateContent>
          <mc:Choice Requires="wps">
            <w:drawing>
              <wp:anchor behindDoc="0" distT="0" distB="0" distL="635" distR="0" simplePos="0" locked="0" layoutInCell="1" allowOverlap="1" relativeHeight="3">
                <wp:simplePos x="0" y="0"/>
                <wp:positionH relativeFrom="column">
                  <wp:posOffset>635</wp:posOffset>
                </wp:positionH>
                <wp:positionV relativeFrom="paragraph">
                  <wp:posOffset>635</wp:posOffset>
                </wp:positionV>
                <wp:extent cx="300990" cy="300990"/>
                <wp:effectExtent l="635" t="0" r="0" b="0"/>
                <wp:wrapNone/>
                <wp:docPr id="2" name="shape_0"/>
                <a:graphic xmlns:a="http://schemas.openxmlformats.org/drawingml/2006/main">
                  <a:graphicData uri="http://schemas.microsoft.com/office/word/2010/wordprocessingShape">
                    <wps:wsp>
                      <wps:cNvSpPr/>
                      <wps:spPr>
                        <a:xfrm>
                          <a:off x="0" y="0"/>
                          <a:ext cx="300960" cy="300960"/>
                        </a:xfrm>
                        <a:prstGeom prst="rect">
                          <a:avLst/>
                        </a:prstGeom>
                        <a:noFill/>
                        <a:ln w="0">
                          <a:noFill/>
                        </a:ln>
                      </wps:spPr>
                      <wps:style>
                        <a:lnRef idx="0"/>
                        <a:fillRef idx="0"/>
                        <a:effectRef idx="0"/>
                        <a:fontRef idx="minor"/>
                      </wps:style>
                      <wps:bodyPr/>
                    </wps:wsp>
                  </a:graphicData>
                </a:graphic>
              </wp:anchor>
            </w:drawing>
          </mc:Choice>
          <mc:Fallback>
            <w:pict>
              <v:rect id="shape_0" ID="shape_0" path="m0,0l-2147483645,0l-2147483645,-2147483646l0,-2147483646xe" stroked="f" o:allowincell="f" style="position:absolute;margin-left:0.05pt;margin-top:0.05pt;width:23.65pt;height:23.65pt;mso-wrap-style:none;v-text-anchor:middle">
                <v:fill o:detectmouseclick="t" on="false"/>
                <v:stroke color="#3465a4" joinstyle="round" endcap="flat"/>
                <w10:wrap type="none"/>
              </v:rect>
            </w:pict>
          </mc:Fallback>
        </mc:AlternateContent>
        <w:drawing>
          <wp:anchor behindDoc="0" distT="0" distB="0" distL="0" distR="0" simplePos="0" locked="0" layoutInCell="0" allowOverlap="1" relativeHeight="4">
            <wp:simplePos x="0" y="0"/>
            <wp:positionH relativeFrom="column">
              <wp:posOffset>181610</wp:posOffset>
            </wp:positionH>
            <wp:positionV relativeFrom="paragraph">
              <wp:posOffset>174625</wp:posOffset>
            </wp:positionV>
            <wp:extent cx="5606415" cy="2922270"/>
            <wp:effectExtent l="0" t="0" r="0" b="0"/>
            <wp:wrapSquare wrapText="largest"/>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3"/>
                    <a:stretch>
                      <a:fillRect/>
                    </a:stretch>
                  </pic:blipFill>
                  <pic:spPr bwMode="auto">
                    <a:xfrm>
                      <a:off x="0" y="0"/>
                      <a:ext cx="5606415" cy="2922270"/>
                    </a:xfrm>
                    <a:prstGeom prst="rect">
                      <a:avLst/>
                    </a:prstGeom>
                  </pic:spPr>
                </pic:pic>
              </a:graphicData>
            </a:graphic>
          </wp:anchor>
        </w:drawing>
      </w:r>
      <w:r>
        <w:rPr>
          <w:rFonts w:eastAsia="Arial" w:cs="Arial" w:ascii="Arial" w:hAnsi="Arial"/>
          <w:color w:val="000000"/>
          <w:sz w:val="20"/>
          <w:szCs w:val="20"/>
        </w:rPr>
        <w:t>o segue foto ilustrativa do item:</w:t>
      </w:r>
    </w:p>
    <w:p>
      <w:pPr>
        <w:pStyle w:val="Normal"/>
        <w:spacing w:lineRule="auto" w:line="276" w:before="0" w:after="0"/>
        <w:ind w:left="432"/>
        <w:jc w:val="both"/>
        <w:rPr>
          <w:rFonts w:ascii="Arial" w:hAnsi="Arial" w:eastAsia="Arial" w:cs="Arial"/>
          <w:color w:val="000000"/>
          <w:sz w:val="20"/>
          <w:szCs w:val="20"/>
        </w:rPr>
      </w:pPr>
      <w:r>
        <w:rPr>
          <w:rFonts w:eastAsia="Arial" w:cs="Arial" w:ascii="Arial" w:hAnsi="Arial"/>
          <w:color w:val="000000"/>
          <w:sz w:val="20"/>
          <w:szCs w:val="20"/>
        </w:rPr>
      </w:r>
    </w:p>
    <w:p>
      <w:pPr>
        <w:pStyle w:val="Normal"/>
        <w:numPr>
          <w:ilvl w:val="1"/>
          <w:numId w:val="3"/>
        </w:numPr>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O objeto desta contratação não se enquadra como sendo de bem de luxo, conforme Decreto nº 10.818, de 2021.</w:t>
      </w:r>
    </w:p>
    <w:p>
      <w:pPr>
        <w:pStyle w:val="Normal"/>
        <w:spacing w:lineRule="auto" w:line="276" w:before="0" w:after="0"/>
        <w:ind w:left="716"/>
        <w:jc w:val="both"/>
        <w:rPr>
          <w:rFonts w:ascii="Arial" w:hAnsi="Arial" w:eastAsia="Arial" w:cs="Arial"/>
          <w:color w:val="FF0000"/>
          <w:sz w:val="20"/>
          <w:szCs w:val="20"/>
        </w:rPr>
      </w:pPr>
      <w:r>
        <w:rPr>
          <w:rFonts w:eastAsia="Arial" w:cs="Arial" w:ascii="Arial" w:hAnsi="Arial"/>
          <w:color w:val="FF0000"/>
          <w:sz w:val="20"/>
          <w:szCs w:val="20"/>
        </w:rPr>
      </w:r>
    </w:p>
    <w:p>
      <w:pPr>
        <w:pStyle w:val="Normal"/>
        <w:numPr>
          <w:ilvl w:val="1"/>
          <w:numId w:val="3"/>
        </w:numPr>
        <w:spacing w:lineRule="auto" w:line="276" w:before="0" w:after="0"/>
        <w:jc w:val="both"/>
        <w:rPr>
          <w:rFonts w:ascii="Arial" w:hAnsi="Arial" w:eastAsia="Arial" w:cs="Arial"/>
          <w:b/>
          <w:color w:val="000000"/>
          <w:sz w:val="20"/>
          <w:szCs w:val="20"/>
        </w:rPr>
      </w:pPr>
      <w:r>
        <w:rPr>
          <w:rFonts w:eastAsia="Arial" w:cs="Arial" w:ascii="Arial" w:hAnsi="Arial"/>
          <w:color w:val="000000"/>
          <w:sz w:val="20"/>
          <w:szCs w:val="20"/>
        </w:rPr>
        <w:t xml:space="preserve">O custo estimado total da contratação é de R$ 1.614,00  ( mil seiscentos e quatorze reais), conforme custos unitários </w:t>
      </w:r>
      <w:r>
        <w:rPr>
          <w:rFonts w:eastAsia="Arial" w:cs="Arial" w:ascii="Arial" w:hAnsi="Arial"/>
          <w:sz w:val="20"/>
          <w:szCs w:val="20"/>
        </w:rPr>
        <w:t>apostos</w:t>
      </w:r>
      <w:r>
        <w:rPr>
          <w:rFonts w:eastAsia="Arial" w:cs="Arial" w:ascii="Arial" w:hAnsi="Arial"/>
          <w:color w:val="000000"/>
          <w:sz w:val="20"/>
          <w:szCs w:val="20"/>
        </w:rPr>
        <w:t xml:space="preserve"> na tabela acima.</w:t>
      </w:r>
    </w:p>
    <w:p>
      <w:pPr>
        <w:pStyle w:val="Normal"/>
        <w:spacing w:lineRule="auto" w:line="276" w:before="0" w:after="0"/>
        <w:jc w:val="both"/>
        <w:rPr>
          <w:rFonts w:ascii="Arial" w:hAnsi="Arial" w:eastAsia="Arial" w:cs="Arial"/>
          <w:i/>
          <w:i/>
          <w:color w:val="FF0000"/>
          <w:sz w:val="20"/>
          <w:szCs w:val="20"/>
        </w:rPr>
      </w:pPr>
      <w:r>
        <w:rPr>
          <w:rFonts w:eastAsia="Arial" w:cs="Arial" w:ascii="Arial" w:hAnsi="Arial"/>
          <w:i/>
          <w:color w:val="FF0000"/>
          <w:sz w:val="20"/>
          <w:szCs w:val="20"/>
        </w:rPr>
      </w:r>
    </w:p>
    <w:p>
      <w:pPr>
        <w:pStyle w:val="Normal"/>
        <w:keepNext w:val="true"/>
        <w:keepLines/>
        <w:numPr>
          <w:ilvl w:val="0"/>
          <w:numId w:val="3"/>
        </w:numPr>
        <w:spacing w:lineRule="auto" w:line="276" w:before="0" w:after="0"/>
        <w:jc w:val="both"/>
        <w:rPr>
          <w:rFonts w:ascii="Arial" w:hAnsi="Arial" w:eastAsia="Arial" w:cs="Arial"/>
          <w:b/>
          <w:color w:val="000000"/>
          <w:sz w:val="20"/>
          <w:szCs w:val="20"/>
        </w:rPr>
      </w:pPr>
      <w:r>
        <w:rPr>
          <w:rFonts w:eastAsia="Arial" w:cs="Arial" w:ascii="Arial" w:hAnsi="Arial"/>
          <w:b/>
          <w:color w:val="000000"/>
          <w:sz w:val="20"/>
          <w:szCs w:val="20"/>
        </w:rPr>
        <w:t>FUNDAMENTAÇÃO E DESCRIÇÃO DA NECESSIDADE DA CONTRATAÇÃO (art. 6º, inciso XXIII, alínea ‘b’,da Lei nº 14.133/2021).</w:t>
      </w:r>
    </w:p>
    <w:p>
      <w:pPr>
        <w:pStyle w:val="Normal"/>
        <w:numPr>
          <w:ilvl w:val="1"/>
          <w:numId w:val="8"/>
        </w:numPr>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A Fundamentação da Contratação e de seus quantitativos encontra-se pormenorizada em Tópico específico dos Estudos Técnicos Preliminares, apêndice deste Termo de Referência.</w:t>
      </w:r>
    </w:p>
    <w:p>
      <w:pPr>
        <w:pStyle w:val="Normal"/>
        <w:keepNext w:val="true"/>
        <w:keepLines/>
        <w:spacing w:lineRule="auto" w:line="276" w:before="0" w:after="0"/>
        <w:ind w:hanging="360" w:left="360"/>
        <w:jc w:val="both"/>
        <w:rPr>
          <w:rFonts w:ascii="Arial" w:hAnsi="Arial" w:eastAsia="Arial" w:cs="Arial"/>
          <w:b/>
          <w:color w:val="000000"/>
          <w:sz w:val="20"/>
          <w:szCs w:val="20"/>
        </w:rPr>
      </w:pPr>
      <w:r>
        <w:rPr>
          <w:rFonts w:eastAsia="Arial" w:cs="Arial" w:ascii="Arial" w:hAnsi="Arial"/>
          <w:b/>
          <w:color w:val="000000"/>
          <w:sz w:val="20"/>
          <w:szCs w:val="20"/>
        </w:rPr>
      </w:r>
    </w:p>
    <w:p>
      <w:pPr>
        <w:pStyle w:val="Normal"/>
        <w:keepNext w:val="true"/>
        <w:keepLines/>
        <w:numPr>
          <w:ilvl w:val="0"/>
          <w:numId w:val="8"/>
        </w:numPr>
        <w:spacing w:lineRule="auto" w:line="276" w:before="0" w:after="0"/>
        <w:jc w:val="both"/>
        <w:rPr>
          <w:rFonts w:ascii="Arial" w:hAnsi="Arial" w:eastAsia="Arial" w:cs="Arial"/>
          <w:b/>
          <w:color w:val="000000"/>
          <w:sz w:val="20"/>
          <w:szCs w:val="20"/>
        </w:rPr>
      </w:pPr>
      <w:r>
        <w:rPr>
          <w:rFonts w:eastAsia="Arial" w:cs="Arial" w:ascii="Arial" w:hAnsi="Arial"/>
          <w:b/>
          <w:color w:val="000000"/>
          <w:sz w:val="20"/>
          <w:szCs w:val="20"/>
        </w:rPr>
        <w:t>DESCRIÇÃO DA SOLUÇÃO COMO UM TODO CONSIDERADO O CICLO DE VIDA DO OBJETO E ESPECIFICAÇÃO DO PRODUTO (art. 6º, inciso XXIII, alínea ‘c’, e art. 40, §1º, inciso I, da Lei nº 14.133/2021)</w:t>
      </w:r>
    </w:p>
    <w:p>
      <w:pPr>
        <w:pStyle w:val="Normal"/>
        <w:numPr>
          <w:ilvl w:val="1"/>
          <w:numId w:val="10"/>
        </w:numPr>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A descrição da solução como um todo, encontra-se pormenorizada em tópico específico dos Estudos Técnicos Preliminares, apêndice deste Termo de Referência.</w:t>
      </w:r>
    </w:p>
    <w:p>
      <w:pPr>
        <w:pStyle w:val="Normal"/>
        <w:keepNext w:val="true"/>
        <w:keepLines/>
        <w:spacing w:lineRule="auto" w:line="276" w:before="0" w:after="0"/>
        <w:ind w:hanging="360" w:left="360"/>
        <w:jc w:val="both"/>
        <w:rPr>
          <w:rFonts w:ascii="Arial" w:hAnsi="Arial" w:eastAsia="Arial" w:cs="Arial"/>
          <w:b/>
          <w:color w:val="000000"/>
          <w:sz w:val="20"/>
          <w:szCs w:val="20"/>
        </w:rPr>
      </w:pPr>
      <w:r>
        <w:rPr>
          <w:rFonts w:eastAsia="Arial" w:cs="Arial" w:ascii="Arial" w:hAnsi="Arial"/>
          <w:b/>
          <w:color w:val="000000"/>
          <w:sz w:val="20"/>
          <w:szCs w:val="20"/>
        </w:rPr>
      </w:r>
    </w:p>
    <w:p>
      <w:pPr>
        <w:pStyle w:val="Normal"/>
        <w:keepNext w:val="true"/>
        <w:keepLines/>
        <w:numPr>
          <w:ilvl w:val="0"/>
          <w:numId w:val="10"/>
        </w:numPr>
        <w:spacing w:lineRule="auto" w:line="276" w:before="0" w:after="0"/>
        <w:jc w:val="both"/>
        <w:rPr>
          <w:rFonts w:ascii="Arial" w:hAnsi="Arial" w:eastAsia="Arial" w:cs="Arial"/>
          <w:b/>
          <w:color w:val="000000"/>
          <w:sz w:val="20"/>
          <w:szCs w:val="20"/>
        </w:rPr>
      </w:pPr>
      <w:r>
        <w:rPr>
          <w:rFonts w:eastAsia="Arial" w:cs="Arial" w:ascii="Arial" w:hAnsi="Arial"/>
          <w:b/>
          <w:color w:val="000000"/>
          <w:sz w:val="20"/>
          <w:szCs w:val="20"/>
        </w:rPr>
        <w:t>REQUISITOS DA CONTRATAÇÃO (art. 6º, XXIII, alínea ‘d’,da Lei nº 14.133/21</w:t>
      </w:r>
    </w:p>
    <w:p>
      <w:pPr>
        <w:pStyle w:val="Normal"/>
        <w:rPr/>
      </w:pPr>
      <w:r>
        <w:rPr/>
      </w:r>
    </w:p>
    <w:p>
      <w:pPr>
        <w:pStyle w:val="Normal"/>
        <w:numPr>
          <w:ilvl w:val="1"/>
          <w:numId w:val="7"/>
        </w:numPr>
        <w:spacing w:lineRule="auto" w:line="276" w:before="0" w:after="0"/>
        <w:jc w:val="both"/>
        <w:rPr>
          <w:rFonts w:ascii="Arial" w:hAnsi="Arial" w:eastAsia="Arial" w:cs="Arial"/>
          <w:i/>
          <w:i/>
          <w:color w:val="000000"/>
          <w:sz w:val="20"/>
          <w:szCs w:val="20"/>
        </w:rPr>
      </w:pPr>
      <w:r>
        <w:rPr>
          <w:rFonts w:eastAsia="Arial" w:cs="Arial" w:ascii="Arial" w:hAnsi="Arial"/>
          <w:color w:val="000000"/>
          <w:sz w:val="20"/>
          <w:szCs w:val="20"/>
        </w:rPr>
        <w:t>A contratação deverá observar os seguintes requisitos:</w:t>
      </w:r>
    </w:p>
    <w:p>
      <w:pPr>
        <w:pStyle w:val="Normal"/>
        <w:numPr>
          <w:ilvl w:val="2"/>
          <w:numId w:val="7"/>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Sustentabilidade:</w:t>
      </w:r>
    </w:p>
    <w:p>
      <w:pPr>
        <w:pStyle w:val="Normal"/>
        <w:numPr>
          <w:ilvl w:val="3"/>
          <w:numId w:val="7"/>
        </w:numPr>
        <w:shd w:val="clear" w:color="auto" w:fill="FFFFFF"/>
        <w:spacing w:lineRule="auto" w:line="276" w:before="0" w:after="0"/>
        <w:ind w:hanging="647" w:left="2491"/>
        <w:jc w:val="both"/>
        <w:rPr>
          <w:rFonts w:ascii="Arial" w:hAnsi="Arial" w:eastAsia="Arial" w:cs="Arial"/>
          <w:i/>
          <w:i/>
          <w:color w:val="000000"/>
          <w:sz w:val="20"/>
          <w:szCs w:val="20"/>
          <w:highlight w:val="white"/>
        </w:rPr>
      </w:pPr>
      <w:r>
        <w:rPr>
          <w:rFonts w:eastAsia="Arial" w:cs="Arial" w:ascii="Arial" w:hAnsi="Arial"/>
          <w:i/>
          <w:color w:val="000000"/>
          <w:sz w:val="20"/>
          <w:szCs w:val="20"/>
        </w:rPr>
        <w:t>Além dos critérios de sustentabilidade eventualmente inseridos na descrição do objeto, devem ser atendidos os seguintes requisitos, que se baseiam no Guia Nacional de Contratações Sustentáveis:</w:t>
      </w:r>
    </w:p>
    <w:p>
      <w:pPr>
        <w:pStyle w:val="Normal"/>
        <w:numPr>
          <w:ilvl w:val="4"/>
          <w:numId w:val="7"/>
        </w:numPr>
        <w:shd w:val="clear" w:color="auto" w:fill="FFFFFF"/>
        <w:spacing w:lineRule="auto" w:line="276" w:before="0" w:after="0"/>
        <w:ind w:hanging="791" w:left="2835"/>
        <w:jc w:val="both"/>
        <w:rPr>
          <w:rFonts w:ascii="Arial" w:hAnsi="Arial" w:eastAsia="Arial" w:cs="Arial"/>
          <w:i/>
          <w:i/>
          <w:color w:val="000000"/>
          <w:sz w:val="20"/>
          <w:szCs w:val="20"/>
          <w:highlight w:val="white"/>
        </w:rPr>
      </w:pPr>
      <w:r>
        <w:rPr>
          <w:rFonts w:eastAsia="Arial" w:cs="Arial" w:ascii="Arial" w:hAnsi="Arial"/>
          <w:i/>
          <w:color w:val="000000"/>
          <w:sz w:val="20"/>
          <w:szCs w:val="20"/>
        </w:rPr>
        <w:t>Utilização de material que não agride o meio ambiente.</w:t>
      </w:r>
    </w:p>
    <w:p>
      <w:pPr>
        <w:pStyle w:val="Normal"/>
        <w:numPr>
          <w:ilvl w:val="4"/>
          <w:numId w:val="7"/>
        </w:numPr>
        <w:shd w:val="clear" w:color="auto" w:fill="FFFFFF"/>
        <w:spacing w:lineRule="auto" w:line="276" w:before="0" w:after="0"/>
        <w:ind w:hanging="791" w:left="2835"/>
        <w:jc w:val="both"/>
        <w:rPr>
          <w:rFonts w:ascii="Arial" w:hAnsi="Arial" w:eastAsia="Arial" w:cs="Arial"/>
          <w:i/>
          <w:i/>
          <w:color w:val="000000"/>
          <w:sz w:val="20"/>
          <w:szCs w:val="20"/>
          <w:highlight w:val="white"/>
        </w:rPr>
      </w:pPr>
      <w:r>
        <w:rPr>
          <w:rFonts w:eastAsia="Arial" w:cs="Arial" w:ascii="Arial" w:hAnsi="Arial"/>
          <w:i/>
          <w:color w:val="000000"/>
          <w:sz w:val="20"/>
          <w:szCs w:val="20"/>
        </w:rPr>
        <w:t>Sempre que possível realizar a reciclagem do material utilizado para a fabricação do objeto a ser contratado.</w:t>
      </w:r>
    </w:p>
    <w:p>
      <w:pPr>
        <w:pStyle w:val="Normal"/>
        <w:numPr>
          <w:ilvl w:val="4"/>
          <w:numId w:val="7"/>
        </w:numPr>
        <w:shd w:val="clear" w:color="auto" w:fill="FFFFFF"/>
        <w:spacing w:lineRule="auto" w:line="276" w:before="0" w:after="0"/>
        <w:ind w:hanging="791" w:left="2835"/>
        <w:jc w:val="both"/>
        <w:rPr>
          <w:rFonts w:ascii="Arial" w:hAnsi="Arial" w:eastAsia="Arial" w:cs="Arial"/>
          <w:i/>
          <w:i/>
          <w:color w:val="000000"/>
          <w:sz w:val="20"/>
          <w:szCs w:val="20"/>
          <w:highlight w:val="white"/>
        </w:rPr>
      </w:pPr>
      <w:r>
        <w:rPr>
          <w:rFonts w:eastAsia="Arial" w:cs="Arial" w:ascii="Arial" w:hAnsi="Arial"/>
          <w:i/>
          <w:color w:val="000000"/>
          <w:sz w:val="20"/>
          <w:szCs w:val="20"/>
        </w:rPr>
        <w:t xml:space="preserve">Na sua fabricação não utilizar quaisquer </w:t>
      </w:r>
      <w:r>
        <w:rPr>
          <w:rFonts w:eastAsia="Arial" w:cs="Arial" w:ascii="Arial" w:hAnsi="Arial"/>
          <w:i/>
          <w:sz w:val="20"/>
          <w:szCs w:val="20"/>
        </w:rPr>
        <w:t>substâncias</w:t>
      </w:r>
      <w:r>
        <w:rPr>
          <w:rFonts w:eastAsia="Arial" w:cs="Arial" w:ascii="Arial" w:hAnsi="Arial"/>
          <w:i/>
          <w:color w:val="000000"/>
          <w:sz w:val="20"/>
          <w:szCs w:val="20"/>
        </w:rPr>
        <w:t xml:space="preserve"> que agridem o meio ambiente e quando a não utilização não for possível realizar ações para mitigar os efeitos nocivos ao meio ambiente.</w:t>
      </w:r>
    </w:p>
    <w:p>
      <w:pPr>
        <w:pStyle w:val="Normal"/>
        <w:spacing w:lineRule="auto" w:line="276" w:before="0" w:after="0"/>
        <w:ind w:left="930"/>
        <w:jc w:val="both"/>
        <w:rPr>
          <w:rFonts w:ascii="Arial" w:hAnsi="Arial" w:eastAsia="Arial" w:cs="Arial"/>
          <w:i/>
          <w:i/>
          <w:color w:val="FF0000"/>
          <w:sz w:val="20"/>
          <w:szCs w:val="20"/>
        </w:rPr>
      </w:pPr>
      <w:r>
        <w:rPr>
          <w:rFonts w:eastAsia="Arial" w:cs="Arial" w:ascii="Arial" w:hAnsi="Arial"/>
          <w:i/>
          <w:color w:val="FF0000"/>
          <w:sz w:val="20"/>
          <w:szCs w:val="20"/>
        </w:rPr>
      </w:r>
    </w:p>
    <w:p>
      <w:pPr>
        <w:pStyle w:val="Normal"/>
        <w:numPr>
          <w:ilvl w:val="1"/>
          <w:numId w:val="7"/>
        </w:numPr>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Não será admitida a subcontratação do objeto contratual.</w:t>
      </w:r>
    </w:p>
    <w:p>
      <w:pPr>
        <w:pStyle w:val="Normal"/>
        <w:spacing w:lineRule="auto" w:line="276" w:before="0" w:after="0"/>
        <w:ind w:left="716"/>
        <w:jc w:val="both"/>
        <w:rPr>
          <w:rFonts w:ascii="Arial" w:hAnsi="Arial" w:eastAsia="Arial" w:cs="Arial"/>
          <w:color w:val="000000"/>
          <w:sz w:val="20"/>
          <w:szCs w:val="20"/>
        </w:rPr>
      </w:pPr>
      <w:r>
        <w:rPr>
          <w:rFonts w:eastAsia="Arial" w:cs="Arial" w:ascii="Arial" w:hAnsi="Arial"/>
          <w:color w:val="000000"/>
          <w:sz w:val="20"/>
          <w:szCs w:val="20"/>
        </w:rPr>
      </w:r>
    </w:p>
    <w:p>
      <w:pPr>
        <w:pStyle w:val="Normal"/>
        <w:numPr>
          <w:ilvl w:val="1"/>
          <w:numId w:val="7"/>
        </w:numPr>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Não haverá exigência da garantia da contratação dos arts. 96 e seguintes da Lei nº 14.133/21, pelas razões abaixo justificadas:</w:t>
      </w:r>
    </w:p>
    <w:p>
      <w:pPr>
        <w:pStyle w:val="Normal"/>
        <w:rPr/>
      </w:pPr>
      <w:r>
        <w:rPr/>
      </w:r>
    </w:p>
    <w:p>
      <w:pPr>
        <w:pStyle w:val="Normal"/>
        <w:keepNext w:val="true"/>
        <w:keepLines/>
        <w:numPr>
          <w:ilvl w:val="0"/>
          <w:numId w:val="7"/>
        </w:numPr>
        <w:spacing w:lineRule="auto" w:line="276" w:before="0" w:after="0"/>
        <w:jc w:val="both"/>
        <w:rPr>
          <w:rFonts w:ascii="Arial" w:hAnsi="Arial" w:eastAsia="Arial" w:cs="Arial"/>
          <w:b/>
          <w:color w:val="000000"/>
          <w:sz w:val="20"/>
          <w:szCs w:val="20"/>
        </w:rPr>
      </w:pPr>
      <w:r>
        <w:rPr>
          <w:rFonts w:eastAsia="Arial" w:cs="Arial" w:ascii="Arial" w:hAnsi="Arial"/>
          <w:b/>
          <w:color w:val="000000"/>
          <w:sz w:val="20"/>
          <w:szCs w:val="20"/>
        </w:rPr>
        <w:t>MODELO DE EXECUÇÃO CONTRATUAL (arts. 6º, XXIII, alínea “e” e 40, §1º, inciso II, da Lei nº 14.133/2021).</w:t>
      </w:r>
    </w:p>
    <w:p>
      <w:pPr>
        <w:pStyle w:val="Normal"/>
        <w:spacing w:before="0" w:after="0"/>
        <w:rPr>
          <w:rFonts w:ascii="Arial" w:hAnsi="Arial" w:eastAsia="Arial" w:cs="Arial"/>
          <w:b/>
          <w:color w:val="FF0000"/>
          <w:sz w:val="20"/>
          <w:szCs w:val="20"/>
          <w:u w:val="single"/>
        </w:rPr>
      </w:pPr>
      <w:r>
        <w:rPr>
          <w:rFonts w:eastAsia="Arial" w:cs="Arial" w:ascii="Arial" w:hAnsi="Arial"/>
          <w:b/>
          <w:color w:val="FF0000"/>
          <w:sz w:val="20"/>
          <w:szCs w:val="20"/>
          <w:u w:val="single"/>
        </w:rPr>
      </w:r>
    </w:p>
    <w:p>
      <w:pPr>
        <w:pStyle w:val="Normal"/>
        <w:numPr>
          <w:ilvl w:val="1"/>
          <w:numId w:val="12"/>
        </w:numPr>
        <w:spacing w:lineRule="auto" w:line="276" w:before="0" w:after="0"/>
        <w:ind w:hanging="0" w:left="284"/>
        <w:jc w:val="both"/>
        <w:rPr>
          <w:rFonts w:ascii="Arial" w:hAnsi="Arial" w:eastAsia="Arial" w:cs="Arial"/>
          <w:sz w:val="20"/>
          <w:szCs w:val="20"/>
        </w:rPr>
      </w:pPr>
      <w:r>
        <w:rPr>
          <w:rFonts w:eastAsia="Arial" w:cs="Arial" w:ascii="Arial" w:hAnsi="Arial"/>
          <w:color w:val="000000"/>
          <w:sz w:val="20"/>
          <w:szCs w:val="20"/>
        </w:rPr>
        <w:t>O prazo de entrega dos bens é de 30 dias, contados do recebimento da Nota de Empenho pelo fornecedor, empenho este que será enviado para o e-mail do fornecedor cadastrado no Sistema de Cadastramento Unificado de Fornecedores.</w:t>
      </w:r>
    </w:p>
    <w:p>
      <w:pPr>
        <w:pStyle w:val="Normal"/>
        <w:spacing w:lineRule="auto" w:line="276" w:before="0" w:after="0"/>
        <w:ind w:left="284"/>
        <w:jc w:val="both"/>
        <w:rPr>
          <w:rFonts w:ascii="Arial" w:hAnsi="Arial" w:eastAsia="Arial" w:cs="Arial"/>
          <w:color w:val="FF0000"/>
          <w:sz w:val="20"/>
          <w:szCs w:val="20"/>
        </w:rPr>
      </w:pPr>
      <w:r>
        <w:rPr>
          <w:rFonts w:eastAsia="Arial" w:cs="Arial" w:ascii="Arial" w:hAnsi="Arial"/>
          <w:color w:val="FF0000"/>
          <w:sz w:val="20"/>
          <w:szCs w:val="20"/>
        </w:rPr>
      </w:r>
    </w:p>
    <w:p>
      <w:pPr>
        <w:pStyle w:val="Normal"/>
        <w:numPr>
          <w:ilvl w:val="1"/>
          <w:numId w:val="12"/>
        </w:numPr>
        <w:spacing w:lineRule="auto" w:line="276" w:before="0" w:after="0"/>
        <w:ind w:hanging="0" w:left="284"/>
        <w:jc w:val="both"/>
        <w:rPr>
          <w:rFonts w:ascii="Arial" w:hAnsi="Arial" w:eastAsia="Arial" w:cs="Arial"/>
          <w:sz w:val="20"/>
          <w:szCs w:val="20"/>
        </w:rPr>
      </w:pPr>
      <w:r>
        <w:rPr>
          <w:rFonts w:eastAsia="Arial" w:cs="Arial" w:ascii="Arial" w:hAnsi="Arial"/>
          <w:color w:val="000000"/>
          <w:sz w:val="20"/>
          <w:szCs w:val="20"/>
        </w:rPr>
        <w:t>Os bens deverão ser entregues no seguinte endereço: Avenida Duque de Caxias S/N, 3º Esquadrão de Cavalaria Mecanizado – Setor Militar Urbano Brasília –DF. CEP: 70630-000.</w:t>
      </w:r>
    </w:p>
    <w:p>
      <w:pPr>
        <w:pStyle w:val="Normal"/>
        <w:spacing w:lineRule="auto" w:line="276" w:before="0" w:after="0"/>
        <w:ind w:left="851"/>
        <w:jc w:val="both"/>
        <w:rPr>
          <w:rFonts w:ascii="Arial" w:hAnsi="Arial" w:eastAsia="Arial" w:cs="Arial"/>
          <w:color w:val="FF0000"/>
          <w:sz w:val="20"/>
          <w:szCs w:val="20"/>
        </w:rPr>
      </w:pPr>
      <w:r>
        <w:rPr>
          <w:rFonts w:eastAsia="Arial" w:cs="Arial" w:ascii="Arial" w:hAnsi="Arial"/>
          <w:color w:val="FF0000"/>
          <w:sz w:val="20"/>
          <w:szCs w:val="20"/>
        </w:rPr>
      </w:r>
    </w:p>
    <w:p>
      <w:pPr>
        <w:pStyle w:val="Normal"/>
        <w:numPr>
          <w:ilvl w:val="1"/>
          <w:numId w:val="12"/>
        </w:numPr>
        <w:spacing w:lineRule="auto" w:line="276" w:before="0" w:after="0"/>
        <w:ind w:hanging="0" w:left="284"/>
        <w:jc w:val="both"/>
        <w:rPr>
          <w:rFonts w:ascii="Arial" w:hAnsi="Arial" w:eastAsia="Arial" w:cs="Arial"/>
          <w:sz w:val="20"/>
          <w:szCs w:val="20"/>
        </w:rPr>
      </w:pPr>
      <w:r>
        <w:rPr>
          <w:rFonts w:eastAsia="Arial" w:cs="Arial" w:ascii="Arial" w:hAnsi="Arial"/>
          <w:color w:val="000000"/>
          <w:sz w:val="20"/>
          <w:szCs w:val="20"/>
        </w:rPr>
        <w:t>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pPr>
        <w:pStyle w:val="Normal"/>
        <w:numPr>
          <w:ilvl w:val="1"/>
          <w:numId w:val="12"/>
        </w:numPr>
        <w:spacing w:lineRule="auto" w:line="276" w:before="0" w:after="0"/>
        <w:ind w:hanging="0" w:left="284"/>
        <w:jc w:val="both"/>
        <w:rPr>
          <w:rFonts w:ascii="Arial" w:hAnsi="Arial" w:eastAsia="Arial" w:cs="Arial"/>
          <w:sz w:val="20"/>
          <w:szCs w:val="20"/>
        </w:rPr>
      </w:pPr>
      <w:r>
        <w:rPr>
          <w:rFonts w:eastAsia="Arial" w:cs="Arial" w:ascii="Arial" w:hAnsi="Arial"/>
          <w:color w:val="000000"/>
          <w:sz w:val="20"/>
          <w:szCs w:val="20"/>
        </w:rPr>
        <w:t>Os bens serão recebidos definitivamente no prazo de 07.(sete) dias, contados do recebimento provisório, após a verificação da qualidade e quantidade do material e consequente aceitação mediante termo detalhado.</w:t>
      </w:r>
    </w:p>
    <w:p>
      <w:pPr>
        <w:pStyle w:val="Normal"/>
        <w:spacing w:lineRule="auto" w:line="276" w:before="0" w:after="0"/>
        <w:ind w:left="284"/>
        <w:jc w:val="both"/>
        <w:rPr>
          <w:rFonts w:ascii="Arial" w:hAnsi="Arial" w:eastAsia="Arial" w:cs="Arial"/>
          <w:color w:val="000000"/>
          <w:sz w:val="20"/>
          <w:szCs w:val="20"/>
        </w:rPr>
      </w:pPr>
      <w:r>
        <w:rPr>
          <w:rFonts w:eastAsia="Arial" w:cs="Arial" w:ascii="Arial" w:hAnsi="Arial"/>
          <w:color w:val="000000"/>
          <w:sz w:val="20"/>
          <w:szCs w:val="20"/>
        </w:rPr>
      </w:r>
    </w:p>
    <w:p>
      <w:pPr>
        <w:pStyle w:val="Normal"/>
        <w:numPr>
          <w:ilvl w:val="2"/>
          <w:numId w:val="12"/>
        </w:numPr>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t>Na hipótese de a verificação a que se refere o subitem anterior não ser procedida dentro do prazo fixado, reputar-se-á como realizada, consumando-se o recebimento definitivo no dia do esgotamento do prazo.</w:t>
      </w:r>
    </w:p>
    <w:p>
      <w:pPr>
        <w:pStyle w:val="Normal"/>
        <w:numPr>
          <w:ilvl w:val="1"/>
          <w:numId w:val="12"/>
        </w:numPr>
        <w:spacing w:lineRule="auto" w:line="276" w:before="0" w:after="0"/>
        <w:ind w:hanging="0" w:left="284"/>
        <w:jc w:val="both"/>
        <w:rPr>
          <w:rFonts w:ascii="Arial" w:hAnsi="Arial" w:eastAsia="Arial" w:cs="Arial"/>
          <w:sz w:val="20"/>
          <w:szCs w:val="20"/>
        </w:rPr>
      </w:pPr>
      <w:r>
        <w:rPr>
          <w:rFonts w:eastAsia="Arial" w:cs="Arial" w:ascii="Arial" w:hAnsi="Arial"/>
          <w:color w:val="000000"/>
          <w:sz w:val="20"/>
          <w:szCs w:val="20"/>
        </w:rPr>
        <w:t>O recebimento provisório ou definitivo não excluirá a responsabilidade civil pela solidez e pela segurança do serviço nem a responsabilidade ético-profissional pela perfeita execução do contrato.</w:t>
      </w:r>
    </w:p>
    <w:p>
      <w:pPr>
        <w:pStyle w:val="Normal"/>
        <w:keepNext w:val="true"/>
        <w:keepLines/>
        <w:spacing w:lineRule="auto" w:line="276" w:before="0" w:after="0"/>
        <w:ind w:hanging="360" w:left="360"/>
        <w:jc w:val="both"/>
        <w:rPr>
          <w:rFonts w:ascii="Arial" w:hAnsi="Arial" w:eastAsia="Arial" w:cs="Arial"/>
          <w:b/>
          <w:color w:val="FF0000"/>
          <w:sz w:val="20"/>
          <w:szCs w:val="20"/>
        </w:rPr>
      </w:pPr>
      <w:r>
        <w:rPr>
          <w:rFonts w:eastAsia="Arial" w:cs="Arial" w:ascii="Arial" w:hAnsi="Arial"/>
          <w:b/>
          <w:color w:val="FF0000"/>
          <w:sz w:val="20"/>
          <w:szCs w:val="20"/>
        </w:rPr>
      </w:r>
    </w:p>
    <w:p>
      <w:pPr>
        <w:pStyle w:val="Normal"/>
        <w:keepNext w:val="true"/>
        <w:keepLines/>
        <w:numPr>
          <w:ilvl w:val="0"/>
          <w:numId w:val="12"/>
        </w:numPr>
        <w:spacing w:lineRule="auto" w:line="276" w:before="0" w:after="0"/>
        <w:jc w:val="both"/>
        <w:rPr>
          <w:rFonts w:ascii="Arial" w:hAnsi="Arial" w:eastAsia="Arial" w:cs="Arial"/>
          <w:b/>
          <w:color w:val="000000"/>
          <w:sz w:val="20"/>
          <w:szCs w:val="20"/>
        </w:rPr>
      </w:pPr>
      <w:r>
        <w:rPr>
          <w:rFonts w:eastAsia="Arial" w:cs="Arial" w:ascii="Arial" w:hAnsi="Arial"/>
          <w:b/>
          <w:color w:val="000000"/>
          <w:sz w:val="20"/>
          <w:szCs w:val="20"/>
        </w:rPr>
        <w:t>MODELO DE GESTÃO DO CONTRATO (art. 6º, XXIII, alínea “f”, da Lei nº 14.133/21)</w:t>
      </w:r>
    </w:p>
    <w:p>
      <w:pPr>
        <w:pStyle w:val="Normal"/>
        <w:spacing w:lineRule="auto" w:line="276"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numPr>
          <w:ilvl w:val="1"/>
          <w:numId w:val="1"/>
        </w:numPr>
        <w:spacing w:lineRule="auto" w:line="276" w:before="0" w:after="0"/>
        <w:ind w:hanging="0" w:left="0"/>
        <w:jc w:val="both"/>
        <w:rPr>
          <w:rFonts w:ascii="Arial" w:hAnsi="Arial" w:eastAsia="Arial" w:cs="Arial"/>
          <w:color w:val="000000"/>
          <w:sz w:val="20"/>
          <w:szCs w:val="20"/>
        </w:rPr>
      </w:pPr>
      <w:r>
        <w:rPr>
          <w:rFonts w:eastAsia="Arial" w:cs="Arial" w:ascii="Arial" w:hAnsi="Arial"/>
          <w:color w:val="000000"/>
          <w:sz w:val="20"/>
          <w:szCs w:val="20"/>
        </w:rPr>
        <w:t xml:space="preserve">O contrato deverá ser executado fielmente pelas partes, de acordo com as cláusulas avençadas e as normas da Lei nº 14.133, de 2021, e cada parte responderá pelas </w:t>
      </w:r>
      <w:r>
        <w:rPr>
          <w:rFonts w:eastAsia="Arial" w:cs="Arial" w:ascii="Arial" w:hAnsi="Arial"/>
          <w:sz w:val="20"/>
          <w:szCs w:val="20"/>
        </w:rPr>
        <w:t>consequências</w:t>
      </w:r>
      <w:r>
        <w:rPr>
          <w:rFonts w:eastAsia="Arial" w:cs="Arial" w:ascii="Arial" w:hAnsi="Arial"/>
          <w:color w:val="000000"/>
          <w:sz w:val="20"/>
          <w:szCs w:val="20"/>
        </w:rPr>
        <w:t xml:space="preserve"> de sua inexecução total ou parcial (Lei nº 14.133/2021, art. 115, </w:t>
      </w:r>
      <w:r>
        <w:rPr>
          <w:rFonts w:eastAsia="Arial" w:cs="Arial" w:ascii="Arial" w:hAnsi="Arial"/>
          <w:i/>
          <w:color w:val="000000"/>
          <w:sz w:val="20"/>
          <w:szCs w:val="20"/>
        </w:rPr>
        <w:t>caput</w:t>
      </w:r>
      <w:r>
        <w:rPr>
          <w:rFonts w:eastAsia="Arial" w:cs="Arial" w:ascii="Arial" w:hAnsi="Arial"/>
          <w:color w:val="000000"/>
          <w:sz w:val="20"/>
          <w:szCs w:val="20"/>
        </w:rPr>
        <w:t>).</w:t>
      </w:r>
    </w:p>
    <w:p>
      <w:pPr>
        <w:pStyle w:val="Normal"/>
        <w:numPr>
          <w:ilvl w:val="1"/>
          <w:numId w:val="1"/>
        </w:numPr>
        <w:spacing w:lineRule="auto" w:line="276" w:before="0" w:after="0"/>
        <w:ind w:hanging="0" w:left="0"/>
        <w:jc w:val="both"/>
        <w:rPr>
          <w:rFonts w:ascii="Arial" w:hAnsi="Arial" w:eastAsia="Arial" w:cs="Arial"/>
          <w:color w:val="000000"/>
          <w:sz w:val="20"/>
          <w:szCs w:val="20"/>
        </w:rPr>
      </w:pPr>
      <w:bookmarkStart w:id="3" w:name="bookmark=id.1fob9te"/>
      <w:bookmarkStart w:id="4" w:name="bookmark=id.3znysh7"/>
      <w:bookmarkEnd w:id="3"/>
      <w:bookmarkEnd w:id="4"/>
      <w:r>
        <w:rPr>
          <w:rFonts w:eastAsia="Arial" w:cs="Arial" w:ascii="Arial" w:hAnsi="Arial"/>
          <w:color w:val="000000"/>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pPr>
        <w:pStyle w:val="Normal"/>
        <w:numPr>
          <w:ilvl w:val="1"/>
          <w:numId w:val="1"/>
        </w:numPr>
        <w:spacing w:lineRule="auto" w:line="276" w:before="0" w:after="0"/>
        <w:ind w:hanging="0" w:left="0"/>
        <w:jc w:val="both"/>
        <w:rPr>
          <w:rFonts w:ascii="Arial" w:hAnsi="Arial" w:eastAsia="Arial" w:cs="Arial"/>
          <w:color w:val="000000"/>
          <w:sz w:val="20"/>
          <w:szCs w:val="20"/>
        </w:rPr>
      </w:pPr>
      <w:bookmarkStart w:id="5" w:name="bookmark=id.2et92p0"/>
      <w:bookmarkEnd w:id="5"/>
      <w:r>
        <w:rPr>
          <w:rFonts w:eastAsia="Arial" w:cs="Arial" w:ascii="Arial" w:hAnsi="Arial"/>
          <w:color w:val="000000"/>
          <w:sz w:val="20"/>
          <w:szCs w:val="20"/>
        </w:rPr>
        <w:t xml:space="preserve">A execução do contrato deverá ser acompanhada e fiscalizada pelo(s) fiscal,(is) do contrato, ou pelos respectivos substitutos (Lei nº 14.133/2021, art. 117, </w:t>
      </w:r>
      <w:r>
        <w:rPr>
          <w:rFonts w:eastAsia="Arial" w:cs="Arial" w:ascii="Arial" w:hAnsi="Arial"/>
          <w:i/>
          <w:color w:val="000000"/>
          <w:sz w:val="20"/>
          <w:szCs w:val="20"/>
        </w:rPr>
        <w:t>caput</w:t>
      </w:r>
      <w:r>
        <w:rPr>
          <w:rFonts w:eastAsia="Arial" w:cs="Arial" w:ascii="Arial" w:hAnsi="Arial"/>
          <w:color w:val="000000"/>
          <w:sz w:val="20"/>
          <w:szCs w:val="20"/>
        </w:rPr>
        <w:t>).</w:t>
      </w:r>
    </w:p>
    <w:p>
      <w:pPr>
        <w:pStyle w:val="Normal"/>
        <w:numPr>
          <w:ilvl w:val="2"/>
          <w:numId w:val="1"/>
        </w:numPr>
        <w:spacing w:lineRule="auto" w:line="276" w:before="0" w:after="0"/>
        <w:ind w:hanging="0" w:left="425"/>
        <w:jc w:val="both"/>
        <w:rPr/>
      </w:pPr>
      <w:r>
        <w:rPr>
          <w:rFonts w:eastAsia="Arial" w:cs="Arial" w:ascii="Arial" w:hAnsi="Arial"/>
          <w:color w:val="000000"/>
          <w:sz w:val="20"/>
          <w:szCs w:val="20"/>
        </w:rPr>
        <w:t>O fiscal do contrato anotará em registro próprio todas as ocorrências relacionadas à execução do contrato, determinando o que for necessário para a regularização das faltas ou dos defeitos observados (Lei nº 14.133/2021, art. 117, §1º).</w:t>
      </w:r>
    </w:p>
    <w:p>
      <w:pPr>
        <w:pStyle w:val="Normal"/>
        <w:numPr>
          <w:ilvl w:val="2"/>
          <w:numId w:val="1"/>
        </w:numPr>
        <w:spacing w:lineRule="auto" w:line="276" w:before="0" w:after="0"/>
        <w:ind w:hanging="0" w:left="425"/>
        <w:jc w:val="both"/>
        <w:rPr/>
      </w:pPr>
      <w:bookmarkStart w:id="6" w:name="bookmark=id.tyjcwt"/>
      <w:bookmarkEnd w:id="6"/>
      <w:r>
        <w:rPr>
          <w:rFonts w:eastAsia="Arial" w:cs="Arial" w:ascii="Arial" w:hAnsi="Arial"/>
          <w:color w:val="000000"/>
          <w:sz w:val="20"/>
          <w:szCs w:val="20"/>
        </w:rPr>
        <w:t>O fiscal do contrato informará a seus superiores, em tempo hábil para a adoção das medidas convenientes, a situação que demandar decisão ou providência que ultrapasse sua competência (Lei nº 14.133/2021, art. 117, §2º).</w:t>
      </w:r>
    </w:p>
    <w:p>
      <w:pPr>
        <w:pStyle w:val="Normal"/>
        <w:numPr>
          <w:ilvl w:val="1"/>
          <w:numId w:val="1"/>
        </w:numPr>
        <w:spacing w:lineRule="auto" w:line="276" w:before="0" w:after="0"/>
        <w:ind w:hanging="0" w:left="0"/>
        <w:jc w:val="both"/>
        <w:rPr>
          <w:rFonts w:ascii="Arial" w:hAnsi="Arial" w:eastAsia="Arial" w:cs="Arial"/>
          <w:color w:val="000000"/>
          <w:sz w:val="20"/>
          <w:szCs w:val="20"/>
        </w:rPr>
      </w:pPr>
      <w:r>
        <w:rPr>
          <w:rFonts w:eastAsia="Arial" w:cs="Arial" w:ascii="Arial" w:hAnsi="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pPr>
        <w:pStyle w:val="Normal"/>
        <w:numPr>
          <w:ilvl w:val="1"/>
          <w:numId w:val="1"/>
        </w:numPr>
        <w:spacing w:lineRule="auto" w:line="276" w:before="0" w:after="0"/>
        <w:ind w:hanging="0" w:left="0"/>
        <w:jc w:val="both"/>
        <w:rPr>
          <w:rFonts w:ascii="Arial" w:hAnsi="Arial" w:eastAsia="Arial" w:cs="Arial"/>
          <w:color w:val="000000"/>
          <w:sz w:val="20"/>
          <w:szCs w:val="20"/>
        </w:rPr>
      </w:pPr>
      <w:bookmarkStart w:id="7" w:name="bookmark=id.3dy6vkm"/>
      <w:bookmarkEnd w:id="7"/>
      <w:r>
        <w:rPr>
          <w:rFonts w:eastAsia="Arial" w:cs="Arial" w:ascii="Arial" w:hAnsi="Arial"/>
          <w:color w:val="000000"/>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pPr>
        <w:pStyle w:val="Normal"/>
        <w:numPr>
          <w:ilvl w:val="1"/>
          <w:numId w:val="1"/>
        </w:numPr>
        <w:spacing w:lineRule="auto" w:line="276" w:before="0" w:after="0"/>
        <w:ind w:hanging="0" w:left="0"/>
        <w:jc w:val="both"/>
        <w:rPr>
          <w:rFonts w:ascii="Arial" w:hAnsi="Arial" w:eastAsia="Arial" w:cs="Arial"/>
          <w:color w:val="000000"/>
          <w:sz w:val="20"/>
          <w:szCs w:val="20"/>
        </w:rPr>
      </w:pPr>
      <w:bookmarkStart w:id="8" w:name="bookmark=id.1t3h5sf"/>
      <w:bookmarkEnd w:id="8"/>
      <w:r>
        <w:rPr>
          <w:rFonts w:eastAsia="Arial" w:cs="Arial" w:ascii="Arial" w:hAnsi="Arial"/>
          <w:color w:val="000000"/>
          <w:sz w:val="20"/>
          <w:szCs w:val="20"/>
        </w:rPr>
        <w:t xml:space="preserve">Somente o contratado será responsável pelos encargos trabalhistas, previdenciários, fiscais e comerciais resultantes da execução do contrato (Lei nº 14.133/2021, art. 121, </w:t>
      </w:r>
      <w:r>
        <w:rPr>
          <w:rFonts w:eastAsia="Arial" w:cs="Arial" w:ascii="Arial" w:hAnsi="Arial"/>
          <w:i/>
          <w:color w:val="000000"/>
          <w:sz w:val="20"/>
          <w:szCs w:val="20"/>
        </w:rPr>
        <w:t>caput</w:t>
      </w:r>
      <w:r>
        <w:rPr>
          <w:rFonts w:eastAsia="Arial" w:cs="Arial" w:ascii="Arial" w:hAnsi="Arial"/>
          <w:color w:val="000000"/>
          <w:sz w:val="20"/>
          <w:szCs w:val="20"/>
        </w:rPr>
        <w:t>).</w:t>
      </w:r>
    </w:p>
    <w:p>
      <w:pPr>
        <w:pStyle w:val="Normal"/>
        <w:numPr>
          <w:ilvl w:val="2"/>
          <w:numId w:val="1"/>
        </w:numPr>
        <w:spacing w:lineRule="auto" w:line="276" w:before="0" w:after="0"/>
        <w:ind w:hanging="0" w:left="425"/>
        <w:jc w:val="both"/>
        <w:rPr/>
      </w:pPr>
      <w:bookmarkStart w:id="9" w:name="bookmark=id.4d34og8"/>
      <w:bookmarkEnd w:id="9"/>
      <w:r>
        <w:rPr>
          <w:rFonts w:eastAsia="Arial" w:cs="Arial" w:ascii="Arial" w:hAnsi="Arial"/>
          <w:color w:val="000000"/>
          <w:sz w:val="20"/>
          <w:szCs w:val="20"/>
        </w:rPr>
        <w:t>A inadimplência do contratado em relação aos encargos trabalhistas, fiscais e comerciais não transferirá à Administração a responsabilidade pelo seu pagamento e não poderá onerar o objeto do contrato (Lei nº 14.133/2021, art. 121, §1º).</w:t>
      </w:r>
    </w:p>
    <w:p>
      <w:pPr>
        <w:pStyle w:val="Normal"/>
        <w:numPr>
          <w:ilvl w:val="1"/>
          <w:numId w:val="1"/>
        </w:numPr>
        <w:spacing w:lineRule="auto" w:line="276" w:before="0" w:after="0"/>
        <w:ind w:hanging="0" w:left="0"/>
        <w:jc w:val="both"/>
        <w:rPr>
          <w:rFonts w:ascii="Arial" w:hAnsi="Arial" w:eastAsia="Arial" w:cs="Arial"/>
          <w:color w:val="000000"/>
          <w:sz w:val="20"/>
          <w:szCs w:val="20"/>
        </w:rPr>
      </w:pPr>
      <w:bookmarkStart w:id="10" w:name="bookmark=id.2s8eyo1"/>
      <w:bookmarkStart w:id="11" w:name="bookmark=id.26in1rg"/>
      <w:bookmarkStart w:id="12" w:name="bookmark=id.17dp8vu"/>
      <w:bookmarkStart w:id="13" w:name="bookmark=id.3rdcrjn"/>
      <w:bookmarkStart w:id="14" w:name="bookmark=id.lnxbz9"/>
      <w:bookmarkEnd w:id="10"/>
      <w:bookmarkEnd w:id="11"/>
      <w:bookmarkEnd w:id="12"/>
      <w:bookmarkEnd w:id="13"/>
      <w:bookmarkEnd w:id="14"/>
      <w:r>
        <w:rPr>
          <w:rFonts w:eastAsia="Arial" w:cs="Arial" w:ascii="Arial" w:hAnsi="Arial"/>
          <w:color w:val="000000"/>
          <w:sz w:val="20"/>
          <w:szCs w:val="20"/>
        </w:rPr>
        <w:t>As comunicações entre o órgão ou entidade e a contratada devem ser realizadas por escrito sempre que o ato exigir tal formalidade, admitindo-se, excepcionalmente, o uso de mensagem eletrônica para esse fim (IN 5/2017, art. 44, §2º).</w:t>
      </w:r>
    </w:p>
    <w:p>
      <w:pPr>
        <w:pStyle w:val="Normal"/>
        <w:numPr>
          <w:ilvl w:val="1"/>
          <w:numId w:val="1"/>
        </w:numPr>
        <w:spacing w:lineRule="auto" w:line="276" w:before="0" w:after="0"/>
        <w:ind w:hanging="0" w:left="0"/>
        <w:jc w:val="both"/>
        <w:rPr>
          <w:rFonts w:ascii="Arial" w:hAnsi="Arial" w:eastAsia="Arial" w:cs="Arial"/>
          <w:color w:val="000000"/>
          <w:sz w:val="20"/>
          <w:szCs w:val="20"/>
        </w:rPr>
      </w:pPr>
      <w:r>
        <w:rPr>
          <w:rFonts w:eastAsia="Arial" w:cs="Arial" w:ascii="Arial" w:hAnsi="Arial"/>
          <w:color w:val="000000"/>
          <w:sz w:val="20"/>
          <w:szCs w:val="20"/>
        </w:rPr>
        <w:t>O órgão ou entidade poderá convocar representante da empresa para adoção de providências que devam ser cumpridas de imediato (IN 5/2017, art. 44, 31º).</w:t>
      </w:r>
    </w:p>
    <w:p>
      <w:pPr>
        <w:pStyle w:val="Normal"/>
        <w:numPr>
          <w:ilvl w:val="1"/>
          <w:numId w:val="1"/>
        </w:numPr>
        <w:spacing w:lineRule="auto" w:line="276" w:before="0" w:after="0"/>
        <w:ind w:hanging="0" w:left="0"/>
        <w:jc w:val="both"/>
        <w:rPr>
          <w:rFonts w:ascii="Arial" w:hAnsi="Arial" w:eastAsia="Arial" w:cs="Arial"/>
          <w:color w:val="000000"/>
          <w:sz w:val="20"/>
          <w:szCs w:val="20"/>
        </w:rPr>
      </w:pPr>
      <w:r>
        <w:rPr>
          <w:rFonts w:eastAsia="Arial" w:cs="Arial" w:ascii="Arial" w:hAnsi="Arial"/>
          <w:color w:val="000000"/>
          <w:sz w:val="20"/>
          <w:szCs w:val="20"/>
        </w:rPr>
        <w:t>Após a assinatura do contrato ou instrumento equivalente</w:t>
      </w:r>
      <w:r>
        <w:rPr>
          <w:rFonts w:eastAsia="Arial" w:cs="Arial" w:ascii="Arial" w:hAnsi="Arial"/>
          <w:strike/>
          <w:color w:val="000000"/>
          <w:sz w:val="20"/>
          <w:szCs w:val="20"/>
        </w:rPr>
        <w:t>,</w:t>
      </w:r>
      <w:r>
        <w:rPr>
          <w:rFonts w:eastAsia="Arial" w:cs="Arial" w:ascii="Arial" w:hAnsi="Arial"/>
          <w:color w:val="000000"/>
          <w:sz w:val="20"/>
          <w:szCs w:val="20"/>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pPr>
        <w:pStyle w:val="Normal"/>
        <w:numPr>
          <w:ilvl w:val="1"/>
          <w:numId w:val="1"/>
        </w:numPr>
        <w:spacing w:lineRule="auto" w:line="276" w:before="0" w:after="0"/>
        <w:ind w:hanging="0" w:left="0"/>
        <w:jc w:val="both"/>
        <w:rPr>
          <w:rFonts w:ascii="Arial" w:hAnsi="Arial" w:eastAsia="Arial" w:cs="Arial"/>
          <w:color w:val="000000"/>
          <w:sz w:val="20"/>
          <w:szCs w:val="20"/>
        </w:rPr>
      </w:pPr>
      <w:r>
        <w:rPr>
          <w:rFonts w:eastAsia="Arial" w:cs="Arial" w:ascii="Arial" w:hAnsi="Arial"/>
          <w:color w:val="000000"/>
          <w:sz w:val="20"/>
          <w:szCs w:val="20"/>
        </w:rPr>
        <w:t>Antes do pagamento da nota fiscal ou da fatura, deverá ser consultada a situação da empresa junto ao SICAF.</w:t>
      </w:r>
    </w:p>
    <w:p>
      <w:pPr>
        <w:pStyle w:val="Normal"/>
        <w:numPr>
          <w:ilvl w:val="1"/>
          <w:numId w:val="1"/>
        </w:numPr>
        <w:spacing w:lineRule="auto" w:line="276" w:before="0" w:after="0"/>
        <w:ind w:hanging="0" w:left="0"/>
        <w:jc w:val="both"/>
        <w:rPr>
          <w:rFonts w:ascii="Arial" w:hAnsi="Arial" w:eastAsia="Arial" w:cs="Arial"/>
          <w:color w:val="000000"/>
          <w:sz w:val="20"/>
          <w:szCs w:val="20"/>
        </w:rPr>
      </w:pPr>
      <w:r>
        <w:rPr>
          <w:rFonts w:eastAsia="Arial" w:cs="Arial" w:ascii="Arial" w:hAnsi="Arial"/>
          <w:color w:val="000000"/>
          <w:sz w:val="20"/>
          <w:szCs w:val="20"/>
        </w:rPr>
        <w:t>Será exigida a Certidão Negativa de Débito (CND) relativa a Créditos Tributários Federais e à Dívida Ativa da União, o Certificado de Regularidade do FGTS (CRF) e a Certidão Negativa de Débitos Trabalhistas (CNDT), caso esses documentos não estejam regularizados no SICAF.</w:t>
      </w:r>
    </w:p>
    <w:p>
      <w:pPr>
        <w:pStyle w:val="Normal"/>
        <w:spacing w:lineRule="auto" w:line="276" w:before="120" w:after="120"/>
        <w:jc w:val="both"/>
        <w:rPr>
          <w:rFonts w:ascii="Arial" w:hAnsi="Arial" w:eastAsia="Arial" w:cs="Arial"/>
          <w:i/>
          <w:i/>
          <w:color w:val="FF0000"/>
          <w:sz w:val="20"/>
          <w:szCs w:val="20"/>
        </w:rPr>
      </w:pPr>
      <w:r>
        <w:rPr>
          <w:rFonts w:eastAsia="Arial" w:cs="Arial" w:ascii="Arial" w:hAnsi="Arial"/>
          <w:i/>
          <w:color w:val="FF0000"/>
          <w:sz w:val="20"/>
          <w:szCs w:val="20"/>
        </w:rPr>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O fornecedor será selecionado por meio da realização de procedimento de dispensa de licitação, com fundamento na hipótese do art. 75, inciso II, da Lei nº 14.133/2021 (indicar um dos incisos do art. 75, da Lei nº 14.133/2021, conforme o caso concreto).</w:t>
      </w:r>
    </w:p>
    <w:p>
      <w:pPr>
        <w:pStyle w:val="Normal"/>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pPr>
        <w:pStyle w:val="Normal"/>
        <w:spacing w:lineRule="auto" w:line="276" w:before="120" w:after="0"/>
        <w:ind w:left="1134"/>
        <w:jc w:val="both"/>
        <w:rPr>
          <w:rFonts w:ascii="Arial" w:hAnsi="Arial" w:eastAsia="Arial" w:cs="Arial"/>
          <w:i/>
          <w:i/>
          <w:color w:val="000000"/>
          <w:sz w:val="20"/>
          <w:szCs w:val="20"/>
        </w:rPr>
      </w:pPr>
      <w:r>
        <w:rPr>
          <w:rFonts w:eastAsia="Arial" w:cs="Arial" w:ascii="Arial" w:hAnsi="Arial"/>
          <w:i/>
          <w:color w:val="000000"/>
          <w:sz w:val="20"/>
          <w:szCs w:val="20"/>
        </w:rPr>
        <w:t xml:space="preserve">a) SICAF;  </w:t>
      </w:r>
    </w:p>
    <w:p>
      <w:pPr>
        <w:pStyle w:val="Normal"/>
        <w:spacing w:lineRule="auto" w:line="276" w:before="0" w:after="0"/>
        <w:ind w:left="1134"/>
        <w:jc w:val="both"/>
        <w:rPr>
          <w:rFonts w:ascii="Arial" w:hAnsi="Arial" w:eastAsia="Arial" w:cs="Arial"/>
          <w:i/>
          <w:i/>
          <w:color w:val="000000"/>
          <w:sz w:val="20"/>
          <w:szCs w:val="20"/>
        </w:rPr>
      </w:pPr>
      <w:r>
        <w:rPr>
          <w:rFonts w:eastAsia="Arial" w:cs="Arial" w:ascii="Arial" w:hAnsi="Arial"/>
          <w:i/>
          <w:color w:val="000000"/>
          <w:sz w:val="20"/>
          <w:szCs w:val="20"/>
        </w:rPr>
        <w:t>b) Cadastro Nacional de Empresas Inidôneas e Suspensas - CEIS, mantido pela Controladoria-Geral da União (</w:t>
      </w:r>
      <w:hyperlink r:id="rId4">
        <w:r>
          <w:rPr>
            <w:rFonts w:eastAsia="Arial" w:cs="Arial" w:ascii="Arial" w:hAnsi="Arial"/>
            <w:i/>
            <w:color w:val="000000"/>
            <w:sz w:val="20"/>
            <w:szCs w:val="20"/>
            <w:u w:val="single"/>
          </w:rPr>
          <w:t>www.portaldatransparencia.gov.br/ceis</w:t>
        </w:r>
      </w:hyperlink>
      <w:r>
        <w:rPr>
          <w:rFonts w:eastAsia="Arial" w:cs="Arial" w:ascii="Arial" w:hAnsi="Arial"/>
          <w:i/>
          <w:color w:val="000000"/>
          <w:sz w:val="20"/>
          <w:szCs w:val="20"/>
        </w:rPr>
        <w:t xml:space="preserve">);  </w:t>
      </w:r>
    </w:p>
    <w:p>
      <w:pPr>
        <w:pStyle w:val="Normal"/>
        <w:spacing w:lineRule="auto" w:line="276" w:before="0" w:after="120"/>
        <w:ind w:left="1134"/>
        <w:jc w:val="both"/>
        <w:rPr>
          <w:rFonts w:ascii="Arial" w:hAnsi="Arial" w:eastAsia="Arial" w:cs="Arial"/>
          <w:i/>
          <w:i/>
          <w:color w:val="000000"/>
          <w:sz w:val="20"/>
          <w:szCs w:val="20"/>
        </w:rPr>
      </w:pPr>
      <w:r>
        <w:rPr>
          <w:rFonts w:eastAsia="Arial" w:cs="Arial" w:ascii="Arial" w:hAnsi="Arial"/>
          <w:i/>
          <w:color w:val="000000"/>
          <w:sz w:val="20"/>
          <w:szCs w:val="20"/>
        </w:rPr>
        <w:t>c) Cadastro Nacional de Empresas Punidas – CNEP, mantido pela Controladoria-Geral da União (</w:t>
      </w:r>
      <w:hyperlink r:id="rId5">
        <w:r>
          <w:rPr>
            <w:rFonts w:eastAsia="Arial" w:cs="Arial" w:ascii="Arial" w:hAnsi="Arial"/>
            <w:i/>
            <w:color w:val="000000"/>
            <w:sz w:val="20"/>
            <w:szCs w:val="20"/>
            <w:u w:val="single"/>
          </w:rPr>
          <w:t>https://www.portaltransparencia.gov.br/sancoes/cnep</w:t>
        </w:r>
      </w:hyperlink>
      <w:r>
        <w:rPr>
          <w:rFonts w:eastAsia="Arial" w:cs="Arial" w:ascii="Arial" w:hAnsi="Arial"/>
          <w:i/>
          <w:color w:val="000000"/>
          <w:sz w:val="20"/>
          <w:szCs w:val="20"/>
        </w:rPr>
        <w:t>)</w:t>
      </w:r>
    </w:p>
    <w:p>
      <w:pPr>
        <w:pStyle w:val="Normal"/>
        <w:spacing w:lineRule="auto" w:line="276" w:before="0" w:after="0"/>
        <w:ind w:left="284"/>
        <w:jc w:val="both"/>
        <w:rPr>
          <w:rFonts w:ascii="Arial" w:hAnsi="Arial" w:eastAsia="Arial" w:cs="Arial"/>
          <w:i/>
          <w:i/>
          <w:color w:val="000000"/>
          <w:sz w:val="20"/>
          <w:szCs w:val="20"/>
        </w:rPr>
      </w:pPr>
      <w:r>
        <w:rPr>
          <w:rFonts w:eastAsia="Arial" w:cs="Arial" w:ascii="Arial" w:hAnsi="Arial"/>
          <w:i/>
          <w:color w:val="000000"/>
          <w:sz w:val="20"/>
          <w:szCs w:val="20"/>
        </w:rPr>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A tentativa de burla será verificada por meio dos vínculos societários, linhas de fornecimento similares, dentre outros.</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O fornecedor será convocado para manifestação previamente a uma eventual negativa de contratação.</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Caso atendidas as condições para contratação, a habilitação do fornecedor será verificada por meio do SICAF, nos documentos por ele abrangidos.</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É dever do fornecedor manter atualizada a respectiva documentação constante do SICAF, ou encaminhar, quando solicitado pela Administração, a respectiva documentação atualizada.</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Não serão aceitos documentos de habilitação com indicação de CNPJ/CPF diferentes, salvo aqueles legalmente permitidos.</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Serão aceitos registros de CNPJ de fornecedor matriz e filial com diferenças de números de documentos pertinentes ao CND e ao CRF/FGTS, quando for comprovada a centralização do recolhimento dessas contribuições.</w:t>
      </w:r>
    </w:p>
    <w:p>
      <w:pPr>
        <w:pStyle w:val="Normal"/>
        <w:numPr>
          <w:ilvl w:val="1"/>
          <w:numId w:val="1"/>
        </w:numPr>
        <w:spacing w:lineRule="auto" w:line="276" w:before="0" w:after="0"/>
        <w:jc w:val="both"/>
        <w:rPr>
          <w:rFonts w:ascii="Arial" w:hAnsi="Arial" w:eastAsia="Arial" w:cs="Arial"/>
          <w:i/>
          <w:i/>
          <w:color w:val="000000"/>
          <w:sz w:val="20"/>
          <w:szCs w:val="20"/>
        </w:rPr>
      </w:pPr>
      <w:r>
        <w:rPr>
          <w:rFonts w:eastAsia="Arial" w:cs="Arial" w:ascii="Arial" w:hAnsi="Arial"/>
          <w:i/>
          <w:color w:val="000000"/>
          <w:sz w:val="20"/>
          <w:szCs w:val="20"/>
        </w:rPr>
        <w:t>Para fins de contratação, deverá o fornecedor comprovar os seguintes requisitos de habilitação:</w:t>
      </w:r>
    </w:p>
    <w:p>
      <w:pPr>
        <w:pStyle w:val="Normal"/>
        <w:numPr>
          <w:ilvl w:val="1"/>
          <w:numId w:val="1"/>
        </w:numPr>
        <w:spacing w:lineRule="auto" w:line="276" w:before="120" w:after="120"/>
        <w:jc w:val="both"/>
        <w:rPr>
          <w:rFonts w:ascii="Arial" w:hAnsi="Arial" w:eastAsia="Arial" w:cs="Arial"/>
          <w:b/>
          <w:sz w:val="20"/>
          <w:szCs w:val="20"/>
        </w:rPr>
      </w:pPr>
      <w:r>
        <w:rPr>
          <w:rFonts w:eastAsia="Arial" w:cs="Arial" w:ascii="Arial" w:hAnsi="Arial"/>
          <w:b/>
          <w:sz w:val="20"/>
          <w:szCs w:val="20"/>
        </w:rPr>
        <w:t xml:space="preserve">Habilitação Jurídica: </w:t>
      </w:r>
    </w:p>
    <w:p>
      <w:pPr>
        <w:pStyle w:val="Normal"/>
        <w:numPr>
          <w:ilvl w:val="2"/>
          <w:numId w:val="11"/>
        </w:numPr>
        <w:spacing w:lineRule="auto" w:line="276" w:before="120" w:after="120"/>
        <w:jc w:val="both"/>
        <w:rPr>
          <w:rFonts w:ascii="Arial" w:hAnsi="Arial" w:eastAsia="Arial" w:cs="Arial"/>
          <w:sz w:val="20"/>
          <w:szCs w:val="20"/>
        </w:rPr>
      </w:pPr>
      <w:r>
        <w:rPr>
          <w:rFonts w:eastAsia="Arial" w:cs="Arial" w:ascii="Arial" w:hAnsi="Arial"/>
          <w:b/>
          <w:sz w:val="20"/>
          <w:szCs w:val="20"/>
        </w:rPr>
        <w:t>Pessoa física:</w:t>
      </w:r>
      <w:r>
        <w:rPr>
          <w:rFonts w:eastAsia="Arial" w:cs="Arial" w:ascii="Arial" w:hAnsi="Arial"/>
          <w:sz w:val="20"/>
          <w:szCs w:val="20"/>
        </w:rPr>
        <w:t xml:space="preserve"> cédula de identidade (RG) ou documento equivalente que, por força de lei, tenha validade para fins de identificação em todo o território nacional;  </w:t>
      </w:r>
    </w:p>
    <w:p>
      <w:pPr>
        <w:pStyle w:val="Normal"/>
        <w:tabs>
          <w:tab w:val="clear" w:pos="720"/>
          <w:tab w:val="left" w:pos="1440" w:leader="none"/>
        </w:tabs>
        <w:spacing w:lineRule="auto" w:line="276" w:before="120" w:after="0"/>
        <w:ind w:left="2290"/>
        <w:jc w:val="both"/>
        <w:rPr>
          <w:rFonts w:ascii="Arial" w:hAnsi="Arial" w:eastAsia="Arial" w:cs="Arial"/>
          <w:b/>
          <w:color w:val="000000"/>
          <w:sz w:val="20"/>
          <w:szCs w:val="20"/>
          <w:u w:val="single"/>
        </w:rPr>
      </w:pPr>
      <w:r>
        <w:rPr>
          <w:rFonts w:eastAsia="Arial" w:cs="Arial" w:ascii="Arial" w:hAnsi="Arial"/>
          <w:b/>
          <w:color w:val="000000"/>
          <w:sz w:val="20"/>
          <w:szCs w:val="20"/>
          <w:u w:val="single"/>
        </w:rPr>
        <w:t xml:space="preserve">OU </w:t>
      </w:r>
    </w:p>
    <w:p>
      <w:pPr>
        <w:pStyle w:val="Normal"/>
        <w:tabs>
          <w:tab w:val="clear" w:pos="720"/>
          <w:tab w:val="left" w:pos="1440" w:leader="none"/>
        </w:tabs>
        <w:spacing w:lineRule="auto" w:line="276" w:before="0" w:after="120"/>
        <w:ind w:left="2290"/>
        <w:jc w:val="both"/>
        <w:rPr>
          <w:rFonts w:ascii="Arial" w:hAnsi="Arial" w:eastAsia="Arial" w:cs="Arial"/>
          <w:b/>
          <w:color w:val="000000"/>
          <w:sz w:val="20"/>
          <w:szCs w:val="20"/>
          <w:u w:val="single"/>
        </w:rPr>
      </w:pPr>
      <w:r>
        <w:rPr>
          <w:rFonts w:eastAsia="Arial" w:cs="Arial" w:ascii="Arial" w:hAnsi="Arial"/>
          <w:b/>
          <w:color w:val="000000"/>
          <w:sz w:val="20"/>
          <w:szCs w:val="20"/>
          <w:u w:val="single"/>
        </w:rPr>
      </w:r>
    </w:p>
    <w:p>
      <w:pPr>
        <w:pStyle w:val="Normal"/>
        <w:numPr>
          <w:ilvl w:val="2"/>
          <w:numId w:val="4"/>
        </w:numPr>
        <w:spacing w:lineRule="auto" w:line="276" w:before="120" w:after="120"/>
        <w:jc w:val="both"/>
        <w:rPr>
          <w:rFonts w:ascii="Arial" w:hAnsi="Arial" w:eastAsia="Arial" w:cs="Arial"/>
          <w:sz w:val="20"/>
          <w:szCs w:val="20"/>
        </w:rPr>
      </w:pPr>
      <w:r>
        <w:rPr>
          <w:rFonts w:eastAsia="Arial" w:cs="Arial" w:ascii="Arial" w:hAnsi="Arial"/>
          <w:b/>
          <w:sz w:val="20"/>
          <w:szCs w:val="20"/>
        </w:rPr>
        <w:t>Empresário individual</w:t>
      </w:r>
      <w:r>
        <w:rPr>
          <w:rFonts w:eastAsia="Arial" w:cs="Arial" w:ascii="Arial" w:hAnsi="Arial"/>
          <w:sz w:val="20"/>
          <w:szCs w:val="20"/>
        </w:rPr>
        <w:t xml:space="preserve">: inscrição no Registro Público de Empresas Mercantis, a cargo da Junta Comercial da respectiva sede; </w:t>
      </w:r>
    </w:p>
    <w:p>
      <w:pPr>
        <w:pStyle w:val="Normal"/>
        <w:tabs>
          <w:tab w:val="clear" w:pos="720"/>
          <w:tab w:val="left" w:pos="1440" w:leader="none"/>
        </w:tabs>
        <w:spacing w:lineRule="auto" w:line="276" w:before="120" w:after="120"/>
        <w:ind w:left="2290"/>
        <w:jc w:val="both"/>
        <w:rPr>
          <w:rFonts w:ascii="Arial" w:hAnsi="Arial" w:eastAsia="Arial" w:cs="Arial"/>
          <w:b/>
          <w:color w:val="000000"/>
          <w:sz w:val="20"/>
          <w:szCs w:val="20"/>
          <w:u w:val="single"/>
        </w:rPr>
      </w:pPr>
      <w:r>
        <w:rPr>
          <w:rFonts w:eastAsia="Arial" w:cs="Arial" w:ascii="Arial" w:hAnsi="Arial"/>
          <w:b/>
          <w:color w:val="000000"/>
          <w:sz w:val="20"/>
          <w:szCs w:val="20"/>
          <w:u w:val="single"/>
        </w:rPr>
        <w:t xml:space="preserve">OU </w:t>
      </w:r>
    </w:p>
    <w:p>
      <w:pPr>
        <w:pStyle w:val="Normal"/>
        <w:numPr>
          <w:ilvl w:val="2"/>
          <w:numId w:val="5"/>
        </w:numPr>
        <w:spacing w:lineRule="auto" w:line="276" w:before="120" w:after="120"/>
        <w:jc w:val="both"/>
        <w:rPr>
          <w:rFonts w:ascii="Arial" w:hAnsi="Arial" w:eastAsia="Arial" w:cs="Arial"/>
          <w:sz w:val="20"/>
          <w:szCs w:val="20"/>
        </w:rPr>
      </w:pPr>
      <w:r>
        <w:rPr>
          <w:rFonts w:eastAsia="Arial" w:cs="Arial" w:ascii="Arial" w:hAnsi="Arial"/>
          <w:b/>
          <w:sz w:val="20"/>
          <w:szCs w:val="20"/>
        </w:rPr>
        <w:t>Microempreendedor Individual - MEI</w:t>
      </w:r>
      <w:r>
        <w:rPr>
          <w:rFonts w:eastAsia="Arial" w:cs="Arial" w:ascii="Arial" w:hAnsi="Arial"/>
          <w:sz w:val="20"/>
          <w:szCs w:val="20"/>
        </w:rPr>
        <w:t xml:space="preserve">: Certificado da Condição de Microempreendedor Individual - CCMEI, cuja aceitação ficará condicionada à verificação da autenticidade no sítio </w:t>
      </w:r>
      <w:hyperlink r:id="rId6">
        <w:r>
          <w:rPr>
            <w:rFonts w:eastAsia="Arial" w:cs="Arial" w:ascii="Arial" w:hAnsi="Arial"/>
            <w:sz w:val="20"/>
            <w:szCs w:val="20"/>
            <w:u w:val="single"/>
          </w:rPr>
          <w:t>www.portaldoempreendedor.gov.br</w:t>
        </w:r>
      </w:hyperlink>
      <w:r>
        <w:rPr>
          <w:rFonts w:eastAsia="Arial" w:cs="Arial" w:ascii="Arial" w:hAnsi="Arial"/>
          <w:sz w:val="20"/>
          <w:szCs w:val="20"/>
        </w:rPr>
        <w:t xml:space="preserve">; </w:t>
      </w:r>
    </w:p>
    <w:p>
      <w:pPr>
        <w:pStyle w:val="Normal"/>
        <w:tabs>
          <w:tab w:val="clear" w:pos="720"/>
          <w:tab w:val="left" w:pos="1440" w:leader="none"/>
        </w:tabs>
        <w:spacing w:lineRule="auto" w:line="276" w:before="120" w:after="120"/>
        <w:ind w:left="2290"/>
        <w:jc w:val="both"/>
        <w:rPr>
          <w:rFonts w:ascii="Arial" w:hAnsi="Arial" w:eastAsia="Arial" w:cs="Arial"/>
          <w:b/>
          <w:color w:val="000000"/>
          <w:sz w:val="20"/>
          <w:szCs w:val="20"/>
          <w:u w:val="single"/>
        </w:rPr>
      </w:pPr>
      <w:r>
        <w:rPr>
          <w:rFonts w:eastAsia="Arial" w:cs="Arial" w:ascii="Arial" w:hAnsi="Arial"/>
          <w:b/>
          <w:color w:val="000000"/>
          <w:sz w:val="20"/>
          <w:szCs w:val="20"/>
          <w:u w:val="single"/>
        </w:rPr>
        <w:t xml:space="preserve">OU </w:t>
      </w:r>
    </w:p>
    <w:p>
      <w:pPr>
        <w:pStyle w:val="Normal"/>
        <w:numPr>
          <w:ilvl w:val="2"/>
          <w:numId w:val="6"/>
        </w:numPr>
        <w:spacing w:lineRule="auto" w:line="276" w:before="120" w:after="120"/>
        <w:jc w:val="both"/>
        <w:rPr>
          <w:rFonts w:ascii="Arial" w:hAnsi="Arial" w:eastAsia="Arial" w:cs="Arial"/>
          <w:sz w:val="20"/>
          <w:szCs w:val="20"/>
        </w:rPr>
      </w:pPr>
      <w:r>
        <w:rPr>
          <w:rFonts w:eastAsia="Arial" w:cs="Arial" w:ascii="Arial" w:hAnsi="Arial"/>
          <w:b/>
          <w:sz w:val="20"/>
          <w:szCs w:val="20"/>
        </w:rPr>
        <w:t>Sociedade empresária, sociedade limitada unipessoal – SLU ou sociedade identificada como empresa individual de responsabilidade limitada - EIRELI</w:t>
      </w:r>
      <w:r>
        <w:rPr>
          <w:rFonts w:eastAsia="Arial" w:cs="Arial" w:ascii="Arial" w:hAnsi="Arial"/>
          <w:sz w:val="20"/>
          <w:szCs w:val="20"/>
        </w:rPr>
        <w:t>: inscrição do ato constitutivo, estatuto ou contrato social no Registro Público de Empresas Mercantis, a cargo da Junta Comercial da respectiva sede, acompanhada de documento comprobatório de seus administradores;</w:t>
      </w:r>
    </w:p>
    <w:p>
      <w:pPr>
        <w:pStyle w:val="Normal"/>
        <w:numPr>
          <w:ilvl w:val="1"/>
          <w:numId w:val="6"/>
        </w:numPr>
        <w:spacing w:lineRule="auto" w:line="276" w:before="120" w:after="120"/>
        <w:jc w:val="both"/>
        <w:rPr>
          <w:rFonts w:ascii="Arial" w:hAnsi="Arial" w:eastAsia="Arial" w:cs="Arial"/>
          <w:b/>
          <w:sz w:val="20"/>
          <w:szCs w:val="20"/>
        </w:rPr>
      </w:pPr>
      <w:r>
        <w:rPr>
          <w:rFonts w:eastAsia="Arial" w:cs="Arial" w:ascii="Arial" w:hAnsi="Arial"/>
          <w:b/>
          <w:sz w:val="20"/>
          <w:szCs w:val="20"/>
        </w:rPr>
        <w:t>Habilitações fiscal, social e trabalhista:</w:t>
      </w:r>
    </w:p>
    <w:p>
      <w:pPr>
        <w:pStyle w:val="Normal"/>
        <w:numPr>
          <w:ilvl w:val="2"/>
          <w:numId w:val="13"/>
        </w:numPr>
        <w:spacing w:lineRule="auto" w:line="276" w:before="120" w:after="120"/>
        <w:jc w:val="both"/>
        <w:rPr>
          <w:rFonts w:ascii="Arial" w:hAnsi="Arial" w:eastAsia="Arial" w:cs="Arial"/>
          <w:sz w:val="20"/>
          <w:szCs w:val="20"/>
        </w:rPr>
      </w:pPr>
      <w:r>
        <w:rPr>
          <w:rFonts w:eastAsia="Arial" w:cs="Arial" w:ascii="Arial" w:hAnsi="Arial"/>
          <w:sz w:val="20"/>
          <w:szCs w:val="20"/>
        </w:rPr>
        <w:t>Prova de inscrição no Cadastro de Pessoas Físicas (CPF);</w:t>
      </w:r>
    </w:p>
    <w:p>
      <w:pPr>
        <w:pStyle w:val="Normal"/>
        <w:tabs>
          <w:tab w:val="clear" w:pos="720"/>
          <w:tab w:val="left" w:pos="1440" w:leader="none"/>
        </w:tabs>
        <w:spacing w:lineRule="auto" w:line="276" w:before="120" w:after="120"/>
        <w:ind w:left="2290"/>
        <w:jc w:val="both"/>
        <w:rPr>
          <w:rFonts w:ascii="Arial" w:hAnsi="Arial" w:eastAsia="Arial" w:cs="Arial"/>
          <w:color w:val="000000"/>
          <w:sz w:val="20"/>
          <w:szCs w:val="20"/>
        </w:rPr>
      </w:pPr>
      <w:r>
        <w:rPr>
          <w:rFonts w:eastAsia="Arial" w:cs="Arial" w:ascii="Arial" w:hAnsi="Arial"/>
          <w:color w:val="000000"/>
          <w:sz w:val="20"/>
          <w:szCs w:val="20"/>
        </w:rPr>
        <w:t xml:space="preserve">OU </w:t>
      </w:r>
    </w:p>
    <w:p>
      <w:pPr>
        <w:pStyle w:val="Normal"/>
        <w:numPr>
          <w:ilvl w:val="2"/>
          <w:numId w:val="2"/>
        </w:numPr>
        <w:spacing w:lineRule="auto" w:line="276" w:before="120" w:after="120"/>
        <w:jc w:val="both"/>
        <w:rPr>
          <w:rFonts w:ascii="Arial" w:hAnsi="Arial" w:eastAsia="Arial" w:cs="Arial"/>
          <w:i/>
          <w:i/>
          <w:sz w:val="20"/>
          <w:szCs w:val="20"/>
        </w:rPr>
      </w:pPr>
      <w:r>
        <w:rPr>
          <w:rFonts w:eastAsia="Arial" w:cs="Arial" w:ascii="Arial" w:hAnsi="Arial"/>
          <w:i/>
          <w:sz w:val="20"/>
          <w:szCs w:val="20"/>
        </w:rPr>
        <w:t>Prova de inscrição no Cadastro Nacional da Pessoa Jurídica (CNPJ);</w:t>
      </w:r>
    </w:p>
    <w:p>
      <w:pPr>
        <w:pStyle w:val="Normal"/>
        <w:numPr>
          <w:ilvl w:val="2"/>
          <w:numId w:val="2"/>
        </w:numPr>
        <w:spacing w:lineRule="auto" w:line="276" w:before="120" w:after="120"/>
        <w:jc w:val="both"/>
        <w:rPr>
          <w:rFonts w:ascii="Arial" w:hAnsi="Arial" w:eastAsia="Arial" w:cs="Arial"/>
          <w:sz w:val="20"/>
          <w:szCs w:val="20"/>
        </w:rPr>
      </w:pPr>
      <w:r>
        <w:rPr>
          <w:rFonts w:eastAsia="Arial" w:cs="Arial" w:ascii="Arial" w:hAnsi="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2"/>
          <w:numId w:val="2"/>
        </w:numPr>
        <w:spacing w:lineRule="auto" w:line="276" w:before="120" w:after="120"/>
        <w:jc w:val="both"/>
        <w:rPr>
          <w:rFonts w:ascii="Arial" w:hAnsi="Arial" w:eastAsia="Arial" w:cs="Arial"/>
          <w:sz w:val="20"/>
          <w:szCs w:val="20"/>
        </w:rPr>
      </w:pPr>
      <w:r>
        <w:rPr>
          <w:rFonts w:eastAsia="Arial" w:cs="Arial" w:ascii="Arial" w:hAnsi="Arial"/>
          <w:sz w:val="20"/>
          <w:szCs w:val="20"/>
        </w:rPr>
        <w:t>Prova de regularidade com o Fundo de Garantia do Tempo de Serviço (FGTS);</w:t>
      </w:r>
    </w:p>
    <w:p>
      <w:pPr>
        <w:pStyle w:val="Normal"/>
        <w:numPr>
          <w:ilvl w:val="2"/>
          <w:numId w:val="2"/>
        </w:numPr>
        <w:spacing w:lineRule="auto" w:line="276" w:before="120" w:after="120"/>
        <w:jc w:val="both"/>
        <w:rPr>
          <w:rFonts w:ascii="Arial" w:hAnsi="Arial" w:eastAsia="Arial" w:cs="Arial"/>
          <w:sz w:val="20"/>
          <w:szCs w:val="20"/>
        </w:rPr>
      </w:pPr>
      <w:r>
        <w:rPr>
          <w:rFonts w:eastAsia="Arial" w:cs="Arial" w:ascii="Arial" w:hAnsi="Arial"/>
          <w:sz w:val="20"/>
          <w:szCs w:val="20"/>
        </w:rPr>
        <w:t>Declaração de que não emprega menor de 18 anos em trabalho noturno, perigoso ou insalubre e não emprega menor de 16 anos, salvo menor, a partir de 14 anos, na condição de aprendiz, nos termos do artigo 7°, XXXIII, da Constituição;</w:t>
      </w:r>
    </w:p>
    <w:p>
      <w:pPr>
        <w:pStyle w:val="Normal"/>
        <w:numPr>
          <w:ilvl w:val="2"/>
          <w:numId w:val="2"/>
        </w:numPr>
        <w:spacing w:lineRule="auto" w:line="276" w:before="120" w:after="120"/>
        <w:jc w:val="both"/>
        <w:rPr>
          <w:rFonts w:ascii="Arial" w:hAnsi="Arial" w:eastAsia="Arial" w:cs="Arial"/>
          <w:sz w:val="20"/>
          <w:szCs w:val="20"/>
        </w:rPr>
      </w:pPr>
      <w:r>
        <w:rPr>
          <w:rFonts w:eastAsia="Arial" w:cs="Arial" w:ascii="Arial" w:hAnsi="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2"/>
          <w:numId w:val="2"/>
        </w:numPr>
        <w:spacing w:lineRule="auto" w:line="276" w:before="120" w:after="120"/>
        <w:jc w:val="both"/>
        <w:rPr>
          <w:rFonts w:ascii="Arial" w:hAnsi="Arial" w:eastAsia="Arial" w:cs="Arial"/>
          <w:sz w:val="20"/>
          <w:szCs w:val="20"/>
        </w:rPr>
      </w:pPr>
      <w:r>
        <w:rPr>
          <w:rFonts w:eastAsia="Arial" w:cs="Arial" w:ascii="Arial" w:hAnsi="Arial"/>
          <w:sz w:val="20"/>
          <w:szCs w:val="20"/>
        </w:rPr>
        <w:t xml:space="preserve">Prova de inscrição no cadastro de contribuintes estadual, se houver, relativo ao domicílio ou sede do fornecedor, pertinente ao seu ramo de atividade e compatível com o objeto contratual; </w:t>
      </w:r>
    </w:p>
    <w:p>
      <w:pPr>
        <w:pStyle w:val="Normal"/>
        <w:numPr>
          <w:ilvl w:val="3"/>
          <w:numId w:val="2"/>
        </w:numPr>
        <w:spacing w:lineRule="auto" w:line="276" w:before="120" w:after="120"/>
        <w:ind w:hanging="647" w:left="2491"/>
        <w:jc w:val="both"/>
        <w:rPr>
          <w:rFonts w:ascii="Arial" w:hAnsi="Arial" w:eastAsia="Arial" w:cs="Arial"/>
          <w:sz w:val="20"/>
          <w:szCs w:val="20"/>
        </w:rPr>
      </w:pPr>
      <w:r>
        <w:rPr>
          <w:rFonts w:eastAsia="Arial" w:cs="Arial" w:ascii="Arial" w:hAnsi="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ormal"/>
        <w:numPr>
          <w:ilvl w:val="2"/>
          <w:numId w:val="2"/>
        </w:numPr>
        <w:spacing w:lineRule="auto" w:line="276" w:before="120" w:after="120"/>
        <w:jc w:val="both"/>
        <w:rPr>
          <w:rFonts w:ascii="Arial" w:hAnsi="Arial" w:eastAsia="Arial" w:cs="Arial"/>
          <w:sz w:val="20"/>
          <w:szCs w:val="20"/>
        </w:rPr>
      </w:pPr>
      <w:r>
        <w:rPr>
          <w:rFonts w:eastAsia="Arial" w:cs="Arial" w:ascii="Arial" w:hAnsi="Arial"/>
          <w:sz w:val="20"/>
          <w:szCs w:val="20"/>
        </w:rPr>
        <w:t xml:space="preserve">Prova de regularidade com a Fazenda Estadual ou Distrital do domicílio ou sede do fornecedor, relativa à atividade em cujo exercício contrata ou concorre; </w:t>
      </w:r>
    </w:p>
    <w:p>
      <w:pPr>
        <w:pStyle w:val="Normal"/>
        <w:numPr>
          <w:ilvl w:val="3"/>
          <w:numId w:val="2"/>
        </w:numPr>
        <w:spacing w:lineRule="auto" w:line="276" w:before="120" w:after="120"/>
        <w:ind w:hanging="647" w:left="2491"/>
        <w:jc w:val="both"/>
        <w:rPr>
          <w:rFonts w:ascii="Arial" w:hAnsi="Arial" w:eastAsia="Arial" w:cs="Arial"/>
          <w:sz w:val="20"/>
          <w:szCs w:val="20"/>
        </w:rPr>
      </w:pPr>
      <w:r>
        <w:rPr>
          <w:rFonts w:eastAsia="Arial" w:cs="Arial" w:ascii="Arial" w:hAnsi="Arial"/>
          <w:sz w:val="20"/>
          <w:szCs w:val="20"/>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pStyle w:val="Normal"/>
        <w:spacing w:before="0" w:after="360"/>
        <w:ind w:left="360"/>
        <w:jc w:val="center"/>
        <w:rPr/>
      </w:pPr>
      <w:r>
        <w:rPr/>
        <w:t>Brasília-DF, 25 de novembro de 2023.</w:t>
      </w:r>
    </w:p>
    <w:p>
      <w:pPr>
        <w:pStyle w:val="Normal"/>
        <w:spacing w:before="0" w:after="0"/>
        <w:ind w:left="360"/>
        <w:jc w:val="center"/>
        <w:rPr>
          <w:b/>
        </w:rPr>
      </w:pPr>
      <w:r>
        <w:rPr>
          <w:b/>
        </w:rPr>
        <w:t>BRYAN LUIZ MENDES BAZILIO – 3º Sgt</w:t>
      </w:r>
    </w:p>
    <w:p>
      <w:pPr>
        <w:pStyle w:val="Normal"/>
        <w:spacing w:before="0" w:after="0"/>
        <w:ind w:left="360"/>
        <w:jc w:val="center"/>
        <w:rPr/>
      </w:pPr>
      <w:r>
        <w:rPr>
          <w:b/>
        </w:rPr>
        <w:t>Chefe do Almoxarifado do 3º Esqd C Mec</w:t>
      </w:r>
    </w:p>
    <w:p>
      <w:pPr>
        <w:pStyle w:val="Normal"/>
        <w:spacing w:before="0" w:after="0"/>
        <w:ind w:left="360"/>
        <w:jc w:val="center"/>
        <w:rPr/>
      </w:pPr>
      <w:r>
        <w:rPr/>
      </w:r>
    </w:p>
    <w:p>
      <w:pPr>
        <w:pStyle w:val="Normal"/>
        <w:spacing w:before="0" w:after="0"/>
        <w:ind w:left="360"/>
        <w:jc w:val="center"/>
        <w:rPr/>
      </w:pPr>
      <w:r>
        <w:rPr/>
      </w:r>
    </w:p>
    <w:p>
      <w:pPr>
        <w:pStyle w:val="Normal"/>
        <w:widowControl w:val="false"/>
        <w:spacing w:lineRule="auto" w:line="276" w:before="1" w:after="0"/>
        <w:jc w:val="both"/>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r>
    </w:p>
    <w:p>
      <w:pPr>
        <w:pStyle w:val="Normal"/>
        <w:widowControl w:val="false"/>
        <w:spacing w:lineRule="auto" w:line="276" w:before="1" w:after="0"/>
        <w:jc w:val="both"/>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ATO DE APROVAÇÃO</w:t>
      </w:r>
    </w:p>
    <w:p>
      <w:pPr>
        <w:pStyle w:val="Normal"/>
        <w:widowControl w:val="false"/>
        <w:spacing w:lineRule="auto" w:line="276" w:before="1" w:after="0"/>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APROVO o presente Termo de Referência, de acordo com o inciso II, artigo 14, do Decreto nº. 10.024/2019, cuja finalidade é subsidiar os licitantes de todas as informações necessárias à participação no certame, estando presentes todos os elementos necessários à identificação do objeto, seu custo e todos os critérios para participação, de forma clara e concisa.</w:t>
      </w:r>
    </w:p>
    <w:p>
      <w:pPr>
        <w:pStyle w:val="Normal"/>
        <w:widowControl w:val="false"/>
        <w:spacing w:lineRule="auto" w:line="240" w:before="7" w:after="0"/>
        <w:rPr>
          <w:rFonts w:ascii="Times New Roman" w:hAnsi="Times New Roman" w:eastAsia="Times New Roman" w:cs="Times New Roman"/>
          <w:color w:val="000000"/>
          <w:sz w:val="34"/>
          <w:szCs w:val="34"/>
        </w:rPr>
      </w:pPr>
      <w:r>
        <w:rPr>
          <w:rFonts w:eastAsia="Times New Roman" w:cs="Times New Roman" w:ascii="Times New Roman" w:hAnsi="Times New Roman"/>
          <w:color w:val="000000"/>
          <w:sz w:val="34"/>
          <w:szCs w:val="34"/>
        </w:rPr>
      </w:r>
    </w:p>
    <w:p>
      <w:pPr>
        <w:pStyle w:val="Normal"/>
        <w:spacing w:before="0" w:after="0"/>
        <w:ind w:left="360"/>
        <w:jc w:val="center"/>
        <w:rPr/>
      </w:pPr>
      <w:r>
        <w:rPr/>
      </w:r>
    </w:p>
    <w:p>
      <w:pPr>
        <w:pStyle w:val="Normal"/>
        <w:spacing w:before="0" w:after="0"/>
        <w:ind w:left="360"/>
        <w:jc w:val="center"/>
        <w:rPr/>
      </w:pPr>
      <w:r>
        <w:rPr/>
      </w:r>
    </w:p>
    <w:p>
      <w:pPr>
        <w:pStyle w:val="Normal"/>
        <w:spacing w:before="0" w:after="0"/>
        <w:ind w:left="360"/>
        <w:jc w:val="center"/>
        <w:rPr>
          <w:b/>
        </w:rPr>
      </w:pPr>
      <w:r>
        <w:rPr>
          <w:b/>
        </w:rPr>
        <w:t>THIAGO DE ALMEIDA RIBEIRO PESTANA  – MAJ</w:t>
      </w:r>
    </w:p>
    <w:p>
      <w:pPr>
        <w:pStyle w:val="Normal"/>
        <w:spacing w:before="0" w:after="0"/>
        <w:ind w:left="360"/>
        <w:jc w:val="center"/>
        <w:rPr/>
      </w:pPr>
      <w:r>
        <w:rPr/>
        <w:t>Ordenador de Despesas do 3º Esquadrão de Cavalaria Mecanizado</w:t>
      </w:r>
    </w:p>
    <w:p>
      <w:pPr>
        <w:pStyle w:val="Normal"/>
        <w:spacing w:before="0" w:after="0"/>
        <w:ind w:left="360"/>
        <w:jc w:val="center"/>
        <w:rPr/>
      </w:pPr>
      <w:r>
        <w:rPr/>
      </w:r>
    </w:p>
    <w:p>
      <w:pPr>
        <w:pStyle w:val="Normal"/>
        <w:spacing w:before="0" w:after="0"/>
        <w:ind w:left="360"/>
        <w:jc w:val="center"/>
        <w:rPr/>
      </w:pPr>
      <w:r>
        <w:rPr/>
      </w:r>
    </w:p>
    <w:sectPr>
      <w:type w:val="nextPage"/>
      <w:pgSz w:w="11906" w:h="16838"/>
      <w:pgMar w:left="1701" w:right="1134" w:gutter="0" w:header="0" w:top="1701" w:footer="0" w:bottom="1134"/>
      <w:pgNumType w:start="1" w:fmt="decimal"/>
      <w:formProt w:val="false"/>
      <w:textDirection w:val="lrTb"/>
      <w:docGrid w:type="default" w:linePitch="100" w:charSpace="2048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Georgi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7"/>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4"/>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2"/>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b/>
        <w:color w:val="000000"/>
      </w:rPr>
    </w:lvl>
    <w:lvl w:ilvl="1">
      <w:start w:val="4"/>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3"/>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7"/>
      <w:numFmt w:val="decimal"/>
      <w:lvlText w:val="%1"/>
      <w:lvlJc w:val="left"/>
      <w:pPr>
        <w:tabs>
          <w:tab w:val="num" w:pos="0"/>
        </w:tabs>
        <w:ind w:left="360" w:hanging="360"/>
      </w:pPr>
      <w:rPr/>
    </w:lvl>
    <w:lvl w:ilvl="1">
      <w:start w:val="2"/>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12">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3">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432" w:hanging="432"/>
      </w:pPr>
      <w:rPr>
        <w:dstrike w:val="false"/>
        <w:strike w:val="false"/>
        <w:i w:val="false"/>
        <w:u w:val="none"/>
        <w:b w:val="false"/>
        <w:color w:val="000000"/>
      </w:rPr>
    </w:lvl>
    <w:lvl w:ilvl="2">
      <w:start w:val="1"/>
      <w:numFmt w:val="decimal"/>
      <w:lvlText w:val="%1.%2.%3."/>
      <w:lvlJc w:val="left"/>
      <w:pPr>
        <w:tabs>
          <w:tab w:val="num" w:pos="0"/>
        </w:tabs>
        <w:ind w:left="930" w:hanging="504"/>
      </w:pPr>
      <w:rPr>
        <w:i w:val="false"/>
        <w:b w:val="false"/>
        <w:color w:val="000000"/>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w="http://schemas.openxmlformats.org/wordprocessingml/2006/main">
  <w:zoom w:percent="120"/>
  <w:defaultTabStop w:val="720"/>
  <w:autoHyphenation w:val="true"/>
  <w:hyphenationZone w:val="425"/>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pt-PT"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71e3"/>
    <w:pPr>
      <w:widowControl/>
      <w:suppressAutoHyphens w:val="true"/>
      <w:bidi w:val="0"/>
      <w:spacing w:lineRule="auto" w:line="259" w:before="0" w:after="160"/>
      <w:jc w:val="left"/>
    </w:pPr>
    <w:rPr>
      <w:rFonts w:ascii="Calibri" w:hAnsi="Calibri" w:eastAsia="Calibri" w:cs="Calibri"/>
      <w:color w:val="auto"/>
      <w:kern w:val="0"/>
      <w:sz w:val="22"/>
      <w:szCs w:val="22"/>
      <w:lang w:val="pt-BR" w:eastAsia="pt-PT" w:bidi="ar-SA"/>
    </w:rPr>
  </w:style>
  <w:style w:type="paragraph" w:styleId="Heading1" w:customStyle="1">
    <w:name w:val="Heading 1"/>
    <w:basedOn w:val="Normal"/>
    <w:next w:val="Normal"/>
    <w:link w:val="Ttulo1Char"/>
    <w:uiPriority w:val="9"/>
    <w:qFormat/>
    <w:rsid w:val="00fe71e3"/>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2" w:customStyle="1">
    <w:name w:val="Heading 2"/>
    <w:basedOn w:val="Normal"/>
    <w:next w:val="Normal"/>
    <w:uiPriority w:val="9"/>
    <w:semiHidden/>
    <w:unhideWhenUsed/>
    <w:qFormat/>
    <w:rsid w:val="00c07828"/>
    <w:pPr>
      <w:keepNext w:val="true"/>
      <w:keepLines/>
      <w:spacing w:before="360" w:after="80"/>
      <w:outlineLvl w:val="1"/>
    </w:pPr>
    <w:rPr>
      <w:b/>
      <w:sz w:val="36"/>
      <w:szCs w:val="36"/>
    </w:rPr>
  </w:style>
  <w:style w:type="paragraph" w:styleId="Heading3" w:customStyle="1">
    <w:name w:val="Heading 3"/>
    <w:basedOn w:val="Normal"/>
    <w:next w:val="Normal"/>
    <w:uiPriority w:val="9"/>
    <w:semiHidden/>
    <w:unhideWhenUsed/>
    <w:qFormat/>
    <w:rsid w:val="00c07828"/>
    <w:pPr>
      <w:keepNext w:val="true"/>
      <w:keepLines/>
      <w:spacing w:before="280" w:after="80"/>
      <w:outlineLvl w:val="2"/>
    </w:pPr>
    <w:rPr>
      <w:b/>
      <w:sz w:val="28"/>
      <w:szCs w:val="28"/>
    </w:rPr>
  </w:style>
  <w:style w:type="paragraph" w:styleId="Heading4" w:customStyle="1">
    <w:name w:val="Heading 4"/>
    <w:basedOn w:val="Normal"/>
    <w:next w:val="Normal"/>
    <w:uiPriority w:val="9"/>
    <w:semiHidden/>
    <w:unhideWhenUsed/>
    <w:qFormat/>
    <w:rsid w:val="00c07828"/>
    <w:pPr>
      <w:keepNext w:val="true"/>
      <w:keepLines/>
      <w:spacing w:before="240" w:after="40"/>
      <w:outlineLvl w:val="3"/>
    </w:pPr>
    <w:rPr>
      <w:b/>
      <w:sz w:val="24"/>
      <w:szCs w:val="24"/>
    </w:rPr>
  </w:style>
  <w:style w:type="paragraph" w:styleId="Heading5" w:customStyle="1">
    <w:name w:val="Heading 5"/>
    <w:basedOn w:val="Normal"/>
    <w:next w:val="Normal"/>
    <w:uiPriority w:val="9"/>
    <w:semiHidden/>
    <w:unhideWhenUsed/>
    <w:qFormat/>
    <w:rsid w:val="00c07828"/>
    <w:pPr>
      <w:keepNext w:val="true"/>
      <w:keepLines/>
      <w:spacing w:before="220" w:after="40"/>
      <w:outlineLvl w:val="4"/>
    </w:pPr>
    <w:rPr>
      <w:b/>
    </w:rPr>
  </w:style>
  <w:style w:type="paragraph" w:styleId="Heading6" w:customStyle="1">
    <w:name w:val="Heading 6"/>
    <w:basedOn w:val="Normal"/>
    <w:next w:val="Normal"/>
    <w:link w:val="Ttulo6Char"/>
    <w:uiPriority w:val="9"/>
    <w:semiHidden/>
    <w:unhideWhenUsed/>
    <w:qFormat/>
    <w:rsid w:val="008e1fe3"/>
    <w:pPr>
      <w:keepNext w:val="true"/>
      <w:keepLines/>
      <w:spacing w:before="40" w:after="0"/>
      <w:outlineLvl w:val="5"/>
    </w:pPr>
    <w:rPr>
      <w:rFonts w:ascii="Calibri Light" w:hAnsi="Calibri Light" w:eastAsia="" w:cs="" w:asciiTheme="majorHAnsi" w:cstheme="majorBidi" w:eastAsiaTheme="majorEastAsia" w:hAnsiTheme="majorHAnsi"/>
      <w:color w:themeColor="accent1" w:themeShade="7f" w:val="1F3763"/>
    </w:rPr>
  </w:style>
  <w:style w:type="character" w:styleId="DefaultParagraphFont" w:default="1">
    <w:name w:val="Default Paragraph Font"/>
    <w:uiPriority w:val="1"/>
    <w:semiHidden/>
    <w:unhideWhenUsed/>
    <w:qFormat/>
    <w:rPr/>
  </w:style>
  <w:style w:type="character" w:styleId="Hyperlink1" w:customStyle="1">
    <w:name w:val="Hyperlink1"/>
    <w:unhideWhenUsed/>
    <w:qFormat/>
    <w:rsid w:val="00fe71e3"/>
    <w:rPr>
      <w:color w:val="000080"/>
      <w:u w:val="single"/>
    </w:rPr>
  </w:style>
  <w:style w:type="character" w:styleId="CitaoChar" w:customStyle="1">
    <w:name w:val="Citação Char"/>
    <w:basedOn w:val="DefaultParagraphFont"/>
    <w:link w:val="Quote"/>
    <w:qFormat/>
    <w:rsid w:val="00fe71e3"/>
    <w:rPr>
      <w:rFonts w:ascii="Arial" w:hAnsi="Arial" w:eastAsia="Calibri" w:cs="Tahoma"/>
      <w:i/>
      <w:iCs/>
      <w:color w:val="000000"/>
      <w:sz w:val="20"/>
      <w:szCs w:val="24"/>
      <w:shd w:fill="FFFFCC" w:val="clear"/>
    </w:rPr>
  </w:style>
  <w:style w:type="character" w:styleId="Nivel1Char" w:customStyle="1">
    <w:name w:val="Nivel1 Char"/>
    <w:basedOn w:val="DefaultParagraphFont"/>
    <w:link w:val="Nivel1"/>
    <w:qFormat/>
    <w:locked/>
    <w:rsid w:val="00fe71e3"/>
    <w:rPr>
      <w:rFonts w:ascii="Arial" w:hAnsi="Arial" w:eastAsia="" w:cs="Arial" w:eastAsiaTheme="majorEastAsia"/>
      <w:b/>
      <w:color w:val="000000"/>
      <w:sz w:val="32"/>
      <w:szCs w:val="32"/>
    </w:rPr>
  </w:style>
  <w:style w:type="character" w:styleId="Ttulo1Char" w:customStyle="1">
    <w:name w:val="Título 1 Char"/>
    <w:basedOn w:val="DefaultParagraphFont"/>
    <w:uiPriority w:val="9"/>
    <w:qFormat/>
    <w:rsid w:val="00fe71e3"/>
    <w:rPr>
      <w:rFonts w:ascii="Calibri Light" w:hAnsi="Calibri Light" w:eastAsia="" w:cs="" w:asciiTheme="majorHAnsi" w:cstheme="majorBidi" w:eastAsiaTheme="majorEastAsia" w:hAnsiTheme="majorHAnsi"/>
      <w:color w:themeColor="accent1" w:themeShade="bf" w:val="2F5496"/>
      <w:sz w:val="32"/>
      <w:szCs w:val="32"/>
    </w:rPr>
  </w:style>
  <w:style w:type="character" w:styleId="Normalchar1" w:customStyle="1">
    <w:name w:val="normal__char1"/>
    <w:qFormat/>
    <w:rsid w:val="00a45c14"/>
    <w:rPr>
      <w:rFonts w:ascii="Arial" w:hAnsi="Arial" w:cs="Arial"/>
      <w:strike w:val="false"/>
      <w:dstrike w:val="false"/>
      <w:sz w:val="24"/>
      <w:szCs w:val="24"/>
      <w:u w:val="none"/>
      <w:effect w:val="none"/>
    </w:rPr>
  </w:style>
  <w:style w:type="character" w:styleId="Strong">
    <w:name w:val="Strong"/>
    <w:basedOn w:val="DefaultParagraphFont"/>
    <w:uiPriority w:val="22"/>
    <w:qFormat/>
    <w:rsid w:val="0042560b"/>
    <w:rPr>
      <w:b/>
      <w:bCs/>
    </w:rPr>
  </w:style>
  <w:style w:type="character" w:styleId="MenoPendente1" w:customStyle="1">
    <w:name w:val="Menção Pendente1"/>
    <w:basedOn w:val="DefaultParagraphFont"/>
    <w:uiPriority w:val="99"/>
    <w:semiHidden/>
    <w:unhideWhenUsed/>
    <w:qFormat/>
    <w:rsid w:val="00c81183"/>
    <w:rPr>
      <w:color w:val="605E5C"/>
      <w:shd w:fill="E1DFDD" w:val="clear"/>
    </w:rPr>
  </w:style>
  <w:style w:type="character" w:styleId="Annotationreference">
    <w:name w:val="annotation reference"/>
    <w:basedOn w:val="DefaultParagraphFont"/>
    <w:uiPriority w:val="99"/>
    <w:unhideWhenUsed/>
    <w:qFormat/>
    <w:rsid w:val="00843661"/>
    <w:rPr>
      <w:sz w:val="16"/>
      <w:szCs w:val="16"/>
    </w:rPr>
  </w:style>
  <w:style w:type="character" w:styleId="TextodecomentrioChar" w:customStyle="1">
    <w:name w:val="Texto de comentário Char"/>
    <w:basedOn w:val="DefaultParagraphFont"/>
    <w:link w:val="Annotationtext"/>
    <w:uiPriority w:val="99"/>
    <w:qFormat/>
    <w:rsid w:val="00843661"/>
    <w:rPr>
      <w:sz w:val="20"/>
      <w:szCs w:val="20"/>
    </w:rPr>
  </w:style>
  <w:style w:type="character" w:styleId="AssuntodocomentrioChar" w:customStyle="1">
    <w:name w:val="Assunto do comentário Char"/>
    <w:basedOn w:val="TextodecomentrioChar"/>
    <w:link w:val="Annotationsubject"/>
    <w:uiPriority w:val="99"/>
    <w:semiHidden/>
    <w:qFormat/>
    <w:rsid w:val="00843661"/>
    <w:rPr>
      <w:b/>
      <w:bCs/>
      <w:sz w:val="20"/>
      <w:szCs w:val="20"/>
    </w:rPr>
  </w:style>
  <w:style w:type="character" w:styleId="Ttulo6Char" w:customStyle="1">
    <w:name w:val="Título 6 Char"/>
    <w:basedOn w:val="DefaultParagraphFont"/>
    <w:uiPriority w:val="9"/>
    <w:semiHidden/>
    <w:qFormat/>
    <w:rsid w:val="008e1fe3"/>
    <w:rPr>
      <w:rFonts w:ascii="Calibri Light" w:hAnsi="Calibri Light" w:eastAsia="" w:cs="" w:asciiTheme="majorHAnsi" w:cstheme="majorBidi" w:eastAsiaTheme="majorEastAsia" w:hAnsiTheme="majorHAnsi"/>
      <w:color w:themeColor="accent1" w:themeShade="7f" w:val="1F3763"/>
    </w:rPr>
  </w:style>
  <w:style w:type="character" w:styleId="HiperlinkVisitado1" w:customStyle="1">
    <w:name w:val="HiperlinkVisitado1"/>
    <w:basedOn w:val="DefaultParagraphFont"/>
    <w:uiPriority w:val="99"/>
    <w:semiHidden/>
    <w:unhideWhenUsed/>
    <w:qFormat/>
    <w:rsid w:val="00206410"/>
    <w:rPr>
      <w:color w:themeColor="followedHyperlink" w:val="954F72"/>
      <w:u w:val="single"/>
    </w:rPr>
  </w:style>
  <w:style w:type="character" w:styleId="QuoteChar" w:customStyle="1">
    <w:name w:val="Quote Char"/>
    <w:link w:val="Citao1"/>
    <w:qFormat/>
    <w:locked/>
    <w:rsid w:val="003948b2"/>
    <w:rPr>
      <w:rFonts w:ascii="Ecofont_Spranq_eco_Sans" w:hAnsi="Ecofont_Spranq_eco_Sans" w:cs="Ecofont_Spranq_eco_Sans"/>
      <w:i/>
      <w:iCs/>
      <w:color w:val="000000"/>
      <w:sz w:val="24"/>
      <w:szCs w:val="24"/>
      <w:shd w:fill="FFFFCC" w:val="clear"/>
    </w:rPr>
  </w:style>
  <w:style w:type="character" w:styleId="Markedcontent" w:customStyle="1">
    <w:name w:val="markedcontent"/>
    <w:basedOn w:val="DefaultParagraphFont"/>
    <w:qFormat/>
    <w:rsid w:val="00bd4caf"/>
    <w:rPr/>
  </w:style>
  <w:style w:type="character" w:styleId="Highlight" w:customStyle="1">
    <w:name w:val="highlight"/>
    <w:basedOn w:val="DefaultParagraphFont"/>
    <w:qFormat/>
    <w:rsid w:val="00bd4caf"/>
    <w:rPr/>
  </w:style>
  <w:style w:type="character" w:styleId="TextodebaloChar" w:customStyle="1">
    <w:name w:val="Texto de balão Char"/>
    <w:basedOn w:val="DefaultParagraphFont"/>
    <w:link w:val="BalloonText"/>
    <w:uiPriority w:val="99"/>
    <w:semiHidden/>
    <w:qFormat/>
    <w:rsid w:val="00e81162"/>
    <w:rPr>
      <w:rFonts w:ascii="Segoe UI" w:hAnsi="Segoe UI" w:cs="Segoe UI"/>
      <w:sz w:val="18"/>
      <w:szCs w:val="18"/>
    </w:rPr>
  </w:style>
  <w:style w:type="character" w:styleId="MenoPendente2" w:customStyle="1">
    <w:name w:val="Menção Pendente2"/>
    <w:basedOn w:val="DefaultParagraphFont"/>
    <w:uiPriority w:val="99"/>
    <w:semiHidden/>
    <w:unhideWhenUsed/>
    <w:qFormat/>
    <w:rsid w:val="00307e84"/>
    <w:rPr>
      <w:color w:val="605E5C"/>
      <w:shd w:fill="E1DFDD" w:val="clear"/>
    </w:rPr>
  </w:style>
  <w:style w:type="character" w:styleId="Nivel2Char" w:customStyle="1">
    <w:name w:val="Nivel 2 Char"/>
    <w:basedOn w:val="DefaultParagraphFont"/>
    <w:link w:val="Nivel2"/>
    <w:qFormat/>
    <w:locked/>
    <w:rsid w:val="00ff4094"/>
    <w:rPr>
      <w:rFonts w:ascii="Arial" w:hAnsi="Arial" w:cs="Arial"/>
      <w:color w:val="000000"/>
    </w:rPr>
  </w:style>
  <w:style w:type="character" w:styleId="Citao2Char" w:customStyle="1">
    <w:name w:val="citação 2 Char"/>
    <w:basedOn w:val="CitaoChar"/>
    <w:qFormat/>
    <w:rsid w:val="003e7046"/>
    <w:rPr>
      <w:rFonts w:ascii="Arial" w:hAnsi="Arial" w:eastAsia="Calibri" w:cs="Tahoma"/>
      <w:i/>
      <w:iCs/>
      <w:color w:val="000000"/>
      <w:kern w:val="2"/>
      <w:sz w:val="20"/>
      <w:szCs w:val="20"/>
      <w:shd w:fill="FFFFCC" w:val="clear"/>
      <w:lang w:eastAsia="zh-CN" w:bidi="hi-IN"/>
    </w:rPr>
  </w:style>
  <w:style w:type="character" w:styleId="CabealhoChar" w:customStyle="1">
    <w:name w:val="Cabeçalho Char"/>
    <w:basedOn w:val="DefaultParagraphFont"/>
    <w:uiPriority w:val="99"/>
    <w:qFormat/>
    <w:rsid w:val="0073140b"/>
    <w:rPr/>
  </w:style>
  <w:style w:type="character" w:styleId="RodapChar" w:customStyle="1">
    <w:name w:val="Rodapé Char"/>
    <w:basedOn w:val="DefaultParagraphFont"/>
    <w:uiPriority w:val="99"/>
    <w:qFormat/>
    <w:rsid w:val="0073140b"/>
    <w:rPr/>
  </w:style>
  <w:style w:type="character" w:styleId="MenoPendente3" w:customStyle="1">
    <w:name w:val="Menção Pendente3"/>
    <w:basedOn w:val="DefaultParagraphFont"/>
    <w:uiPriority w:val="99"/>
    <w:semiHidden/>
    <w:unhideWhenUsed/>
    <w:qFormat/>
    <w:rsid w:val="00f57d61"/>
    <w:rPr>
      <w:color w:val="605E5C"/>
      <w:shd w:fill="E1DFDD" w:val="clear"/>
    </w:rPr>
  </w:style>
  <w:style w:type="character" w:styleId="CorpodetextoChar" w:customStyle="1">
    <w:name w:val="Corpo de texto Char"/>
    <w:basedOn w:val="DefaultParagraphFont"/>
    <w:uiPriority w:val="1"/>
    <w:qFormat/>
    <w:rsid w:val="00311b0d"/>
    <w:rPr>
      <w:rFonts w:ascii="Times New Roman" w:hAnsi="Times New Roman" w:eastAsia="Times New Roman" w:cs="Times New Roman"/>
      <w:sz w:val="24"/>
      <w:szCs w:val="24"/>
      <w:lang w:val="pt-PT"/>
    </w:rPr>
  </w:style>
  <w:style w:type="character" w:styleId="Hyperlink">
    <w:name w:val="Hyperlink"/>
    <w:rsid w:val="00d47821"/>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1"/>
    <w:qFormat/>
    <w:rsid w:val="00311b0d"/>
    <w:pPr>
      <w:widowControl w:val="false"/>
      <w:spacing w:lineRule="auto" w:line="240" w:before="0" w:after="0"/>
    </w:pPr>
    <w:rPr>
      <w:rFonts w:ascii="Times New Roman" w:hAnsi="Times New Roman" w:eastAsia="Times New Roman" w:cs="Times New Roman"/>
      <w:sz w:val="24"/>
      <w:szCs w:val="24"/>
      <w:lang w:val="pt-PT"/>
    </w:rPr>
  </w:style>
  <w:style w:type="paragraph" w:styleId="List">
    <w:name w:val="List"/>
    <w:basedOn w:val="BodyText"/>
    <w:rsid w:val="00c07828"/>
    <w:pPr/>
    <w:rPr>
      <w:rFonts w:cs="Arial"/>
    </w:rPr>
  </w:style>
  <w:style w:type="paragraph" w:styleId="Caption" w:customStyle="1">
    <w:name w:val="Caption"/>
    <w:basedOn w:val="Normal"/>
    <w:qFormat/>
    <w:rsid w:val="00c07828"/>
    <w:pPr>
      <w:suppressLineNumbers/>
      <w:spacing w:before="120" w:after="120"/>
    </w:pPr>
    <w:rPr>
      <w:rFonts w:cs="Arial"/>
      <w:i/>
      <w:iCs/>
      <w:sz w:val="24"/>
      <w:szCs w:val="24"/>
    </w:rPr>
  </w:style>
  <w:style w:type="paragraph" w:styleId="Ndice" w:customStyle="1">
    <w:name w:val="Índice"/>
    <w:basedOn w:val="Normal"/>
    <w:qFormat/>
    <w:rsid w:val="00c07828"/>
    <w:pPr>
      <w:suppressLineNumbers/>
    </w:pPr>
    <w:rPr>
      <w:rFonts w:cs="Arial"/>
    </w:rPr>
  </w:style>
  <w:style w:type="paragraph" w:styleId="Title">
    <w:name w:val="Title"/>
    <w:basedOn w:val="Normal"/>
    <w:next w:val="BodyText"/>
    <w:uiPriority w:val="10"/>
    <w:qFormat/>
    <w:rsid w:val="00c07828"/>
    <w:pPr>
      <w:keepNext w:val="true"/>
      <w:keepLines/>
      <w:spacing w:before="480" w:after="120"/>
    </w:pPr>
    <w:rPr>
      <w:b/>
      <w:sz w:val="72"/>
      <w:szCs w:val="72"/>
    </w:rPr>
  </w:style>
  <w:style w:type="paragraph" w:styleId="Quote">
    <w:name w:val="Quote"/>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Arial" w:hAnsi="Arial" w:cs="Tahoma"/>
      <w:i/>
      <w:iCs/>
      <w:color w:val="000000"/>
      <w:sz w:val="20"/>
      <w:szCs w:val="24"/>
    </w:rPr>
  </w:style>
  <w:style w:type="paragraph" w:styleId="Nivel1" w:customStyle="1">
    <w:name w:val="Nivel1"/>
    <w:basedOn w:val="Heading1"/>
    <w:next w:val="Normal"/>
    <w:link w:val="Nivel1Char"/>
    <w:qFormat/>
    <w:rsid w:val="00fe71e3"/>
    <w:pPr>
      <w:spacing w:lineRule="auto" w:line="276" w:before="480" w:after="120"/>
      <w:jc w:val="both"/>
    </w:pPr>
    <w:rPr>
      <w:rFonts w:ascii="Arial" w:hAnsi="Arial" w:cs="Arial"/>
      <w:b/>
    </w:rPr>
  </w:style>
  <w:style w:type="paragraph" w:styleId="ListParagraph">
    <w:name w:val="List Paragraph"/>
    <w:basedOn w:val="Normal"/>
    <w:uiPriority w:val="34"/>
    <w:qFormat/>
    <w:rsid w:val="00fe71e3"/>
    <w:pPr>
      <w:spacing w:before="0" w:after="160"/>
      <w:ind w:left="720"/>
      <w:contextualSpacing/>
    </w:pPr>
    <w:rPr/>
  </w:style>
  <w:style w:type="paragraph" w:styleId="NormalWeb">
    <w:name w:val="Normal (Web)"/>
    <w:basedOn w:val="Normal"/>
    <w:uiPriority w:val="99"/>
    <w:unhideWhenUsed/>
    <w:qFormat/>
    <w:rsid w:val="00fe71e3"/>
    <w:pPr>
      <w:spacing w:lineRule="auto" w:line="240" w:beforeAutospacing="1" w:afterAutospacing="1"/>
    </w:pPr>
    <w:rPr>
      <w:rFonts w:ascii="Times New Roman" w:hAnsi="Times New Roman" w:eastAsia="Times New Roman" w:cs="Times New Roman"/>
      <w:sz w:val="24"/>
      <w:szCs w:val="24"/>
      <w:lang w:eastAsia="pt-BR"/>
    </w:rPr>
  </w:style>
  <w:style w:type="paragraph" w:styleId="SombreamentoMdio1-nfase31" w:customStyle="1">
    <w:name w:val="Sombreamento Médio 1 - Ênfase 31"/>
    <w:basedOn w:val="Normal"/>
    <w:next w:val="Normal"/>
    <w:qFormat/>
    <w:rsid w:val="00a45c14"/>
    <w:pPr>
      <w:pBdr>
        <w:top w:val="single" w:sz="4" w:space="1" w:color="000080"/>
        <w:left w:val="single" w:sz="4" w:space="4" w:color="000080"/>
        <w:bottom w:val="single" w:sz="4" w:space="1" w:color="000080"/>
        <w:right w:val="single" w:sz="4" w:space="4" w:color="000080"/>
      </w:pBdr>
      <w:shd w:val="clear" w:color="auto" w:fill="FFFFCC"/>
      <w:spacing w:lineRule="auto" w:line="240" w:before="120" w:after="0"/>
      <w:jc w:val="both"/>
    </w:pPr>
    <w:rPr>
      <w:rFonts w:ascii="Ecofont_Spranq_eco_Sans" w:hAnsi="Ecofont_Spranq_eco_Sans" w:cs="Tahoma"/>
      <w:i/>
      <w:iCs/>
      <w:color w:val="000000"/>
      <w:sz w:val="20"/>
      <w:szCs w:val="24"/>
      <w:lang w:eastAsia="zh-CN"/>
    </w:rPr>
  </w:style>
  <w:style w:type="paragraph" w:styleId="Corpo" w:customStyle="1">
    <w:name w:val="corpo"/>
    <w:basedOn w:val="Normal"/>
    <w:qFormat/>
    <w:rsid w:val="00bb36bb"/>
    <w:pPr>
      <w:spacing w:lineRule="auto" w:line="240" w:beforeAutospacing="1" w:afterAutospacing="1"/>
    </w:pPr>
    <w:rPr>
      <w:rFonts w:ascii="Times New Roman" w:hAnsi="Times New Roman" w:eastAsia="Times New Roman" w:cs="Times New Roman"/>
      <w:sz w:val="24"/>
      <w:szCs w:val="24"/>
      <w:lang w:eastAsia="pt-BR"/>
    </w:rPr>
  </w:style>
  <w:style w:type="paragraph" w:styleId="Annotationtext">
    <w:name w:val="annotation text"/>
    <w:basedOn w:val="Normal"/>
    <w:link w:val="TextodecomentrioChar"/>
    <w:uiPriority w:val="99"/>
    <w:unhideWhenUsed/>
    <w:qFormat/>
    <w:rsid w:val="00843661"/>
    <w:pPr>
      <w:spacing w:lineRule="auto" w:line="240"/>
    </w:pPr>
    <w:rPr>
      <w:sz w:val="20"/>
      <w:szCs w:val="20"/>
    </w:rPr>
  </w:style>
  <w:style w:type="paragraph" w:styleId="Annotationsubject">
    <w:name w:val="annotation subject"/>
    <w:basedOn w:val="Annotationtext"/>
    <w:next w:val="Annotationtext"/>
    <w:link w:val="AssuntodocomentrioChar"/>
    <w:uiPriority w:val="99"/>
    <w:semiHidden/>
    <w:unhideWhenUsed/>
    <w:qFormat/>
    <w:rsid w:val="00843661"/>
    <w:pPr/>
    <w:rPr>
      <w:b/>
      <w:bCs/>
    </w:rPr>
  </w:style>
  <w:style w:type="paragraph" w:styleId="Itemnivel2" w:customStyle="1">
    <w:name w:val="item_nivel2"/>
    <w:basedOn w:val="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Itemnivel1" w:customStyle="1">
    <w:name w:val="item_nivel1"/>
    <w:basedOn w:val="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Itemalinealetra" w:customStyle="1">
    <w:name w:val="item_alinea_letra"/>
    <w:basedOn w:val="Normal"/>
    <w:qFormat/>
    <w:rsid w:val="00400a97"/>
    <w:pPr>
      <w:spacing w:lineRule="auto" w:line="240" w:beforeAutospacing="1" w:afterAutospacing="1"/>
    </w:pPr>
    <w:rPr>
      <w:rFonts w:ascii="Times New Roman" w:hAnsi="Times New Roman" w:eastAsia="Times New Roman" w:cs="Times New Roman"/>
      <w:sz w:val="24"/>
      <w:szCs w:val="24"/>
      <w:lang w:eastAsia="pt-BR"/>
    </w:rPr>
  </w:style>
  <w:style w:type="paragraph" w:styleId="Citao1" w:customStyle="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Ecofont_Spranq_eco_Sans" w:hAnsi="Ecofont_Spranq_eco_Sans" w:cs="Ecofont_Spranq_eco_Sans"/>
      <w:i/>
      <w:iCs/>
      <w:color w:val="000000"/>
      <w:sz w:val="24"/>
      <w:szCs w:val="24"/>
    </w:rPr>
  </w:style>
  <w:style w:type="paragraph" w:styleId="BalloonText">
    <w:name w:val="Balloon Text"/>
    <w:basedOn w:val="Normal"/>
    <w:link w:val="TextodebaloChar"/>
    <w:uiPriority w:val="99"/>
    <w:semiHidden/>
    <w:unhideWhenUsed/>
    <w:qFormat/>
    <w:rsid w:val="00e81162"/>
    <w:pPr>
      <w:spacing w:lineRule="auto" w:line="240" w:before="0" w:after="0"/>
    </w:pPr>
    <w:rPr>
      <w:rFonts w:ascii="Segoe UI" w:hAnsi="Segoe UI" w:cs="Segoe UI"/>
      <w:sz w:val="18"/>
      <w:szCs w:val="18"/>
    </w:rPr>
  </w:style>
  <w:style w:type="paragraph" w:styleId="Standard" w:customStyle="1">
    <w:name w:val="Standard"/>
    <w:qFormat/>
    <w:rsid w:val="00ff4094"/>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 w:customStyle="1">
    <w:name w:val="Text body"/>
    <w:basedOn w:val="Standard"/>
    <w:qFormat/>
    <w:rsid w:val="00ff4094"/>
    <w:pPr>
      <w:spacing w:lineRule="auto" w:line="276" w:before="0" w:after="140"/>
    </w:pPr>
    <w:rPr/>
  </w:style>
  <w:style w:type="paragraph" w:styleId="Citao2" w:customStyle="1">
    <w:name w:val="citação 2"/>
    <w:basedOn w:val="Quote"/>
    <w:qFormat/>
    <w:rsid w:val="00ff4094"/>
    <w:pPr/>
    <w:rPr>
      <w:kern w:val="2"/>
      <w:szCs w:val="20"/>
      <w:lang w:eastAsia="zh-CN" w:bidi="hi-IN"/>
    </w:rPr>
  </w:style>
  <w:style w:type="paragraph" w:styleId="Nivel2" w:customStyle="1">
    <w:name w:val="Nivel 2"/>
    <w:basedOn w:val="Normal"/>
    <w:link w:val="Nivel2Char"/>
    <w:qFormat/>
    <w:rsid w:val="00ff4094"/>
    <w:pPr>
      <w:spacing w:lineRule="auto" w:line="276" w:before="120" w:after="120"/>
      <w:jc w:val="both"/>
    </w:pPr>
    <w:rPr>
      <w:rFonts w:ascii="Arial" w:hAnsi="Arial" w:cs="Arial"/>
      <w:color w:val="000000"/>
    </w:rPr>
  </w:style>
  <w:style w:type="paragraph" w:styleId="Nivel3" w:customStyle="1">
    <w:name w:val="Nivel 3"/>
    <w:basedOn w:val="ListParagraph"/>
    <w:qFormat/>
    <w:rsid w:val="00ff4094"/>
    <w:pPr>
      <w:tabs>
        <w:tab w:val="clear" w:pos="720"/>
        <w:tab w:val="left" w:pos="360" w:leader="none"/>
      </w:tabs>
      <w:spacing w:lineRule="auto" w:line="276" w:before="120" w:after="120"/>
      <w:ind w:left="425"/>
      <w:contextualSpacing/>
      <w:jc w:val="both"/>
    </w:pPr>
    <w:rPr>
      <w:rFonts w:ascii="Arial" w:hAnsi="Arial" w:eastAsia="Times New Roman" w:cs="Arial"/>
      <w:sz w:val="20"/>
      <w:szCs w:val="20"/>
      <w:lang w:eastAsia="pt-BR"/>
    </w:rPr>
  </w:style>
  <w:style w:type="paragraph" w:styleId="Nivel4" w:customStyle="1">
    <w:name w:val="Nivel 4"/>
    <w:basedOn w:val="Nivel3"/>
    <w:qFormat/>
    <w:rsid w:val="00ff4094"/>
    <w:pPr>
      <w:ind w:hanging="648" w:left="2491"/>
    </w:pPr>
    <w:rPr/>
  </w:style>
  <w:style w:type="paragraph" w:styleId="Nivel5" w:customStyle="1">
    <w:name w:val="Nivel 5"/>
    <w:basedOn w:val="Nivel4"/>
    <w:qFormat/>
    <w:rsid w:val="00ff4094"/>
    <w:pPr>
      <w:ind w:hanging="792" w:left="3485"/>
    </w:pPr>
    <w:rPr/>
  </w:style>
  <w:style w:type="paragraph" w:styleId="PADRO" w:customStyle="1">
    <w:name w:val="PADRÃO"/>
    <w:qFormat/>
    <w:rsid w:val="00ed4d94"/>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CabealhoeRodap" w:customStyle="1">
    <w:name w:val="Cabeçalho e Rodapé"/>
    <w:basedOn w:val="Normal"/>
    <w:qFormat/>
    <w:rsid w:val="00c07828"/>
    <w:pPr/>
    <w:rPr/>
  </w:style>
  <w:style w:type="paragraph" w:styleId="Header" w:customStyle="1">
    <w:name w:val="Header"/>
    <w:basedOn w:val="Normal"/>
    <w:link w:val="CabealhoChar"/>
    <w:uiPriority w:val="99"/>
    <w:unhideWhenUsed/>
    <w:rsid w:val="0073140b"/>
    <w:pPr>
      <w:tabs>
        <w:tab w:val="clear" w:pos="720"/>
        <w:tab w:val="center" w:pos="4252" w:leader="none"/>
        <w:tab w:val="right" w:pos="8504" w:leader="none"/>
      </w:tabs>
      <w:spacing w:lineRule="auto" w:line="240" w:before="0" w:after="0"/>
    </w:pPr>
    <w:rPr/>
  </w:style>
  <w:style w:type="paragraph" w:styleId="Footer" w:customStyle="1">
    <w:name w:val="Footer"/>
    <w:basedOn w:val="Normal"/>
    <w:link w:val="RodapChar"/>
    <w:uiPriority w:val="99"/>
    <w:unhideWhenUsed/>
    <w:rsid w:val="0073140b"/>
    <w:pPr>
      <w:tabs>
        <w:tab w:val="clear" w:pos="720"/>
        <w:tab w:val="center" w:pos="4252" w:leader="none"/>
        <w:tab w:val="right" w:pos="8504" w:leader="none"/>
      </w:tabs>
      <w:spacing w:lineRule="auto" w:line="240" w:before="0" w:after="0"/>
    </w:pPr>
    <w:rPr/>
  </w:style>
  <w:style w:type="paragraph" w:styleId="Subtitle">
    <w:name w:val="Subtitle"/>
    <w:basedOn w:val="Normal"/>
    <w:next w:val="Normal"/>
    <w:uiPriority w:val="11"/>
    <w:qFormat/>
    <w:rsid w:val="00c07828"/>
    <w:pPr>
      <w:keepNext w:val="true"/>
      <w:keepLines/>
      <w:spacing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rsid w:val="00c07828"/>
    <w:tblPr>
      <w:tblCellMar>
        <w:top w:w="0" w:type="dxa"/>
        <w:left w:w="0" w:type="dxa"/>
        <w:bottom w:w="0" w:type="dxa"/>
        <w:right w:w="0" w:type="dxa"/>
      </w:tblCellMar>
    </w:tblPr>
  </w:style>
  <w:style w:type="table" w:styleId="Tabelacomgrade">
    <w:name w:val="Table Grid"/>
    <w:basedOn w:val="Tabelanormal"/>
    <w:uiPriority w:val="39"/>
    <w:rsid w:val="00b5309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www.portaldatransparencia.gov.br/ceis" TargetMode="External"/><Relationship Id="rId5" Type="http://schemas.openxmlformats.org/officeDocument/2006/relationships/hyperlink" Target="https://www.portaltransparencia.gov.br/sancoes/cnep" TargetMode="External"/><Relationship Id="rId6" Type="http://schemas.openxmlformats.org/officeDocument/2006/relationships/hyperlink" Target="http://www.portaldoempreendedor.gov.br/"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p04ZYw50w2xrFaZ4J90OFhWngDg==">CgMxLjAyCGguZ2pkZ3hzMgloLjMwajB6bGwyCmlkLjFmb2I5dGUyCmlkLjN6bnlzaDcyCmlkLjJldDkycDAyCWlkLnR5amN3dDIKaWQuM2R5NnZrbTIKaWQuMXQzaDVzZjIKaWQuNGQzNG9nODIKaWQuMnM4ZXlvMTIKaWQuMjZpbjFyZzIKaWQuMTdkcDh2dTIKaWQuM3JkY3JqbjIJaWQubG54Yno5OAByITFyS1JTek1aTmFCYmlnX0xoUW5QdjFrVDNxMEpOM3gzSA==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766</TotalTime>
  <Application>LibreOffice/7.6.0.3$Windows_X86_64 LibreOffice_project/69edd8b8ebc41d00b4de3915dc82f8f0fc3b6265</Application>
  <AppVersion>15.0000</AppVersion>
  <Pages>6</Pages>
  <Words>2103</Words>
  <Characters>12051</Characters>
  <CharactersWithSpaces>14009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2022-07-02T17:53:00Z</dcterms:created>
  <dc:creator>Marcela Ali Tarif</dc:creator>
  <dc:description/>
  <dc:language>pt-BR</dc:language>
  <cp:lastModifiedBy/>
  <cp:lastPrinted>2023-07-20T19:13:00Z</cp:lastPrinted>
  <dcterms:modified xsi:type="dcterms:W3CDTF">2023-11-28T15:18:19Z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