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commentRangeStart w:id="0"/>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commentRangeEnd w:id="0"/>
      <w:r w:rsidR="00D80843" w:rsidRPr="006E1990">
        <w:rPr>
          <w:rStyle w:val="Refdecomentrio"/>
          <w:rFonts w:ascii="Arial" w:hAnsi="Arial" w:cs="Arial"/>
        </w:rPr>
        <w:commentReference w:id="0"/>
      </w:r>
    </w:p>
    <w:p w14:paraId="02437A2A" w14:textId="2902161A" w:rsidR="00127AAA" w:rsidRPr="00876BB0" w:rsidRDefault="00892E17" w:rsidP="00127AAA">
      <w:pPr>
        <w:rPr>
          <w:rFonts w:ascii="Arial" w:hAnsi="Arial" w:cs="Arial"/>
          <w:b/>
          <w:bCs/>
          <w:color w:val="5B5B5F"/>
          <w:sz w:val="28"/>
          <w:szCs w:val="28"/>
        </w:rPr>
      </w:pPr>
      <w:r w:rsidRPr="00876BB0">
        <w:rPr>
          <w:rFonts w:ascii="Arial" w:hAnsi="Arial" w:cs="Arial"/>
          <w:b/>
          <w:bCs/>
          <w:color w:val="5B5B5F"/>
          <w:sz w:val="28"/>
          <w:szCs w:val="28"/>
        </w:rPr>
        <w:t>14</w:t>
      </w:r>
      <w:r w:rsidR="00127AAA" w:rsidRPr="00876BB0">
        <w:rPr>
          <w:rFonts w:ascii="Arial" w:hAnsi="Arial" w:cs="Arial"/>
          <w:b/>
          <w:bCs/>
          <w:color w:val="5B5B5F"/>
          <w:sz w:val="28"/>
          <w:szCs w:val="28"/>
        </w:rPr>
        <w:t>/</w:t>
      </w:r>
      <w:r w:rsidRPr="00876BB0">
        <w:rPr>
          <w:rFonts w:ascii="Arial" w:hAnsi="Arial" w:cs="Arial"/>
          <w:b/>
          <w:b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4456E091" w:rsidR="00127AAA" w:rsidRPr="00876BB0" w:rsidRDefault="00892E17" w:rsidP="0E03D98A">
      <w:pPr>
        <w:rPr>
          <w:rFonts w:ascii="Arial" w:hAnsi="Arial" w:cs="Arial"/>
          <w:b/>
          <w:bCs/>
          <w:color w:val="5B5B5F"/>
          <w:sz w:val="28"/>
          <w:szCs w:val="28"/>
        </w:rPr>
      </w:pPr>
      <w:r w:rsidRPr="00876BB0">
        <w:rPr>
          <w:rFonts w:ascii="Arial" w:hAnsi="Arial" w:cs="Arial"/>
          <w:b/>
          <w:bCs/>
          <w:color w:val="5B5B5F"/>
          <w:sz w:val="28"/>
          <w:szCs w:val="28"/>
        </w:rPr>
        <w:t xml:space="preserve">DEPÓSITO CENTRAL DE MUNIÇÃO </w:t>
      </w:r>
      <w:r w:rsidR="00127AAA" w:rsidRPr="00876BB0">
        <w:rPr>
          <w:rFonts w:ascii="Arial" w:hAnsi="Arial" w:cs="Arial"/>
          <w:b/>
          <w:bCs/>
          <w:color w:val="5B5B5F"/>
          <w:sz w:val="28"/>
          <w:szCs w:val="28"/>
        </w:rPr>
        <w:t>(</w:t>
      </w:r>
      <w:r w:rsidRPr="00876BB0">
        <w:rPr>
          <w:rFonts w:ascii="Arial" w:hAnsi="Arial" w:cs="Arial"/>
          <w:b/>
          <w:bCs/>
          <w:color w:val="5B5B5F"/>
          <w:sz w:val="28"/>
          <w:szCs w:val="28"/>
        </w:rPr>
        <w:t>160246</w:t>
      </w:r>
      <w:r w:rsidR="00127AAA" w:rsidRPr="00876BB0">
        <w:rPr>
          <w:rFonts w:ascii="Arial" w:hAnsi="Arial" w:cs="Arial"/>
          <w:b/>
          <w:bCs/>
          <w:color w:val="5B5B5F"/>
          <w:sz w:val="28"/>
          <w:szCs w:val="28"/>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2420FBE8" w:rsidR="007103E1" w:rsidRPr="00876BB0" w:rsidRDefault="00876BB0" w:rsidP="007103E1">
      <w:pPr>
        <w:jc w:val="both"/>
        <w:rPr>
          <w:rFonts w:ascii="Arial" w:hAnsi="Arial" w:cs="Arial"/>
          <w:b/>
          <w:bCs/>
          <w:sz w:val="28"/>
          <w:szCs w:val="28"/>
        </w:rPr>
      </w:pPr>
      <w:r w:rsidRPr="00876BB0">
        <w:rPr>
          <w:rFonts w:ascii="Arial" w:hAnsi="Arial" w:cs="Arial"/>
          <w:b/>
          <w:bCs/>
          <w:color w:val="595959" w:themeColor="text1" w:themeTint="A6"/>
          <w:sz w:val="28"/>
          <w:szCs w:val="28"/>
        </w:rPr>
        <w:t>CONTRATAÇÃO DE SERVIÇO DE LEILOEIRO</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245BC57"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C31C94">
        <w:rPr>
          <w:rFonts w:ascii="Arial" w:hAnsi="Arial" w:cs="Arial"/>
          <w:b/>
          <w:bCs/>
          <w:color w:val="5B5B5F"/>
          <w:sz w:val="28"/>
          <w:szCs w:val="28"/>
        </w:rPr>
        <w:t>5,00</w:t>
      </w:r>
      <w:r w:rsidR="003510E8">
        <w:rPr>
          <w:rFonts w:ascii="Arial" w:hAnsi="Arial" w:cs="Arial"/>
          <w:b/>
          <w:bCs/>
          <w:color w:val="5B5B5F"/>
          <w:sz w:val="28"/>
          <w:szCs w:val="28"/>
        </w:rPr>
        <w:t xml:space="preserve"> (valor fictício)</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2B5F406C" w:rsidR="00127AAA" w:rsidRPr="005555F8" w:rsidRDefault="006927AE" w:rsidP="00127AAA">
      <w:pPr>
        <w:rPr>
          <w:rFonts w:ascii="Arial" w:hAnsi="Arial" w:cs="Arial"/>
          <w:b/>
          <w:bCs/>
          <w:color w:val="5B5B5F"/>
          <w:sz w:val="28"/>
          <w:szCs w:val="28"/>
        </w:rPr>
      </w:pPr>
      <w:r w:rsidRPr="005555F8">
        <w:rPr>
          <w:rFonts w:ascii="Arial" w:hAnsi="Arial" w:cs="Arial"/>
          <w:b/>
          <w:bCs/>
          <w:color w:val="5B5B5F"/>
          <w:sz w:val="28"/>
          <w:szCs w:val="28"/>
        </w:rPr>
        <w:t>Dia</w:t>
      </w:r>
      <w:r w:rsidR="00127AAA" w:rsidRPr="005555F8">
        <w:rPr>
          <w:rFonts w:ascii="Arial" w:hAnsi="Arial" w:cs="Arial"/>
          <w:b/>
          <w:bCs/>
          <w:color w:val="5B5B5F"/>
          <w:sz w:val="28"/>
          <w:szCs w:val="28"/>
        </w:rPr>
        <w:t xml:space="preserve"> </w:t>
      </w:r>
      <w:r w:rsidR="007C267A">
        <w:rPr>
          <w:rFonts w:ascii="Arial" w:hAnsi="Arial" w:cs="Arial"/>
          <w:b/>
          <w:bCs/>
          <w:color w:val="5B5B5F"/>
          <w:sz w:val="28"/>
          <w:szCs w:val="28"/>
        </w:rPr>
        <w:t>0</w:t>
      </w:r>
      <w:r w:rsidR="00C609AC">
        <w:rPr>
          <w:rFonts w:ascii="Arial" w:hAnsi="Arial" w:cs="Arial"/>
          <w:b/>
          <w:bCs/>
          <w:color w:val="5B5B5F"/>
          <w:sz w:val="28"/>
          <w:szCs w:val="28"/>
        </w:rPr>
        <w:t>9</w:t>
      </w:r>
      <w:r w:rsidR="00127AAA" w:rsidRPr="005555F8">
        <w:rPr>
          <w:rFonts w:ascii="Arial" w:hAnsi="Arial" w:cs="Arial"/>
          <w:b/>
          <w:bCs/>
          <w:color w:val="5B5B5F"/>
          <w:sz w:val="28"/>
          <w:szCs w:val="28"/>
        </w:rPr>
        <w:t>/</w:t>
      </w:r>
      <w:r w:rsidR="007C267A">
        <w:rPr>
          <w:rFonts w:ascii="Arial" w:hAnsi="Arial" w:cs="Arial"/>
          <w:b/>
          <w:bCs/>
          <w:color w:val="5B5B5F"/>
          <w:sz w:val="28"/>
          <w:szCs w:val="28"/>
        </w:rPr>
        <w:t>0</w:t>
      </w:r>
      <w:r w:rsidR="005555F8" w:rsidRPr="005555F8">
        <w:rPr>
          <w:rFonts w:ascii="Arial" w:hAnsi="Arial" w:cs="Arial"/>
          <w:b/>
          <w:bCs/>
          <w:color w:val="5B5B5F"/>
          <w:sz w:val="28"/>
          <w:szCs w:val="28"/>
        </w:rPr>
        <w:t>1</w:t>
      </w:r>
      <w:r w:rsidR="00127AAA" w:rsidRPr="005555F8">
        <w:rPr>
          <w:rFonts w:ascii="Arial" w:hAnsi="Arial" w:cs="Arial"/>
          <w:b/>
          <w:bCs/>
          <w:color w:val="5B5B5F"/>
          <w:sz w:val="28"/>
          <w:szCs w:val="28"/>
        </w:rPr>
        <w:t>/</w:t>
      </w:r>
      <w:r w:rsidR="005555F8" w:rsidRPr="005555F8">
        <w:rPr>
          <w:rFonts w:ascii="Arial" w:hAnsi="Arial" w:cs="Arial"/>
          <w:b/>
          <w:bCs/>
          <w:color w:val="5B5B5F"/>
          <w:sz w:val="28"/>
          <w:szCs w:val="28"/>
        </w:rPr>
        <w:t>202</w:t>
      </w:r>
      <w:r w:rsidR="007C267A">
        <w:rPr>
          <w:rFonts w:ascii="Arial" w:hAnsi="Arial" w:cs="Arial"/>
          <w:b/>
          <w:bCs/>
          <w:color w:val="5B5B5F"/>
          <w:sz w:val="28"/>
          <w:szCs w:val="28"/>
        </w:rPr>
        <w:t>4</w:t>
      </w:r>
      <w:r w:rsidR="00127AAA" w:rsidRPr="005555F8">
        <w:rPr>
          <w:rFonts w:ascii="Arial" w:hAnsi="Arial" w:cs="Arial"/>
          <w:b/>
          <w:bCs/>
          <w:color w:val="5B5B5F"/>
          <w:sz w:val="28"/>
          <w:szCs w:val="28"/>
        </w:rPr>
        <w:t xml:space="preserve"> às </w:t>
      </w:r>
      <w:r w:rsidR="005555F8" w:rsidRPr="005555F8">
        <w:rPr>
          <w:rFonts w:ascii="Arial" w:hAnsi="Arial" w:cs="Arial"/>
          <w:b/>
          <w:bCs/>
          <w:color w:val="5B5B5F"/>
          <w:sz w:val="28"/>
          <w:szCs w:val="28"/>
        </w:rPr>
        <w:t>08:00</w:t>
      </w:r>
      <w:r w:rsidR="00127AAA" w:rsidRPr="005555F8">
        <w:rPr>
          <w:rFonts w:ascii="Arial" w:hAnsi="Arial" w:cs="Arial"/>
          <w:b/>
          <w:bCs/>
          <w:color w:val="5B5B5F"/>
          <w:sz w:val="28"/>
          <w:szCs w:val="28"/>
        </w:rPr>
        <w:t>h</w:t>
      </w:r>
      <w:commentRangeEnd w:id="1"/>
      <w:r w:rsidRPr="005555F8">
        <w:rPr>
          <w:rStyle w:val="Refdecomentrio"/>
          <w:b/>
          <w:bCs/>
        </w:rPr>
        <w:commentReference w:id="1"/>
      </w:r>
      <w:r w:rsidR="0083414A" w:rsidRPr="005555F8">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E24E800" w:rsidR="0083414A" w:rsidRPr="00876BB0" w:rsidRDefault="0083414A" w:rsidP="009B65D5">
      <w:pPr>
        <w:jc w:val="both"/>
        <w:rPr>
          <w:rFonts w:ascii="Arial" w:hAnsi="Arial" w:cs="Arial"/>
          <w:b/>
          <w:bCs/>
          <w:sz w:val="28"/>
          <w:szCs w:val="28"/>
        </w:rPr>
      </w:pPr>
      <w:r w:rsidRPr="00876BB0">
        <w:rPr>
          <w:rFonts w:ascii="Arial" w:hAnsi="Arial" w:cs="Arial"/>
          <w:b/>
          <w:bCs/>
          <w:color w:val="595959" w:themeColor="text1" w:themeTint="A6"/>
          <w:sz w:val="28"/>
          <w:szCs w:val="28"/>
        </w:rPr>
        <w:t xml:space="preserve">maior desconto </w:t>
      </w:r>
      <w:r w:rsidRPr="00876BB0">
        <w:rPr>
          <w:rFonts w:ascii="Arial" w:hAnsi="Arial" w:cs="Arial"/>
          <w:b/>
          <w:bCs/>
          <w:sz w:val="28"/>
          <w:szCs w:val="28"/>
        </w:rPr>
        <w:t>por</w:t>
      </w:r>
      <w:r w:rsidRPr="00876BB0">
        <w:rPr>
          <w:rFonts w:ascii="Arial" w:hAnsi="Arial" w:cs="Arial"/>
          <w:b/>
          <w:bCs/>
          <w:color w:val="FF0000"/>
          <w:sz w:val="28"/>
          <w:szCs w:val="28"/>
        </w:rPr>
        <w:t xml:space="preserve"> </w:t>
      </w:r>
      <w:r w:rsidRPr="00876BB0">
        <w:rPr>
          <w:rFonts w:ascii="Arial" w:hAnsi="Arial" w:cs="Arial"/>
          <w:b/>
          <w:bCs/>
          <w:color w:val="595959" w:themeColor="text1" w:themeTint="A6"/>
          <w:sz w:val="28"/>
          <w:szCs w:val="28"/>
        </w:rPr>
        <w:t>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022BD57" w:rsidR="0083414A" w:rsidRPr="00876BB0" w:rsidRDefault="0083414A" w:rsidP="009B65D5">
      <w:pPr>
        <w:jc w:val="both"/>
        <w:rPr>
          <w:rFonts w:ascii="Arial" w:hAnsi="Arial" w:cs="Arial"/>
          <w:b/>
          <w:bCs/>
          <w:sz w:val="28"/>
          <w:szCs w:val="28"/>
        </w:rPr>
      </w:pPr>
      <w:r w:rsidRPr="00876BB0">
        <w:rPr>
          <w:rFonts w:ascii="Arial" w:hAnsi="Arial" w:cs="Arial"/>
          <w:b/>
          <w:bCs/>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0A4E6AC8" w:rsidR="00127AAA" w:rsidRPr="006E1990" w:rsidRDefault="00E2091F"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D639DA">
              <w:rPr>
                <w:noProof/>
                <w:webHidden/>
              </w:rPr>
              <w:t>3</w:t>
            </w:r>
            <w:r w:rsidR="00D639DA">
              <w:rPr>
                <w:noProof/>
                <w:webHidden/>
              </w:rPr>
              <w:fldChar w:fldCharType="end"/>
            </w:r>
          </w:hyperlink>
        </w:p>
        <w:p w14:paraId="0E6F78D6" w14:textId="5135B367" w:rsidR="00D639DA" w:rsidRDefault="00000000">
          <w:pPr>
            <w:pStyle w:val="Sumrio1"/>
            <w:rPr>
              <w:rFonts w:asciiTheme="minorHAnsi" w:eastAsiaTheme="minorEastAsia" w:hAnsiTheme="minorHAnsi" w:cstheme="minorBidi"/>
              <w:noProof/>
              <w:sz w:val="22"/>
              <w:szCs w:val="22"/>
            </w:rPr>
          </w:pPr>
          <w:hyperlink w:anchor="_Toc135469225" w:history="1">
            <w:r w:rsidR="00527460">
              <w:rPr>
                <w:rStyle w:val="Hyperlink"/>
                <w:noProof/>
              </w:rPr>
              <w:t>2</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D639DA">
              <w:rPr>
                <w:noProof/>
                <w:webHidden/>
              </w:rPr>
              <w:t>4</w:t>
            </w:r>
            <w:r w:rsidR="00D639DA">
              <w:rPr>
                <w:noProof/>
                <w:webHidden/>
              </w:rPr>
              <w:fldChar w:fldCharType="end"/>
            </w:r>
          </w:hyperlink>
        </w:p>
        <w:p w14:paraId="657B7259" w14:textId="1B83F129" w:rsidR="00D639DA" w:rsidRDefault="00000000">
          <w:pPr>
            <w:pStyle w:val="Sumrio1"/>
            <w:rPr>
              <w:rFonts w:asciiTheme="minorHAnsi" w:eastAsiaTheme="minorEastAsia" w:hAnsiTheme="minorHAnsi" w:cstheme="minorBidi"/>
              <w:noProof/>
              <w:sz w:val="22"/>
              <w:szCs w:val="22"/>
            </w:rPr>
          </w:pPr>
          <w:hyperlink w:anchor="_Toc135469226" w:history="1">
            <w:r w:rsidR="00527460">
              <w:rPr>
                <w:rStyle w:val="Hyperlink"/>
                <w:noProof/>
              </w:rPr>
              <w:t>3</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D639DA">
              <w:rPr>
                <w:noProof/>
                <w:webHidden/>
              </w:rPr>
              <w:t>5</w:t>
            </w:r>
            <w:r w:rsidR="00D639DA">
              <w:rPr>
                <w:noProof/>
                <w:webHidden/>
              </w:rPr>
              <w:fldChar w:fldCharType="end"/>
            </w:r>
          </w:hyperlink>
        </w:p>
        <w:p w14:paraId="4BDE9A8C" w14:textId="12B07AD9" w:rsidR="00D639DA" w:rsidRDefault="00000000">
          <w:pPr>
            <w:pStyle w:val="Sumrio1"/>
            <w:rPr>
              <w:rFonts w:asciiTheme="minorHAnsi" w:eastAsiaTheme="minorEastAsia" w:hAnsiTheme="minorHAnsi" w:cstheme="minorBidi"/>
              <w:noProof/>
              <w:sz w:val="22"/>
              <w:szCs w:val="22"/>
            </w:rPr>
          </w:pPr>
          <w:hyperlink w:anchor="_Toc135469227" w:history="1">
            <w:r w:rsidR="00527460">
              <w:rPr>
                <w:rStyle w:val="Hyperlink"/>
                <w:noProof/>
              </w:rPr>
              <w:t>4</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D639DA">
              <w:rPr>
                <w:noProof/>
                <w:webHidden/>
              </w:rPr>
              <w:t>7</w:t>
            </w:r>
            <w:r w:rsidR="00D639DA">
              <w:rPr>
                <w:noProof/>
                <w:webHidden/>
              </w:rPr>
              <w:fldChar w:fldCharType="end"/>
            </w:r>
          </w:hyperlink>
        </w:p>
        <w:p w14:paraId="35DBBB03" w14:textId="2C55776F" w:rsidR="00D639DA" w:rsidRDefault="00000000">
          <w:pPr>
            <w:pStyle w:val="Sumrio1"/>
            <w:rPr>
              <w:rFonts w:asciiTheme="minorHAnsi" w:eastAsiaTheme="minorEastAsia" w:hAnsiTheme="minorHAnsi" w:cstheme="minorBidi"/>
              <w:noProof/>
              <w:sz w:val="22"/>
              <w:szCs w:val="22"/>
            </w:rPr>
          </w:pPr>
          <w:hyperlink w:anchor="_Toc135469228" w:history="1">
            <w:r w:rsidR="00527460">
              <w:rPr>
                <w:rStyle w:val="Hyperlink"/>
                <w:noProof/>
              </w:rPr>
              <w:t>5</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D639DA">
              <w:rPr>
                <w:noProof/>
                <w:webHidden/>
              </w:rPr>
              <w:t>8</w:t>
            </w:r>
            <w:r w:rsidR="00D639DA">
              <w:rPr>
                <w:noProof/>
                <w:webHidden/>
              </w:rPr>
              <w:fldChar w:fldCharType="end"/>
            </w:r>
          </w:hyperlink>
        </w:p>
        <w:p w14:paraId="49A226E0" w14:textId="053802AB" w:rsidR="00D639DA" w:rsidRDefault="00000000">
          <w:pPr>
            <w:pStyle w:val="Sumrio1"/>
            <w:rPr>
              <w:rFonts w:asciiTheme="minorHAnsi" w:eastAsiaTheme="minorEastAsia" w:hAnsiTheme="minorHAnsi" w:cstheme="minorBidi"/>
              <w:noProof/>
              <w:sz w:val="22"/>
              <w:szCs w:val="22"/>
            </w:rPr>
          </w:pPr>
          <w:hyperlink w:anchor="_Toc135469229" w:history="1">
            <w:r w:rsidR="00527460">
              <w:rPr>
                <w:rStyle w:val="Hyperlink"/>
                <w:noProof/>
              </w:rPr>
              <w:t>6</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D639DA">
              <w:rPr>
                <w:noProof/>
                <w:webHidden/>
              </w:rPr>
              <w:t>12</w:t>
            </w:r>
            <w:r w:rsidR="00D639DA">
              <w:rPr>
                <w:noProof/>
                <w:webHidden/>
              </w:rPr>
              <w:fldChar w:fldCharType="end"/>
            </w:r>
          </w:hyperlink>
        </w:p>
        <w:p w14:paraId="6CBA2F79" w14:textId="18489E98" w:rsidR="00D639DA" w:rsidRDefault="00000000">
          <w:pPr>
            <w:pStyle w:val="Sumrio1"/>
            <w:rPr>
              <w:rFonts w:asciiTheme="minorHAnsi" w:eastAsiaTheme="minorEastAsia" w:hAnsiTheme="minorHAnsi" w:cstheme="minorBidi"/>
              <w:noProof/>
              <w:sz w:val="22"/>
              <w:szCs w:val="22"/>
            </w:rPr>
          </w:pPr>
          <w:hyperlink w:anchor="_Toc135469230" w:history="1">
            <w:r w:rsidR="00527460">
              <w:rPr>
                <w:rStyle w:val="Hyperlink"/>
                <w:noProof/>
              </w:rPr>
              <w:t>7</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D639DA">
              <w:rPr>
                <w:noProof/>
                <w:webHidden/>
              </w:rPr>
              <w:t>15</w:t>
            </w:r>
            <w:r w:rsidR="00D639DA">
              <w:rPr>
                <w:noProof/>
                <w:webHidden/>
              </w:rPr>
              <w:fldChar w:fldCharType="end"/>
            </w:r>
          </w:hyperlink>
        </w:p>
        <w:p w14:paraId="02179752" w14:textId="5B69BE87" w:rsidR="00D639DA" w:rsidRDefault="00000000">
          <w:pPr>
            <w:pStyle w:val="Sumrio1"/>
            <w:rPr>
              <w:rFonts w:asciiTheme="minorHAnsi" w:eastAsiaTheme="minorEastAsia" w:hAnsiTheme="minorHAnsi" w:cstheme="minorBidi"/>
              <w:noProof/>
              <w:sz w:val="22"/>
              <w:szCs w:val="22"/>
            </w:rPr>
          </w:pPr>
          <w:hyperlink w:anchor="_Toc135469233" w:history="1">
            <w:r w:rsidR="00527460">
              <w:rPr>
                <w:rStyle w:val="Hyperlink"/>
                <w:noProof/>
              </w:rPr>
              <w:t>8</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D639DA">
              <w:rPr>
                <w:noProof/>
                <w:webHidden/>
              </w:rPr>
              <w:t>18</w:t>
            </w:r>
            <w:r w:rsidR="00D639DA">
              <w:rPr>
                <w:noProof/>
                <w:webHidden/>
              </w:rPr>
              <w:fldChar w:fldCharType="end"/>
            </w:r>
          </w:hyperlink>
        </w:p>
        <w:p w14:paraId="5E14C7C7" w14:textId="134A68BB" w:rsidR="00D639DA" w:rsidRDefault="00000000">
          <w:pPr>
            <w:pStyle w:val="Sumrio1"/>
            <w:rPr>
              <w:rFonts w:asciiTheme="minorHAnsi" w:eastAsiaTheme="minorEastAsia" w:hAnsiTheme="minorHAnsi" w:cstheme="minorBidi"/>
              <w:noProof/>
              <w:sz w:val="22"/>
              <w:szCs w:val="22"/>
            </w:rPr>
          </w:pPr>
          <w:hyperlink w:anchor="_Toc135469234" w:history="1">
            <w:r w:rsidR="00527460">
              <w:rPr>
                <w:rStyle w:val="Hyperlink"/>
                <w:noProof/>
              </w:rPr>
              <w:t>9</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D639DA">
              <w:rPr>
                <w:noProof/>
                <w:webHidden/>
              </w:rPr>
              <w:t>19</w:t>
            </w:r>
            <w:r w:rsidR="00D639DA">
              <w:rPr>
                <w:noProof/>
                <w:webHidden/>
              </w:rPr>
              <w:fldChar w:fldCharType="end"/>
            </w:r>
          </w:hyperlink>
        </w:p>
        <w:p w14:paraId="5E4116D4" w14:textId="310A2563" w:rsidR="00D639DA" w:rsidRDefault="00000000">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w:t>
            </w:r>
            <w:r w:rsidR="00527460">
              <w:rPr>
                <w:rStyle w:val="Hyperlink"/>
                <w:noProof/>
              </w:rPr>
              <w:t>0</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D639DA">
              <w:rPr>
                <w:noProof/>
                <w:webHidden/>
              </w:rPr>
              <w:t>21</w:t>
            </w:r>
            <w:r w:rsidR="00D639DA">
              <w:rPr>
                <w:noProof/>
                <w:webHidden/>
              </w:rPr>
              <w:fldChar w:fldCharType="end"/>
            </w:r>
          </w:hyperlink>
        </w:p>
        <w:p w14:paraId="0215A553" w14:textId="2679F32B" w:rsidR="00D639DA" w:rsidRDefault="00000000">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w:t>
            </w:r>
            <w:r w:rsidR="00527460">
              <w:rPr>
                <w:rStyle w:val="Hyperlink"/>
                <w:noProof/>
              </w:rPr>
              <w:t>1</w:t>
            </w:r>
            <w:r w:rsidR="00D639DA" w:rsidRPr="00D267FD">
              <w:rPr>
                <w:rStyle w:val="Hyperlink"/>
                <w:noProof/>
              </w:rPr>
              <w:t>.</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D639DA">
              <w:rPr>
                <w:noProof/>
                <w:webHidden/>
              </w:rPr>
              <w:t>21</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712CF163" w14:textId="77777777" w:rsidR="00DE5628" w:rsidRPr="00835C34" w:rsidRDefault="00DE5628" w:rsidP="00DE5628">
      <w:pPr>
        <w:jc w:val="center"/>
        <w:rPr>
          <w:rFonts w:ascii="Times New Roman" w:hAnsi="Times New Roman" w:cs="Times New Roman"/>
        </w:rPr>
      </w:pPr>
      <w:r w:rsidRPr="00835C34">
        <w:rPr>
          <w:rFonts w:ascii="Times New Roman" w:hAnsi="Times New Roman" w:cs="Times New Roman"/>
          <w:noProof/>
        </w:rPr>
        <w:lastRenderedPageBreak/>
        <w:drawing>
          <wp:inline distT="0" distB="0" distL="0" distR="0" wp14:anchorId="1E240228" wp14:editId="667374B2">
            <wp:extent cx="590550" cy="590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lum contrast="6000"/>
                      <a:grayscl/>
                      <a:biLevel thresh="50000"/>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solidFill>
                      <a:srgbClr val="FFFFFF"/>
                    </a:solidFill>
                    <a:ln>
                      <a:noFill/>
                    </a:ln>
                  </pic:spPr>
                </pic:pic>
              </a:graphicData>
            </a:graphic>
          </wp:inline>
        </w:drawing>
      </w:r>
    </w:p>
    <w:p w14:paraId="64356231" w14:textId="77777777" w:rsidR="00DE5628" w:rsidRPr="00835C34" w:rsidRDefault="00DE5628" w:rsidP="00DE5628">
      <w:pPr>
        <w:ind w:right="-15"/>
        <w:jc w:val="center"/>
        <w:rPr>
          <w:rFonts w:ascii="Times New Roman" w:hAnsi="Times New Roman" w:cs="Times New Roman"/>
          <w:b/>
          <w:bCs/>
          <w:color w:val="000000"/>
        </w:rPr>
      </w:pPr>
      <w:r w:rsidRPr="00835C34">
        <w:rPr>
          <w:rFonts w:ascii="Times New Roman" w:hAnsi="Times New Roman" w:cs="Times New Roman"/>
          <w:b/>
          <w:bCs/>
          <w:color w:val="000000"/>
        </w:rPr>
        <w:t>MINISTÉRIO DA DEFESA</w:t>
      </w:r>
    </w:p>
    <w:p w14:paraId="6F04DC1F" w14:textId="77777777" w:rsidR="00DE5628" w:rsidRPr="00835C34" w:rsidRDefault="00DE5628" w:rsidP="00DE5628">
      <w:pPr>
        <w:ind w:right="-15"/>
        <w:jc w:val="center"/>
        <w:rPr>
          <w:rFonts w:ascii="Times New Roman" w:hAnsi="Times New Roman" w:cs="Times New Roman"/>
          <w:b/>
          <w:bCs/>
          <w:color w:val="000000"/>
        </w:rPr>
      </w:pPr>
      <w:r w:rsidRPr="00835C34">
        <w:rPr>
          <w:rFonts w:ascii="Times New Roman" w:hAnsi="Times New Roman" w:cs="Times New Roman"/>
          <w:b/>
          <w:bCs/>
          <w:color w:val="000000"/>
        </w:rPr>
        <w:t>EXÉRCITO BRASILEIRO</w:t>
      </w:r>
    </w:p>
    <w:p w14:paraId="287D87CD" w14:textId="77777777" w:rsidR="00DE5628" w:rsidRPr="00835C34" w:rsidRDefault="00DE5628" w:rsidP="00DE5628">
      <w:pPr>
        <w:ind w:right="-15"/>
        <w:jc w:val="center"/>
        <w:rPr>
          <w:rFonts w:ascii="Times New Roman" w:hAnsi="Times New Roman" w:cs="Times New Roman"/>
          <w:b/>
          <w:bCs/>
          <w:color w:val="000000"/>
        </w:rPr>
      </w:pPr>
      <w:r w:rsidRPr="00835C34">
        <w:rPr>
          <w:rFonts w:ascii="Times New Roman" w:hAnsi="Times New Roman" w:cs="Times New Roman"/>
          <w:b/>
          <w:bCs/>
          <w:color w:val="000000"/>
        </w:rPr>
        <w:t>DEPÓSITO CENTRAL DE MUNIÇÃO</w:t>
      </w:r>
    </w:p>
    <w:p w14:paraId="72CF84BC" w14:textId="77777777" w:rsidR="00DE5628" w:rsidRPr="00835C34" w:rsidRDefault="00DE5628" w:rsidP="00DE5628">
      <w:pPr>
        <w:ind w:right="-15"/>
        <w:jc w:val="center"/>
        <w:rPr>
          <w:rFonts w:ascii="Times New Roman" w:hAnsi="Times New Roman" w:cs="Times New Roman"/>
          <w:b/>
          <w:bCs/>
          <w:color w:val="000000"/>
        </w:rPr>
      </w:pPr>
      <w:r w:rsidRPr="00835C34">
        <w:rPr>
          <w:rFonts w:ascii="Times New Roman" w:hAnsi="Times New Roman" w:cs="Times New Roman"/>
          <w:b/>
          <w:bCs/>
          <w:color w:val="000000"/>
        </w:rPr>
        <w:t>(D C M B / 1918)</w:t>
      </w:r>
    </w:p>
    <w:p w14:paraId="79841B6D" w14:textId="5E957FD1"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E9573B">
        <w:rPr>
          <w:rFonts w:ascii="Arial" w:hAnsi="Arial" w:cs="Arial"/>
          <w:b/>
          <w:color w:val="000000"/>
          <w:sz w:val="20"/>
          <w:szCs w:val="20"/>
        </w:rPr>
        <w:t>14</w:t>
      </w:r>
      <w:r w:rsidRPr="006E1990">
        <w:rPr>
          <w:rFonts w:ascii="Arial" w:hAnsi="Arial" w:cs="Arial"/>
          <w:b/>
          <w:color w:val="000000"/>
          <w:sz w:val="20"/>
          <w:szCs w:val="20"/>
        </w:rPr>
        <w:t>/20</w:t>
      </w:r>
      <w:r w:rsidR="00E9573B">
        <w:rPr>
          <w:rFonts w:ascii="Arial" w:hAnsi="Arial" w:cs="Arial"/>
          <w:b/>
          <w:color w:val="000000"/>
          <w:sz w:val="20"/>
          <w:szCs w:val="20"/>
        </w:rPr>
        <w:t>23</w:t>
      </w:r>
    </w:p>
    <w:p w14:paraId="1CC7C9FE" w14:textId="4B6E9B16"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E9573B">
        <w:rPr>
          <w:rFonts w:ascii="Arial" w:hAnsi="Arial" w:cs="Arial"/>
          <w:bCs/>
          <w:color w:val="000000"/>
          <w:sz w:val="20"/>
          <w:szCs w:val="20"/>
        </w:rPr>
        <w:t xml:space="preserve"> 64449.05277/2023-47</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59FC7A7D" w14:textId="3508E133" w:rsidR="00DE5628" w:rsidRPr="00953C5D" w:rsidRDefault="003C7A23" w:rsidP="00DE5628">
      <w:pPr>
        <w:snapToGrid w:val="0"/>
        <w:spacing w:beforeLines="120" w:before="288" w:afterLines="120" w:after="288" w:line="312" w:lineRule="auto"/>
        <w:ind w:firstLine="567"/>
        <w:jc w:val="both"/>
        <w:rPr>
          <w:rFonts w:ascii="Arial" w:eastAsia="Times New Roman" w:hAnsi="Arial" w:cs="Arial"/>
          <w:sz w:val="20"/>
          <w:szCs w:val="20"/>
        </w:rPr>
      </w:pPr>
      <w:r w:rsidRPr="006E1990">
        <w:t xml:space="preserve">Torna-se público </w:t>
      </w:r>
      <w:r w:rsidR="00DE5628" w:rsidRPr="00953C5D">
        <w:rPr>
          <w:rFonts w:ascii="Arial" w:hAnsi="Arial" w:cs="Arial"/>
          <w:color w:val="000000"/>
          <w:sz w:val="20"/>
          <w:szCs w:val="20"/>
        </w:rPr>
        <w:t xml:space="preserve">que o Depósito Central de Munição, por meio do </w:t>
      </w:r>
      <w:r w:rsidR="00DE5628" w:rsidRPr="00953C5D">
        <w:rPr>
          <w:rFonts w:ascii="Arial" w:hAnsi="Arial" w:cs="Arial"/>
          <w:sz w:val="20"/>
          <w:szCs w:val="20"/>
        </w:rPr>
        <w:t>Seção de Aquisições, Licitações e Contratos,</w:t>
      </w:r>
      <w:r w:rsidR="00DE5628" w:rsidRPr="00953C5D">
        <w:rPr>
          <w:rFonts w:ascii="Arial" w:hAnsi="Arial" w:cs="Arial"/>
          <w:color w:val="000000"/>
          <w:sz w:val="20"/>
          <w:szCs w:val="20"/>
        </w:rPr>
        <w:t xml:space="preserve"> sediado </w:t>
      </w:r>
      <w:r w:rsidR="00DE5628" w:rsidRPr="00953C5D">
        <w:rPr>
          <w:rFonts w:ascii="Arial" w:hAnsi="Arial" w:cs="Arial"/>
          <w:sz w:val="20"/>
          <w:szCs w:val="20"/>
        </w:rPr>
        <w:t xml:space="preserve">na </w:t>
      </w:r>
      <w:r w:rsidR="00DE5628" w:rsidRPr="00953C5D">
        <w:rPr>
          <w:rFonts w:ascii="Arial" w:hAnsi="Arial" w:cs="Arial"/>
          <w:color w:val="000000"/>
          <w:sz w:val="20"/>
          <w:szCs w:val="20"/>
        </w:rPr>
        <w:t>Rodovia RJ-127, KM 06, Bairro Cabral, Paracambi-RJ, realizará licitação, na modalidade PREGÃO, na forma ELETRÔNICA,</w:t>
      </w:r>
      <w:r w:rsidR="00DE5628" w:rsidRPr="00953C5D">
        <w:rPr>
          <w:rFonts w:ascii="Arial" w:eastAsia="Times New Roman" w:hAnsi="Arial" w:cs="Arial"/>
          <w:color w:val="000000"/>
          <w:sz w:val="20"/>
          <w:szCs w:val="20"/>
        </w:rPr>
        <w:t xml:space="preserve"> </w:t>
      </w:r>
      <w:r w:rsidR="00DE5628" w:rsidRPr="00953C5D">
        <w:rPr>
          <w:rFonts w:ascii="Arial" w:hAnsi="Arial" w:cs="Arial"/>
          <w:color w:val="000000"/>
          <w:sz w:val="20"/>
          <w:szCs w:val="20"/>
        </w:rPr>
        <w:t xml:space="preserve">nos termos da </w:t>
      </w:r>
      <w:hyperlink r:id="rId15" w:history="1">
        <w:r w:rsidR="00DE5628" w:rsidRPr="00953C5D">
          <w:rPr>
            <w:rStyle w:val="Hyperlink"/>
            <w:rFonts w:ascii="Arial" w:hAnsi="Arial" w:cs="Arial"/>
            <w:sz w:val="20"/>
            <w:szCs w:val="20"/>
          </w:rPr>
          <w:t>Lei nº 14.133, de 2021</w:t>
        </w:r>
      </w:hyperlink>
      <w:r w:rsidR="00DE5628" w:rsidRPr="00953C5D">
        <w:rPr>
          <w:rFonts w:ascii="Arial" w:hAnsi="Arial" w:cs="Arial"/>
          <w:sz w:val="20"/>
          <w:szCs w:val="20"/>
        </w:rPr>
        <w:t>, e demais legislação aplicável e, ainda, de acordo com as condições estabelecidas neste Edital</w:t>
      </w:r>
      <w:r w:rsidR="00DE5628" w:rsidRPr="00953C5D">
        <w:rPr>
          <w:rFonts w:ascii="Arial" w:eastAsia="Times New Roman" w:hAnsi="Arial" w:cs="Arial"/>
          <w:sz w:val="20"/>
          <w:szCs w:val="20"/>
        </w:rPr>
        <w:t>.</w:t>
      </w:r>
    </w:p>
    <w:p w14:paraId="189F9374" w14:textId="45F3E7A0" w:rsidR="003C7A23" w:rsidRPr="006E1990" w:rsidRDefault="003C7A23" w:rsidP="00C87581">
      <w:pPr>
        <w:pStyle w:val="Nivel2"/>
        <w:numPr>
          <w:ilvl w:val="0"/>
          <w:numId w:val="0"/>
        </w:numPr>
        <w:ind w:firstLine="1134"/>
        <w:rPr>
          <w:rFonts w:eastAsia="Times New Roman"/>
        </w:rPr>
      </w:pPr>
    </w:p>
    <w:p w14:paraId="00B217AE" w14:textId="77777777" w:rsidR="003C7A23" w:rsidRPr="006E1990" w:rsidRDefault="003C7A23" w:rsidP="00A974BD">
      <w:pPr>
        <w:pStyle w:val="Nivel01"/>
        <w:rPr>
          <w:lang w:eastAsia="en-US"/>
        </w:rPr>
      </w:pPr>
      <w:bookmarkStart w:id="2" w:name="_Toc135469223"/>
      <w:r w:rsidRPr="006E1990">
        <w:rPr>
          <w:lang w:eastAsia="en-US"/>
        </w:rPr>
        <w:t>DO OBJETO</w:t>
      </w:r>
      <w:bookmarkEnd w:id="2"/>
    </w:p>
    <w:p w14:paraId="4B43170C" w14:textId="456754EC" w:rsidR="003C7A23" w:rsidRPr="006E1990" w:rsidRDefault="003C7A23" w:rsidP="00C87581">
      <w:pPr>
        <w:pStyle w:val="Nivel2"/>
      </w:pPr>
      <w:r w:rsidRPr="006E1990">
        <w:t>O objeto da presente licitação é a prestação do serviço de</w:t>
      </w:r>
      <w:r w:rsidR="00E527D6">
        <w:t xml:space="preserve"> leiloeiro oficial para condução de leilão de alienação de materiais do Depósito Central de Munição</w:t>
      </w:r>
      <w:r w:rsidRPr="006E1990">
        <w:t xml:space="preserve"> conforme condições, quantidades e exigências estabelecidas neste Edital e seus anexos.</w:t>
      </w:r>
    </w:p>
    <w:p w14:paraId="7241B375" w14:textId="77777777" w:rsidR="003C7A23" w:rsidRDefault="003C7A23" w:rsidP="00535637">
      <w:pPr>
        <w:pStyle w:val="Nvel2-Red"/>
        <w:rPr>
          <w:i w:val="0"/>
          <w:iCs w:val="0"/>
          <w:color w:val="auto"/>
        </w:rPr>
      </w:pPr>
      <w:r w:rsidRPr="00E527D6">
        <w:rPr>
          <w:i w:val="0"/>
          <w:iCs w:val="0"/>
          <w:color w:val="auto"/>
        </w:rPr>
        <w:t>A licitação será realizada em único item.</w:t>
      </w:r>
    </w:p>
    <w:p w14:paraId="56E015CD" w14:textId="5F56C9A0" w:rsidR="00D36994" w:rsidRPr="00E527D6" w:rsidRDefault="00D36994" w:rsidP="00535637">
      <w:pPr>
        <w:pStyle w:val="Nvel2-Red"/>
        <w:rPr>
          <w:i w:val="0"/>
          <w:iCs w:val="0"/>
          <w:color w:val="auto"/>
        </w:rPr>
      </w:pPr>
      <w:r>
        <w:rPr>
          <w:i w:val="0"/>
          <w:iCs w:val="0"/>
          <w:color w:val="auto"/>
        </w:rPr>
        <w:t>Devido a limitações do sistema COMPRAS.GOV, o valor estimado da licitação será fictício de R$ 5,00 (cinco reais). A disputa ocorrerá baseada no valor percentual de desconto ofertado pelos licitantes sobre a Taxa de Admini</w:t>
      </w:r>
      <w:r w:rsidR="00A63977">
        <w:rPr>
          <w:i w:val="0"/>
          <w:iCs w:val="0"/>
          <w:color w:val="auto"/>
        </w:rPr>
        <w:t>s</w:t>
      </w:r>
      <w:r>
        <w:rPr>
          <w:i w:val="0"/>
          <w:iCs w:val="0"/>
          <w:color w:val="auto"/>
        </w:rPr>
        <w:t>tração/Comitente</w:t>
      </w:r>
      <w:r w:rsidR="00A63977">
        <w:rPr>
          <w:i w:val="0"/>
          <w:iCs w:val="0"/>
          <w:color w:val="auto"/>
        </w:rPr>
        <w:t xml:space="preserve">, conforme a legislação. Quem oferecer o maior percentual será o vencedor. </w:t>
      </w:r>
    </w:p>
    <w:p w14:paraId="362AFB15" w14:textId="77777777" w:rsidR="003C7A23" w:rsidRPr="006E1990" w:rsidRDefault="003C7A23" w:rsidP="00A974BD">
      <w:pPr>
        <w:pStyle w:val="Nivel01"/>
      </w:pPr>
      <w:bookmarkStart w:id="3" w:name="_Toc135469225"/>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6"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5"/>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do cadastrado conferir a exatidão dos seus dados cadastrais nos Sistemas relacionados no item anterior e mantê-los atualizados junto aos órgãos responsáveis pela informação, </w:t>
      </w:r>
      <w:r w:rsidRPr="00535637">
        <w:lastRenderedPageBreak/>
        <w:t>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D639D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D639D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D639D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D639DA">
        <w:t>3.7.2</w:t>
      </w:r>
      <w:r>
        <w:fldChar w:fldCharType="end"/>
      </w:r>
      <w:r>
        <w:t xml:space="preserve"> e </w:t>
      </w:r>
      <w:r>
        <w:fldChar w:fldCharType="begin"/>
      </w:r>
      <w:r>
        <w:instrText xml:space="preserve"> REF _Ref114659913 \r \h  \* MERGEFORMAT </w:instrText>
      </w:r>
      <w:r>
        <w:fldChar w:fldCharType="separate"/>
      </w:r>
      <w:r w:rsidR="00D639D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lastRenderedPageBreak/>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D639D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639D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639DA">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D639D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lastRenderedPageBreak/>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23"/>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23"/>
      <w:r w:rsidR="009F6F37" w:rsidRPr="006E1990">
        <w:rPr>
          <w:rStyle w:val="Refdecomentrio"/>
          <w:color w:val="auto"/>
        </w:rPr>
        <w:commentReference w:id="23"/>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24"/>
      <w:r w:rsidRPr="00535637">
        <w:t>percentual de desconto inferior a lance já registrado pelo fornecedor no sistema, quando adotado o critério de julgamento por maior desconto.</w:t>
      </w:r>
      <w:commentRangeEnd w:id="24"/>
      <w:r w:rsidR="00490754" w:rsidRPr="00535637">
        <w:rPr>
          <w:rStyle w:val="Refdecomentrio"/>
          <w:sz w:val="20"/>
          <w:szCs w:val="20"/>
        </w:rPr>
        <w:commentReference w:id="24"/>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D639D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5" w:name="_Toc135469227"/>
      <w:r w:rsidRPr="006E1990">
        <w:t>DO PREENCHIMENTO DA PROPOSTA</w:t>
      </w:r>
      <w:bookmarkEnd w:id="25"/>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0E218F30" w:rsidR="003C7A23" w:rsidRDefault="003C7A23" w:rsidP="00535637">
      <w:pPr>
        <w:pStyle w:val="Nvel3-R"/>
        <w:rPr>
          <w:i w:val="0"/>
          <w:iCs w:val="0"/>
          <w:color w:val="auto"/>
        </w:rPr>
      </w:pPr>
      <w:r w:rsidRPr="005F437B">
        <w:rPr>
          <w:i w:val="0"/>
          <w:iCs w:val="0"/>
          <w:color w:val="auto"/>
        </w:rPr>
        <w:t>desconto</w:t>
      </w:r>
      <w:r w:rsidR="00AC6535" w:rsidRPr="005F437B">
        <w:rPr>
          <w:i w:val="0"/>
          <w:iCs w:val="0"/>
          <w:color w:val="auto"/>
        </w:rPr>
        <w:t xml:space="preserve"> </w:t>
      </w:r>
      <w:r w:rsidRPr="005F437B">
        <w:rPr>
          <w:i w:val="0"/>
          <w:iCs w:val="0"/>
          <w:color w:val="auto"/>
        </w:rPr>
        <w:t>unitário e total do item;</w:t>
      </w:r>
    </w:p>
    <w:p w14:paraId="378BEB7D" w14:textId="5C5D2B78" w:rsidR="005F437B" w:rsidRDefault="005F437B" w:rsidP="005F437B">
      <w:pPr>
        <w:pStyle w:val="Nivel3"/>
      </w:pPr>
      <w:r>
        <w:t>Descrição</w:t>
      </w:r>
      <w:r>
        <w:rPr>
          <w:spacing w:val="-4"/>
        </w:rPr>
        <w:t xml:space="preserve"> </w:t>
      </w:r>
      <w:r>
        <w:t>do</w:t>
      </w:r>
      <w:r>
        <w:rPr>
          <w:spacing w:val="-3"/>
        </w:rPr>
        <w:t xml:space="preserve"> </w:t>
      </w:r>
      <w:r>
        <w:t>objeto,</w:t>
      </w:r>
      <w:r>
        <w:rPr>
          <w:spacing w:val="-3"/>
        </w:rPr>
        <w:t xml:space="preserve"> </w:t>
      </w:r>
      <w:r>
        <w:t>contendo</w:t>
      </w:r>
      <w:r>
        <w:rPr>
          <w:spacing w:val="-2"/>
        </w:rPr>
        <w:t xml:space="preserve"> </w:t>
      </w:r>
      <w:r>
        <w:t>as</w:t>
      </w:r>
      <w:r>
        <w:rPr>
          <w:spacing w:val="-5"/>
        </w:rPr>
        <w:t xml:space="preserve"> </w:t>
      </w:r>
      <w:r>
        <w:t>informações</w:t>
      </w:r>
      <w:r>
        <w:rPr>
          <w:spacing w:val="-4"/>
        </w:rPr>
        <w:t xml:space="preserve"> </w:t>
      </w:r>
      <w:r>
        <w:t>similares</w:t>
      </w:r>
      <w:r>
        <w:rPr>
          <w:spacing w:val="-4"/>
        </w:rPr>
        <w:t xml:space="preserve"> </w:t>
      </w:r>
      <w:r>
        <w:t>à</w:t>
      </w:r>
      <w:r>
        <w:rPr>
          <w:spacing w:val="-2"/>
        </w:rPr>
        <w:t xml:space="preserve"> </w:t>
      </w:r>
      <w:r>
        <w:t>especificação</w:t>
      </w:r>
      <w:r>
        <w:rPr>
          <w:spacing w:val="-3"/>
        </w:rPr>
        <w:t xml:space="preserve"> </w:t>
      </w:r>
      <w:r>
        <w:t>do</w:t>
      </w:r>
      <w:r>
        <w:rPr>
          <w:spacing w:val="-5"/>
        </w:rPr>
        <w:t xml:space="preserve"> </w:t>
      </w:r>
      <w:r>
        <w:t>Termo</w:t>
      </w:r>
      <w:r>
        <w:rPr>
          <w:spacing w:val="-3"/>
        </w:rPr>
        <w:t xml:space="preserve"> </w:t>
      </w:r>
      <w:r>
        <w:t>de</w:t>
      </w:r>
      <w:r>
        <w:rPr>
          <w:spacing w:val="-2"/>
        </w:rPr>
        <w:t xml:space="preserve"> </w:t>
      </w:r>
      <w:r>
        <w:t>Referência.</w:t>
      </w:r>
    </w:p>
    <w:p w14:paraId="5F5E5E8C" w14:textId="2FD271FF" w:rsidR="003C7A23" w:rsidRDefault="003C7A23" w:rsidP="00535637">
      <w:pPr>
        <w:pStyle w:val="Nivel2"/>
      </w:pPr>
      <w:r w:rsidRPr="006E1990">
        <w:t>Todas as especificações do objeto contidas na proposta vinculam o licitante.</w:t>
      </w:r>
    </w:p>
    <w:p w14:paraId="376C1E27" w14:textId="5E82148F" w:rsidR="00213C8A" w:rsidRPr="005F437B" w:rsidRDefault="005F437B" w:rsidP="00535637">
      <w:pPr>
        <w:pStyle w:val="Nivel3"/>
        <w:rPr>
          <w:color w:val="auto"/>
        </w:rPr>
      </w:pPr>
      <w:r>
        <w:rPr>
          <w:color w:val="auto"/>
        </w:rPr>
        <w:t xml:space="preserve">O licitante não poderá oferecer proposta em quantitativo inferior ao máximo previsto para contratação. </w:t>
      </w:r>
      <w:commentRangeStart w:id="26"/>
      <w:commentRangeEnd w:id="26"/>
      <w:r w:rsidR="00E74227" w:rsidRPr="005F437B">
        <w:rPr>
          <w:rStyle w:val="Refdecomentrio"/>
          <w:rFonts w:ascii="Ecofont_Spranq_eco_Sans" w:hAnsi="Ecofont_Spranq_eco_Sans" w:cs="Tahoma"/>
          <w:color w:val="auto"/>
        </w:rPr>
        <w:commentReference w:id="26"/>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lastRenderedPageBreak/>
        <w:t>Independentemente do percentual de tributo inserido na planilha, no pagamento serão retidos na fonte os percentuais estabelecidos na legislação vigente.</w:t>
      </w:r>
    </w:p>
    <w:p w14:paraId="02B134C4" w14:textId="77777777" w:rsidR="00D757BC" w:rsidRPr="005F437B" w:rsidRDefault="00D757BC" w:rsidP="00535637">
      <w:pPr>
        <w:pStyle w:val="Nvel2-Red"/>
        <w:rPr>
          <w:i w:val="0"/>
          <w:iCs w:val="0"/>
          <w:color w:val="auto"/>
        </w:rPr>
      </w:pPr>
      <w:r w:rsidRPr="005F437B">
        <w:rPr>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commentRangeStart w:id="27"/>
      <w:r w:rsidRPr="006E1990">
        <w:t xml:space="preserve">O prazo de validade da proposta não será inferior </w:t>
      </w:r>
      <w:r w:rsidRPr="005F437B">
        <w:rPr>
          <w:color w:val="auto"/>
        </w:rPr>
        <w:t xml:space="preserve">a </w:t>
      </w:r>
      <w:r w:rsidRPr="005F437B">
        <w:rPr>
          <w:b/>
          <w:bCs/>
          <w:color w:val="auto"/>
        </w:rPr>
        <w:t>60 (sessenta)</w:t>
      </w:r>
      <w:r w:rsidRPr="005F437B">
        <w:rPr>
          <w:color w:val="auto"/>
        </w:rPr>
        <w:t xml:space="preserve"> </w:t>
      </w:r>
      <w:r w:rsidRPr="006E1990">
        <w:t>dias</w:t>
      </w:r>
      <w:r w:rsidRPr="006E1990">
        <w:rPr>
          <w:b/>
        </w:rPr>
        <w:t>,</w:t>
      </w:r>
      <w:r w:rsidRPr="006E1990">
        <w:t xml:space="preserve"> a contar da data de sua apresentação.</w:t>
      </w:r>
      <w:commentRangeEnd w:id="27"/>
      <w:r w:rsidR="00F878A6" w:rsidRPr="006E1990">
        <w:rPr>
          <w:rStyle w:val="Refdecomentrio"/>
          <w:color w:val="auto"/>
        </w:rPr>
        <w:commentReference w:id="27"/>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974BD">
      <w:pPr>
        <w:pStyle w:val="Nivel01"/>
      </w:pPr>
      <w:bookmarkStart w:id="28" w:name="_Toc135469228"/>
      <w:r w:rsidRPr="006E1990">
        <w:t>DA ABERTURA DA SESSÃO, CLASSIFICAÇÃO DAS PROPOSTAS E FORMULAÇÃO DE LANCES</w:t>
      </w:r>
      <w:bookmarkEnd w:id="28"/>
    </w:p>
    <w:p w14:paraId="4998B02F" w14:textId="77777777" w:rsidR="003C7A23" w:rsidRPr="00B9651D" w:rsidRDefault="003C7A23" w:rsidP="00B9651D">
      <w:pPr>
        <w:pStyle w:val="Nivel2"/>
      </w:pPr>
      <w:bookmarkStart w:id="29"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04E24D43" w14:textId="78BAB713" w:rsidR="00A4594A" w:rsidRDefault="00A4594A" w:rsidP="00A4594A">
      <w:pPr>
        <w:pStyle w:val="Nivel2"/>
      </w:pPr>
      <w:r w:rsidRPr="00A4594A">
        <w:t>O lance deverá ser ofertado através do desconto total do item, que corresponde,</w:t>
      </w:r>
      <w:r w:rsidRPr="00A4594A">
        <w:br/>
        <w:t>proporcionalmente, ao valor do percentual da taxa ou comissão administrativa</w:t>
      </w:r>
      <w:r w:rsidRPr="00A4594A">
        <w:br/>
        <w:t>(máximo de 5%) a ser recebida pelo Licitante.</w:t>
      </w:r>
    </w:p>
    <w:p w14:paraId="1161E9B0" w14:textId="34BF22A9" w:rsidR="00EA32E2" w:rsidRPr="00EA32E2" w:rsidRDefault="00EA32E2" w:rsidP="00A4594A">
      <w:pPr>
        <w:pStyle w:val="Nivel2"/>
      </w:pPr>
      <w:r w:rsidRPr="00EA32E2">
        <w:t>A título de esclarecimento, exemplifiquemos:</w:t>
      </w:r>
    </w:p>
    <w:p w14:paraId="377F5919" w14:textId="71D7ED79" w:rsidR="00A4594A" w:rsidRPr="00EA32E2" w:rsidRDefault="00A4594A" w:rsidP="00EA32E2">
      <w:pPr>
        <w:pStyle w:val="Nivel3"/>
        <w:numPr>
          <w:ilvl w:val="0"/>
          <w:numId w:val="0"/>
        </w:numPr>
        <w:ind w:left="284"/>
        <w:jc w:val="left"/>
      </w:pPr>
      <w:r w:rsidRPr="00EA32E2">
        <w:t>5.6.1. Caso o licitante se proponha a receber a comissão de 5%, deverá</w:t>
      </w:r>
      <w:r w:rsidR="00EA32E2" w:rsidRPr="00EA32E2">
        <w:t xml:space="preserve"> </w:t>
      </w:r>
      <w:r w:rsidRPr="00EA32E2">
        <w:t>ofertar o lance por meio do</w:t>
      </w:r>
      <w:r w:rsidR="00EA32E2" w:rsidRPr="00EA32E2">
        <w:t xml:space="preserve"> </w:t>
      </w:r>
      <w:r w:rsidRPr="00EA32E2">
        <w:t>sistema eletrônico com o desconto de 0%.</w:t>
      </w:r>
      <w:r w:rsidRPr="00EA32E2">
        <w:br/>
        <w:t>5.6.2. Caso o licitante se proponha a receber a comissão de 4%, deverá</w:t>
      </w:r>
      <w:r w:rsidR="00EA32E2" w:rsidRPr="00EA32E2">
        <w:t xml:space="preserve"> </w:t>
      </w:r>
      <w:r w:rsidRPr="00EA32E2">
        <w:t>ofertar o lance por meio do sistema eletrônico com o desconto de 20%.</w:t>
      </w:r>
      <w:r w:rsidRPr="00EA32E2">
        <w:br/>
        <w:t>5.6.4. Caso o licitante se proponha a receber a comissão de 1%, deverá</w:t>
      </w:r>
      <w:r w:rsidR="00EA32E2" w:rsidRPr="00EA32E2">
        <w:t xml:space="preserve"> </w:t>
      </w:r>
      <w:r w:rsidRPr="00EA32E2">
        <w:t>ofertar o lance por meio do sistema eletrônico com o desconto de 80%.</w:t>
      </w:r>
      <w:r w:rsidRPr="00EA32E2">
        <w:br/>
        <w:t>5.6.5. Se o licitante se propõe a receber uma comissão de 0%, deverá</w:t>
      </w:r>
      <w:r w:rsidR="00EA32E2" w:rsidRPr="00EA32E2">
        <w:t xml:space="preserve"> </w:t>
      </w:r>
      <w:r w:rsidRPr="00EA32E2">
        <w:t>ofertar o lance por meio do sistema eletrônico com o desconto de 100%.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40"/>
        <w:gridCol w:w="4410"/>
      </w:tblGrid>
      <w:tr w:rsidR="00A4594A" w:rsidRPr="00EA32E2" w14:paraId="5B998B92"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2B89E2AF"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lastRenderedPageBreak/>
              <w:t xml:space="preserve">Comissão ou Taxa Administrativa a ser recebida pelo Licitante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63CA1BCE"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Lance a ser ofertado no Sistema</w:t>
            </w:r>
          </w:p>
        </w:tc>
      </w:tr>
      <w:tr w:rsidR="00A4594A" w:rsidRPr="00EA32E2" w14:paraId="2D435486"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2C8C42CC"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 xml:space="preserve">5%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1BEB4F06"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0%</w:t>
            </w:r>
          </w:p>
        </w:tc>
      </w:tr>
      <w:tr w:rsidR="00A4594A" w:rsidRPr="00EA32E2" w14:paraId="3525E02C"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0B0E6D21"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 xml:space="preserve">4%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437D334D"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20%</w:t>
            </w:r>
          </w:p>
        </w:tc>
      </w:tr>
      <w:tr w:rsidR="00A4594A" w:rsidRPr="00EA32E2" w14:paraId="7478D4DE"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0915D19A"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 xml:space="preserve">2,5%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516BDB7"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50%</w:t>
            </w:r>
          </w:p>
        </w:tc>
      </w:tr>
      <w:tr w:rsidR="00A4594A" w:rsidRPr="00EA32E2" w14:paraId="23E0407F"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5A8B3C1D"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 xml:space="preserve">1%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A8DFAEE"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80%</w:t>
            </w:r>
          </w:p>
        </w:tc>
      </w:tr>
      <w:tr w:rsidR="00A4594A" w:rsidRPr="00EA32E2" w14:paraId="4AB2E840" w14:textId="77777777" w:rsidTr="00A4594A">
        <w:tc>
          <w:tcPr>
            <w:tcW w:w="5040" w:type="dxa"/>
            <w:tcBorders>
              <w:top w:val="single" w:sz="4" w:space="0" w:color="auto"/>
              <w:left w:val="single" w:sz="4" w:space="0" w:color="auto"/>
              <w:bottom w:val="single" w:sz="4" w:space="0" w:color="auto"/>
              <w:right w:val="single" w:sz="4" w:space="0" w:color="auto"/>
            </w:tcBorders>
            <w:vAlign w:val="center"/>
            <w:hideMark/>
          </w:tcPr>
          <w:p w14:paraId="6D171F47"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 xml:space="preserve">0% </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B17CA26" w14:textId="77777777" w:rsidR="00A4594A" w:rsidRPr="00EA32E2" w:rsidRDefault="00A4594A" w:rsidP="00A4594A">
            <w:pPr>
              <w:rPr>
                <w:rFonts w:ascii="Arial" w:eastAsia="Times New Roman" w:hAnsi="Arial" w:cs="Arial"/>
                <w:sz w:val="20"/>
                <w:szCs w:val="20"/>
              </w:rPr>
            </w:pPr>
            <w:r w:rsidRPr="00EA32E2">
              <w:rPr>
                <w:rFonts w:ascii="Arial" w:eastAsia="Times New Roman" w:hAnsi="Arial" w:cs="Arial"/>
                <w:color w:val="000000"/>
                <w:sz w:val="20"/>
                <w:szCs w:val="20"/>
              </w:rPr>
              <w:t>100%</w:t>
            </w:r>
          </w:p>
        </w:tc>
      </w:tr>
    </w:tbl>
    <w:p w14:paraId="40076AD6" w14:textId="258213A5" w:rsidR="00A4594A" w:rsidRPr="00EA32E2" w:rsidRDefault="00A4594A" w:rsidP="007A2F49">
      <w:pPr>
        <w:pStyle w:val="Nivel2"/>
        <w:numPr>
          <w:ilvl w:val="1"/>
          <w:numId w:val="37"/>
        </w:numPr>
        <w:ind w:left="0" w:firstLine="0"/>
        <w:rPr>
          <w:rFonts w:ascii="Times New Roman" w:hAnsi="Times New Roman" w:cs="Times New Roman"/>
          <w:sz w:val="24"/>
          <w:szCs w:val="24"/>
        </w:rPr>
      </w:pPr>
      <w:r w:rsidRPr="00EA32E2">
        <w:rPr>
          <w:rFonts w:eastAsia="Times New Roman"/>
        </w:rPr>
        <w:t>Os exemplos acima citados são meramente ilustrativos, poderá o licitante</w:t>
      </w:r>
      <w:r w:rsidRPr="00EA32E2">
        <w:rPr>
          <w:rFonts w:eastAsia="Times New Roman"/>
        </w:rPr>
        <w:br/>
        <w:t>oferecer qualquer desconto, devendo sempre fazer a relação de proporção com</w:t>
      </w:r>
      <w:r w:rsidRPr="00EA32E2">
        <w:rPr>
          <w:rFonts w:eastAsia="Times New Roman"/>
        </w:rPr>
        <w:br/>
        <w:t>o valor máximo de 5% da taxa ou comissão administrativa</w:t>
      </w:r>
      <w:r w:rsidRPr="00EA32E2">
        <w:rPr>
          <w:rFonts w:ascii="Times New Roman" w:eastAsia="Times New Roman" w:hAnsi="Times New Roman" w:cs="Times New Roman"/>
          <w:sz w:val="24"/>
          <w:szCs w:val="24"/>
        </w:rPr>
        <w:t>.</w:t>
      </w:r>
    </w:p>
    <w:p w14:paraId="5C125845" w14:textId="3816787C" w:rsidR="003C7A23" w:rsidRPr="00B9651D" w:rsidRDefault="003C7A23" w:rsidP="007A2F49">
      <w:pPr>
        <w:pStyle w:val="Nivel2"/>
        <w:numPr>
          <w:ilvl w:val="1"/>
          <w:numId w:val="37"/>
        </w:numPr>
        <w:ind w:left="709" w:hanging="709"/>
      </w:pPr>
      <w:r w:rsidRPr="00B9651D">
        <w:t xml:space="preserve">O lance deverá ser ofertado pelo valor unitário do </w:t>
      </w:r>
      <w:commentRangeStart w:id="30"/>
      <w:r w:rsidRPr="00B9651D">
        <w:t>item</w:t>
      </w:r>
      <w:commentRangeEnd w:id="30"/>
      <w:r w:rsidR="00264555" w:rsidRPr="00B9651D">
        <w:rPr>
          <w:rStyle w:val="Refdecomentrio"/>
          <w:sz w:val="20"/>
          <w:szCs w:val="20"/>
        </w:rPr>
        <w:commentReference w:id="30"/>
      </w:r>
      <w:r w:rsidR="00FD5E5D">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5E20C41C" w:rsidR="003C7A23" w:rsidRPr="006E1990" w:rsidRDefault="003C7A23" w:rsidP="00B9651D">
      <w:pPr>
        <w:pStyle w:val="Nivel2"/>
      </w:pPr>
      <w:r>
        <w:t xml:space="preserve">O licitante somente poderá oferecer lance </w:t>
      </w:r>
      <w:r w:rsidRPr="00FD5E5D">
        <w:rPr>
          <w:color w:val="auto"/>
        </w:rPr>
        <w:t xml:space="preserve">de percentual de desconto superior </w:t>
      </w:r>
      <w:r>
        <w:t xml:space="preserve">ao último por ele </w:t>
      </w:r>
      <w:r w:rsidRPr="00B9651D">
        <w:t>ofertado</w:t>
      </w:r>
      <w:r>
        <w:t xml:space="preserve"> e registrado pelo sistema. </w:t>
      </w:r>
    </w:p>
    <w:p w14:paraId="479767D2" w14:textId="275E058F"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FD5E5D">
        <w:rPr>
          <w:color w:val="auto"/>
        </w:rPr>
        <w:t xml:space="preserve"> de</w:t>
      </w:r>
      <w:r w:rsidRPr="00FD5E5D">
        <w:rPr>
          <w:i/>
          <w:iCs/>
          <w:color w:val="auto"/>
        </w:rPr>
        <w:t xml:space="preserve"> </w:t>
      </w:r>
      <w:r w:rsidR="00FD5E5D">
        <w:t>R$</w:t>
      </w:r>
      <w:r w:rsidR="00FD5E5D">
        <w:rPr>
          <w:spacing w:val="-1"/>
        </w:rPr>
        <w:t xml:space="preserve"> </w:t>
      </w:r>
      <w:r w:rsidR="00FD5E5D">
        <w:t>0,01(um centavo).</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32"/>
      <w:r w:rsidRPr="00B9651D">
        <w:t>O procedimento seguirá de acordo com o modo de disputa adotado.</w:t>
      </w:r>
      <w:commentRangeEnd w:id="32"/>
      <w:r w:rsidRPr="00B9651D">
        <w:commentReference w:id="32"/>
      </w:r>
    </w:p>
    <w:p w14:paraId="295E04E1" w14:textId="77777777" w:rsidR="003C7A23" w:rsidRPr="00B9651D" w:rsidRDefault="003C7A23" w:rsidP="00B9651D">
      <w:pPr>
        <w:pStyle w:val="Nivel2"/>
      </w:pPr>
      <w:bookmarkStart w:id="33"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34" w:name="_Hlk113697816"/>
      <w:bookmarkEnd w:id="33"/>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35" w:name="_Hlk113631522"/>
      <w:bookmarkEnd w:id="34"/>
    </w:p>
    <w:bookmarkEnd w:id="35"/>
    <w:p w14:paraId="7155B119" w14:textId="77777777" w:rsidR="003C7A23" w:rsidRPr="006E1990" w:rsidRDefault="003C7A23" w:rsidP="00B9651D">
      <w:pPr>
        <w:pStyle w:val="Nivel2"/>
      </w:pPr>
      <w:r>
        <w:t>C</w:t>
      </w:r>
      <w:commentRangeStart w:id="36"/>
      <w:r>
        <w:t>aso seja adotado para o envio de lances no pregão eletrônico o modo de disputa “aberto e fechado”, os licitantes apresentarão lances públicos e sucessivos, com lance final e fechado.</w:t>
      </w:r>
      <w:commentRangeEnd w:id="36"/>
      <w:r>
        <w:commentReference w:id="36"/>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7"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8" w:name="_Ref116973524"/>
      <w:bookmarkEnd w:id="37"/>
      <w:commentRangeStart w:id="3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commentRangeEnd w:id="39"/>
      <w:r>
        <w:commentReference w:id="39"/>
      </w:r>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D639D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lastRenderedPageBreak/>
        <w:t>Caso o licitante não apresente lances, concorrerá com o valor de sua proposta.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4"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40" w:name="art60§1i"/>
      <w:bookmarkEnd w:id="40"/>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41" w:name="art60§1ii"/>
      <w:bookmarkEnd w:id="41"/>
      <w:r w:rsidRPr="00B9651D">
        <w:t>empresas</w:t>
      </w:r>
      <w:r w:rsidRPr="006E1990">
        <w:t xml:space="preserve"> brasileiras;</w:t>
      </w:r>
    </w:p>
    <w:p w14:paraId="3C7CB0B5" w14:textId="77777777" w:rsidR="003C7A23" w:rsidRPr="006E1990" w:rsidRDefault="003C7A23" w:rsidP="00B9651D">
      <w:pPr>
        <w:pStyle w:val="Nivel4"/>
      </w:pPr>
      <w:bookmarkStart w:id="42" w:name="art60§1iii"/>
      <w:bookmarkEnd w:id="42"/>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43" w:name="art60§1iv"/>
      <w:bookmarkEnd w:id="43"/>
      <w:r w:rsidRPr="006E1990">
        <w:t>empresas que comprovem a prática de mitigação, nos termos da </w:t>
      </w:r>
      <w:hyperlink r:id="rId2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commentRangeStart w:id="44"/>
      <w:r w:rsidRPr="006E1990">
        <w:t xml:space="preserve">O pregoeiro solicitará ao licitante mais bem classificado que, no prazo de </w:t>
      </w:r>
      <w:r w:rsidRPr="0024632E">
        <w:rPr>
          <w:b/>
          <w:bCs/>
          <w:color w:val="auto"/>
        </w:rPr>
        <w:t>2 (duas) horas,</w:t>
      </w:r>
      <w:r w:rsidRPr="0024632E">
        <w:rPr>
          <w:color w:val="auto"/>
        </w:rPr>
        <w:t xml:space="preserve"> </w:t>
      </w:r>
      <w:r w:rsidRPr="006E1990">
        <w:t xml:space="preserve">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45" w:name="_Hlk117016948"/>
      <w:commentRangeEnd w:id="44"/>
      <w:r w:rsidR="000518F5" w:rsidRPr="006E1990">
        <w:rPr>
          <w:rStyle w:val="Refdecomentrio"/>
          <w:color w:val="auto"/>
        </w:rPr>
        <w:commentReference w:id="44"/>
      </w:r>
    </w:p>
    <w:bookmarkEnd w:id="45"/>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9"/>
    </w:p>
    <w:p w14:paraId="5A499404" w14:textId="77777777" w:rsidR="003C7A23" w:rsidRPr="006E1990" w:rsidRDefault="003C7A23" w:rsidP="00A974BD">
      <w:pPr>
        <w:pStyle w:val="Nivel01"/>
      </w:pPr>
      <w:bookmarkStart w:id="46" w:name="_Toc135469229"/>
      <w:r w:rsidRPr="006E1990">
        <w:lastRenderedPageBreak/>
        <w:t>DA FASE DE JULGAMENTO</w:t>
      </w:r>
      <w:bookmarkEnd w:id="46"/>
    </w:p>
    <w:p w14:paraId="53C049A6" w14:textId="27B1DED5" w:rsidR="003C7A23" w:rsidRPr="006E1990" w:rsidRDefault="003C7A23" w:rsidP="00B9651D">
      <w:pPr>
        <w:pStyle w:val="Nivel2"/>
        <w:rPr>
          <w:b/>
          <w:bCs/>
          <w:lang w:eastAsia="ar-SA"/>
        </w:rPr>
      </w:pPr>
      <w:bookmarkStart w:id="4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6"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639DA">
        <w:t>3.7</w:t>
      </w:r>
      <w:r w:rsidRPr="006E1990">
        <w:fldChar w:fldCharType="end"/>
      </w:r>
      <w:r w:rsidRPr="006E1990">
        <w:t xml:space="preserve"> do edital, </w:t>
      </w:r>
      <w:bookmarkEnd w:id="4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48"/>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27"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28" w:history="1">
        <w:r w:rsidR="00611A86" w:rsidRPr="006E1990">
          <w:rPr>
            <w:rStyle w:val="Hyperlink"/>
            <w:lang w:eastAsia="ar-SA"/>
          </w:rPr>
          <w:t>https://www.portaltransparencia.gov.br/sancoes/cnep</w:t>
        </w:r>
      </w:hyperlink>
      <w:r w:rsidRPr="006E1990">
        <w:rPr>
          <w:lang w:eastAsia="ar-SA"/>
        </w:rPr>
        <w:t>).</w:t>
      </w:r>
      <w:commentRangeEnd w:id="48"/>
      <w:r w:rsidR="00A278CE" w:rsidRPr="006E1990">
        <w:rPr>
          <w:rStyle w:val="Refdecomentrio"/>
        </w:rPr>
        <w:commentReference w:id="48"/>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0"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1"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2"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D639DA">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lastRenderedPageBreak/>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B9651D">
      <w:pPr>
        <w:pStyle w:val="Nivel3"/>
        <w:rPr>
          <w:b/>
        </w:rPr>
      </w:pPr>
      <w:r w:rsidRPr="00F64FDB">
        <w:t>Nos regimes de execução por tarefa, empreitada por preço global ou empreitada integral, semi-integrada ou integrada, a caracterização do sobrepreço se dará pela superação do valor global estimado;</w:t>
      </w:r>
    </w:p>
    <w:p w14:paraId="2438294C" w14:textId="5509FE42" w:rsidR="003C7A23" w:rsidRPr="0024632E" w:rsidRDefault="003C7A23" w:rsidP="00B9651D">
      <w:pPr>
        <w:pStyle w:val="Nivel3"/>
        <w:rPr>
          <w:b/>
          <w:color w:val="auto"/>
        </w:rPr>
      </w:pPr>
      <w:commentRangeStart w:id="49"/>
      <w:r w:rsidRPr="00F64FDB">
        <w:t xml:space="preserve">No </w:t>
      </w:r>
      <w:r w:rsidRPr="00B9651D">
        <w:t>regime</w:t>
      </w:r>
      <w:r w:rsidRPr="00F64FDB">
        <w:t xml:space="preserve"> de empreitada por preço unitário, a caracterização do sobrepreço se dará pela superação do valor global estimado</w:t>
      </w:r>
      <w:r w:rsidRPr="0024632E">
        <w:rPr>
          <w:color w:val="auto"/>
        </w:rPr>
        <w:t>, conforme planilha anexa ao edital;</w:t>
      </w:r>
      <w:commentRangeEnd w:id="49"/>
      <w:r w:rsidR="00FB6FDB" w:rsidRPr="0024632E">
        <w:rPr>
          <w:rStyle w:val="Refdecomentrio"/>
          <w:color w:val="auto"/>
        </w:rPr>
        <w:commentReference w:id="49"/>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5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51" w:name="_Hlk126568356"/>
      <w:r w:rsidRPr="006E1990">
        <w:t>Em se tratando de serviços de engenharia, o licitante vencedor será convocado a apresentar à Administração, por meio eletrônico, as planilhas com indicação dos quantitativos e dos custos unitários</w:t>
      </w:r>
      <w:bookmarkEnd w:id="51"/>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00236C68" w14:textId="77777777" w:rsidR="003C7A23" w:rsidRPr="00B9651D" w:rsidRDefault="003C7A23" w:rsidP="00B9651D">
      <w:pPr>
        <w:pStyle w:val="Nivel2"/>
      </w:pPr>
      <w:r w:rsidRPr="00B9651D">
        <w:t xml:space="preserve">Caso o Termo de Referência exija a apresentação de </w:t>
      </w:r>
      <w:commentRangeStart w:id="52"/>
      <w:r w:rsidRPr="00B9651D">
        <w:t>amostra</w:t>
      </w:r>
      <w:commentRangeEnd w:id="52"/>
      <w:r w:rsidR="00944BCF" w:rsidRPr="00B9651D">
        <w:rPr>
          <w:rStyle w:val="Refdecomentrio"/>
          <w:sz w:val="20"/>
          <w:szCs w:val="20"/>
        </w:rPr>
        <w:commentReference w:id="52"/>
      </w:r>
      <w:r w:rsidRPr="00B9651D">
        <w:t>,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lastRenderedPageBreak/>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53" w:name="_Toc135469230"/>
      <w:r w:rsidRPr="006E1990">
        <w:t>DA FASE DE HABILITAÇÃO</w:t>
      </w:r>
      <w:bookmarkEnd w:id="5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4" w:anchor="art62" w:history="1">
        <w:r w:rsidRPr="006E1990">
          <w:rPr>
            <w:rStyle w:val="Hyperlink"/>
          </w:rPr>
          <w:t>arts. 62 a 70 da Lei nº 14.133, de 2021</w:t>
        </w:r>
      </w:hyperlink>
      <w:r w:rsidRPr="006E1990">
        <w:t>.</w:t>
      </w:r>
    </w:p>
    <w:p w14:paraId="55D2B286" w14:textId="654FD52C" w:rsidR="003C7A23" w:rsidRPr="006E1990" w:rsidRDefault="003C7A23" w:rsidP="00B9651D">
      <w:pPr>
        <w:pStyle w:val="Nivel3"/>
        <w:rPr>
          <w:i/>
          <w:iCs/>
        </w:rPr>
      </w:pPr>
      <w:bookmarkStart w:id="54"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5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6E1990">
          <w:rPr>
            <w:rStyle w:val="Hyperlink"/>
          </w:rPr>
          <w:t>Decreto nº 8.660, de 29 de janeiro de 2016</w:t>
        </w:r>
      </w:hyperlink>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9E3C667"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Pr="006E1990">
        <w:rPr>
          <w:color w:val="FF0000"/>
        </w:rPr>
        <w:t xml:space="preserve"> </w:t>
      </w:r>
      <w:r w:rsidRPr="00187E2D">
        <w:rPr>
          <w:color w:val="auto"/>
        </w:rPr>
        <w:t xml:space="preserve">10%, </w:t>
      </w:r>
      <w:r w:rsidRPr="006E1990">
        <w:rPr>
          <w:color w:val="auto"/>
        </w:rPr>
        <w:t>para o consórcio em relação ao valor exigido para os licitantes individuais.</w:t>
      </w:r>
    </w:p>
    <w:p w14:paraId="4B8AFE07" w14:textId="6B747FB2" w:rsidR="003C7A23" w:rsidRPr="006E1990" w:rsidRDefault="003C7A23" w:rsidP="00B9651D">
      <w:pPr>
        <w:pStyle w:val="Nivel2"/>
      </w:pPr>
      <w:r w:rsidRPr="006E1990">
        <w:t>Os documentos exigidos para fins de habilitação poderão ser apresentados em original, por cópia</w:t>
      </w:r>
      <w:r w:rsidR="00187E2D">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commentRangeStart w:id="55"/>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6" w:anchor="art63">
        <w:r w:rsidRPr="58B543D9">
          <w:rPr>
            <w:rStyle w:val="Hyperlink"/>
          </w:rPr>
          <w:t>art. 63, I, da Lei nº 14.133/2021</w:t>
        </w:r>
      </w:hyperlink>
      <w:r>
        <w:t>).</w:t>
      </w:r>
      <w:commentRangeEnd w:id="55"/>
      <w:r>
        <w:commentReference w:id="55"/>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187E2D" w:rsidRDefault="003C7A23" w:rsidP="00B9651D">
      <w:pPr>
        <w:pStyle w:val="Nvel2-Red"/>
        <w:rPr>
          <w:i w:val="0"/>
          <w:iCs w:val="0"/>
          <w:color w:val="auto"/>
        </w:rPr>
      </w:pPr>
      <w:commentRangeStart w:id="56"/>
      <w:r w:rsidRPr="00187E2D">
        <w:rPr>
          <w:i w:val="0"/>
          <w:iCs w:val="0"/>
          <w:color w:val="auto"/>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37C23234" w:rsidR="003C7A23" w:rsidRPr="00187E2D" w:rsidRDefault="003C7A23" w:rsidP="00B9651D">
      <w:pPr>
        <w:pStyle w:val="Nvel3-R"/>
        <w:rPr>
          <w:i w:val="0"/>
          <w:iCs w:val="0"/>
          <w:color w:val="auto"/>
        </w:rPr>
      </w:pPr>
      <w:r w:rsidRPr="00187E2D">
        <w:rPr>
          <w:i w:val="0"/>
          <w:iCs w:val="0"/>
          <w:color w:val="auto"/>
        </w:rPr>
        <w:t>O licitante que optar por realizar vistoria prévia terá disponibilizado pela Administração data e horário exclusivos, a ser agendado</w:t>
      </w:r>
      <w:r w:rsidR="00187E2D" w:rsidRPr="00187E2D">
        <w:rPr>
          <w:i w:val="0"/>
          <w:iCs w:val="0"/>
          <w:color w:val="auto"/>
        </w:rPr>
        <w:t xml:space="preserve"> pelo e-mail: pregoeirodcmun@gmail.com</w:t>
      </w:r>
      <w:r w:rsidRPr="00187E2D">
        <w:rPr>
          <w:i w:val="0"/>
          <w:iCs w:val="0"/>
          <w:color w:val="auto"/>
        </w:rPr>
        <w:t>, de modo que seu agendamento não coincida com o agendamento de outros licitantes.</w:t>
      </w:r>
    </w:p>
    <w:p w14:paraId="38B6D636" w14:textId="77777777" w:rsidR="003C7A23" w:rsidRPr="00187E2D" w:rsidRDefault="003C7A23" w:rsidP="00B9651D">
      <w:pPr>
        <w:pStyle w:val="Nvel3-R"/>
        <w:rPr>
          <w:i w:val="0"/>
          <w:iCs w:val="0"/>
          <w:color w:val="auto"/>
        </w:rPr>
      </w:pPr>
      <w:r w:rsidRPr="00187E2D">
        <w:rPr>
          <w:i w:val="0"/>
          <w:iCs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commentRangeEnd w:id="56"/>
      <w:r w:rsidR="00630F60" w:rsidRPr="00187E2D">
        <w:rPr>
          <w:rStyle w:val="Refdecomentrio"/>
          <w:i w:val="0"/>
          <w:iCs w:val="0"/>
          <w:color w:val="auto"/>
        </w:rPr>
        <w:commentReference w:id="56"/>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Sicaf,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39"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C20C0FF" w:rsidR="003C7A23" w:rsidRPr="006E1990" w:rsidRDefault="003C7A23" w:rsidP="00B9651D">
      <w:pPr>
        <w:pStyle w:val="Nivel3"/>
        <w:rPr>
          <w:i/>
          <w:iCs/>
        </w:rPr>
      </w:pPr>
      <w:bookmarkStart w:id="57" w:name="_Ref114663151"/>
      <w:r w:rsidRPr="006E1990">
        <w:t xml:space="preserve">Os documentos exigidos para habilitação que não estejam contemplados no Sicaf serão enviados por meio do </w:t>
      </w:r>
      <w:r w:rsidRPr="00B9651D">
        <w:t>sistema</w:t>
      </w:r>
      <w:r w:rsidRPr="006E1990">
        <w:t>, em formato digital, no prazo de</w:t>
      </w:r>
      <w:r w:rsidR="00187E2D">
        <w:t xml:space="preserve"> 2 (duas) horas</w:t>
      </w:r>
      <w:r w:rsidRPr="006E1990">
        <w:t>, prorrogável por igual período, contado da solicitação do pregoeiro.</w:t>
      </w:r>
      <w:bookmarkEnd w:id="57"/>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0"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A verificação no Sicaf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58"/>
      <w:r>
        <w:t xml:space="preserve">Após a entrega dos documentos para habilitação, não será permitida a substituição ou a apresentação de </w:t>
      </w:r>
      <w:r w:rsidRPr="00B9651D">
        <w:t>novos</w:t>
      </w:r>
      <w:r>
        <w:t xml:space="preserve"> documentos, salvo em sede de diligência, para (</w:t>
      </w:r>
      <w:hyperlink r:id="rId41" w:anchor="art64">
        <w:r w:rsidRPr="58B543D9">
          <w:rPr>
            <w:rStyle w:val="Hyperlink"/>
          </w:rPr>
          <w:t>Lei 14.133/21, art. 64</w:t>
        </w:r>
      </w:hyperlink>
      <w:r>
        <w:t xml:space="preserve">, e </w:t>
      </w:r>
      <w:hyperlink r:id="rId42">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58"/>
      <w:r w:rsidR="000B63EB" w:rsidRPr="00B9651D">
        <w:rPr>
          <w:rStyle w:val="Refdecomentrio"/>
          <w:sz w:val="20"/>
          <w:szCs w:val="20"/>
        </w:rPr>
        <w:commentReference w:id="58"/>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59" w:name="_Ref114670319"/>
      <w:r w:rsidRPr="00B9651D">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4506CAE4" w14:textId="6BD3F838" w:rsidR="003C7A23" w:rsidRPr="00B9651D" w:rsidRDefault="003C7A23" w:rsidP="00B9651D">
      <w:pPr>
        <w:pStyle w:val="Nivel2"/>
      </w:pPr>
      <w:bookmarkStart w:id="6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D639DA">
        <w:t>8.13.1</w:t>
      </w:r>
      <w:r w:rsidRPr="00B9651D">
        <w:fldChar w:fldCharType="end"/>
      </w:r>
      <w:r w:rsidRPr="00B9651D">
        <w:t>.</w:t>
      </w:r>
      <w:bookmarkEnd w:id="60"/>
    </w:p>
    <w:p w14:paraId="30A25CB4" w14:textId="77777777" w:rsidR="003C7A23" w:rsidRPr="00B9651D" w:rsidRDefault="003C7A23" w:rsidP="00B9651D">
      <w:pPr>
        <w:pStyle w:val="Nivel2"/>
      </w:pPr>
      <w:bookmarkStart w:id="61" w:name="_Ref114665515"/>
      <w:r w:rsidRPr="00B9651D">
        <w:t>Somente serão disponibilizados para acesso público os documentos de habilitação do licitante cuja proposta atenda ao edital de licitação, após concluídos os procedimentos de que trata o subitem anterior</w:t>
      </w:r>
      <w:bookmarkEnd w:id="61"/>
      <w:r w:rsidRPr="00B9651D">
        <w:t>.</w:t>
      </w:r>
    </w:p>
    <w:p w14:paraId="5FCB30FE" w14:textId="3DE67AF9" w:rsidR="003C7A23"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3" w:anchor="art4">
        <w:r w:rsidRPr="00B9651D">
          <w:rPr>
            <w:rStyle w:val="Hyperlink"/>
            <w:color w:val="000000"/>
            <w:u w:val="none"/>
          </w:rPr>
          <w:t>art. 4º do Decreto nº 8.538/2015</w:t>
        </w:r>
      </w:hyperlink>
      <w:r w:rsidRPr="00B9651D">
        <w:t>).</w:t>
      </w:r>
    </w:p>
    <w:p w14:paraId="38A850E0" w14:textId="14D131F6" w:rsidR="006B7116" w:rsidRPr="00B9651D" w:rsidRDefault="00446B61" w:rsidP="00B9651D">
      <w:pPr>
        <w:pStyle w:val="Nivel2"/>
      </w:pPr>
      <w:r>
        <w:t xml:space="preserve">No caso de pessoa física: cópia da Cédula de Identidade, comprovante de inscrição no Cadastro de Pessoa Física (CPF), com situação cadastral regular, emitida através da internet, com data não superior a 30 (trinta) dias anteriores à data de apresentação da proposta, ato de registro ou autorização para funcionamento expedido pelo órgão competente, declaração atualizada e certidão de matrícula emitida pela junta comercial da respectiva sede. </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974BD">
      <w:pPr>
        <w:pStyle w:val="Nivel01"/>
      </w:pPr>
      <w:bookmarkStart w:id="62" w:name="_Toc135469233"/>
      <w:r>
        <w:t>DOS RECURSOS</w:t>
      </w:r>
      <w:bookmarkEnd w:id="6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4"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6E5C6E" w:rsidRDefault="00BC6014" w:rsidP="00B9651D">
      <w:pPr>
        <w:pStyle w:val="Nivel3"/>
      </w:pPr>
      <w:bookmarkStart w:id="63" w:name="_Hlk135318381"/>
      <w:bookmarkStart w:id="64" w:name="_Hlk135315794"/>
      <w:r w:rsidRPr="006E5C6E">
        <w:t>o prazo para a manifestação da intenção de recorrer não será inferior a 10 (dez) minutos.</w:t>
      </w:r>
      <w:bookmarkEnd w:id="63"/>
    </w:p>
    <w:bookmarkEnd w:id="64"/>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5"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lastRenderedPageBreak/>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6E284FE5"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w:t>
      </w:r>
      <w:r w:rsidRPr="006E1990">
        <w:rPr>
          <w:color w:val="auto"/>
        </w:rPr>
        <w:t>.</w:t>
      </w:r>
    </w:p>
    <w:p w14:paraId="6948A72B" w14:textId="77777777" w:rsidR="003C7A23" w:rsidRPr="006E1990" w:rsidRDefault="003C7A23" w:rsidP="00A974BD">
      <w:pPr>
        <w:pStyle w:val="Nivel01"/>
      </w:pPr>
      <w:bookmarkStart w:id="65" w:name="_Toc135469234"/>
      <w:commentRangeStart w:id="66"/>
      <w:r>
        <w:t>DAS INFRAÇÕES ADMINISTRATIVAS E SANÇÕES</w:t>
      </w:r>
      <w:commentRangeEnd w:id="66"/>
      <w:r>
        <w:commentReference w:id="66"/>
      </w:r>
      <w:bookmarkEnd w:id="6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67" w:name="_Ref114668085"/>
      <w:bookmarkStart w:id="68" w:name="_Hlk114652595"/>
      <w:r w:rsidRPr="00447F3E">
        <w:t>deixar de entregar a documentação exigida para o certame ou não entregar qualquer documento que tenha sido solicitado pelo/a pregoeiro/a durante o certame;</w:t>
      </w:r>
      <w:bookmarkEnd w:id="67"/>
    </w:p>
    <w:p w14:paraId="6D9E96AB" w14:textId="77777777" w:rsidR="003C7A23" w:rsidRPr="00447F3E" w:rsidRDefault="003C7A23" w:rsidP="00447F3E">
      <w:pPr>
        <w:pStyle w:val="Nivel3"/>
      </w:pPr>
      <w:bookmarkStart w:id="69" w:name="_Ref114668108"/>
      <w:r w:rsidRPr="00447F3E">
        <w:t>Salvo em decorrência de fato superveniente devidamente justificado, não mantiver a proposta em especial quando:</w:t>
      </w:r>
      <w:bookmarkEnd w:id="69"/>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70" w:name="_Ref114668139"/>
      <w:r w:rsidRPr="006E1990">
        <w:t>não celebrar o contrato ou não entregar a documentação exigida para a contratação, quando convocado dentro do prazo de validade de sua proposta;</w:t>
      </w:r>
      <w:bookmarkEnd w:id="70"/>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71" w:name="_Ref114668249"/>
      <w:r w:rsidRPr="00447F3E">
        <w:t>apresentar declaração ou documentação falsa exigida para o certame ou prestar declaração falsa durante a licitação</w:t>
      </w:r>
      <w:bookmarkEnd w:id="71"/>
    </w:p>
    <w:p w14:paraId="301BADD7" w14:textId="77777777" w:rsidR="003C7A23" w:rsidRPr="00447F3E" w:rsidRDefault="003C7A23" w:rsidP="00447F3E">
      <w:pPr>
        <w:pStyle w:val="Nivel3"/>
      </w:pPr>
      <w:bookmarkStart w:id="72" w:name="_Ref114668245"/>
      <w:r w:rsidRPr="00447F3E">
        <w:t>fraudar a licitação</w:t>
      </w:r>
      <w:bookmarkEnd w:id="72"/>
    </w:p>
    <w:p w14:paraId="30E8E806" w14:textId="77777777" w:rsidR="003C7A23" w:rsidRPr="00447F3E" w:rsidRDefault="003C7A23" w:rsidP="00447F3E">
      <w:pPr>
        <w:pStyle w:val="Nivel3"/>
      </w:pPr>
      <w:bookmarkStart w:id="73" w:name="_Ref114668247"/>
      <w:r w:rsidRPr="00447F3E">
        <w:t>comportar-se de modo inidôneo ou cometer fraude de qualquer natureza, em especial quando:</w:t>
      </w:r>
      <w:bookmarkEnd w:id="73"/>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74" w:name="_Ref114668251"/>
      <w:r w:rsidRPr="00447F3E">
        <w:t>praticar atos ilícitos com vistas a frustrar os objetivos da licitação</w:t>
      </w:r>
      <w:bookmarkEnd w:id="74"/>
    </w:p>
    <w:p w14:paraId="28FBD17A" w14:textId="6BA949DB" w:rsidR="003C7A23" w:rsidRPr="00447F3E" w:rsidRDefault="003C7A23" w:rsidP="00447F3E">
      <w:pPr>
        <w:pStyle w:val="Nivel3"/>
      </w:pPr>
      <w:bookmarkStart w:id="75" w:name="_Ref114668252"/>
      <w:r w:rsidRPr="00447F3E">
        <w:t xml:space="preserve">praticar ato lesivo previsto no </w:t>
      </w:r>
      <w:hyperlink r:id="rId46" w:anchor="art5" w:history="1">
        <w:r w:rsidRPr="00447F3E">
          <w:rPr>
            <w:rStyle w:val="Hyperlink"/>
            <w:color w:val="000000"/>
            <w:u w:val="none"/>
          </w:rPr>
          <w:t>art. 5º da Lei n.º 12.846, de 2013</w:t>
        </w:r>
      </w:hyperlink>
      <w:r w:rsidRPr="00447F3E">
        <w:t>.</w:t>
      </w:r>
      <w:bookmarkEnd w:id="75"/>
    </w:p>
    <w:bookmarkEnd w:id="68"/>
    <w:p w14:paraId="5F9FF442" w14:textId="588346A6" w:rsidR="003C7A23" w:rsidRPr="006E1990" w:rsidRDefault="003C7A23" w:rsidP="00447F3E">
      <w:pPr>
        <w:pStyle w:val="Nivel2"/>
      </w:pPr>
      <w:r w:rsidRPr="006E1990">
        <w:t xml:space="preserve">Com fulcro na </w:t>
      </w:r>
      <w:hyperlink r:id="rId47"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lastRenderedPageBreak/>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0F537EC2" w:rsidR="003C7A23" w:rsidRPr="006E1990" w:rsidRDefault="003C7A23" w:rsidP="00447F3E">
      <w:pPr>
        <w:pStyle w:val="Nivel2"/>
      </w:pPr>
      <w:commentRangeStart w:id="76"/>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6E5C6E" w:rsidRPr="006E5C6E">
        <w:rPr>
          <w:color w:val="auto"/>
        </w:rPr>
        <w:t xml:space="preserve">15 </w:t>
      </w:r>
      <w:r w:rsidRPr="006E5C6E">
        <w:rPr>
          <w:color w:val="auto"/>
        </w:rPr>
        <w:t>(</w:t>
      </w:r>
      <w:r w:rsidR="006E5C6E" w:rsidRPr="006E5C6E">
        <w:rPr>
          <w:color w:val="auto"/>
        </w:rPr>
        <w:t>quinze</w:t>
      </w:r>
      <w:r w:rsidRPr="006E5C6E">
        <w:rPr>
          <w:color w:val="auto"/>
        </w:rPr>
        <w:t>) dias úteis</w:t>
      </w:r>
      <w:r w:rsidRPr="006E1990">
        <w:t xml:space="preserve">, a contar da comunicação oficial. </w:t>
      </w:r>
    </w:p>
    <w:p w14:paraId="216AAEB3" w14:textId="20069015" w:rsidR="003C7A23" w:rsidRPr="006E1990" w:rsidRDefault="003C7A23" w:rsidP="00447F3E">
      <w:pPr>
        <w:pStyle w:val="Nivel3"/>
      </w:pPr>
      <w:bookmarkStart w:id="77"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D639DA">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D639DA">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D639DA">
        <w:t>12.1.3</w:t>
      </w:r>
      <w:r w:rsidRPr="006E1990">
        <w:fldChar w:fldCharType="end"/>
      </w:r>
      <w:r w:rsidRPr="006E1990">
        <w:t xml:space="preserve">, a multa será </w:t>
      </w:r>
      <w:r w:rsidRPr="006E5C6E">
        <w:rPr>
          <w:color w:val="auto"/>
        </w:rPr>
        <w:t xml:space="preserve">de 0,5% a 15% do </w:t>
      </w:r>
      <w:r w:rsidRPr="006E1990">
        <w:t>valor do contrato licitado.</w:t>
      </w:r>
    </w:p>
    <w:bookmarkEnd w:id="77"/>
    <w:p w14:paraId="14BCBB28" w14:textId="7D3B7DDD"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D639D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D639D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D639D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D639D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D639DA">
        <w:t>12.1.8</w:t>
      </w:r>
      <w:r w:rsidRPr="006E1990">
        <w:fldChar w:fldCharType="end"/>
      </w:r>
      <w:r w:rsidRPr="006E1990">
        <w:t xml:space="preserve">, a multa será de </w:t>
      </w:r>
      <w:r w:rsidRPr="006E5C6E">
        <w:rPr>
          <w:color w:val="auto"/>
        </w:rPr>
        <w:t xml:space="preserve">15% a 30% do </w:t>
      </w:r>
      <w:r w:rsidRPr="006E1990">
        <w:t>valor do contrato licitado.</w:t>
      </w:r>
      <w:commentRangeEnd w:id="76"/>
      <w:r w:rsidR="005F37CF" w:rsidRPr="006E1990">
        <w:rPr>
          <w:rStyle w:val="Refdecomentrio"/>
          <w:color w:val="auto"/>
        </w:rPr>
        <w:commentReference w:id="76"/>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commentRangeStart w:id="78"/>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78"/>
      <w:r w:rsidR="009944DF" w:rsidRPr="00447F3E">
        <w:rPr>
          <w:rStyle w:val="Refdecomentrio"/>
          <w:sz w:val="20"/>
          <w:szCs w:val="20"/>
        </w:rPr>
        <w:commentReference w:id="78"/>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639D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639D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639D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639D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639D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que justifiquem a imposição de penalidade mais grave que a sanção de impedimento de licitar e contratar, cuja duração observará o prazo previsto no </w:t>
      </w:r>
      <w:hyperlink r:id="rId48"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49"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79"/>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79"/>
      <w:r w:rsidR="00F7331C" w:rsidRPr="00447F3E">
        <w:rPr>
          <w:rStyle w:val="Refdecomentrio"/>
          <w:sz w:val="20"/>
          <w:szCs w:val="20"/>
        </w:rPr>
        <w:commentReference w:id="79"/>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80"/>
      <w:r w:rsidRPr="00447F3E">
        <w:t>A aplicação das sanções previstas neste edital não exclui, em hipótese alguma, a obrigação de reparação integral dos danos causados.</w:t>
      </w:r>
      <w:commentRangeEnd w:id="80"/>
      <w:r w:rsidR="00C21F01" w:rsidRPr="00447F3E">
        <w:rPr>
          <w:rStyle w:val="Refdecomentrio"/>
          <w:sz w:val="20"/>
          <w:szCs w:val="20"/>
        </w:rPr>
        <w:commentReference w:id="80"/>
      </w:r>
    </w:p>
    <w:p w14:paraId="1286CD81" w14:textId="77777777" w:rsidR="003C7A23" w:rsidRPr="006E1990" w:rsidRDefault="003C7A23" w:rsidP="00A974BD">
      <w:pPr>
        <w:pStyle w:val="Nivel01"/>
      </w:pPr>
      <w:bookmarkStart w:id="81" w:name="_Toc135469235"/>
      <w:r>
        <w:t>DA IMPUGNAÇÃO AO EDITAL E DO PEDIDO DE ESCLARECIMENTO</w:t>
      </w:r>
      <w:bookmarkEnd w:id="81"/>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0"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126C61F" w:rsidR="003C7A23" w:rsidRPr="006E5C6E" w:rsidRDefault="003C7A23" w:rsidP="00447F3E">
      <w:pPr>
        <w:pStyle w:val="Nivel2"/>
        <w:rPr>
          <w:color w:val="auto"/>
        </w:rPr>
      </w:pPr>
      <w:commentRangeStart w:id="82"/>
      <w:r w:rsidRPr="006E1990">
        <w:t xml:space="preserve">A </w:t>
      </w:r>
      <w:r w:rsidRPr="00447F3E">
        <w:t>impugnação</w:t>
      </w:r>
      <w:r w:rsidRPr="006E1990">
        <w:t xml:space="preserve"> e o </w:t>
      </w:r>
      <w:r w:rsidRPr="006E5C6E">
        <w:rPr>
          <w:color w:val="auto"/>
        </w:rPr>
        <w:t xml:space="preserve">pedido de esclarecimento poderão ser realizados por forma eletrônica, pelo seguinte </w:t>
      </w:r>
      <w:r w:rsidR="006E5C6E" w:rsidRPr="006E5C6E">
        <w:rPr>
          <w:color w:val="auto"/>
        </w:rPr>
        <w:t>e-</w:t>
      </w:r>
      <w:r w:rsidRPr="006E5C6E">
        <w:rPr>
          <w:color w:val="auto"/>
        </w:rPr>
        <w:t>m</w:t>
      </w:r>
      <w:r w:rsidR="006E5C6E" w:rsidRPr="006E5C6E">
        <w:rPr>
          <w:color w:val="auto"/>
        </w:rPr>
        <w:t>ail</w:t>
      </w:r>
      <w:commentRangeEnd w:id="82"/>
      <w:r w:rsidR="00B2518B" w:rsidRPr="006E5C6E">
        <w:rPr>
          <w:rStyle w:val="Refdecomentrio"/>
          <w:color w:val="auto"/>
        </w:rPr>
        <w:commentReference w:id="82"/>
      </w:r>
      <w:r w:rsidR="006E5C6E" w:rsidRPr="006E5C6E">
        <w:rPr>
          <w:color w:val="auto"/>
        </w:rPr>
        <w:t>: pregoeirodcmun@gmail.com</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83"/>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83"/>
      <w:r w:rsidR="00B2518B" w:rsidRPr="006E1990">
        <w:rPr>
          <w:rStyle w:val="Refdecomentrio"/>
          <w:color w:val="auto"/>
        </w:rPr>
        <w:commentReference w:id="83"/>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84" w:name="_Toc135469236"/>
      <w:r>
        <w:t xml:space="preserve">DAS </w:t>
      </w:r>
      <w:r w:rsidRPr="00447F3E">
        <w:t>DISPOSIÇÕES</w:t>
      </w:r>
      <w:r>
        <w:t xml:space="preserve"> GERAIS</w:t>
      </w:r>
      <w:bookmarkEnd w:id="84"/>
    </w:p>
    <w:p w14:paraId="4A53963B" w14:textId="77777777" w:rsidR="003C7A23" w:rsidRPr="00447F3E" w:rsidRDefault="003C7A23" w:rsidP="00447F3E">
      <w:pPr>
        <w:pStyle w:val="Nivel2"/>
      </w:pPr>
      <w:bookmarkStart w:id="85"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452E082A" w14:textId="003543D4" w:rsidR="00FB7E8E" w:rsidRPr="00FB7E8E" w:rsidRDefault="003C7A23" w:rsidP="0082183B">
      <w:pPr>
        <w:pStyle w:val="Nivel2"/>
        <w:rPr>
          <w:rFonts w:eastAsia="Times New Roman"/>
        </w:rPr>
      </w:pPr>
      <w:r w:rsidRPr="006E1990">
        <w:lastRenderedPageBreak/>
        <w:t>O Edital e seus anexos estão disponíveis, na íntegra, no Portal Nacional de Contratações Públicas (PNCP)</w:t>
      </w:r>
      <w:r w:rsidR="00FB7E8E">
        <w:t xml:space="preserve">, no endereço eletrônico </w:t>
      </w:r>
      <w:hyperlink r:id="rId51" w:history="1">
        <w:r w:rsidR="00FB7E8E" w:rsidRPr="00F04A39">
          <w:rPr>
            <w:rStyle w:val="Hyperlink"/>
          </w:rPr>
          <w:t>www.compras.gov.br</w:t>
        </w:r>
      </w:hyperlink>
      <w:r w:rsidR="00FB7E8E">
        <w:t xml:space="preserve"> e poderão ser solicitados através do e-mail: salcdcmun@gmail.com.</w:t>
      </w:r>
    </w:p>
    <w:p w14:paraId="66D7AB8E" w14:textId="55F8CF1A" w:rsidR="003C7A23" w:rsidRPr="00FB7E8E" w:rsidRDefault="003C7A23" w:rsidP="0082183B">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bookmarkEnd w:id="85"/>
    <w:p w14:paraId="405C5EE1" w14:textId="380AED58" w:rsidR="005D7790" w:rsidRDefault="005D7790" w:rsidP="005D7790">
      <w:pPr>
        <w:spacing w:before="240" w:after="240" w:line="276" w:lineRule="auto"/>
        <w:ind w:right="-15"/>
        <w:rPr>
          <w:rFonts w:ascii="Arial" w:hAnsi="Arial" w:cs="Arial"/>
          <w:color w:val="000000"/>
          <w:sz w:val="20"/>
          <w:szCs w:val="20"/>
        </w:rPr>
      </w:pPr>
      <w:r>
        <w:rPr>
          <w:rFonts w:ascii="Arial" w:hAnsi="Arial" w:cs="Arial"/>
          <w:color w:val="000000"/>
          <w:sz w:val="20"/>
          <w:szCs w:val="20"/>
        </w:rPr>
        <w:t>Paracambi-RJ</w:t>
      </w:r>
      <w:r w:rsidRPr="00027933">
        <w:rPr>
          <w:rFonts w:ascii="Arial" w:hAnsi="Arial" w:cs="Arial"/>
          <w:color w:val="000000"/>
          <w:sz w:val="20"/>
          <w:szCs w:val="20"/>
        </w:rPr>
        <w:t xml:space="preserve">, </w:t>
      </w:r>
      <w:r w:rsidR="00FB7E8E">
        <w:rPr>
          <w:rFonts w:ascii="Arial" w:hAnsi="Arial" w:cs="Arial"/>
          <w:color w:val="000000"/>
          <w:sz w:val="20"/>
          <w:szCs w:val="20"/>
        </w:rPr>
        <w:t>21</w:t>
      </w:r>
      <w:r>
        <w:rPr>
          <w:rFonts w:ascii="Arial" w:hAnsi="Arial" w:cs="Arial"/>
          <w:color w:val="000000"/>
          <w:sz w:val="20"/>
          <w:szCs w:val="20"/>
        </w:rPr>
        <w:t xml:space="preserve"> de </w:t>
      </w:r>
      <w:r w:rsidR="00FB7E8E">
        <w:rPr>
          <w:rFonts w:ascii="Arial" w:hAnsi="Arial" w:cs="Arial"/>
          <w:color w:val="000000"/>
          <w:sz w:val="20"/>
          <w:szCs w:val="20"/>
        </w:rPr>
        <w:t>novembro</w:t>
      </w:r>
      <w:r>
        <w:rPr>
          <w:rFonts w:ascii="Arial" w:hAnsi="Arial" w:cs="Arial"/>
          <w:color w:val="000000"/>
          <w:sz w:val="20"/>
          <w:szCs w:val="20"/>
        </w:rPr>
        <w:t xml:space="preserve"> </w:t>
      </w:r>
      <w:r w:rsidRPr="00027933">
        <w:rPr>
          <w:rFonts w:ascii="Arial" w:hAnsi="Arial" w:cs="Arial"/>
          <w:color w:val="000000"/>
          <w:sz w:val="20"/>
          <w:szCs w:val="20"/>
        </w:rPr>
        <w:t>de 20</w:t>
      </w:r>
      <w:r>
        <w:rPr>
          <w:rFonts w:ascii="Arial" w:hAnsi="Arial" w:cs="Arial"/>
          <w:color w:val="000000"/>
          <w:sz w:val="20"/>
          <w:szCs w:val="20"/>
        </w:rPr>
        <w:t>23.</w:t>
      </w:r>
    </w:p>
    <w:p w14:paraId="32B0AE4A" w14:textId="77777777" w:rsidR="005D7790" w:rsidRDefault="005D7790" w:rsidP="005D7790">
      <w:pPr>
        <w:spacing w:before="240" w:after="240" w:line="276" w:lineRule="auto"/>
        <w:ind w:right="-15"/>
        <w:jc w:val="center"/>
        <w:rPr>
          <w:rFonts w:ascii="Arial" w:hAnsi="Arial" w:cs="Arial"/>
          <w:color w:val="000000"/>
          <w:sz w:val="20"/>
          <w:szCs w:val="20"/>
        </w:rPr>
      </w:pPr>
    </w:p>
    <w:p w14:paraId="3F1B0A79" w14:textId="77777777" w:rsidR="005D7790" w:rsidRPr="00027933" w:rsidRDefault="005D7790" w:rsidP="005D7790">
      <w:pPr>
        <w:spacing w:before="240" w:after="240" w:line="276" w:lineRule="auto"/>
        <w:ind w:right="-15"/>
        <w:jc w:val="center"/>
        <w:rPr>
          <w:rFonts w:ascii="Arial" w:hAnsi="Arial" w:cs="Arial"/>
          <w:color w:val="000000"/>
          <w:sz w:val="20"/>
          <w:szCs w:val="20"/>
        </w:rPr>
      </w:pPr>
    </w:p>
    <w:p w14:paraId="0B6DA9A3" w14:textId="1888AD43" w:rsidR="005D7790" w:rsidRDefault="00FB7E8E" w:rsidP="005D7790">
      <w:pPr>
        <w:spacing w:line="276" w:lineRule="auto"/>
        <w:jc w:val="center"/>
        <w:rPr>
          <w:rFonts w:ascii="Arial" w:hAnsi="Arial" w:cs="Arial"/>
          <w:b/>
          <w:bCs/>
          <w:iCs/>
          <w:color w:val="000000"/>
          <w:sz w:val="20"/>
          <w:szCs w:val="20"/>
        </w:rPr>
      </w:pPr>
      <w:r>
        <w:rPr>
          <w:rFonts w:ascii="Arial" w:hAnsi="Arial" w:cs="Arial"/>
          <w:b/>
          <w:bCs/>
          <w:iCs/>
          <w:color w:val="000000"/>
          <w:sz w:val="20"/>
          <w:szCs w:val="20"/>
        </w:rPr>
        <w:t>MARCELO BALTHAZAR DA SILVA FILHO</w:t>
      </w:r>
      <w:r w:rsidR="005D7790">
        <w:rPr>
          <w:rFonts w:ascii="Arial" w:hAnsi="Arial" w:cs="Arial"/>
          <w:b/>
          <w:bCs/>
          <w:iCs/>
          <w:color w:val="000000"/>
          <w:sz w:val="20"/>
          <w:szCs w:val="20"/>
        </w:rPr>
        <w:t xml:space="preserve"> – </w:t>
      </w:r>
      <w:r>
        <w:rPr>
          <w:rFonts w:ascii="Arial" w:hAnsi="Arial" w:cs="Arial"/>
          <w:b/>
          <w:bCs/>
          <w:iCs/>
          <w:color w:val="000000"/>
          <w:sz w:val="20"/>
          <w:szCs w:val="20"/>
        </w:rPr>
        <w:t>2º Ten</w:t>
      </w:r>
    </w:p>
    <w:p w14:paraId="0911985A" w14:textId="77777777" w:rsidR="005D7790" w:rsidRDefault="005D7790" w:rsidP="005D7790">
      <w:pPr>
        <w:spacing w:line="276" w:lineRule="auto"/>
        <w:jc w:val="center"/>
        <w:rPr>
          <w:rFonts w:ascii="Arial" w:hAnsi="Arial" w:cs="Arial"/>
          <w:bCs/>
          <w:iCs/>
          <w:color w:val="000000"/>
          <w:sz w:val="20"/>
          <w:szCs w:val="20"/>
        </w:rPr>
      </w:pPr>
      <w:r w:rsidRPr="00E05032">
        <w:rPr>
          <w:rFonts w:ascii="Arial" w:hAnsi="Arial" w:cs="Arial"/>
          <w:bCs/>
          <w:iCs/>
          <w:color w:val="000000"/>
          <w:sz w:val="20"/>
          <w:szCs w:val="20"/>
        </w:rPr>
        <w:t>Chefe da S</w:t>
      </w:r>
      <w:r>
        <w:rPr>
          <w:rFonts w:ascii="Arial" w:hAnsi="Arial" w:cs="Arial"/>
          <w:bCs/>
          <w:iCs/>
          <w:color w:val="000000"/>
          <w:sz w:val="20"/>
          <w:szCs w:val="20"/>
        </w:rPr>
        <w:t xml:space="preserve">eção de Aquisições, Licitações e Contratos </w:t>
      </w:r>
    </w:p>
    <w:p w14:paraId="030E68C6" w14:textId="77777777" w:rsidR="005D7790" w:rsidRDefault="005D7790" w:rsidP="005D7790">
      <w:pPr>
        <w:spacing w:line="276" w:lineRule="auto"/>
        <w:ind w:firstLine="709"/>
        <w:jc w:val="center"/>
        <w:rPr>
          <w:rFonts w:ascii="Arial" w:hAnsi="Arial" w:cs="Arial"/>
          <w:bCs/>
          <w:iCs/>
          <w:color w:val="000000"/>
          <w:sz w:val="20"/>
          <w:szCs w:val="20"/>
        </w:rPr>
      </w:pPr>
    </w:p>
    <w:p w14:paraId="5AD6309F" w14:textId="77777777" w:rsidR="005D7790" w:rsidRDefault="005D7790" w:rsidP="005D7790">
      <w:pPr>
        <w:spacing w:line="276" w:lineRule="auto"/>
        <w:ind w:firstLine="709"/>
        <w:jc w:val="center"/>
        <w:rPr>
          <w:rFonts w:ascii="Arial" w:hAnsi="Arial" w:cs="Arial"/>
          <w:bCs/>
          <w:iCs/>
          <w:color w:val="000000"/>
          <w:sz w:val="20"/>
          <w:szCs w:val="20"/>
        </w:rPr>
      </w:pPr>
    </w:p>
    <w:p w14:paraId="6614228C" w14:textId="77777777" w:rsidR="005D7790" w:rsidRDefault="005D7790" w:rsidP="005D7790">
      <w:pPr>
        <w:spacing w:line="276" w:lineRule="auto"/>
        <w:ind w:firstLine="709"/>
        <w:jc w:val="center"/>
        <w:rPr>
          <w:rFonts w:ascii="Arial" w:hAnsi="Arial" w:cs="Arial"/>
          <w:bCs/>
          <w:iCs/>
          <w:color w:val="000000"/>
          <w:sz w:val="20"/>
          <w:szCs w:val="20"/>
        </w:rPr>
      </w:pPr>
    </w:p>
    <w:p w14:paraId="2D7E3D16" w14:textId="77777777" w:rsidR="005D7790" w:rsidRDefault="005D7790" w:rsidP="005D7790">
      <w:pPr>
        <w:spacing w:line="276" w:lineRule="auto"/>
        <w:ind w:firstLine="709"/>
        <w:jc w:val="center"/>
        <w:rPr>
          <w:rFonts w:ascii="Arial" w:hAnsi="Arial" w:cs="Arial"/>
          <w:bCs/>
          <w:iCs/>
          <w:color w:val="000000"/>
          <w:sz w:val="20"/>
          <w:szCs w:val="20"/>
        </w:rPr>
      </w:pPr>
    </w:p>
    <w:p w14:paraId="5EFA41DE" w14:textId="77777777" w:rsidR="005D7790" w:rsidRDefault="005D7790" w:rsidP="005D7790">
      <w:pPr>
        <w:spacing w:line="276" w:lineRule="auto"/>
        <w:ind w:firstLine="709"/>
        <w:jc w:val="center"/>
        <w:rPr>
          <w:rFonts w:ascii="Arial" w:hAnsi="Arial" w:cs="Arial"/>
          <w:bCs/>
          <w:iCs/>
          <w:color w:val="000000"/>
          <w:sz w:val="20"/>
          <w:szCs w:val="20"/>
        </w:rPr>
      </w:pPr>
    </w:p>
    <w:p w14:paraId="41BDC96D" w14:textId="77777777" w:rsidR="005D7790" w:rsidRDefault="005D7790" w:rsidP="005D7790">
      <w:pPr>
        <w:spacing w:line="276" w:lineRule="auto"/>
        <w:jc w:val="center"/>
        <w:rPr>
          <w:rFonts w:ascii="Arial" w:hAnsi="Arial" w:cs="Arial"/>
          <w:b/>
          <w:bCs/>
          <w:iCs/>
          <w:color w:val="000000"/>
          <w:sz w:val="20"/>
          <w:szCs w:val="20"/>
        </w:rPr>
      </w:pPr>
      <w:r>
        <w:rPr>
          <w:rFonts w:ascii="Arial" w:hAnsi="Arial" w:cs="Arial"/>
          <w:b/>
          <w:bCs/>
          <w:iCs/>
          <w:color w:val="000000"/>
          <w:sz w:val="20"/>
          <w:szCs w:val="20"/>
        </w:rPr>
        <w:t>ANDERSON MENDES DIAS –</w:t>
      </w:r>
      <w:r w:rsidRPr="00A85BCB">
        <w:rPr>
          <w:rFonts w:ascii="Arial" w:hAnsi="Arial" w:cs="Arial"/>
          <w:b/>
          <w:bCs/>
          <w:iCs/>
          <w:color w:val="000000"/>
          <w:sz w:val="20"/>
          <w:szCs w:val="20"/>
        </w:rPr>
        <w:t xml:space="preserve"> </w:t>
      </w:r>
      <w:r>
        <w:rPr>
          <w:rFonts w:ascii="Arial" w:hAnsi="Arial" w:cs="Arial"/>
          <w:b/>
          <w:bCs/>
          <w:iCs/>
          <w:color w:val="000000"/>
          <w:sz w:val="20"/>
          <w:szCs w:val="20"/>
        </w:rPr>
        <w:t xml:space="preserve">T </w:t>
      </w:r>
      <w:r w:rsidRPr="00A85BCB">
        <w:rPr>
          <w:rFonts w:ascii="Arial" w:hAnsi="Arial" w:cs="Arial"/>
          <w:b/>
          <w:bCs/>
          <w:iCs/>
          <w:color w:val="000000"/>
          <w:sz w:val="20"/>
          <w:szCs w:val="20"/>
        </w:rPr>
        <w:t>C</w:t>
      </w:r>
      <w:r>
        <w:rPr>
          <w:rFonts w:ascii="Arial" w:hAnsi="Arial" w:cs="Arial"/>
          <w:b/>
          <w:bCs/>
          <w:iCs/>
          <w:color w:val="000000"/>
          <w:sz w:val="20"/>
          <w:szCs w:val="20"/>
        </w:rPr>
        <w:t>el</w:t>
      </w:r>
    </w:p>
    <w:p w14:paraId="28E52407" w14:textId="77777777" w:rsidR="005D7790" w:rsidRPr="0042636B" w:rsidRDefault="005D7790" w:rsidP="005D7790">
      <w:pPr>
        <w:spacing w:line="276" w:lineRule="auto"/>
        <w:jc w:val="center"/>
        <w:rPr>
          <w:rFonts w:ascii="Arial" w:hAnsi="Arial" w:cs="Arial"/>
          <w:iCs/>
          <w:color w:val="000000"/>
          <w:sz w:val="20"/>
          <w:szCs w:val="20"/>
        </w:rPr>
      </w:pPr>
      <w:r w:rsidRPr="0042636B">
        <w:rPr>
          <w:rFonts w:ascii="Arial" w:hAnsi="Arial" w:cs="Arial"/>
          <w:iCs/>
          <w:color w:val="000000"/>
          <w:sz w:val="20"/>
          <w:szCs w:val="20"/>
        </w:rPr>
        <w:t>Ordenador de Despesas do Depósito Central de Munição</w:t>
      </w:r>
    </w:p>
    <w:p w14:paraId="025E3ADD" w14:textId="7748D691" w:rsidR="007A455D" w:rsidRPr="006E1990" w:rsidRDefault="007A455D" w:rsidP="005D7790">
      <w:pPr>
        <w:spacing w:beforeLines="120" w:before="288" w:afterLines="120" w:after="288" w:line="312" w:lineRule="auto"/>
        <w:ind w:firstLine="567"/>
        <w:rPr>
          <w:rFonts w:ascii="Arial" w:hAnsi="Arial" w:cs="Arial"/>
        </w:rPr>
      </w:pPr>
    </w:p>
    <w:sectPr w:rsidR="007A455D" w:rsidRPr="006E1990" w:rsidSect="00E9573B">
      <w:headerReference w:type="default" r:id="rId52"/>
      <w:footerReference w:type="default" r:id="rId53"/>
      <w:headerReference w:type="first" r:id="rId54"/>
      <w:pgSz w:w="11906" w:h="16838" w:code="9"/>
      <w:pgMar w:top="993"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528CFA9" w14:textId="77777777" w:rsidR="00EF1D1E" w:rsidRDefault="00EF1D1E">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EF1D1E" w:rsidRDefault="00EF1D1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D042884" w:rsidR="00EF1D1E" w:rsidRDefault="00EF1D1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3FB91692" w14:textId="77777777" w:rsidR="00EF1D1E" w:rsidRDefault="00EF1D1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24418D98" w14:textId="77777777" w:rsidR="00EF1D1E" w:rsidRDefault="00EF1D1E">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4D38DBFF" w14:textId="23DB435D" w:rsidR="00EF1D1E" w:rsidRPr="007A1172" w:rsidRDefault="00EF1D1E" w:rsidP="007A1172">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6D3CB6AC" w14:textId="77777777" w:rsidR="00EF1D1E" w:rsidRDefault="00EF1D1E">
      <w:pPr>
        <w:pStyle w:val="Textodecomentrio"/>
      </w:pPr>
    </w:p>
  </w:comment>
  <w:comment w:id="1" w:author="Autor" w:initials="A">
    <w:p w14:paraId="7898FBC2" w14:textId="77777777" w:rsidR="00EF1D1E" w:rsidRDefault="00EF1D1E" w:rsidP="00EF1D1E">
      <w:pPr>
        <w:pStyle w:val="Textodecomentrio"/>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23" w:author="Autor" w:initials="A">
    <w:p w14:paraId="49193D03"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O </w:t>
      </w:r>
      <w:hyperlink r:id="rId4"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4" w:author="Autor" w:initials="A">
    <w:p w14:paraId="77D2E804" w14:textId="2544FA41" w:rsidR="00EF1D1E" w:rsidRDefault="00EF1D1E">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5" w:anchor="art19§1" w:history="1">
        <w:r w:rsidRPr="00FB7406">
          <w:rPr>
            <w:rStyle w:val="Hyperlink"/>
            <w:i/>
            <w:iCs/>
          </w:rPr>
          <w:t>Instrução Normativa SEGES nº 73, de 30 de setembro de 2022 (art. 19, § 1º</w:t>
        </w:r>
      </w:hyperlink>
      <w:r>
        <w:rPr>
          <w:i/>
          <w:iCs/>
          <w:color w:val="000000"/>
        </w:rPr>
        <w:t>).</w:t>
      </w:r>
    </w:p>
  </w:comment>
  <w:comment w:id="26" w:author="Autor" w:initials="A">
    <w:p w14:paraId="077CADE6" w14:textId="2855CE89" w:rsidR="00EF1D1E" w:rsidRDefault="00EF1D1E" w:rsidP="00EF1D1E">
      <w:pPr>
        <w:pStyle w:val="Textodecomentrio"/>
      </w:pPr>
      <w:r>
        <w:rPr>
          <w:rStyle w:val="Refdecomentrio"/>
        </w:rPr>
        <w:annotationRef/>
      </w:r>
      <w:r w:rsidR="00782A77" w:rsidRPr="00782A77">
        <w:rPr>
          <w:b/>
          <w:bCs/>
          <w:i/>
          <w:iCs/>
        </w:rPr>
        <w:t>Nota explicativa</w:t>
      </w:r>
      <w:r w:rsidR="00782A77" w:rsidRPr="00782A77">
        <w:rPr>
          <w:i/>
          <w:iCs/>
        </w:rPr>
        <w:t>:</w:t>
      </w:r>
      <w:r w:rsidR="00782A77">
        <w:rPr>
          <w:i/>
          <w:iCs/>
        </w:rPr>
        <w:t xml:space="preserve"> </w:t>
      </w:r>
      <w:r>
        <w:t>Art. 15, IV, do Decreto nº 11.462/2023.</w:t>
      </w:r>
    </w:p>
  </w:comment>
  <w:comment w:id="27" w:author="Autor" w:initials="A">
    <w:p w14:paraId="3FC31CE1" w14:textId="12299F21"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0" w:author="Autor" w:initials="A">
    <w:p w14:paraId="6B0CCC24" w14:textId="7C7D263F" w:rsidR="00264555" w:rsidRDefault="00264555">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31" w:name="_Hlk135304485"/>
      <w:r w:rsidRPr="009F663E">
        <w:rPr>
          <w:i/>
          <w:iCs/>
          <w:highlight w:val="yellow"/>
        </w:rPr>
        <w:t>Conforme especificações do sistema operacional, a etapa de lances sempre acontece por item e os lances são enviados sempre por valor unitário</w:t>
      </w:r>
      <w:bookmarkEnd w:id="31"/>
      <w:r w:rsidRPr="009F663E">
        <w:rPr>
          <w:i/>
          <w:iCs/>
          <w:highlight w:val="yellow"/>
        </w:rPr>
        <w:t>.</w:t>
      </w:r>
    </w:p>
  </w:comment>
  <w:comment w:id="32" w:author="Autor" w:initials="A">
    <w:p w14:paraId="7D53E10E"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36" w:author="Autor" w:initials="A">
    <w:p w14:paraId="2F3AD707"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39" w:author="Autor" w:initials="A">
    <w:p w14:paraId="726C2223"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44" w:author="Autor" w:initials="A">
    <w:p w14:paraId="10F045B9" w14:textId="31B1E139" w:rsidR="00EF1D1E" w:rsidRDefault="00EF1D1E">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7" w:history="1">
        <w:r w:rsidRPr="008C0855">
          <w:rPr>
            <w:rStyle w:val="Hyperlink"/>
            <w:i/>
            <w:iCs/>
          </w:rPr>
          <w:t>art. 29, § 2º, da IN SEGES nº 73, de 30 de setembro de 2022</w:t>
        </w:r>
      </w:hyperlink>
      <w:r>
        <w:rPr>
          <w:i/>
          <w:iCs/>
          <w:color w:val="000000"/>
        </w:rPr>
        <w:t>.</w:t>
      </w:r>
    </w:p>
  </w:comment>
  <w:comment w:id="48" w:author="Autor" w:initials="A">
    <w:p w14:paraId="54360D84" w14:textId="28490031" w:rsidR="00EF1D1E" w:rsidRDefault="00EF1D1E">
      <w:pPr>
        <w:pStyle w:val="Textodecomentrio"/>
      </w:pPr>
      <w:r>
        <w:rPr>
          <w:rStyle w:val="Refdecomentrio"/>
        </w:rPr>
        <w:annotationRef/>
      </w:r>
      <w:r>
        <w:rPr>
          <w:b/>
          <w:bCs/>
          <w:i/>
          <w:iCs/>
        </w:rPr>
        <w:t>Nota explicativa:</w:t>
      </w:r>
      <w:r>
        <w:rPr>
          <w:i/>
          <w:iCs/>
        </w:rPr>
        <w:t xml:space="preserve"> A recomendação de consulta a esses cadastros se dá à luz do </w:t>
      </w:r>
      <w:hyperlink r:id="rId8"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9" w:author="Autor" w:initials="A">
    <w:p w14:paraId="32DCB264"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9"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52" w:author="Autor" w:initials="A">
    <w:p w14:paraId="54B81D8E" w14:textId="44916F97" w:rsidR="00944BCF" w:rsidRDefault="00944BCF">
      <w:pPr>
        <w:pStyle w:val="Textodecomentrio"/>
      </w:pPr>
      <w:r>
        <w:rPr>
          <w:rStyle w:val="Refdecomentrio"/>
        </w:rPr>
        <w:annotationRef/>
      </w:r>
      <w:r w:rsidRPr="00944BCF">
        <w:rPr>
          <w:b/>
          <w:bCs/>
          <w:i/>
          <w:iCs/>
        </w:rPr>
        <w:t>Nota explicativa 1</w:t>
      </w:r>
      <w:r w:rsidRPr="00944BCF">
        <w:rPr>
          <w:i/>
          <w:iCs/>
        </w:rPr>
        <w:t>: A decisão quanto à exigência de amostra e suas especificidades consta do Termo de Referência.</w:t>
      </w:r>
    </w:p>
  </w:comment>
  <w:comment w:id="55" w:author="Autor" w:initials="A">
    <w:p w14:paraId="3D54E2DF" w14:textId="1277B17B"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6" w:author="Autor" w:initials="A">
    <w:p w14:paraId="4CCECEE2" w14:textId="77777777" w:rsidR="00EF1D1E" w:rsidRDefault="00EF1D1E">
      <w:pPr>
        <w:pStyle w:val="Textodecomentrio"/>
      </w:pPr>
      <w:r>
        <w:rPr>
          <w:rStyle w:val="Refdecomentrio"/>
        </w:rPr>
        <w:annotationRef/>
      </w:r>
      <w:r>
        <w:rPr>
          <w:b/>
          <w:bCs/>
          <w:i/>
          <w:iCs/>
          <w:color w:val="000000"/>
        </w:rPr>
        <w:t xml:space="preserve">Nota explicativa 1: </w:t>
      </w:r>
      <w:r>
        <w:rPr>
          <w:i/>
          <w:iCs/>
          <w:color w:val="000000"/>
        </w:rPr>
        <w:t xml:space="preserve">A presente cláusula deverá ser suprimida no caso de aquisições ou serviços que independam de conhecimento do local. </w:t>
      </w:r>
    </w:p>
    <w:p w14:paraId="34E3A3D2" w14:textId="77777777" w:rsidR="00EF1D1E" w:rsidRDefault="00EF1D1E">
      <w:pPr>
        <w:pStyle w:val="Textodecomentrio"/>
      </w:pPr>
      <w:r>
        <w:rPr>
          <w:b/>
          <w:bCs/>
          <w:i/>
          <w:iCs/>
          <w:color w:val="000000"/>
        </w:rPr>
        <w:t>Nota explicativa 2</w:t>
      </w:r>
      <w:r>
        <w:rPr>
          <w:i/>
          <w:iCs/>
          <w:color w:val="000000"/>
        </w:rPr>
        <w:t xml:space="preserve">: Na linha do entendimento consolidado pelo TCU ainda sob o amparo da Lei nº 8.666, de 1993 (por exemplo, Acórdãos n° 2.150/2008, n° 1.599/2010, n° 2.266/2011, n° 2.776/2011, n° 110/2012 e nº 170/2018, todos do Plenário), </w:t>
      </w:r>
      <w:hyperlink r:id="rId11" w:anchor="art63§2" w:history="1">
        <w:r w:rsidRPr="00CA304B">
          <w:rPr>
            <w:rStyle w:val="Hyperlink"/>
            <w:i/>
            <w:iCs/>
          </w:rPr>
          <w:t>o art. 63, § 2º, da Lei nº 14.133, de 2021</w:t>
        </w:r>
      </w:hyperlink>
      <w:r>
        <w:rPr>
          <w:i/>
          <w:iCs/>
          <w:color w:val="000000"/>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hyperlink r:id="rId12" w:anchor="art63§3" w:history="1">
        <w:r w:rsidRPr="00CA304B">
          <w:rPr>
            <w:rStyle w:val="Hyperlink"/>
            <w:i/>
            <w:iCs/>
          </w:rPr>
          <w:t>art. 63, §3º</w:t>
        </w:r>
      </w:hyperlink>
      <w:r>
        <w:rPr>
          <w:i/>
          <w:iCs/>
          <w:color w:val="000000"/>
        </w:rPr>
        <w:t>).  </w:t>
      </w:r>
    </w:p>
    <w:p w14:paraId="1C108276" w14:textId="77777777" w:rsidR="00EF1D1E" w:rsidRDefault="00EF1D1E">
      <w:pPr>
        <w:pStyle w:val="Textodecomentrio"/>
      </w:pPr>
      <w:r>
        <w:rPr>
          <w:i/>
          <w:iCs/>
          <w:color w:val="000000"/>
        </w:rPr>
        <w:t xml:space="preserve">Nesse contexto, uma vez facultada a realização da vistoria prévia, os interessados terão três opções para cumprir o requisito de habilitação correspondente, conforme </w:t>
      </w:r>
      <w:hyperlink r:id="rId13" w:anchor="art63§2" w:history="1">
        <w:r w:rsidRPr="00CA304B">
          <w:rPr>
            <w:rStyle w:val="Hyperlink"/>
            <w:i/>
            <w:iCs/>
          </w:rPr>
          <w:t>§§2º e 3º do art. 63, da Lei nº 14.133, de 2021</w:t>
        </w:r>
      </w:hyperlink>
      <w:r>
        <w:rPr>
          <w:i/>
          <w:iCs/>
          <w:color w:val="000000"/>
        </w:rPr>
        <w:t>, a saber: </w:t>
      </w:r>
    </w:p>
    <w:p w14:paraId="4069B42C" w14:textId="77777777" w:rsidR="00EF1D1E" w:rsidRDefault="00EF1D1E">
      <w:pPr>
        <w:pStyle w:val="Textodecomentrio"/>
      </w:pPr>
      <w:r>
        <w:rPr>
          <w:i/>
          <w:iCs/>
          <w:color w:val="000000"/>
        </w:rPr>
        <w:t>a) realizar a vistoria e atestar que conhece o local e as condições da realização do serviço;  </w:t>
      </w:r>
    </w:p>
    <w:p w14:paraId="3231C484" w14:textId="77777777" w:rsidR="00EF1D1E" w:rsidRDefault="00EF1D1E">
      <w:pPr>
        <w:pStyle w:val="Textodecomentrio"/>
      </w:pPr>
      <w:r>
        <w:rPr>
          <w:i/>
          <w:iCs/>
          <w:color w:val="000000"/>
        </w:rPr>
        <w:t>b) atestar que conhece o local e as condições da realização do serviço;  </w:t>
      </w:r>
    </w:p>
    <w:p w14:paraId="3A4CCF33" w14:textId="77777777" w:rsidR="00EF1D1E" w:rsidRDefault="00EF1D1E">
      <w:pPr>
        <w:pStyle w:val="Textodecomentrio"/>
      </w:pPr>
      <w:r>
        <w:rPr>
          <w:i/>
          <w:iCs/>
          <w:color w:val="000000"/>
        </w:rPr>
        <w:t>c) declarar formalmente, por meio do respectivo responsável técnico, que possui conhecimento pleno das condições e peculiaridades da contratação.  </w:t>
      </w:r>
    </w:p>
    <w:p w14:paraId="2FB5A9CD" w14:textId="77777777" w:rsidR="00EF1D1E" w:rsidRDefault="00EF1D1E">
      <w:pPr>
        <w:pStyle w:val="Textodecomentrio"/>
      </w:pPr>
      <w:r>
        <w:rPr>
          <w:i/>
          <w:iCs/>
          <w:color w:val="000000"/>
        </w:rPr>
        <w:t xml:space="preserve">A hipótese “a” dispensa maiores comentários, a não ser o de que é o próprio fornecedor que atesta conhecer o local e as condições, e não a Administração que tem o ônus de emitir o atestado de vistoria, como se passa no âmbito da </w:t>
      </w:r>
      <w:hyperlink r:id="rId14" w:history="1">
        <w:r w:rsidRPr="00CA304B">
          <w:rPr>
            <w:rStyle w:val="Hyperlink"/>
            <w:i/>
            <w:iCs/>
          </w:rPr>
          <w:t>Lei nº 8.666, de 1993</w:t>
        </w:r>
      </w:hyperlink>
      <w:r>
        <w:rPr>
          <w:i/>
          <w:iCs/>
          <w:color w:val="000000"/>
        </w:rPr>
        <w:t>. </w:t>
      </w:r>
    </w:p>
    <w:p w14:paraId="673FE1E1" w14:textId="77777777" w:rsidR="00EF1D1E" w:rsidRDefault="00EF1D1E">
      <w:pPr>
        <w:pStyle w:val="Textodecomentrio"/>
      </w:pPr>
      <w:r>
        <w:rPr>
          <w:i/>
          <w:iCs/>
          <w:color w:val="000000"/>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14:paraId="18C96EB9" w14:textId="77777777" w:rsidR="00EF1D1E" w:rsidRDefault="00EF1D1E">
      <w:pPr>
        <w:pStyle w:val="Textodecomentrio"/>
      </w:pPr>
      <w:r>
        <w:rPr>
          <w:i/>
          <w:iCs/>
          <w:color w:val="000000"/>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14:paraId="02A97DF6" w14:textId="77777777" w:rsidR="00EF1D1E" w:rsidRDefault="00EF1D1E">
      <w:pPr>
        <w:pStyle w:val="Textodecomentrio"/>
      </w:pPr>
      <w:r>
        <w:rPr>
          <w:i/>
          <w:iCs/>
          <w:color w:val="000000"/>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hyperlink r:id="rId15" w:anchor="art63§3" w:history="1">
        <w:r w:rsidRPr="00CA304B">
          <w:rPr>
            <w:rStyle w:val="Hyperlink"/>
            <w:i/>
            <w:iCs/>
          </w:rPr>
          <w:t>§ 3º do art. 63, da Lei n.º 14.133, de 2021</w:t>
        </w:r>
      </w:hyperlink>
      <w:r>
        <w:rPr>
          <w:i/>
          <w:iCs/>
          <w:color w:val="000000"/>
        </w:rPr>
        <w:t>, deverá ser firmada pelo responsável legal da empresa ou por pessoa por ele indicada, que possua condições técnicas de se responsabilizar pela execução dos serviços a serem contratados.  </w:t>
      </w:r>
    </w:p>
    <w:p w14:paraId="79701588" w14:textId="77777777" w:rsidR="00EF1D1E" w:rsidRDefault="00EF1D1E">
      <w:pPr>
        <w:pStyle w:val="Textodecomentrio"/>
      </w:pPr>
      <w:r>
        <w:rPr>
          <w:i/>
          <w:iCs/>
          <w:color w:val="000000"/>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58" w:author="Autor" w:initials="A">
    <w:p w14:paraId="0E09B4D9"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6" w:history="1">
        <w:r w:rsidRPr="000422A5">
          <w:rPr>
            <w:rStyle w:val="Hyperlink"/>
            <w:i/>
            <w:iCs/>
          </w:rPr>
          <w:t>Decreto nº 10.024/2019</w:t>
        </w:r>
      </w:hyperlink>
      <w:r>
        <w:rPr>
          <w:i/>
          <w:iCs/>
          <w:color w:val="000000"/>
        </w:rPr>
        <w:t>, está em consonância com a novel legislação.</w:t>
      </w:r>
    </w:p>
  </w:comment>
  <w:comment w:id="66" w:author="Autor" w:initials="A">
    <w:p w14:paraId="1C46628A" w14:textId="0CA58507" w:rsidR="00EF1D1E" w:rsidRDefault="00EF1D1E">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76" w:author="Autor" w:initials="A">
    <w:p w14:paraId="6280CCD2"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7"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pPr>
      <w:r>
        <w:rPr>
          <w:i/>
          <w:iCs/>
          <w:color w:val="000000"/>
        </w:rPr>
        <w:t xml:space="preserve">Segundo o </w:t>
      </w:r>
      <w:hyperlink r:id="rId18"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9"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78" w:author="Autor" w:initials="A">
    <w:p w14:paraId="3F4AA36F" w14:textId="61C655B4" w:rsidR="00EF1D1E" w:rsidRDefault="00EF1D1E"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20"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79" w:author="Autor" w:initials="A">
    <w:p w14:paraId="0AD3D9D7"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21"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80" w:author="Autor" w:initials="A">
    <w:p w14:paraId="04C0D15E"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22"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82" w:author="Autor" w:initials="A">
    <w:p w14:paraId="6CD221FA" w14:textId="77777777" w:rsidR="00EF1D1E" w:rsidRDefault="00EF1D1E">
      <w:pPr>
        <w:pStyle w:val="Textodecomentrio"/>
      </w:pPr>
      <w:r>
        <w:rPr>
          <w:rStyle w:val="Refdecomentrio"/>
        </w:rPr>
        <w:annotationRef/>
      </w:r>
      <w:r>
        <w:rPr>
          <w:b/>
          <w:bCs/>
          <w:i/>
          <w:iCs/>
          <w:color w:val="000000"/>
        </w:rPr>
        <w:t>Nota Explicativa</w:t>
      </w:r>
      <w:r>
        <w:rPr>
          <w:i/>
          <w:iCs/>
          <w:color w:val="000000"/>
        </w:rPr>
        <w:t>: É importante que sejam indicados os meios para a recepção das impugnações e pedidos de esclarecimentos.</w:t>
      </w:r>
    </w:p>
  </w:comment>
  <w:comment w:id="83" w:author="Autor" w:initials="A">
    <w:p w14:paraId="00DDC0FC"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3"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49193D03" w15:done="0"/>
  <w15:commentEx w15:paraId="77D2E804" w15:done="0"/>
  <w15:commentEx w15:paraId="077CADE6" w15:done="0"/>
  <w15:commentEx w15:paraId="3FC31CE1" w15:done="0"/>
  <w15:commentEx w15:paraId="6B0CCC24" w15:done="0"/>
  <w15:commentEx w15:paraId="7D53E10E" w15:done="0"/>
  <w15:commentEx w15:paraId="2F3AD707" w15:done="0"/>
  <w15:commentEx w15:paraId="726C2223" w15:done="0"/>
  <w15:commentEx w15:paraId="10F045B9" w15:done="0"/>
  <w15:commentEx w15:paraId="54360D84" w15:done="0"/>
  <w15:commentEx w15:paraId="32DCB264" w15:done="0"/>
  <w15:commentEx w15:paraId="54B81D8E" w15:done="0"/>
  <w15:commentEx w15:paraId="3D54E2DF" w15:done="0"/>
  <w15:commentEx w15:paraId="79701588" w15:done="0"/>
  <w15:commentEx w15:paraId="0E09B4D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49193D03" w16cid:durableId="274C774D"/>
  <w16cid:commentId w16cid:paraId="77D2E804" w16cid:durableId="274C779D"/>
  <w16cid:commentId w16cid:paraId="077CADE6" w16cid:durableId="27F1045B"/>
  <w16cid:commentId w16cid:paraId="3FC31CE1" w16cid:durableId="274C7A30"/>
  <w16cid:commentId w16cid:paraId="6B0CCC24" w16cid:durableId="281092A7"/>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4B81D8E" w16cid:durableId="2810975E"/>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0901" w14:textId="77777777" w:rsidR="008A78F9" w:rsidRDefault="008A78F9">
      <w:r>
        <w:separator/>
      </w:r>
    </w:p>
  </w:endnote>
  <w:endnote w:type="continuationSeparator" w:id="0">
    <w:p w14:paraId="27055FCD" w14:textId="77777777" w:rsidR="008A78F9" w:rsidRDefault="008A78F9">
      <w:r>
        <w:continuationSeparator/>
      </w:r>
    </w:p>
  </w:endnote>
  <w:endnote w:type="continuationNotice" w:id="1">
    <w:p w14:paraId="67FA0906" w14:textId="77777777" w:rsidR="008A78F9" w:rsidRDefault="008A7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Bold">
    <w:altName w:val="Cambria"/>
    <w:panose1 w:val="00000000000000000000"/>
    <w:charset w:val="00"/>
    <w:family w:val="roman"/>
    <w:notTrueType/>
    <w:pitch w:val="default"/>
  </w:font>
  <w:font w:name="Liberation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86"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86"/>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87" w:name="_Hlk135299681"/>
        <w:r w:rsidRPr="00244403">
          <w:rPr>
            <w:rFonts w:ascii="Arial" w:hAnsi="Arial" w:cs="Arial"/>
            <w:sz w:val="14"/>
            <w:szCs w:val="14"/>
          </w:rPr>
          <w:t>- Lei nº 14.133, de 2021.</w:t>
        </w:r>
        <w:bookmarkEnd w:id="87"/>
      </w:p>
      <w:p w14:paraId="2220F664" w14:textId="739385E2" w:rsidR="00EF1D1E" w:rsidRPr="00244403" w:rsidRDefault="009543FC" w:rsidP="00E96341">
        <w:pPr>
          <w:pStyle w:val="Rodap"/>
          <w:rPr>
            <w:rFonts w:ascii="Arial" w:hAnsi="Arial" w:cs="Arial"/>
            <w:sz w:val="14"/>
            <w:szCs w:val="14"/>
          </w:rPr>
        </w:pPr>
        <w:bookmarkStart w:id="88"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8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5706" w14:textId="77777777" w:rsidR="008A78F9" w:rsidRDefault="008A78F9">
      <w:r>
        <w:separator/>
      </w:r>
    </w:p>
  </w:footnote>
  <w:footnote w:type="continuationSeparator" w:id="0">
    <w:p w14:paraId="74F0AEF8" w14:textId="77777777" w:rsidR="008A78F9" w:rsidRDefault="008A78F9">
      <w:r>
        <w:continuationSeparator/>
      </w:r>
    </w:p>
  </w:footnote>
  <w:footnote w:type="continuationNotice" w:id="1">
    <w:p w14:paraId="4218D410" w14:textId="77777777" w:rsidR="008A78F9" w:rsidRDefault="008A78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12B68EE2"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876BB0">
      <w:rPr>
        <w:rFonts w:ascii="Arial" w:hAnsi="Arial" w:cs="Arial"/>
        <w:sz w:val="20"/>
        <w:szCs w:val="20"/>
      </w:rPr>
      <w:t>14</w:t>
    </w:r>
    <w:r w:rsidRPr="00244403">
      <w:rPr>
        <w:rFonts w:ascii="Arial" w:hAnsi="Arial" w:cs="Arial"/>
        <w:sz w:val="20"/>
        <w:szCs w:val="20"/>
      </w:rPr>
      <w:t>/</w:t>
    </w:r>
    <w:r w:rsidR="00876BB0">
      <w:rPr>
        <w:rFonts w:ascii="Arial" w:hAnsi="Arial" w:cs="Arial"/>
        <w:sz w:val="20"/>
        <w:szCs w:val="20"/>
      </w:rPr>
      <w:t>2023</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1477041320" name="Imagem 147704132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4BC1C8D"/>
    <w:multiLevelType w:val="multilevel"/>
    <w:tmpl w:val="1DBE6F32"/>
    <w:lvl w:ilvl="0">
      <w:start w:val="1"/>
      <w:numFmt w:val="decimal"/>
      <w:lvlText w:val="%1."/>
      <w:lvlJc w:val="left"/>
      <w:pPr>
        <w:ind w:left="824" w:hanging="348"/>
        <w:jc w:val="right"/>
      </w:pPr>
      <w:rPr>
        <w:rFonts w:ascii="Times New Roman" w:eastAsia="Times New Roman" w:hAnsi="Times New Roman" w:cs="Times New Roman" w:hint="default"/>
        <w:w w:val="100"/>
        <w:sz w:val="18"/>
        <w:szCs w:val="18"/>
        <w:lang w:val="pt-PT" w:eastAsia="en-US" w:bidi="ar-SA"/>
      </w:rPr>
    </w:lvl>
    <w:lvl w:ilvl="1">
      <w:start w:val="1"/>
      <w:numFmt w:val="decimal"/>
      <w:lvlText w:val="%1.%2"/>
      <w:lvlJc w:val="left"/>
      <w:pPr>
        <w:ind w:left="1196" w:hanging="424"/>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556" w:hanging="1080"/>
        <w:jc w:val="left"/>
      </w:pPr>
      <w:rPr>
        <w:rFonts w:hint="default"/>
        <w:w w:val="100"/>
        <w:lang w:val="pt-PT" w:eastAsia="en-US" w:bidi="ar-SA"/>
      </w:rPr>
    </w:lvl>
    <w:lvl w:ilvl="3">
      <w:start w:val="1"/>
      <w:numFmt w:val="decimal"/>
      <w:lvlText w:val="%1.%2.%3.%4."/>
      <w:lvlJc w:val="left"/>
      <w:pPr>
        <w:ind w:left="1916" w:hanging="1080"/>
        <w:jc w:val="left"/>
      </w:pPr>
      <w:rPr>
        <w:rFonts w:ascii="Times New Roman" w:eastAsia="Times New Roman" w:hAnsi="Times New Roman" w:cs="Times New Roman" w:hint="default"/>
        <w:w w:val="100"/>
        <w:sz w:val="20"/>
        <w:szCs w:val="20"/>
        <w:lang w:val="pt-PT" w:eastAsia="en-US" w:bidi="ar-SA"/>
      </w:rPr>
    </w:lvl>
    <w:lvl w:ilvl="4">
      <w:start w:val="1"/>
      <w:numFmt w:val="decimal"/>
      <w:lvlText w:val="%1.%2.%3.%4.%5."/>
      <w:lvlJc w:val="left"/>
      <w:pPr>
        <w:ind w:left="2276" w:hanging="1080"/>
        <w:jc w:val="left"/>
      </w:pPr>
      <w:rPr>
        <w:rFonts w:ascii="Times New Roman" w:eastAsia="Times New Roman" w:hAnsi="Times New Roman" w:cs="Times New Roman" w:hint="default"/>
        <w:w w:val="100"/>
        <w:sz w:val="20"/>
        <w:szCs w:val="20"/>
        <w:lang w:val="pt-PT" w:eastAsia="en-US" w:bidi="ar-SA"/>
      </w:rPr>
    </w:lvl>
    <w:lvl w:ilvl="5">
      <w:numFmt w:val="bullet"/>
      <w:lvlText w:val="•"/>
      <w:lvlJc w:val="left"/>
      <w:pPr>
        <w:ind w:left="1560" w:hanging="1080"/>
      </w:pPr>
      <w:rPr>
        <w:rFonts w:hint="default"/>
        <w:lang w:val="pt-PT" w:eastAsia="en-US" w:bidi="ar-SA"/>
      </w:rPr>
    </w:lvl>
    <w:lvl w:ilvl="6">
      <w:numFmt w:val="bullet"/>
      <w:lvlText w:val="•"/>
      <w:lvlJc w:val="left"/>
      <w:pPr>
        <w:ind w:left="1920" w:hanging="1080"/>
      </w:pPr>
      <w:rPr>
        <w:rFonts w:hint="default"/>
        <w:lang w:val="pt-PT" w:eastAsia="en-US" w:bidi="ar-SA"/>
      </w:rPr>
    </w:lvl>
    <w:lvl w:ilvl="7">
      <w:numFmt w:val="bullet"/>
      <w:lvlText w:val="•"/>
      <w:lvlJc w:val="left"/>
      <w:pPr>
        <w:ind w:left="2280" w:hanging="1080"/>
      </w:pPr>
      <w:rPr>
        <w:rFonts w:hint="default"/>
        <w:lang w:val="pt-PT" w:eastAsia="en-US" w:bidi="ar-SA"/>
      </w:rPr>
    </w:lvl>
    <w:lvl w:ilvl="8">
      <w:numFmt w:val="bullet"/>
      <w:lvlText w:val="•"/>
      <w:lvlJc w:val="left"/>
      <w:pPr>
        <w:ind w:left="3000" w:hanging="1080"/>
      </w:pPr>
      <w:rPr>
        <w:rFonts w:hint="default"/>
        <w:lang w:val="pt-PT" w:eastAsia="en-US" w:bidi="ar-SA"/>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514488"/>
    <w:multiLevelType w:val="multilevel"/>
    <w:tmpl w:val="B1FCA8C6"/>
    <w:lvl w:ilvl="0">
      <w:start w:val="1"/>
      <w:numFmt w:val="decimal"/>
      <w:lvlText w:val="%1."/>
      <w:lvlJc w:val="left"/>
      <w:pPr>
        <w:ind w:left="824" w:hanging="348"/>
        <w:jc w:val="right"/>
      </w:pPr>
      <w:rPr>
        <w:rFonts w:ascii="Times New Roman" w:eastAsia="Times New Roman" w:hAnsi="Times New Roman" w:cs="Times New Roman" w:hint="default"/>
        <w:w w:val="100"/>
        <w:sz w:val="18"/>
        <w:szCs w:val="18"/>
        <w:lang w:val="pt-PT" w:eastAsia="en-US" w:bidi="ar-SA"/>
      </w:rPr>
    </w:lvl>
    <w:lvl w:ilvl="1">
      <w:start w:val="1"/>
      <w:numFmt w:val="decimal"/>
      <w:lvlText w:val="%1.%2"/>
      <w:lvlJc w:val="left"/>
      <w:pPr>
        <w:ind w:left="1196" w:hanging="424"/>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556" w:hanging="1080"/>
        <w:jc w:val="left"/>
      </w:pPr>
      <w:rPr>
        <w:rFonts w:hint="default"/>
        <w:w w:val="100"/>
        <w:lang w:val="pt-PT" w:eastAsia="en-US" w:bidi="ar-SA"/>
      </w:rPr>
    </w:lvl>
    <w:lvl w:ilvl="3">
      <w:start w:val="1"/>
      <w:numFmt w:val="decimal"/>
      <w:lvlText w:val="%1.%2.%3.%4."/>
      <w:lvlJc w:val="left"/>
      <w:pPr>
        <w:ind w:left="1916" w:hanging="1080"/>
        <w:jc w:val="left"/>
      </w:pPr>
      <w:rPr>
        <w:rFonts w:ascii="Times New Roman" w:eastAsia="Times New Roman" w:hAnsi="Times New Roman" w:cs="Times New Roman" w:hint="default"/>
        <w:w w:val="100"/>
        <w:sz w:val="20"/>
        <w:szCs w:val="20"/>
        <w:lang w:val="pt-PT" w:eastAsia="en-US" w:bidi="ar-SA"/>
      </w:rPr>
    </w:lvl>
    <w:lvl w:ilvl="4">
      <w:start w:val="1"/>
      <w:numFmt w:val="decimal"/>
      <w:lvlText w:val="%1.%2.%3.%4.%5."/>
      <w:lvlJc w:val="left"/>
      <w:pPr>
        <w:ind w:left="2276" w:hanging="1080"/>
        <w:jc w:val="left"/>
      </w:pPr>
      <w:rPr>
        <w:rFonts w:ascii="Times New Roman" w:eastAsia="Times New Roman" w:hAnsi="Times New Roman" w:cs="Times New Roman" w:hint="default"/>
        <w:w w:val="100"/>
        <w:sz w:val="20"/>
        <w:szCs w:val="20"/>
        <w:lang w:val="pt-PT" w:eastAsia="en-US" w:bidi="ar-SA"/>
      </w:rPr>
    </w:lvl>
    <w:lvl w:ilvl="5">
      <w:numFmt w:val="bullet"/>
      <w:lvlText w:val="•"/>
      <w:lvlJc w:val="left"/>
      <w:pPr>
        <w:ind w:left="1560" w:hanging="1080"/>
      </w:pPr>
      <w:rPr>
        <w:rFonts w:hint="default"/>
        <w:lang w:val="pt-PT" w:eastAsia="en-US" w:bidi="ar-SA"/>
      </w:rPr>
    </w:lvl>
    <w:lvl w:ilvl="6">
      <w:numFmt w:val="bullet"/>
      <w:lvlText w:val="•"/>
      <w:lvlJc w:val="left"/>
      <w:pPr>
        <w:ind w:left="1920" w:hanging="1080"/>
      </w:pPr>
      <w:rPr>
        <w:rFonts w:hint="default"/>
        <w:lang w:val="pt-PT" w:eastAsia="en-US" w:bidi="ar-SA"/>
      </w:rPr>
    </w:lvl>
    <w:lvl w:ilvl="7">
      <w:numFmt w:val="bullet"/>
      <w:lvlText w:val="•"/>
      <w:lvlJc w:val="left"/>
      <w:pPr>
        <w:ind w:left="2280" w:hanging="1080"/>
      </w:pPr>
      <w:rPr>
        <w:rFonts w:hint="default"/>
        <w:lang w:val="pt-PT" w:eastAsia="en-US" w:bidi="ar-SA"/>
      </w:rPr>
    </w:lvl>
    <w:lvl w:ilvl="8">
      <w:numFmt w:val="bullet"/>
      <w:lvlText w:val="•"/>
      <w:lvlJc w:val="left"/>
      <w:pPr>
        <w:ind w:left="3000" w:hanging="1080"/>
      </w:pPr>
      <w:rPr>
        <w:rFonts w:hint="default"/>
        <w:lang w:val="pt-PT" w:eastAsia="en-US" w:bidi="ar-SA"/>
      </w:rPr>
    </w:lvl>
  </w:abstractNum>
  <w:abstractNum w:abstractNumId="4" w15:restartNumberingAfterBreak="0">
    <w:nsid w:val="1D5C100D"/>
    <w:multiLevelType w:val="multilevel"/>
    <w:tmpl w:val="E1E23F2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4"/>
  </w:num>
  <w:num w:numId="2" w16cid:durableId="458763359">
    <w:abstractNumId w:val="0"/>
  </w:num>
  <w:num w:numId="3" w16cid:durableId="1675454916">
    <w:abstractNumId w:val="11"/>
  </w:num>
  <w:num w:numId="4" w16cid:durableId="949236584">
    <w:abstractNumId w:val="12"/>
  </w:num>
  <w:num w:numId="5" w16cid:durableId="552742187">
    <w:abstractNumId w:val="8"/>
  </w:num>
  <w:num w:numId="6" w16cid:durableId="269433705">
    <w:abstractNumId w:val="6"/>
  </w:num>
  <w:num w:numId="7" w16cid:durableId="1734235735">
    <w:abstractNumId w:val="9"/>
  </w:num>
  <w:num w:numId="8" w16cid:durableId="2070305899">
    <w:abstractNumId w:val="10"/>
  </w:num>
  <w:num w:numId="9" w16cid:durableId="1439334387">
    <w:abstractNumId w:val="4"/>
  </w:num>
  <w:num w:numId="10" w16cid:durableId="299649791">
    <w:abstractNumId w:val="4"/>
  </w:num>
  <w:num w:numId="11" w16cid:durableId="2048338348">
    <w:abstractNumId w:val="4"/>
  </w:num>
  <w:num w:numId="12" w16cid:durableId="862865860">
    <w:abstractNumId w:val="4"/>
  </w:num>
  <w:num w:numId="13" w16cid:durableId="1000236300">
    <w:abstractNumId w:val="4"/>
  </w:num>
  <w:num w:numId="14" w16cid:durableId="169295464">
    <w:abstractNumId w:val="4"/>
  </w:num>
  <w:num w:numId="15" w16cid:durableId="362708789">
    <w:abstractNumId w:val="4"/>
  </w:num>
  <w:num w:numId="16" w16cid:durableId="67465494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4"/>
    <w:lvlOverride w:ilvl="0">
      <w:startOverride w:val="20"/>
    </w:lvlOverride>
  </w:num>
  <w:num w:numId="19" w16cid:durableId="1813057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4"/>
  </w:num>
  <w:num w:numId="21" w16cid:durableId="1070038148">
    <w:abstractNumId w:val="4"/>
  </w:num>
  <w:num w:numId="22" w16cid:durableId="1603343017">
    <w:abstractNumId w:val="4"/>
  </w:num>
  <w:num w:numId="23" w16cid:durableId="1585840359">
    <w:abstractNumId w:val="4"/>
  </w:num>
  <w:num w:numId="24" w16cid:durableId="1757049007">
    <w:abstractNumId w:val="4"/>
  </w:num>
  <w:num w:numId="25" w16cid:durableId="923337359">
    <w:abstractNumId w:val="4"/>
  </w:num>
  <w:num w:numId="26" w16cid:durableId="1956016032">
    <w:abstractNumId w:val="4"/>
  </w:num>
  <w:num w:numId="27" w16cid:durableId="54278807">
    <w:abstractNumId w:val="4"/>
  </w:num>
  <w:num w:numId="28" w16cid:durableId="1154105100">
    <w:abstractNumId w:val="4"/>
  </w:num>
  <w:num w:numId="29" w16cid:durableId="314996395">
    <w:abstractNumId w:val="4"/>
  </w:num>
  <w:num w:numId="30" w16cid:durableId="1835299071">
    <w:abstractNumId w:val="4"/>
    <w:lvlOverride w:ilvl="0">
      <w:startOverride w:val="9"/>
    </w:lvlOverride>
    <w:lvlOverride w:ilvl="1">
      <w:startOverride w:val="2"/>
    </w:lvlOverride>
    <w:lvlOverride w:ilvl="2">
      <w:startOverride w:val="1"/>
    </w:lvlOverride>
  </w:num>
  <w:num w:numId="31" w16cid:durableId="1948653441">
    <w:abstractNumId w:val="4"/>
  </w:num>
  <w:num w:numId="32" w16cid:durableId="1635022632">
    <w:abstractNumId w:val="4"/>
  </w:num>
  <w:num w:numId="33" w16cid:durableId="384571244">
    <w:abstractNumId w:val="5"/>
  </w:num>
  <w:num w:numId="34" w16cid:durableId="1075980013">
    <w:abstractNumId w:val="2"/>
  </w:num>
  <w:num w:numId="35" w16cid:durableId="659580675">
    <w:abstractNumId w:val="1"/>
  </w:num>
  <w:num w:numId="36" w16cid:durableId="1574658147">
    <w:abstractNumId w:val="3"/>
  </w:num>
  <w:num w:numId="37" w16cid:durableId="1150633538">
    <w:abstractNumId w:val="4"/>
    <w:lvlOverride w:ilvl="0">
      <w:startOverride w:val="5"/>
    </w:lvlOverride>
    <w:lvlOverride w:ilvl="1">
      <w:startOverride w:val="7"/>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E2D"/>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3F20"/>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2E"/>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0E8"/>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249"/>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B61"/>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46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5F8"/>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79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37B"/>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116"/>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6E"/>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5B"/>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2F49"/>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67A"/>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B0"/>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2E17"/>
    <w:rsid w:val="00893BB7"/>
    <w:rsid w:val="008941DB"/>
    <w:rsid w:val="008944F8"/>
    <w:rsid w:val="00894546"/>
    <w:rsid w:val="008954D8"/>
    <w:rsid w:val="00895940"/>
    <w:rsid w:val="00895B54"/>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8F9"/>
    <w:rsid w:val="008B060F"/>
    <w:rsid w:val="008B0B42"/>
    <w:rsid w:val="008B0D56"/>
    <w:rsid w:val="008B131B"/>
    <w:rsid w:val="008B1A4F"/>
    <w:rsid w:val="008B1A8B"/>
    <w:rsid w:val="008B2929"/>
    <w:rsid w:val="008B2CE0"/>
    <w:rsid w:val="008B2E67"/>
    <w:rsid w:val="008B31EF"/>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78E"/>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0C9"/>
    <w:rsid w:val="00A374EB"/>
    <w:rsid w:val="00A3768F"/>
    <w:rsid w:val="00A40131"/>
    <w:rsid w:val="00A402A1"/>
    <w:rsid w:val="00A41D8A"/>
    <w:rsid w:val="00A4274E"/>
    <w:rsid w:val="00A440FE"/>
    <w:rsid w:val="00A44175"/>
    <w:rsid w:val="00A44D8F"/>
    <w:rsid w:val="00A45768"/>
    <w:rsid w:val="00A4594A"/>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977"/>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535"/>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1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90"/>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C94"/>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9AC"/>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09E"/>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994"/>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628"/>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91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C3A"/>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7D6"/>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73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2E2"/>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74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E8E"/>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E5D"/>
    <w:rsid w:val="00FD6D94"/>
    <w:rsid w:val="00FD6FFE"/>
    <w:rsid w:val="00FD7077"/>
    <w:rsid w:val="00FD7766"/>
    <w:rsid w:val="00FE0522"/>
    <w:rsid w:val="00FE1050"/>
    <w:rsid w:val="00FE116B"/>
    <w:rsid w:val="00FE153D"/>
    <w:rsid w:val="00FE1DD3"/>
    <w:rsid w:val="00FE24D7"/>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FB7E8E"/>
    <w:rPr>
      <w:color w:val="605E5C"/>
      <w:shd w:val="clear" w:color="auto" w:fill="E1DFDD"/>
    </w:rPr>
  </w:style>
  <w:style w:type="character" w:customStyle="1" w:styleId="fontstyle01">
    <w:name w:val="fontstyle01"/>
    <w:basedOn w:val="Fontepargpadro"/>
    <w:rsid w:val="00A4594A"/>
    <w:rPr>
      <w:rFonts w:ascii="LiberationSans-Bold" w:hAnsi="LiberationSans-Bold" w:hint="default"/>
      <w:b/>
      <w:bCs/>
      <w:i w:val="0"/>
      <w:iCs w:val="0"/>
      <w:color w:val="000000"/>
      <w:sz w:val="22"/>
      <w:szCs w:val="22"/>
    </w:rPr>
  </w:style>
  <w:style w:type="character" w:customStyle="1" w:styleId="fontstyle21">
    <w:name w:val="fontstyle21"/>
    <w:basedOn w:val="Fontepargpadro"/>
    <w:rsid w:val="00A4594A"/>
    <w:rPr>
      <w:rFonts w:ascii="LiberationSerif" w:hAnsi="LiberationSerif"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6930439">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19/Decreto/D10024.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8666cons.htm" TargetMode="External"/><Relationship Id="rId22"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compras.gov.br"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9110</Words>
  <Characters>49196</Characters>
  <Application>Microsoft Office Word</Application>
  <DocSecurity>0</DocSecurity>
  <Lines>409</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2023-12-21T11:27:00Z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