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egenda"/>
        <w:spacing w:before="120" w:after="120"/>
        <w:rPr>
          <w:rFonts w:ascii="Calibri" w:hAnsi="Calibri"/>
          <w:sz w:val="24"/>
          <w:szCs w:val="24"/>
        </w:rPr>
      </w:pPr>
      <w:r>
        <w:rPr>
          <w:rFonts w:ascii="Calibri" w:hAnsi="Calibri"/>
          <w:sz w:val="24"/>
          <w:szCs w:val="24"/>
        </w:rPr>
      </w:r>
    </w:p>
    <w:p>
      <w:pPr>
        <w:pStyle w:val="Caption"/>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b/>
          <w:b/>
          <w:bCs/>
          <w:sz w:val="24"/>
          <w:szCs w:val="24"/>
        </w:rPr>
      </w:pPr>
      <w:r>
        <w:rPr>
          <w:rFonts w:ascii="Calibri" w:hAnsi="Calibri"/>
          <w:b/>
          <w:bCs/>
          <w:sz w:val="24"/>
          <w:szCs w:val="24"/>
        </w:rPr>
      </w:r>
    </w:p>
    <w:p>
      <w:pPr>
        <w:pStyle w:val="Caption"/>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i w:val="false"/>
          <w:i w:val="false"/>
          <w:iCs w:val="false"/>
          <w:sz w:val="24"/>
          <w:szCs w:val="24"/>
        </w:rPr>
      </w:pPr>
      <w:r>
        <w:drawing>
          <wp:anchor behindDoc="0" distT="0" distB="2540" distL="0" distR="0" simplePos="0" locked="0" layoutInCell="0" allowOverlap="1" relativeHeight="2">
            <wp:simplePos x="0" y="0"/>
            <wp:positionH relativeFrom="column">
              <wp:posOffset>2527935</wp:posOffset>
            </wp:positionH>
            <wp:positionV relativeFrom="paragraph">
              <wp:posOffset>-72390</wp:posOffset>
            </wp:positionV>
            <wp:extent cx="748030" cy="702310"/>
            <wp:effectExtent l="0" t="0" r="0" b="0"/>
            <wp:wrapTopAndBottom/>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2"/>
                    <a:srcRect l="-96" t="-103" r="-96" b="-103"/>
                    <a:stretch>
                      <a:fillRect/>
                    </a:stretch>
                  </pic:blipFill>
                  <pic:spPr bwMode="auto">
                    <a:xfrm>
                      <a:off x="0" y="0"/>
                      <a:ext cx="748030" cy="702310"/>
                    </a:xfrm>
                    <a:prstGeom prst="rect">
                      <a:avLst/>
                    </a:prstGeom>
                  </pic:spPr>
                </pic:pic>
              </a:graphicData>
            </a:graphic>
          </wp:anchor>
        </w:drawing>
      </w:r>
      <w:r>
        <w:rPr>
          <w:rFonts w:ascii="Calibri" w:hAnsi="Calibri"/>
          <w:b/>
          <w:bCs/>
          <w:i w:val="false"/>
          <w:iCs w:val="false"/>
          <w:sz w:val="24"/>
          <w:szCs w:val="24"/>
        </w:rPr>
        <w:t>MINISTÉRIO DA DEFESA</w:t>
      </w:r>
    </w:p>
    <w:p>
      <w:pPr>
        <w:pStyle w:val="Normal"/>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i w:val="false"/>
          <w:i w:val="false"/>
          <w:iCs w:val="false"/>
          <w:sz w:val="24"/>
          <w:szCs w:val="24"/>
        </w:rPr>
      </w:pPr>
      <w:r>
        <w:rPr>
          <w:rFonts w:ascii="Calibri" w:hAnsi="Calibri"/>
          <w:b/>
          <w:i w:val="false"/>
          <w:iCs w:val="false"/>
          <w:sz w:val="24"/>
          <w:szCs w:val="24"/>
        </w:rPr>
        <w:t>EXÉRCITO BRASILEIRO</w:t>
      </w:r>
    </w:p>
    <w:p>
      <w:pPr>
        <w:pStyle w:val="Normal"/>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i w:val="false"/>
          <w:i w:val="false"/>
          <w:iCs w:val="false"/>
          <w:sz w:val="24"/>
          <w:szCs w:val="24"/>
        </w:rPr>
      </w:pPr>
      <w:r>
        <w:rPr>
          <w:rFonts w:ascii="Calibri" w:hAnsi="Calibri"/>
          <w:b/>
          <w:i w:val="false"/>
          <w:iCs w:val="false"/>
          <w:sz w:val="24"/>
          <w:szCs w:val="24"/>
        </w:rPr>
        <w:t>C M O – 4ª Bda C Mec</w:t>
      </w:r>
    </w:p>
    <w:p>
      <w:pPr>
        <w:pStyle w:val="Normal"/>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i w:val="false"/>
          <w:i w:val="false"/>
          <w:iCs w:val="false"/>
          <w:sz w:val="24"/>
          <w:szCs w:val="24"/>
        </w:rPr>
      </w:pPr>
      <w:r>
        <w:rPr>
          <w:rFonts w:ascii="Calibri" w:hAnsi="Calibri"/>
          <w:b/>
          <w:i w:val="false"/>
          <w:iCs w:val="false"/>
          <w:sz w:val="24"/>
          <w:szCs w:val="24"/>
        </w:rPr>
        <w:t>10º REGIMENTO DE CAVALARIA MECANIZADO</w:t>
      </w:r>
    </w:p>
    <w:p>
      <w:pPr>
        <w:pStyle w:val="Normal"/>
        <w:pBdr>
          <w:top w:val="single" w:sz="4" w:space="0" w:color="1F497D"/>
          <w:left w:val="single" w:sz="4" w:space="4" w:color="1F497D"/>
          <w:bottom w:val="single" w:sz="4" w:space="1" w:color="1F497D"/>
          <w:right w:val="single" w:sz="4" w:space="4" w:color="1F497D"/>
        </w:pBdr>
        <w:tabs>
          <w:tab w:val="clear" w:pos="708"/>
          <w:tab w:val="left" w:pos="0" w:leader="none"/>
        </w:tabs>
        <w:spacing w:lineRule="auto" w:line="276"/>
        <w:ind w:left="360" w:hanging="0"/>
        <w:jc w:val="center"/>
        <w:rPr>
          <w:rFonts w:ascii="Calibri" w:hAnsi="Calibri"/>
          <w:i w:val="false"/>
          <w:i w:val="false"/>
          <w:iCs w:val="false"/>
          <w:sz w:val="24"/>
          <w:szCs w:val="24"/>
        </w:rPr>
      </w:pPr>
      <w:r>
        <w:rPr>
          <w:rFonts w:ascii="Calibri" w:hAnsi="Calibri"/>
          <w:b/>
          <w:i w:val="false"/>
          <w:iCs w:val="false"/>
          <w:sz w:val="24"/>
          <w:szCs w:val="24"/>
        </w:rPr>
        <w:t>(Companhia de Cavalaria de Mato Grosso – 1839)</w:t>
      </w:r>
    </w:p>
    <w:p>
      <w:pPr>
        <w:pStyle w:val="Normal"/>
        <w:pBdr>
          <w:top w:val="single" w:sz="4" w:space="0" w:color="1F497D"/>
          <w:left w:val="single" w:sz="4" w:space="4" w:color="1F497D"/>
          <w:bottom w:val="single" w:sz="4" w:space="1" w:color="1F497D"/>
          <w:right w:val="single" w:sz="4" w:space="4" w:color="1F497D"/>
        </w:pBdr>
        <w:tabs>
          <w:tab w:val="clear" w:pos="708"/>
          <w:tab w:val="left" w:pos="0" w:leader="none"/>
          <w:tab w:val="left" w:pos="4820" w:leader="none"/>
          <w:tab w:val="left" w:pos="5954" w:leader="none"/>
        </w:tabs>
        <w:spacing w:lineRule="auto" w:line="276"/>
        <w:ind w:left="360" w:hanging="0"/>
        <w:jc w:val="center"/>
        <w:rPr>
          <w:rFonts w:ascii="Calibri" w:hAnsi="Calibri"/>
          <w:i w:val="false"/>
          <w:i w:val="false"/>
          <w:iCs w:val="false"/>
          <w:sz w:val="24"/>
          <w:szCs w:val="24"/>
        </w:rPr>
      </w:pPr>
      <w:r>
        <w:rPr>
          <w:rFonts w:ascii="Calibri" w:hAnsi="Calibri"/>
          <w:b/>
          <w:i w:val="false"/>
          <w:iCs w:val="false"/>
          <w:sz w:val="24"/>
          <w:szCs w:val="24"/>
        </w:rPr>
        <w:t>REGIMENTO ANTÔNIO JOÃO</w:t>
      </w:r>
    </w:p>
    <w:p>
      <w:pPr>
        <w:pStyle w:val="Legenda"/>
        <w:rPr>
          <w:rFonts w:ascii="Calibri" w:hAnsi="Calibri"/>
          <w:sz w:val="24"/>
          <w:szCs w:val="24"/>
        </w:rPr>
      </w:pPr>
      <w:r>
        <w:rPr>
          <w:rFonts w:ascii="Calibri" w:hAnsi="Calibri"/>
          <w:sz w:val="24"/>
          <w:szCs w:val="24"/>
        </w:rPr>
      </w:r>
    </w:p>
    <w:p>
      <w:pPr>
        <w:pStyle w:val="Normal"/>
        <w:spacing w:lineRule="auto" w:line="276"/>
        <w:jc w:val="center"/>
        <w:rPr>
          <w:rFonts w:ascii="Calibri" w:hAnsi="Calibri"/>
          <w:sz w:val="24"/>
          <w:szCs w:val="24"/>
        </w:rPr>
      </w:pPr>
      <w:r>
        <w:rPr>
          <w:rFonts w:ascii="Calibri" w:hAnsi="Calibri"/>
          <w:sz w:val="24"/>
          <w:szCs w:val="24"/>
        </w:rPr>
      </w:r>
    </w:p>
    <w:p>
      <w:pPr>
        <w:pStyle w:val="Normal"/>
        <w:spacing w:lineRule="auto" w:line="276"/>
        <w:jc w:val="center"/>
        <w:rPr>
          <w:rFonts w:ascii="Calibri" w:hAnsi="Calibri"/>
          <w:sz w:val="24"/>
          <w:szCs w:val="24"/>
        </w:rPr>
      </w:pPr>
      <w:r>
        <w:rPr>
          <w:rFonts w:cs="Arial" w:ascii="Calibri" w:hAnsi="Calibri"/>
          <w:b/>
          <w:bCs/>
          <w:color w:val="000000" w:themeColor="text1"/>
          <w:sz w:val="24"/>
          <w:szCs w:val="24"/>
        </w:rPr>
        <w:t>AVISO DE DISPENSA ELETRÔNICA Nº 14/2023</w:t>
      </w:r>
    </w:p>
    <w:p>
      <w:pPr>
        <w:pStyle w:val="Normal"/>
        <w:spacing w:lineRule="auto" w:line="276" w:before="0" w:after="120"/>
        <w:ind w:right="-15" w:hanging="0"/>
        <w:jc w:val="center"/>
        <w:rPr>
          <w:rFonts w:ascii="Calibri" w:hAnsi="Calibri"/>
          <w:sz w:val="24"/>
          <w:szCs w:val="24"/>
        </w:rPr>
      </w:pPr>
      <w:r>
        <w:rPr>
          <w:rFonts w:cs="Arial" w:ascii="Calibri" w:hAnsi="Calibri"/>
          <w:b/>
          <w:bCs/>
          <w:color w:val="000000" w:themeColor="text1"/>
          <w:sz w:val="24"/>
          <w:szCs w:val="24"/>
        </w:rPr>
        <w:t xml:space="preserve">(Processo Administrativo n.° </w:t>
      </w:r>
      <w:r>
        <w:rPr>
          <w:rFonts w:cs="Arial" w:ascii="Calibri" w:hAnsi="Calibri"/>
          <w:b/>
          <w:bCs/>
          <w:i w:val="false"/>
          <w:strike w:val="false"/>
          <w:dstrike w:val="false"/>
          <w:outline w:val="false"/>
          <w:shadow w:val="false"/>
          <w:color w:val="000000"/>
          <w:sz w:val="24"/>
          <w:szCs w:val="24"/>
          <w:u w:val="none"/>
          <w:em w:val="none"/>
        </w:rPr>
        <w:t>64679.001953/2023-08</w:t>
      </w:r>
      <w:r>
        <w:rPr>
          <w:rFonts w:cs="Arial" w:ascii="Calibri" w:hAnsi="Calibri"/>
          <w:b/>
          <w:bCs/>
          <w:color w:val="000000" w:themeColor="text1"/>
          <w:sz w:val="24"/>
          <w:szCs w:val="24"/>
        </w:rPr>
        <w:t>)</w:t>
      </w:r>
    </w:p>
    <w:p>
      <w:pPr>
        <w:pStyle w:val="Normal"/>
        <w:rPr>
          <w:rFonts w:ascii="Calibri" w:hAnsi="Calibri" w:cs="Arial"/>
          <w:sz w:val="24"/>
          <w:szCs w:val="24"/>
        </w:rPr>
      </w:pPr>
      <w:r>
        <w:rPr>
          <w:rFonts w:cs="Arial" w:ascii="Calibri" w:hAnsi="Calibri"/>
          <w:sz w:val="24"/>
          <w:szCs w:val="24"/>
        </w:rPr>
      </w:r>
    </w:p>
    <w:p>
      <w:pPr>
        <w:pStyle w:val="Normal"/>
        <w:snapToGrid w:val="false"/>
        <w:spacing w:lineRule="auto" w:line="276" w:before="0" w:after="120"/>
        <w:ind w:right="-30" w:firstLine="540"/>
        <w:jc w:val="both"/>
        <w:rPr/>
      </w:pPr>
      <w:r>
        <w:rPr>
          <w:rFonts w:cs="Arial" w:ascii="Calibri" w:hAnsi="Calibri"/>
          <w:color w:val="000000" w:themeColor="text1"/>
          <w:sz w:val="24"/>
          <w:szCs w:val="24"/>
        </w:rPr>
        <w:t xml:space="preserve">Torna-se público que o 10º Regimento de Cavalaria Mecanizado, por meio da Seção de Aquisições, Licitações e Contratos, realizará Dispensa Eletrônica, </w:t>
      </w:r>
      <w:r>
        <w:rPr>
          <w:rFonts w:cs="Arial" w:ascii="Calibri" w:hAnsi="Calibri"/>
          <w:bCs/>
          <w:color w:val="000000" w:themeColor="text1"/>
          <w:sz w:val="24"/>
          <w:szCs w:val="24"/>
        </w:rPr>
        <w:t xml:space="preserve">com critério de julgamento </w:t>
      </w:r>
      <w:r>
        <w:rPr>
          <w:rFonts w:cs="Arial" w:ascii="Calibri" w:hAnsi="Calibri"/>
          <w:i/>
          <w:color w:val="000000"/>
          <w:sz w:val="24"/>
          <w:szCs w:val="24"/>
        </w:rPr>
        <w:t>menor preço</w:t>
      </w:r>
      <w:r>
        <w:rPr>
          <w:rFonts w:cs="Arial" w:ascii="Calibri" w:hAnsi="Calibri"/>
          <w:b/>
          <w:bCs/>
          <w:i/>
          <w:color w:val="000000"/>
          <w:sz w:val="24"/>
          <w:szCs w:val="24"/>
        </w:rPr>
        <w:t>,</w:t>
      </w:r>
      <w:r>
        <w:rPr>
          <w:rFonts w:cs="Arial" w:ascii="Calibri" w:hAnsi="Calibri"/>
          <w:b/>
          <w:bCs/>
          <w:i/>
          <w:color w:val="FF0000"/>
          <w:sz w:val="24"/>
          <w:szCs w:val="24"/>
        </w:rPr>
        <w:t xml:space="preserve"> </w:t>
      </w:r>
      <w:r>
        <w:rPr>
          <w:rFonts w:cs="Arial" w:ascii="Calibri" w:hAnsi="Calibri"/>
          <w:color w:val="000000" w:themeColor="text1"/>
          <w:sz w:val="24"/>
          <w:szCs w:val="24"/>
        </w:rPr>
        <w:t>na hipótese do art. 75</w:t>
      </w:r>
      <w:r>
        <w:rPr>
          <w:rFonts w:cs="Arial" w:ascii="Calibri" w:hAnsi="Calibri"/>
          <w:i/>
          <w:iCs/>
          <w:color w:val="000000" w:themeColor="text1"/>
          <w:sz w:val="24"/>
          <w:szCs w:val="24"/>
        </w:rPr>
        <w:t xml:space="preserve">, </w:t>
      </w:r>
      <w:r>
        <w:rPr>
          <w:rFonts w:cs="Arial" w:ascii="Calibri" w:hAnsi="Calibri"/>
          <w:i/>
          <w:iCs/>
          <w:color w:val="000000"/>
          <w:sz w:val="24"/>
          <w:szCs w:val="24"/>
        </w:rPr>
        <w:t xml:space="preserve">inciso </w:t>
      </w:r>
      <w:r>
        <w:rPr>
          <w:rFonts w:cs="Arial" w:ascii="Calibri" w:hAnsi="Calibri"/>
          <w:b/>
          <w:i/>
          <w:iCs/>
          <w:color w:val="000000"/>
          <w:sz w:val="24"/>
          <w:szCs w:val="24"/>
        </w:rPr>
        <w:t>II</w:t>
      </w:r>
      <w:r>
        <w:rPr>
          <w:rFonts w:cs="Arial" w:ascii="Calibri" w:hAnsi="Calibri"/>
          <w:i/>
          <w:iCs/>
          <w:color w:val="000000"/>
          <w:sz w:val="24"/>
          <w:szCs w:val="24"/>
        </w:rPr>
        <w:t>,</w:t>
      </w:r>
      <w:r>
        <w:rPr>
          <w:rFonts w:cs="Arial" w:ascii="Calibri" w:hAnsi="Calibri"/>
          <w:i/>
          <w:iCs/>
          <w:color w:val="FF0000"/>
          <w:sz w:val="24"/>
          <w:szCs w:val="24"/>
        </w:rPr>
        <w:t xml:space="preserve"> </w:t>
      </w:r>
      <w:r>
        <w:rPr>
          <w:rFonts w:cs="Arial" w:ascii="Calibri" w:hAnsi="Calibri"/>
          <w:bCs/>
          <w:sz w:val="24"/>
          <w:szCs w:val="24"/>
        </w:rPr>
        <w:t>nos termos da Lei nº 14.133, de 1º de abril de 2021, da Instrução Normativa SEGES/ME nº 67/2021 e demais legislação aplicável</w:t>
      </w:r>
      <w:r>
        <w:rPr>
          <w:rFonts w:cs="Arial" w:ascii="Calibri" w:hAnsi="Calibri"/>
          <w:color w:val="000000"/>
          <w:sz w:val="24"/>
          <w:szCs w:val="24"/>
        </w:rPr>
        <w:t>.</w:t>
      </w:r>
    </w:p>
    <w:p>
      <w:pPr>
        <w:pStyle w:val="Normal"/>
        <w:spacing w:lineRule="auto" w:line="276"/>
        <w:rPr>
          <w:rFonts w:ascii="Calibri" w:hAnsi="Calibri"/>
          <w:sz w:val="24"/>
          <w:szCs w:val="24"/>
        </w:rPr>
      </w:pPr>
      <w:r>
        <w:rPr>
          <w:rFonts w:cs="Arial" w:ascii="Calibri" w:hAnsi="Calibri"/>
          <w:color w:val="000000" w:themeColor="text1"/>
          <w:sz w:val="24"/>
          <w:szCs w:val="24"/>
        </w:rPr>
        <w:t>Data da sessão: 20 de março de 2023</w:t>
      </w:r>
    </w:p>
    <w:p>
      <w:pPr>
        <w:pStyle w:val="Normal"/>
        <w:rPr>
          <w:rFonts w:ascii="Calibri" w:hAnsi="Calibri"/>
          <w:sz w:val="24"/>
          <w:szCs w:val="24"/>
        </w:rPr>
      </w:pPr>
      <w:r>
        <w:rPr>
          <w:rFonts w:cs="Arial" w:ascii="Calibri" w:hAnsi="Calibri"/>
          <w:color w:val="000000" w:themeColor="text1"/>
          <w:sz w:val="24"/>
          <w:szCs w:val="24"/>
        </w:rPr>
        <w:t xml:space="preserve">Link: </w:t>
      </w:r>
      <w:r>
        <w:rPr>
          <w:rFonts w:cs="Arial" w:ascii="Calibri" w:hAnsi="Calibri"/>
          <w:b/>
          <w:bCs/>
          <w:color w:val="000000" w:themeColor="text1"/>
          <w:sz w:val="24"/>
          <w:szCs w:val="24"/>
          <w:u w:val="single"/>
        </w:rPr>
        <w:t>https://contratos.comprasnet.gov.br/</w:t>
      </w:r>
    </w:p>
    <w:p>
      <w:pPr>
        <w:pStyle w:val="Normal"/>
        <w:rPr>
          <w:rFonts w:ascii="Calibri" w:hAnsi="Calibri"/>
          <w:sz w:val="24"/>
          <w:szCs w:val="24"/>
        </w:rPr>
      </w:pPr>
      <w:r>
        <w:rPr>
          <w:rFonts w:cs="Arial" w:ascii="Calibri" w:hAnsi="Calibri"/>
          <w:color w:val="000000" w:themeColor="text1"/>
          <w:sz w:val="24"/>
          <w:szCs w:val="24"/>
        </w:rPr>
        <w:t>Horário da Fase de Lances: 09:00 às 17:00</w:t>
      </w:r>
      <w:r>
        <w:rPr>
          <w:rFonts w:cs="Arial" w:ascii="Calibri" w:hAnsi="Calibri"/>
          <w:b/>
          <w:sz w:val="24"/>
          <w:szCs w:val="24"/>
        </w:rPr>
        <w:tab/>
      </w:r>
    </w:p>
    <w:p>
      <w:pPr>
        <w:pStyle w:val="Normal"/>
        <w:rPr>
          <w:rFonts w:ascii="Calibri" w:hAnsi="Calibri"/>
          <w:sz w:val="24"/>
          <w:szCs w:val="24"/>
        </w:rPr>
      </w:pPr>
      <w:r>
        <w:rPr>
          <w:rFonts w:ascii="Calibri" w:hAnsi="Calibri"/>
          <w:sz w:val="24"/>
          <w:szCs w:val="24"/>
        </w:rPr>
      </w:r>
    </w:p>
    <w:p>
      <w:pPr>
        <w:pStyle w:val="PADRO"/>
        <w:widowControl/>
        <w:numPr>
          <w:ilvl w:val="0"/>
          <w:numId w:val="1"/>
        </w:numPr>
        <w:shd w:val="clear" w:color="auto" w:fill="auto"/>
        <w:spacing w:before="120" w:after="120"/>
        <w:jc w:val="left"/>
        <w:rPr>
          <w:rFonts w:ascii="Calibri" w:hAnsi="Calibri"/>
          <w:sz w:val="24"/>
          <w:szCs w:val="24"/>
        </w:rPr>
      </w:pPr>
      <w:bookmarkStart w:id="0" w:name="_GoBack"/>
      <w:bookmarkEnd w:id="0"/>
      <w:r>
        <w:rPr>
          <w:rFonts w:cs="Arial" w:ascii="Calibri" w:hAnsi="Calibri"/>
          <w:b/>
          <w:sz w:val="24"/>
          <w:szCs w:val="24"/>
        </w:rPr>
        <w:t>OBJETO DA CONTRATAÇÃO DIRETA</w:t>
      </w:r>
    </w:p>
    <w:p>
      <w:pPr>
        <w:pStyle w:val="PADRO"/>
        <w:widowControl/>
        <w:numPr>
          <w:ilvl w:val="1"/>
          <w:numId w:val="1"/>
        </w:numPr>
        <w:shd w:val="clear" w:color="auto" w:fill="auto"/>
        <w:spacing w:before="120" w:after="120"/>
        <w:ind w:left="792" w:hanging="650"/>
        <w:jc w:val="both"/>
        <w:rPr/>
      </w:pPr>
      <w:r>
        <w:rPr>
          <w:rFonts w:cs="Arial" w:ascii="Calibri" w:hAnsi="Calibri"/>
          <w:color w:val="000000" w:themeColor="text1"/>
          <w:sz w:val="24"/>
          <w:szCs w:val="24"/>
        </w:rPr>
        <w:t xml:space="preserve">O objeto da presente dispensa é a escolha da proposta mais vantajosa para a </w:t>
      </w:r>
      <w:r>
        <w:rPr>
          <w:rFonts w:cs="Arial" w:ascii="Calibri" w:hAnsi="Calibri"/>
          <w:color w:val="000000"/>
          <w:sz w:val="24"/>
          <w:szCs w:val="24"/>
        </w:rPr>
        <w:t>contratação</w:t>
      </w:r>
      <w:r>
        <w:rPr>
          <w:rFonts w:cs="Arial" w:ascii="Calibri" w:hAnsi="Calibri"/>
          <w:color w:val="000000" w:themeColor="text1"/>
          <w:sz w:val="24"/>
          <w:szCs w:val="24"/>
        </w:rPr>
        <w:t xml:space="preserve"> por dispensa de licitação de </w:t>
      </w:r>
      <w:r>
        <w:rPr>
          <w:rFonts w:cs="Arial" w:ascii="Calibri" w:hAnsi="Calibri"/>
          <w:b/>
          <w:bCs/>
          <w:i w:val="false"/>
          <w:iCs w:val="false"/>
          <w:color w:val="000000" w:themeColor="text1"/>
          <w:sz w:val="24"/>
          <w:szCs w:val="24"/>
          <w:u w:val="none"/>
        </w:rPr>
        <w:t>EXAMES PARA A SEÇÃO VETERINÁRIA do 10º RC Mec</w:t>
      </w:r>
      <w:r>
        <w:rPr>
          <w:rFonts w:cs="Arial" w:ascii="Calibri" w:hAnsi="Calibri"/>
          <w:b/>
          <w:bCs/>
          <w:color w:val="000000" w:themeColor="text1"/>
          <w:sz w:val="24"/>
          <w:szCs w:val="24"/>
        </w:rPr>
        <w:t>,</w:t>
      </w:r>
      <w:r>
        <w:rPr>
          <w:rFonts w:cs="Arial" w:ascii="Calibri" w:hAnsi="Calibri"/>
          <w:color w:val="000000" w:themeColor="text1"/>
          <w:sz w:val="24"/>
          <w:szCs w:val="24"/>
        </w:rPr>
        <w:t xml:space="preserve"> conforme condições, quantidades e exigências estabelecidas neste Aviso de Contratação Direta e seus anexos.</w:t>
      </w:r>
    </w:p>
    <w:p>
      <w:pPr>
        <w:pStyle w:val="PADRO"/>
        <w:widowControl/>
        <w:numPr>
          <w:ilvl w:val="1"/>
          <w:numId w:val="1"/>
        </w:numPr>
        <w:shd w:val="clear" w:color="auto" w:fill="auto"/>
        <w:spacing w:before="120" w:after="120"/>
        <w:ind w:left="792" w:hanging="650"/>
        <w:jc w:val="both"/>
        <w:rPr/>
      </w:pPr>
      <w:r>
        <w:rPr>
          <w:rFonts w:cs="Arial" w:ascii="Calibri" w:hAnsi="Calibri"/>
          <w:i/>
          <w:iCs/>
          <w:color w:val="000000"/>
          <w:sz w:val="24"/>
          <w:szCs w:val="24"/>
        </w:rPr>
        <w:t>A contratação será dividida em 01 (UM) itens</w:t>
      </w:r>
      <w:r>
        <w:rPr>
          <w:rFonts w:cs="Arial" w:ascii="Calibri" w:hAnsi="Calibri"/>
          <w:b/>
          <w:bCs/>
          <w:i/>
          <w:iCs/>
          <w:color w:val="000000"/>
          <w:sz w:val="24"/>
          <w:szCs w:val="24"/>
        </w:rPr>
        <w:t>,</w:t>
      </w:r>
      <w:r>
        <w:rPr>
          <w:rFonts w:cs="Arial" w:ascii="Calibri" w:hAnsi="Calibri"/>
          <w:i/>
          <w:iCs/>
          <w:color w:val="000000"/>
          <w:sz w:val="24"/>
          <w:szCs w:val="24"/>
        </w:rPr>
        <w:t xml:space="preserve"> conforme tabela constante abaixo.</w:t>
      </w:r>
    </w:p>
    <w:tbl>
      <w:tblPr>
        <w:tblW w:w="9870" w:type="dxa"/>
        <w:jc w:val="left"/>
        <w:tblInd w:w="-526" w:type="dxa"/>
        <w:tblLayout w:type="fixed"/>
        <w:tblCellMar>
          <w:top w:w="0" w:type="dxa"/>
          <w:left w:w="88" w:type="dxa"/>
          <w:bottom w:w="0" w:type="dxa"/>
          <w:right w:w="108" w:type="dxa"/>
        </w:tblCellMar>
        <w:tblLook w:val="04a0"/>
      </w:tblPr>
      <w:tblGrid>
        <w:gridCol w:w="793"/>
        <w:gridCol w:w="2171"/>
        <w:gridCol w:w="1084"/>
        <w:gridCol w:w="1138"/>
        <w:gridCol w:w="692"/>
        <w:gridCol w:w="1547"/>
        <w:gridCol w:w="1118"/>
        <w:gridCol w:w="1325"/>
      </w:tblGrid>
      <w:tr>
        <w:trPr/>
        <w:tc>
          <w:tcPr>
            <w:tcW w:w="793"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rPr>
                <w:rFonts w:ascii="Calibri" w:hAnsi="Calibri"/>
                <w:sz w:val="24"/>
                <w:szCs w:val="24"/>
              </w:rPr>
            </w:pPr>
            <w:r>
              <w:rPr>
                <w:rFonts w:cs="Arial" w:ascii="Calibri" w:hAnsi="Calibri"/>
                <w:b/>
                <w:bCs/>
                <w:color w:val="000000"/>
                <w:sz w:val="24"/>
                <w:szCs w:val="24"/>
              </w:rPr>
              <w:t>ITEM</w:t>
            </w:r>
          </w:p>
          <w:p>
            <w:pPr>
              <w:pStyle w:val="Normal"/>
              <w:widowControl w:val="false"/>
              <w:suppressAutoHyphens w:val="true"/>
              <w:rPr>
                <w:rFonts w:ascii="Calibri" w:hAnsi="Calibri" w:cs="Arial"/>
                <w:b/>
                <w:b/>
                <w:bCs/>
                <w:color w:val="000000"/>
                <w:sz w:val="24"/>
                <w:szCs w:val="24"/>
              </w:rPr>
            </w:pPr>
            <w:r>
              <w:rPr>
                <w:rFonts w:cs="Arial" w:ascii="Calibri" w:hAnsi="Calibri"/>
                <w:b/>
                <w:bCs/>
                <w:color w:val="000000"/>
                <w:sz w:val="24"/>
                <w:szCs w:val="24"/>
              </w:rPr>
            </w:r>
          </w:p>
        </w:tc>
        <w:tc>
          <w:tcPr>
            <w:tcW w:w="2171"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rPr>
                <w:rFonts w:ascii="Calibri" w:hAnsi="Calibri"/>
                <w:sz w:val="24"/>
                <w:szCs w:val="24"/>
              </w:rPr>
            </w:pPr>
            <w:r>
              <w:rPr>
                <w:rFonts w:cs="Arial" w:ascii="Calibri" w:hAnsi="Calibri"/>
                <w:b/>
                <w:bCs/>
                <w:color w:val="000000"/>
                <w:sz w:val="24"/>
                <w:szCs w:val="24"/>
              </w:rPr>
              <w:t>DESCRIÇÃO/</w:t>
            </w:r>
          </w:p>
          <w:p>
            <w:pPr>
              <w:pStyle w:val="Normal"/>
              <w:widowControl w:val="false"/>
              <w:suppressAutoHyphens w:val="true"/>
              <w:rPr>
                <w:rFonts w:ascii="Calibri" w:hAnsi="Calibri"/>
                <w:sz w:val="24"/>
                <w:szCs w:val="24"/>
              </w:rPr>
            </w:pPr>
            <w:r>
              <w:rPr>
                <w:rFonts w:cs="Arial" w:ascii="Calibri" w:hAnsi="Calibri"/>
                <w:b/>
                <w:bCs/>
                <w:color w:val="000000"/>
                <w:sz w:val="24"/>
                <w:szCs w:val="24"/>
              </w:rPr>
              <w:t>ESPECIFICAÇÃO</w:t>
            </w:r>
          </w:p>
        </w:tc>
        <w:tc>
          <w:tcPr>
            <w:tcW w:w="1084"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rPr>
                <w:rFonts w:ascii="Calibri" w:hAnsi="Calibri"/>
                <w:sz w:val="24"/>
                <w:szCs w:val="24"/>
              </w:rPr>
            </w:pPr>
            <w:r>
              <w:rPr>
                <w:rFonts w:cs="Arial" w:ascii="Calibri" w:hAnsi="Calibri"/>
                <w:b/>
                <w:bCs/>
                <w:color w:val="000000"/>
                <w:sz w:val="24"/>
                <w:szCs w:val="24"/>
              </w:rPr>
              <w:t>CATSER/</w:t>
            </w:r>
          </w:p>
          <w:p>
            <w:pPr>
              <w:pStyle w:val="Normal"/>
              <w:widowControl w:val="false"/>
              <w:suppressAutoHyphens w:val="true"/>
              <w:rPr>
                <w:rFonts w:ascii="Calibri" w:hAnsi="Calibri"/>
                <w:sz w:val="24"/>
                <w:szCs w:val="24"/>
              </w:rPr>
            </w:pPr>
            <w:r>
              <w:rPr>
                <w:rFonts w:cs="Arial" w:ascii="Calibri" w:hAnsi="Calibri"/>
                <w:b/>
                <w:bCs/>
                <w:color w:val="000000"/>
                <w:sz w:val="24"/>
                <w:szCs w:val="24"/>
              </w:rPr>
              <w:t>CATMAT</w:t>
            </w:r>
          </w:p>
        </w:tc>
        <w:tc>
          <w:tcPr>
            <w:tcW w:w="1138"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jc w:val="center"/>
              <w:rPr>
                <w:rFonts w:ascii="Calibri" w:hAnsi="Calibri"/>
                <w:sz w:val="24"/>
                <w:szCs w:val="24"/>
              </w:rPr>
            </w:pPr>
            <w:r>
              <w:rPr>
                <w:rFonts w:cs="Arial" w:ascii="Calibri" w:hAnsi="Calibri"/>
                <w:b/>
                <w:bCs/>
                <w:color w:val="000000"/>
                <w:sz w:val="24"/>
                <w:szCs w:val="24"/>
              </w:rPr>
              <w:t>UND</w:t>
            </w:r>
          </w:p>
        </w:tc>
        <w:tc>
          <w:tcPr>
            <w:tcW w:w="692"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rPr>
                <w:rFonts w:ascii="Calibri" w:hAnsi="Calibri"/>
                <w:sz w:val="24"/>
                <w:szCs w:val="24"/>
              </w:rPr>
            </w:pPr>
            <w:r>
              <w:rPr>
                <w:rFonts w:cs="Arial" w:ascii="Calibri" w:hAnsi="Calibri"/>
                <w:b/>
                <w:bCs/>
                <w:color w:val="000000"/>
                <w:sz w:val="24"/>
                <w:szCs w:val="24"/>
              </w:rPr>
              <w:t>QTD</w:t>
            </w:r>
          </w:p>
        </w:tc>
        <w:tc>
          <w:tcPr>
            <w:tcW w:w="1547"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rPr>
                <w:rFonts w:ascii="Calibri" w:hAnsi="Calibri"/>
                <w:sz w:val="24"/>
                <w:szCs w:val="24"/>
              </w:rPr>
            </w:pPr>
            <w:r>
              <w:rPr>
                <w:rFonts w:cs="Arial" w:ascii="Calibri" w:hAnsi="Calibri"/>
                <w:b/>
                <w:bCs/>
                <w:color w:val="000000"/>
                <w:sz w:val="24"/>
                <w:szCs w:val="24"/>
              </w:rPr>
              <w:t>PREÇO ESTIMADO</w:t>
            </w:r>
          </w:p>
        </w:tc>
        <w:tc>
          <w:tcPr>
            <w:tcW w:w="1118"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rPr>
                <w:rFonts w:ascii="Calibri" w:hAnsi="Calibri"/>
                <w:sz w:val="24"/>
                <w:szCs w:val="24"/>
              </w:rPr>
            </w:pPr>
            <w:r>
              <w:rPr>
                <w:rFonts w:cs="Arial" w:ascii="Calibri" w:hAnsi="Calibri"/>
                <w:b/>
                <w:bCs/>
                <w:color w:val="000000"/>
                <w:sz w:val="24"/>
                <w:szCs w:val="24"/>
              </w:rPr>
              <w:t>LOCAL DE EXECUÇÃO</w:t>
            </w:r>
          </w:p>
        </w:tc>
        <w:tc>
          <w:tcPr>
            <w:tcW w:w="1325"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rPr>
                <w:rFonts w:ascii="Calibri" w:hAnsi="Calibri"/>
                <w:sz w:val="24"/>
                <w:szCs w:val="24"/>
              </w:rPr>
            </w:pPr>
            <w:r>
              <w:rPr>
                <w:rFonts w:cs="Arial" w:ascii="Calibri" w:hAnsi="Calibri"/>
                <w:b/>
                <w:bCs/>
                <w:color w:val="000000"/>
                <w:sz w:val="24"/>
                <w:szCs w:val="24"/>
              </w:rPr>
              <w:t>PRAZO DE EXECUÇÃO</w:t>
            </w:r>
          </w:p>
        </w:tc>
      </w:tr>
      <w:tr>
        <w:trPr/>
        <w:tc>
          <w:tcPr>
            <w:tcW w:w="793"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spacing w:lineRule="auto" w:line="276" w:before="0" w:after="120"/>
              <w:rPr>
                <w:rFonts w:ascii="Calibri" w:hAnsi="Calibri"/>
                <w:sz w:val="24"/>
                <w:szCs w:val="24"/>
              </w:rPr>
            </w:pPr>
            <w:r>
              <w:rPr>
                <w:rFonts w:cs="Arial" w:ascii="Calibri" w:hAnsi="Calibri"/>
                <w:color w:val="000000"/>
                <w:sz w:val="24"/>
                <w:szCs w:val="24"/>
              </w:rPr>
              <w:t>1</w:t>
            </w:r>
          </w:p>
        </w:tc>
        <w:tc>
          <w:tcPr>
            <w:tcW w:w="2171"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rPr>
                <w:rFonts w:ascii="Calibri" w:hAnsi="Calibri"/>
                <w:sz w:val="24"/>
                <w:szCs w:val="24"/>
              </w:rPr>
            </w:pPr>
            <w:r>
              <w:rPr>
                <w:rFonts w:cs="Times New Roman" w:ascii="Calibri" w:hAnsi="Calibri"/>
                <w:sz w:val="24"/>
                <w:szCs w:val="24"/>
              </w:rPr>
              <w:t>Serviço de exame laboratorial para diagnóstico de Anemia Infecciosa Equina Método IDGA e Mormo Método ELISA. (com coleta no Local)</w:t>
            </w:r>
          </w:p>
        </w:tc>
        <w:tc>
          <w:tcPr>
            <w:tcW w:w="1084"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spacing w:lineRule="auto" w:line="276" w:before="0" w:after="120"/>
              <w:jc w:val="center"/>
              <w:rPr>
                <w:rFonts w:ascii="Calibri" w:hAnsi="Calibri"/>
                <w:sz w:val="24"/>
                <w:szCs w:val="24"/>
              </w:rPr>
            </w:pPr>
            <w:r>
              <w:rPr>
                <w:rFonts w:ascii="Calibri" w:hAnsi="Calibri"/>
                <w:sz w:val="24"/>
                <w:szCs w:val="24"/>
              </w:rPr>
              <w:t>14001</w:t>
            </w:r>
          </w:p>
        </w:tc>
        <w:tc>
          <w:tcPr>
            <w:tcW w:w="1138"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spacing w:lineRule="auto" w:line="276" w:before="0" w:after="120"/>
              <w:jc w:val="center"/>
              <w:rPr>
                <w:rFonts w:ascii="Calibri" w:hAnsi="Calibri"/>
                <w:sz w:val="24"/>
                <w:szCs w:val="24"/>
              </w:rPr>
            </w:pPr>
            <w:r>
              <w:rPr>
                <w:rFonts w:ascii="Calibri" w:hAnsi="Calibri"/>
                <w:sz w:val="24"/>
                <w:szCs w:val="24"/>
              </w:rPr>
              <w:t>Serviço</w:t>
            </w:r>
          </w:p>
        </w:tc>
        <w:tc>
          <w:tcPr>
            <w:tcW w:w="692"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spacing w:lineRule="auto" w:line="276" w:before="0" w:after="120"/>
              <w:jc w:val="center"/>
              <w:rPr>
                <w:rFonts w:ascii="Calibri" w:hAnsi="Calibri"/>
                <w:sz w:val="24"/>
                <w:szCs w:val="24"/>
              </w:rPr>
            </w:pPr>
            <w:r>
              <w:rPr>
                <w:rFonts w:cs="Arial" w:ascii="Calibri" w:hAnsi="Calibri"/>
                <w:color w:val="000000"/>
                <w:sz w:val="24"/>
                <w:szCs w:val="24"/>
              </w:rPr>
              <w:t>18</w:t>
            </w:r>
          </w:p>
        </w:tc>
        <w:tc>
          <w:tcPr>
            <w:tcW w:w="1547"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spacing w:lineRule="auto" w:line="276" w:before="0" w:after="120"/>
              <w:rPr>
                <w:rFonts w:ascii="Calibri" w:hAnsi="Calibri"/>
                <w:sz w:val="24"/>
                <w:szCs w:val="24"/>
              </w:rPr>
            </w:pPr>
            <w:r>
              <w:rPr>
                <w:rFonts w:cs="Arial" w:ascii="Calibri" w:hAnsi="Calibri"/>
                <w:color w:val="000000"/>
                <w:sz w:val="24"/>
                <w:szCs w:val="24"/>
              </w:rPr>
              <w:t>R$ 1774</w:t>
            </w:r>
          </w:p>
          <w:p>
            <w:pPr>
              <w:pStyle w:val="Normal"/>
              <w:widowControl w:val="false"/>
              <w:suppressAutoHyphens w:val="true"/>
              <w:spacing w:lineRule="auto" w:line="276" w:before="0" w:after="120"/>
              <w:rPr>
                <w:rFonts w:ascii="Calibri" w:hAnsi="Calibri"/>
                <w:sz w:val="24"/>
                <w:szCs w:val="24"/>
              </w:rPr>
            </w:pPr>
            <w:r>
              <w:rPr>
                <w:rFonts w:cs="Arial" w:ascii="Calibri" w:hAnsi="Calibri"/>
                <w:color w:val="000000"/>
                <w:sz w:val="24"/>
                <w:szCs w:val="24"/>
              </w:rPr>
              <w:t>,00</w:t>
            </w:r>
          </w:p>
        </w:tc>
        <w:tc>
          <w:tcPr>
            <w:tcW w:w="1118"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spacing w:lineRule="auto" w:line="276" w:before="0" w:after="120"/>
              <w:rPr>
                <w:rFonts w:ascii="Calibri" w:hAnsi="Calibri"/>
                <w:sz w:val="24"/>
                <w:szCs w:val="24"/>
              </w:rPr>
            </w:pPr>
            <w:r>
              <w:rPr>
                <w:rFonts w:cs="Arial" w:ascii="Calibri" w:hAnsi="Calibri"/>
                <w:color w:val="000000"/>
                <w:sz w:val="24"/>
                <w:szCs w:val="24"/>
              </w:rPr>
              <w:t>10º RCMec</w:t>
            </w:r>
          </w:p>
        </w:tc>
        <w:tc>
          <w:tcPr>
            <w:tcW w:w="1325"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widowControl w:val="false"/>
              <w:suppressAutoHyphens w:val="true"/>
              <w:spacing w:lineRule="auto" w:line="276" w:before="0" w:after="120"/>
              <w:rPr>
                <w:rFonts w:ascii="Calibri" w:hAnsi="Calibri"/>
                <w:sz w:val="24"/>
                <w:szCs w:val="24"/>
              </w:rPr>
            </w:pPr>
            <w:r>
              <w:rPr>
                <w:rFonts w:cs="Arial" w:ascii="Calibri" w:hAnsi="Calibri"/>
                <w:color w:val="000000"/>
                <w:sz w:val="24"/>
                <w:szCs w:val="24"/>
              </w:rPr>
              <w:t>4dias(por exame)</w:t>
            </w:r>
          </w:p>
        </w:tc>
      </w:tr>
    </w:tbl>
    <w:p>
      <w:pPr>
        <w:pStyle w:val="Legenda"/>
        <w:rPr>
          <w:rFonts w:ascii="Calibri" w:hAnsi="Calibri"/>
          <w:sz w:val="24"/>
          <w:szCs w:val="24"/>
        </w:rPr>
      </w:pPr>
      <w:r>
        <w:rPr>
          <w:rFonts w:ascii="Calibri" w:hAnsi="Calibri"/>
          <w:sz w:val="24"/>
          <w:szCs w:val="24"/>
        </w:rPr>
      </w:r>
    </w:p>
    <w:p>
      <w:pPr>
        <w:pStyle w:val="PADRO"/>
        <w:widowControl/>
        <w:numPr>
          <w:ilvl w:val="2"/>
          <w:numId w:val="1"/>
        </w:numPr>
        <w:shd w:val="clear" w:color="auto" w:fill="auto"/>
        <w:spacing w:before="120" w:after="120"/>
        <w:ind w:left="426" w:hanging="0"/>
        <w:jc w:val="both"/>
        <w:rPr/>
      </w:pPr>
      <w:r>
        <w:rPr>
          <w:rFonts w:cs="Arial" w:ascii="Calibri" w:hAnsi="Calibri"/>
          <w:sz w:val="24"/>
          <w:szCs w:val="24"/>
        </w:rPr>
        <w:t>Havendo mais de item ou lote faculta-se ao fornecedor a participação em quantos forem de seu interesse. Entretanto, optando-se por participar de um lote, deve o fornecedor enviar proposta para todos os itens que o compõem.</w:t>
      </w:r>
    </w:p>
    <w:p>
      <w:pPr>
        <w:pStyle w:val="PADRO"/>
        <w:widowControl/>
        <w:numPr>
          <w:ilvl w:val="1"/>
          <w:numId w:val="1"/>
        </w:numPr>
        <w:shd w:val="clear" w:color="auto" w:fill="auto"/>
        <w:spacing w:before="120" w:after="120"/>
        <w:ind w:left="426" w:hanging="0"/>
        <w:jc w:val="both"/>
        <w:rPr/>
      </w:pPr>
      <w:r>
        <w:rPr>
          <w:rFonts w:cs="Arial" w:ascii="Calibri" w:hAnsi="Calibri"/>
          <w:sz w:val="24"/>
          <w:szCs w:val="24"/>
        </w:rPr>
        <w:t xml:space="preserve"> </w:t>
      </w:r>
      <w:r>
        <w:rPr>
          <w:rFonts w:cs="Arial" w:ascii="Calibri" w:hAnsi="Calibri"/>
          <w:sz w:val="24"/>
          <w:szCs w:val="24"/>
        </w:rPr>
        <w:t xml:space="preserve">O critério de julgamento adotado será o </w:t>
      </w:r>
      <w:r>
        <w:rPr>
          <w:rFonts w:cs="Arial" w:ascii="Calibri" w:hAnsi="Calibri"/>
          <w:i/>
          <w:iCs/>
          <w:color w:val="FF0000"/>
          <w:sz w:val="24"/>
          <w:szCs w:val="24"/>
        </w:rPr>
        <w:t xml:space="preserve">menor preço, </w:t>
      </w:r>
      <w:r>
        <w:rPr>
          <w:rFonts w:cs="Arial" w:ascii="Calibri" w:hAnsi="Calibri"/>
          <w:sz w:val="24"/>
          <w:szCs w:val="24"/>
        </w:rPr>
        <w:t>observadas as exigências contidas neste Aviso de Contratação Direta conforme item 1.2 quanto às especificações do objeto.</w:t>
      </w:r>
    </w:p>
    <w:p>
      <w:pPr>
        <w:pStyle w:val="PADRO"/>
        <w:widowControl/>
        <w:numPr>
          <w:ilvl w:val="1"/>
          <w:numId w:val="1"/>
        </w:numPr>
        <w:shd w:val="clear" w:color="auto" w:fill="auto"/>
        <w:spacing w:before="120" w:after="120"/>
        <w:ind w:left="426" w:hanging="0"/>
        <w:jc w:val="both"/>
        <w:rPr/>
      </w:pPr>
      <w:r>
        <w:rPr>
          <w:rFonts w:cs="Arial" w:ascii="Calibri" w:hAnsi="Calibri"/>
          <w:sz w:val="24"/>
          <w:szCs w:val="24"/>
        </w:rPr>
        <w:t>Qualquer divergência que haja entre a descrição de um item no sistema Comprasnet e neste</w:t>
      </w:r>
      <w:r>
        <w:rPr>
          <w:rFonts w:cs="Arial" w:ascii="Calibri" w:hAnsi="Calibri"/>
          <w:b w:val="false"/>
          <w:bCs w:val="false"/>
          <w:sz w:val="24"/>
          <w:szCs w:val="24"/>
        </w:rPr>
        <w:t xml:space="preserve"> </w:t>
      </w:r>
      <w:r>
        <w:rPr>
          <w:rFonts w:cs="Arial" w:ascii="Calibri" w:hAnsi="Calibri"/>
          <w:b w:val="false"/>
          <w:bCs w:val="false"/>
          <w:color w:val="000000" w:themeColor="text1"/>
          <w:sz w:val="24"/>
          <w:szCs w:val="24"/>
        </w:rPr>
        <w:t>Aviso de Dispensa Eletrônica para fins, tanto de apresentação de proposta por parte do proponente quanto para execução do contrato, prevalecerá o previsto no Aviso de Dispensa Eletrônica. Com relação aos preços e as quantidades havendo alguma divergência entre o sistema Comprasnet e o Aviso de Dispensa Eletrônica, prevalecerá sempre o previsto no Sistema Comprasnet.</w:t>
      </w:r>
    </w:p>
    <w:p>
      <w:pPr>
        <w:pStyle w:val="PADRO"/>
        <w:widowControl/>
        <w:numPr>
          <w:ilvl w:val="0"/>
          <w:numId w:val="1"/>
        </w:numPr>
        <w:shd w:val="clear" w:color="auto" w:fill="auto"/>
        <w:spacing w:before="120" w:after="120"/>
        <w:ind w:left="426" w:hanging="0"/>
        <w:jc w:val="both"/>
        <w:rPr/>
      </w:pPr>
      <w:r>
        <w:rPr>
          <w:rFonts w:cs="Arial" w:ascii="Calibri" w:hAnsi="Calibri"/>
          <w:b/>
          <w:sz w:val="24"/>
          <w:szCs w:val="24"/>
        </w:rPr>
        <w:t>PARTICIPAÇÃO NA DISPENSA ELETRÔNICA.</w:t>
      </w:r>
    </w:p>
    <w:p>
      <w:pPr>
        <w:pStyle w:val="Normal"/>
        <w:numPr>
          <w:ilvl w:val="1"/>
          <w:numId w:val="1"/>
        </w:numPr>
        <w:snapToGrid w:val="false"/>
        <w:spacing w:lineRule="auto" w:line="276" w:before="120" w:after="120"/>
        <w:ind w:left="426" w:hanging="0"/>
        <w:jc w:val="both"/>
        <w:rPr/>
      </w:pPr>
      <w:r>
        <w:rPr>
          <w:rFonts w:cs="Arial" w:ascii="Calibri" w:hAnsi="Calibri"/>
          <w:sz w:val="24"/>
          <w:szCs w:val="24"/>
        </w:rPr>
        <w:t xml:space="preserve">A participação na presente dispensa eletrônica se dará mediante </w:t>
      </w:r>
      <w:r>
        <w:rPr>
          <w:rFonts w:cs="Arial" w:ascii="Calibri" w:hAnsi="Calibri"/>
          <w:bCs/>
          <w:sz w:val="24"/>
          <w:szCs w:val="24"/>
        </w:rPr>
        <w:t>Sistema de Dispensa Eletrônica</w:t>
      </w:r>
      <w:r>
        <w:rPr>
          <w:rFonts w:cs="Arial" w:ascii="Calibri" w:hAnsi="Calibri"/>
          <w:sz w:val="24"/>
          <w:szCs w:val="24"/>
        </w:rPr>
        <w:t xml:space="preserve"> integrante do Sistema de Compras do Governo Federal – Comprasnet 4.0, disponível no </w:t>
      </w:r>
      <w:r>
        <w:rPr>
          <w:rFonts w:cs="Arial" w:ascii="Calibri" w:hAnsi="Calibri"/>
          <w:bCs/>
          <w:sz w:val="24"/>
          <w:szCs w:val="24"/>
        </w:rPr>
        <w:t xml:space="preserve">endereço eletrônico: </w:t>
      </w:r>
      <w:r>
        <w:rPr>
          <w:rFonts w:cs="Arial" w:ascii="Calibri" w:hAnsi="Calibri"/>
          <w:b/>
          <w:bCs/>
          <w:sz w:val="24"/>
          <w:szCs w:val="24"/>
          <w:u w:val="single"/>
        </w:rPr>
        <w:t>https://pncp.gov.br/</w:t>
      </w:r>
    </w:p>
    <w:p>
      <w:pPr>
        <w:pStyle w:val="Normal"/>
        <w:numPr>
          <w:ilvl w:val="2"/>
          <w:numId w:val="1"/>
        </w:numPr>
        <w:snapToGrid w:val="false"/>
        <w:spacing w:lineRule="auto" w:line="276" w:before="120" w:after="120"/>
        <w:ind w:left="426" w:hanging="0"/>
        <w:jc w:val="both"/>
        <w:rPr/>
      </w:pPr>
      <w:r>
        <w:rPr>
          <w:rFonts w:cs="Arial" w:ascii="Calibri" w:hAnsi="Calibri"/>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ind w:left="426" w:hanging="0"/>
        <w:jc w:val="both"/>
        <w:rPr/>
      </w:pPr>
      <w:r>
        <w:rPr>
          <w:rFonts w:cs="Arial" w:ascii="Calibri" w:hAnsi="Calibri"/>
          <w:sz w:val="24"/>
          <w:szCs w:val="24"/>
        </w:rPr>
        <w:t xml:space="preserve"> </w:t>
      </w:r>
      <w:r>
        <w:rPr>
          <w:rFonts w:cs="Arial" w:ascii="Calibri" w:hAnsi="Calibri"/>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6" w:hanging="0"/>
        <w:jc w:val="both"/>
        <w:rPr/>
      </w:pPr>
      <w:r>
        <w:rPr>
          <w:rFonts w:cs="Arial" w:ascii="Calibri" w:hAnsi="Calibri"/>
          <w:color w:val="000000" w:themeColor="text1"/>
          <w:sz w:val="24"/>
          <w:szCs w:val="24"/>
        </w:rPr>
        <w:t>Não poderão participar desta dispensa os fornecedores:</w:t>
      </w:r>
    </w:p>
    <w:p>
      <w:pPr>
        <w:pStyle w:val="Normal"/>
        <w:numPr>
          <w:ilvl w:val="2"/>
          <w:numId w:val="1"/>
        </w:numPr>
        <w:spacing w:lineRule="auto" w:line="276" w:before="120" w:after="120"/>
        <w:ind w:left="426" w:hanging="0"/>
        <w:jc w:val="both"/>
        <w:rPr/>
      </w:pPr>
      <w:r>
        <w:rPr>
          <w:rFonts w:cs="Arial" w:ascii="Calibri" w:hAnsi="Calibri"/>
          <w:color w:val="000000" w:themeColor="text1"/>
          <w:sz w:val="24"/>
          <w:szCs w:val="24"/>
        </w:rPr>
        <w:t>que não atendam às condições deste Aviso de Contratação Direta;</w:t>
      </w:r>
    </w:p>
    <w:p>
      <w:pPr>
        <w:pStyle w:val="Normal"/>
        <w:numPr>
          <w:ilvl w:val="2"/>
          <w:numId w:val="1"/>
        </w:numPr>
        <w:spacing w:lineRule="auto" w:line="276" w:before="120" w:after="120"/>
        <w:ind w:left="426" w:hanging="0"/>
        <w:jc w:val="both"/>
        <w:rPr/>
      </w:pPr>
      <w:r>
        <w:rPr>
          <w:rFonts w:cs="Arial" w:ascii="Calibri" w:hAnsi="Calibri"/>
          <w:color w:val="000000" w:themeColor="text1"/>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ind w:left="426" w:hanging="0"/>
        <w:jc w:val="both"/>
        <w:rPr/>
      </w:pPr>
      <w:r>
        <w:rPr>
          <w:rFonts w:cs="Arial" w:ascii="Calibri" w:hAnsi="Calibri"/>
          <w:color w:val="000000" w:themeColor="text1"/>
          <w:sz w:val="24"/>
          <w:szCs w:val="24"/>
        </w:rPr>
        <w:t>que se enquadrem nas seguintes vedações:</w:t>
      </w:r>
    </w:p>
    <w:p>
      <w:pPr>
        <w:pStyle w:val="Normal"/>
        <w:numPr>
          <w:ilvl w:val="3"/>
          <w:numId w:val="4"/>
        </w:numPr>
        <w:spacing w:lineRule="auto" w:line="276" w:before="120" w:after="120"/>
        <w:ind w:left="426" w:hanging="0"/>
        <w:jc w:val="both"/>
        <w:rPr/>
      </w:pPr>
      <w:r>
        <w:rPr>
          <w:rFonts w:cs="Arial" w:ascii="Calibri" w:hAnsi="Calibri"/>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ind w:left="426" w:hanging="0"/>
        <w:jc w:val="both"/>
        <w:rPr/>
      </w:pPr>
      <w:r>
        <w:rPr>
          <w:rFonts w:cs="Arial" w:ascii="Calibri" w:hAnsi="Calibri"/>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ind w:left="426" w:hanging="0"/>
        <w:jc w:val="both"/>
        <w:rPr/>
      </w:pPr>
      <w:r>
        <w:rPr>
          <w:rFonts w:cs="Arial" w:ascii="Calibri" w:hAnsi="Calibri"/>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ind w:left="709" w:hanging="364"/>
        <w:jc w:val="both"/>
        <w:rPr/>
      </w:pPr>
      <w:r>
        <w:rPr>
          <w:rFonts w:cs="Arial" w:ascii="Calibri" w:hAnsi="Calibri"/>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ind w:left="709" w:hanging="364"/>
        <w:jc w:val="both"/>
        <w:rPr/>
      </w:pPr>
      <w:r>
        <w:rPr>
          <w:rFonts w:cs="Arial" w:ascii="Calibri" w:hAnsi="Calibri"/>
          <w:color w:val="000000"/>
          <w:sz w:val="24"/>
          <w:szCs w:val="24"/>
        </w:rPr>
        <w:t xml:space="preserve">empresas controladoras, controladas ou coligadas, nos termos da </w:t>
      </w:r>
      <w:hyperlink r:id="rId3">
        <w:r>
          <w:rPr>
            <w:rStyle w:val="LinkdaInternet"/>
            <w:rFonts w:eastAsia="Calibri" w:cs="Arial" w:ascii="Calibri" w:hAnsi="Calibri"/>
            <w:sz w:val="24"/>
            <w:szCs w:val="24"/>
            <w:u w:val="single"/>
          </w:rPr>
          <w:t>Lei nº 6.404, de 15 de dezembro de 1976</w:t>
        </w:r>
      </w:hyperlink>
      <w:r>
        <w:rPr>
          <w:rFonts w:cs="Arial" w:ascii="Calibri" w:hAnsi="Calibri"/>
          <w:color w:val="000000"/>
          <w:sz w:val="24"/>
          <w:szCs w:val="24"/>
        </w:rPr>
        <w:t>, concorrendo entre si;</w:t>
      </w:r>
    </w:p>
    <w:p>
      <w:pPr>
        <w:pStyle w:val="Normal"/>
        <w:numPr>
          <w:ilvl w:val="3"/>
          <w:numId w:val="4"/>
        </w:numPr>
        <w:spacing w:lineRule="auto" w:line="276" w:before="120" w:after="120"/>
        <w:ind w:left="709" w:hanging="364"/>
        <w:jc w:val="both"/>
        <w:rPr/>
      </w:pPr>
      <w:r>
        <w:rPr>
          <w:rFonts w:cs="Arial" w:ascii="Calibri" w:hAnsi="Calibri"/>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ind w:left="709" w:hanging="364"/>
        <w:jc w:val="both"/>
        <w:rPr/>
      </w:pPr>
      <w:r>
        <w:rPr>
          <w:rFonts w:cs="Arial" w:ascii="Calibri" w:hAnsi="Calibri"/>
          <w:color w:val="000000"/>
          <w:sz w:val="24"/>
          <w:szCs w:val="24"/>
        </w:rPr>
        <w:t>Equiparam-se aos autores do projeto as empresas integrantes do mesmo grupo econômico;</w:t>
      </w:r>
    </w:p>
    <w:p>
      <w:pPr>
        <w:pStyle w:val="Normal"/>
        <w:numPr>
          <w:ilvl w:val="3"/>
          <w:numId w:val="1"/>
        </w:numPr>
        <w:spacing w:lineRule="auto" w:line="276" w:before="120" w:after="120"/>
        <w:ind w:left="709" w:hanging="364"/>
        <w:jc w:val="both"/>
        <w:rPr/>
      </w:pPr>
      <w:r>
        <w:rPr>
          <w:rFonts w:cs="Arial" w:ascii="Calibri" w:hAnsi="Calibri"/>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ind w:left="709" w:hanging="364"/>
        <w:jc w:val="both"/>
        <w:rPr/>
      </w:pPr>
      <w:r>
        <w:rPr>
          <w:rFonts w:cs="Arial" w:ascii="Calibri" w:hAnsi="Calibri"/>
          <w:color w:val="000000"/>
          <w:sz w:val="24"/>
          <w:szCs w:val="24"/>
        </w:rPr>
        <w:t>organizações da Sociedade Civil de Interesse Público - OSCIP, atuando nessa condição (Acórdão nº 746/2014-TCU-Plenário); e</w:t>
      </w:r>
    </w:p>
    <w:p>
      <w:pPr>
        <w:pStyle w:val="Normal"/>
        <w:numPr>
          <w:ilvl w:val="2"/>
          <w:numId w:val="1"/>
        </w:numPr>
        <w:spacing w:lineRule="auto" w:line="276" w:before="120" w:after="120"/>
        <w:ind w:left="709" w:hanging="364"/>
        <w:jc w:val="both"/>
        <w:rPr/>
      </w:pPr>
      <w:bookmarkStart w:id="1" w:name="_Hlk519667815"/>
      <w:bookmarkEnd w:id="1"/>
      <w:r>
        <w:rPr>
          <w:rFonts w:cs="Arial" w:ascii="Calibri" w:hAnsi="Calibri"/>
          <w:color w:val="000000"/>
          <w:sz w:val="24"/>
          <w:szCs w:val="24"/>
        </w:rPr>
        <w:t>sociedades cooperativas.</w:t>
      </w:r>
    </w:p>
    <w:p>
      <w:pPr>
        <w:pStyle w:val="Normal"/>
        <w:tabs>
          <w:tab w:val="clear" w:pos="708"/>
          <w:tab w:val="left" w:pos="1440" w:leader="none"/>
        </w:tabs>
        <w:snapToGrid w:val="false"/>
        <w:spacing w:lineRule="auto" w:line="276" w:before="120" w:after="120"/>
        <w:ind w:left="709" w:hanging="364"/>
        <w:rPr>
          <w:rFonts w:ascii="Calibri" w:hAnsi="Calibri" w:eastAsia="Arial" w:cs="Arial"/>
          <w:b/>
          <w:b/>
          <w:bCs/>
          <w:color w:val="FF0000"/>
          <w:sz w:val="24"/>
          <w:szCs w:val="24"/>
          <w:u w:val="single"/>
        </w:rPr>
      </w:pPr>
      <w:r>
        <w:rPr>
          <w:rFonts w:eastAsia="Arial" w:cs="Arial" w:ascii="Calibri" w:hAnsi="Calibri"/>
          <w:b/>
          <w:bCs/>
          <w:color w:val="FF0000"/>
          <w:sz w:val="24"/>
          <w:szCs w:val="24"/>
          <w:u w:val="single"/>
        </w:rPr>
      </w:r>
    </w:p>
    <w:p>
      <w:pPr>
        <w:pStyle w:val="PADRO"/>
        <w:widowControl/>
        <w:numPr>
          <w:ilvl w:val="0"/>
          <w:numId w:val="1"/>
        </w:numPr>
        <w:shd w:val="clear" w:color="auto" w:fill="auto"/>
        <w:spacing w:before="120" w:after="120"/>
        <w:ind w:left="709" w:hanging="364"/>
        <w:jc w:val="both"/>
        <w:rPr/>
      </w:pPr>
      <w:r>
        <w:rPr>
          <w:rFonts w:cs="Arial" w:ascii="Calibri" w:hAnsi="Calibri"/>
          <w:b/>
          <w:sz w:val="24"/>
          <w:szCs w:val="24"/>
        </w:rPr>
        <w:t>INGRESSO NA DISPENSA ELETRÔNICA E CADASTRAMENTO DA PROPOSTA INICIAL</w:t>
      </w:r>
    </w:p>
    <w:p>
      <w:pPr>
        <w:pStyle w:val="Normal"/>
        <w:numPr>
          <w:ilvl w:val="1"/>
          <w:numId w:val="1"/>
        </w:numPr>
        <w:snapToGrid w:val="false"/>
        <w:spacing w:lineRule="auto" w:line="276" w:before="120" w:after="120"/>
        <w:ind w:left="709" w:hanging="364"/>
        <w:jc w:val="both"/>
        <w:rPr/>
      </w:pPr>
      <w:r>
        <w:rPr>
          <w:rFonts w:cs="Arial" w:ascii="Calibri" w:hAnsi="Calibri"/>
          <w:color w:val="000000" w:themeColor="text1"/>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709" w:hanging="364"/>
        <w:jc w:val="both"/>
        <w:rPr/>
      </w:pPr>
      <w:r>
        <w:rPr>
          <w:rFonts w:cs="Arial" w:ascii="Calibri" w:hAnsi="Calibri"/>
          <w:color w:val="000000" w:themeColor="text1"/>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ind w:left="709" w:hanging="364"/>
        <w:jc w:val="both"/>
        <w:rPr/>
      </w:pPr>
      <w:r>
        <w:rPr>
          <w:rFonts w:cs="Arial" w:ascii="Calibri" w:hAnsi="Calibri"/>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pPr>
        <w:pStyle w:val="Normal"/>
        <w:numPr>
          <w:ilvl w:val="1"/>
          <w:numId w:val="1"/>
        </w:numPr>
        <w:spacing w:lineRule="auto" w:line="276" w:before="120" w:after="120"/>
        <w:ind w:left="709" w:hanging="364"/>
        <w:jc w:val="both"/>
        <w:rPr/>
      </w:pPr>
      <w:r>
        <w:rPr>
          <w:rFonts w:cs="Arial" w:ascii="Calibri" w:hAnsi="Calibri"/>
          <w:sz w:val="24"/>
          <w:szCs w:val="24"/>
        </w:rPr>
        <w:t xml:space="preserve">Todas as especificações do </w:t>
      </w:r>
      <w:r>
        <w:rPr>
          <w:rFonts w:cs="Arial" w:ascii="Calibri" w:hAnsi="Calibri"/>
          <w:color w:val="000000" w:themeColor="text1"/>
          <w:sz w:val="24"/>
          <w:szCs w:val="24"/>
        </w:rPr>
        <w:t>objeto</w:t>
      </w:r>
      <w:r>
        <w:rPr>
          <w:rFonts w:cs="Arial" w:ascii="Calibri" w:hAnsi="Calibri"/>
          <w:sz w:val="24"/>
          <w:szCs w:val="24"/>
        </w:rPr>
        <w:t xml:space="preserve"> contidas na proposta, em especial o preço, vinculam a Contratada.</w:t>
      </w:r>
    </w:p>
    <w:p>
      <w:pPr>
        <w:pStyle w:val="Normal"/>
        <w:numPr>
          <w:ilvl w:val="1"/>
          <w:numId w:val="1"/>
        </w:numPr>
        <w:spacing w:lineRule="auto" w:line="276" w:before="120" w:after="120"/>
        <w:ind w:left="709" w:hanging="364"/>
        <w:jc w:val="both"/>
        <w:rPr/>
      </w:pPr>
      <w:r>
        <w:rPr>
          <w:rFonts w:cs="Arial" w:ascii="Calibri" w:hAnsi="Calibri"/>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ind w:left="709" w:hanging="364"/>
        <w:jc w:val="both"/>
        <w:rPr/>
      </w:pPr>
      <w:r>
        <w:rPr>
          <w:rFonts w:cs="Arial" w:ascii="Calibri" w:hAnsi="Calibri"/>
          <w:b/>
          <w:bCs/>
          <w:sz w:val="24"/>
          <w:szCs w:val="24"/>
          <w:u w:val="single"/>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709" w:hanging="364"/>
        <w:jc w:val="both"/>
        <w:rPr/>
      </w:pPr>
      <w:r>
        <w:rPr>
          <w:rFonts w:cs="Arial" w:ascii="Calibri" w:hAnsi="Calibri"/>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709" w:hanging="364"/>
        <w:jc w:val="both"/>
        <w:rPr/>
      </w:pPr>
      <w:r>
        <w:rPr>
          <w:rFonts w:cs="Arial" w:ascii="Calibri" w:hAnsi="Calibri"/>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709" w:hanging="364"/>
        <w:jc w:val="both"/>
        <w:rPr/>
      </w:pPr>
      <w:r>
        <w:rPr>
          <w:rFonts w:cs="Arial" w:ascii="Calibri" w:hAnsi="Calibri"/>
          <w:sz w:val="24"/>
          <w:szCs w:val="24"/>
        </w:rPr>
        <w:t xml:space="preserve">A apresentação das propostas implica obrigatoriedade do cumprimento das disposições nelas contidas, em conformidade com o que dispõe o neste </w:t>
      </w:r>
      <w:r>
        <w:rPr>
          <w:rFonts w:cs="Arial" w:ascii="Calibri" w:hAnsi="Calibri"/>
          <w:color w:val="000000"/>
          <w:sz w:val="24"/>
          <w:szCs w:val="24"/>
        </w:rPr>
        <w:t>documento</w:t>
      </w:r>
      <w:r>
        <w:rPr>
          <w:rFonts w:cs="Arial" w:ascii="Calibri" w:hAnsi="Calibri"/>
          <w:sz w:val="24"/>
          <w:szCs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709" w:hanging="364"/>
        <w:jc w:val="both"/>
        <w:rPr/>
      </w:pPr>
      <w:r>
        <w:rPr>
          <w:rFonts w:cs="Arial" w:ascii="Calibri" w:hAnsi="Calibri"/>
          <w:sz w:val="24"/>
          <w:szCs w:val="24"/>
        </w:rPr>
        <w:t xml:space="preserve">Uma vez enviada a proposta no sistema, os fornecedores </w:t>
      </w:r>
      <w:r>
        <w:rPr>
          <w:rFonts w:cs="Arial" w:ascii="Calibri" w:hAnsi="Calibri"/>
          <w:b/>
          <w:bCs/>
          <w:sz w:val="24"/>
          <w:szCs w:val="24"/>
        </w:rPr>
        <w:t>NÃO</w:t>
      </w:r>
      <w:r>
        <w:rPr>
          <w:rFonts w:cs="Arial" w:ascii="Calibri" w:hAnsi="Calibri"/>
          <w:sz w:val="24"/>
          <w:szCs w:val="24"/>
        </w:rPr>
        <w:t xml:space="preserve"> poderão retirá-la, substituí-la ou modificá-la</w:t>
      </w:r>
      <w:r>
        <w:rPr>
          <w:rFonts w:cs="Arial" w:ascii="Calibri" w:hAnsi="Calibri"/>
          <w:color w:val="000000"/>
          <w:sz w:val="24"/>
          <w:szCs w:val="24"/>
        </w:rPr>
        <w:t>;</w:t>
      </w:r>
    </w:p>
    <w:p>
      <w:pPr>
        <w:pStyle w:val="Normal"/>
        <w:numPr>
          <w:ilvl w:val="1"/>
          <w:numId w:val="1"/>
        </w:numPr>
        <w:spacing w:lineRule="auto" w:line="276" w:before="120" w:after="120"/>
        <w:ind w:left="709" w:hanging="364"/>
        <w:jc w:val="both"/>
        <w:rPr/>
      </w:pPr>
      <w:r>
        <w:rPr>
          <w:rFonts w:cs="Arial" w:ascii="Calibri" w:hAnsi="Calibri"/>
          <w:b/>
          <w:bCs/>
          <w:color w:val="000000"/>
          <w:sz w:val="24"/>
          <w:szCs w:val="24"/>
        </w:rPr>
        <w:t xml:space="preserve">No cadastramento da proposta inicial, o fornecedor deverá, também, assinalar “sim” ou “não” em campo </w:t>
      </w:r>
      <w:r>
        <w:rPr>
          <w:rFonts w:cs="Arial" w:ascii="Calibri" w:hAnsi="Calibri"/>
          <w:b/>
          <w:bCs/>
          <w:sz w:val="24"/>
          <w:szCs w:val="24"/>
        </w:rPr>
        <w:t>próprio</w:t>
      </w:r>
      <w:r>
        <w:rPr>
          <w:rFonts w:cs="Arial" w:ascii="Calibri" w:hAnsi="Calibri"/>
          <w:b/>
          <w:bCs/>
          <w:color w:val="000000"/>
          <w:sz w:val="24"/>
          <w:szCs w:val="24"/>
        </w:rPr>
        <w:t xml:space="preserve"> do sistema eletrônico, às seguintes declarações:</w:t>
      </w:r>
    </w:p>
    <w:p>
      <w:pPr>
        <w:pStyle w:val="ListParagraph"/>
        <w:numPr>
          <w:ilvl w:val="0"/>
          <w:numId w:val="2"/>
        </w:numPr>
        <w:tabs>
          <w:tab w:val="clear" w:pos="708"/>
          <w:tab w:val="left" w:pos="1440" w:leader="none"/>
        </w:tabs>
        <w:snapToGrid w:val="false"/>
        <w:spacing w:lineRule="auto" w:line="276" w:before="120" w:after="120"/>
        <w:ind w:left="709" w:hanging="364"/>
        <w:contextualSpacing/>
        <w:jc w:val="both"/>
        <w:rPr>
          <w:rFonts w:ascii="Calibri" w:hAnsi="Calibri" w:cs="Arial"/>
          <w:b/>
          <w:b/>
          <w:bCs/>
          <w:vanish/>
          <w:color w:val="000000"/>
          <w:sz w:val="24"/>
          <w:szCs w:val="24"/>
        </w:rPr>
      </w:pPr>
      <w:r>
        <w:rPr>
          <w:rFonts w:cs="Arial" w:ascii="Calibri" w:hAnsi="Calibri"/>
          <w:b/>
          <w:bCs/>
          <w:vanish/>
          <w:color w:val="000000"/>
          <w:sz w:val="24"/>
          <w:szCs w:val="24"/>
        </w:rPr>
      </w:r>
    </w:p>
    <w:p>
      <w:pPr>
        <w:pStyle w:val="ListParagraph"/>
        <w:numPr>
          <w:ilvl w:val="1"/>
          <w:numId w:val="2"/>
        </w:numPr>
        <w:tabs>
          <w:tab w:val="clear" w:pos="708"/>
          <w:tab w:val="left" w:pos="1440" w:leader="none"/>
        </w:tabs>
        <w:snapToGrid w:val="false"/>
        <w:spacing w:lineRule="auto" w:line="276" w:before="120" w:after="120"/>
        <w:ind w:left="709" w:hanging="364"/>
        <w:contextualSpacing/>
        <w:jc w:val="both"/>
        <w:rPr>
          <w:rFonts w:ascii="Calibri" w:hAnsi="Calibri" w:cs="Arial"/>
          <w:b/>
          <w:b/>
          <w:bCs/>
          <w:vanish/>
          <w:color w:val="000000"/>
          <w:sz w:val="24"/>
          <w:szCs w:val="24"/>
        </w:rPr>
      </w:pPr>
      <w:r>
        <w:rPr>
          <w:rFonts w:cs="Arial" w:ascii="Calibri" w:hAnsi="Calibri"/>
          <w:b/>
          <w:bCs/>
          <w:vanish/>
          <w:color w:val="000000"/>
          <w:sz w:val="24"/>
          <w:szCs w:val="24"/>
        </w:rPr>
      </w:r>
    </w:p>
    <w:p>
      <w:pPr>
        <w:pStyle w:val="ListParagraph"/>
        <w:numPr>
          <w:ilvl w:val="1"/>
          <w:numId w:val="2"/>
        </w:numPr>
        <w:tabs>
          <w:tab w:val="clear" w:pos="708"/>
          <w:tab w:val="left" w:pos="1440" w:leader="none"/>
        </w:tabs>
        <w:snapToGrid w:val="false"/>
        <w:spacing w:lineRule="auto" w:line="276" w:before="120" w:after="120"/>
        <w:ind w:left="709" w:hanging="364"/>
        <w:contextualSpacing/>
        <w:jc w:val="both"/>
        <w:rPr>
          <w:rFonts w:ascii="Calibri" w:hAnsi="Calibri" w:cs="Arial"/>
          <w:b/>
          <w:b/>
          <w:bCs/>
          <w:vanish/>
          <w:color w:val="000000"/>
          <w:sz w:val="24"/>
          <w:szCs w:val="24"/>
        </w:rPr>
      </w:pPr>
      <w:r>
        <w:rPr>
          <w:rFonts w:cs="Arial" w:ascii="Calibri" w:hAnsi="Calibri"/>
          <w:b/>
          <w:bCs/>
          <w:vanish/>
          <w:color w:val="000000"/>
          <w:sz w:val="24"/>
          <w:szCs w:val="24"/>
        </w:rPr>
      </w:r>
    </w:p>
    <w:p>
      <w:pPr>
        <w:pStyle w:val="ListParagraph"/>
        <w:numPr>
          <w:ilvl w:val="1"/>
          <w:numId w:val="2"/>
        </w:numPr>
        <w:tabs>
          <w:tab w:val="clear" w:pos="708"/>
          <w:tab w:val="left" w:pos="1440" w:leader="none"/>
        </w:tabs>
        <w:snapToGrid w:val="false"/>
        <w:spacing w:lineRule="auto" w:line="276" w:before="120" w:after="120"/>
        <w:ind w:left="709" w:hanging="364"/>
        <w:contextualSpacing/>
        <w:jc w:val="both"/>
        <w:rPr>
          <w:rFonts w:ascii="Calibri" w:hAnsi="Calibri" w:cs="Arial"/>
          <w:b/>
          <w:b/>
          <w:bCs/>
          <w:vanish/>
          <w:color w:val="000000"/>
          <w:sz w:val="24"/>
          <w:szCs w:val="24"/>
        </w:rPr>
      </w:pPr>
      <w:r>
        <w:rPr>
          <w:rFonts w:cs="Arial" w:ascii="Calibri" w:hAnsi="Calibri"/>
          <w:b/>
          <w:bCs/>
          <w:vanish/>
          <w:color w:val="000000"/>
          <w:sz w:val="24"/>
          <w:szCs w:val="24"/>
        </w:rPr>
      </w:r>
    </w:p>
    <w:p>
      <w:pPr>
        <w:pStyle w:val="Normal"/>
        <w:numPr>
          <w:ilvl w:val="2"/>
          <w:numId w:val="1"/>
        </w:numPr>
        <w:spacing w:lineRule="auto" w:line="276" w:before="120" w:after="120"/>
        <w:ind w:left="709" w:hanging="364"/>
        <w:jc w:val="both"/>
        <w:rPr/>
      </w:pPr>
      <w:r>
        <w:rPr>
          <w:rFonts w:cs="Arial" w:ascii="Calibri" w:hAnsi="Calibri"/>
          <w:color w:val="000000" w:themeColor="text1"/>
          <w:sz w:val="24"/>
          <w:szCs w:val="24"/>
        </w:rPr>
        <w:t>que inexistem fatos impeditivos para sua habilitação no certame, ciente da obrigatoriedade de declarar ocorrências posteriores;</w:t>
      </w:r>
    </w:p>
    <w:p>
      <w:pPr>
        <w:pStyle w:val="Normal"/>
        <w:numPr>
          <w:ilvl w:val="2"/>
          <w:numId w:val="1"/>
        </w:numPr>
        <w:spacing w:lineRule="auto" w:line="276" w:before="120" w:after="120"/>
        <w:ind w:left="709" w:hanging="364"/>
        <w:jc w:val="both"/>
        <w:rPr/>
      </w:pPr>
      <w:r>
        <w:rPr>
          <w:rFonts w:cs="Arial" w:ascii="Calibri" w:hAnsi="Calibri"/>
          <w:color w:val="000000" w:themeColor="text1"/>
          <w:sz w:val="24"/>
          <w:szCs w:val="24"/>
        </w:rPr>
        <w:t xml:space="preserve">que </w:t>
      </w:r>
      <w:r>
        <w:rPr>
          <w:rFonts w:cs="Arial" w:ascii="Calibri" w:hAnsi="Calibri"/>
          <w:color w:val="000000"/>
          <w:sz w:val="24"/>
          <w:szCs w:val="24"/>
        </w:rPr>
        <w:t>cumpre</w:t>
      </w:r>
      <w:r>
        <w:rPr>
          <w:rFonts w:cs="Arial" w:ascii="Calibri" w:hAnsi="Calibri"/>
          <w:color w:val="000000" w:themeColor="text1"/>
          <w:sz w:val="24"/>
          <w:szCs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ind w:left="709" w:hanging="364"/>
        <w:jc w:val="both"/>
        <w:rPr/>
      </w:pPr>
      <w:r>
        <w:rPr>
          <w:rFonts w:cs="Arial" w:ascii="Calibri" w:hAnsi="Calibri"/>
          <w:color w:val="000000" w:themeColor="text1"/>
          <w:sz w:val="24"/>
          <w:szCs w:val="24"/>
        </w:rPr>
        <w:t>que está ciente e concorda com as condições contidas no Aviso de Contratação Direta e seus anexos;</w:t>
      </w:r>
    </w:p>
    <w:p>
      <w:pPr>
        <w:pStyle w:val="Normal"/>
        <w:numPr>
          <w:ilvl w:val="2"/>
          <w:numId w:val="1"/>
        </w:numPr>
        <w:spacing w:lineRule="auto" w:line="276" w:before="120" w:after="120"/>
        <w:ind w:left="709" w:hanging="364"/>
        <w:jc w:val="both"/>
        <w:rPr/>
      </w:pPr>
      <w:r>
        <w:rPr>
          <w:rFonts w:cs="Arial" w:ascii="Calibri" w:hAnsi="Calibri"/>
          <w:color w:val="000000" w:themeColor="text1"/>
          <w:sz w:val="24"/>
          <w:szCs w:val="24"/>
        </w:rPr>
        <w:t>que assume a responsabilidade pelas transações que forem efetuadas no sistema, assumindo como firmes e verdadeiras;</w:t>
      </w:r>
    </w:p>
    <w:p>
      <w:pPr>
        <w:pStyle w:val="Normal"/>
        <w:numPr>
          <w:ilvl w:val="2"/>
          <w:numId w:val="1"/>
        </w:numPr>
        <w:spacing w:lineRule="auto" w:line="276" w:before="120" w:after="120"/>
        <w:ind w:left="709" w:hanging="364"/>
        <w:jc w:val="both"/>
        <w:rPr/>
      </w:pPr>
      <w:r>
        <w:rPr>
          <w:rFonts w:cs="Arial" w:ascii="Calibri" w:hAnsi="Calibri"/>
          <w:color w:val="000000" w:themeColor="text1"/>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ind w:left="709" w:hanging="364"/>
        <w:jc w:val="both"/>
        <w:rPr/>
      </w:pPr>
      <w:r>
        <w:rPr>
          <w:rFonts w:cs="Arial" w:ascii="Calibri" w:hAnsi="Calibri"/>
          <w:color w:val="000000" w:themeColor="text1"/>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ind w:left="709" w:hanging="364"/>
        <w:jc w:val="both"/>
        <w:rPr/>
      </w:pPr>
      <w:r>
        <w:rPr>
          <w:rFonts w:cs="Arial" w:ascii="Calibri" w:hAnsi="Calibri"/>
          <w:i/>
          <w:color w:val="000000"/>
          <w:sz w:val="24"/>
          <w:szCs w:val="24"/>
        </w:rPr>
        <w:t>Fica facultado ao fornecedor, ao cadastrar sua proposta inicial, a parametrização de valor final mínimo, com o registro do seu lance final aceitável menor preço.</w:t>
      </w:r>
    </w:p>
    <w:p>
      <w:pPr>
        <w:pStyle w:val="Normal"/>
        <w:numPr>
          <w:ilvl w:val="2"/>
          <w:numId w:val="1"/>
        </w:numPr>
        <w:spacing w:lineRule="auto" w:line="276" w:before="120" w:after="120"/>
        <w:ind w:left="709" w:hanging="364"/>
        <w:jc w:val="both"/>
        <w:rPr/>
      </w:pPr>
      <w:r>
        <w:rPr>
          <w:rFonts w:cs="Arial" w:ascii="Calibri" w:hAnsi="Calibri"/>
          <w:i/>
          <w:color w:val="000000"/>
          <w:sz w:val="24"/>
          <w:szCs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ind w:left="709" w:hanging="364"/>
        <w:jc w:val="both"/>
        <w:rPr/>
      </w:pPr>
      <w:r>
        <w:rPr>
          <w:rFonts w:cs="Arial" w:ascii="Calibri" w:hAnsi="Calibri"/>
          <w:i/>
          <w:color w:val="000000"/>
          <w:sz w:val="24"/>
          <w:szCs w:val="24"/>
        </w:rPr>
        <w:t>Sem prejuízo do disposto acima, os lances poderão ser enviados manualmente, na forma da seção respectiva deste Aviso de Contratação Direta;</w:t>
      </w:r>
    </w:p>
    <w:p>
      <w:pPr>
        <w:pStyle w:val="Normal"/>
        <w:numPr>
          <w:ilvl w:val="2"/>
          <w:numId w:val="1"/>
        </w:numPr>
        <w:spacing w:lineRule="auto" w:line="276" w:before="120" w:after="120"/>
        <w:ind w:left="709" w:hanging="364"/>
        <w:jc w:val="both"/>
        <w:rPr/>
      </w:pPr>
      <w:r>
        <w:rPr>
          <w:rFonts w:cs="Arial" w:ascii="Calibri" w:hAnsi="Calibri"/>
          <w:i/>
          <w:color w:val="000000"/>
          <w:sz w:val="24"/>
          <w:szCs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ind w:left="709" w:hanging="364"/>
        <w:jc w:val="both"/>
        <w:rPr/>
      </w:pPr>
      <w:r>
        <w:rPr>
          <w:rFonts w:cs="Arial" w:ascii="Calibri" w:hAnsi="Calibri"/>
          <w:i/>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widowControl/>
        <w:numPr>
          <w:ilvl w:val="0"/>
          <w:numId w:val="1"/>
        </w:numPr>
        <w:shd w:val="clear" w:color="auto" w:fill="auto"/>
        <w:spacing w:before="120" w:after="120"/>
        <w:ind w:left="709" w:hanging="364"/>
        <w:jc w:val="left"/>
        <w:rPr>
          <w:rFonts w:ascii="Calibri" w:hAnsi="Calibri"/>
          <w:sz w:val="24"/>
          <w:szCs w:val="24"/>
        </w:rPr>
      </w:pPr>
      <w:r>
        <w:rPr>
          <w:rFonts w:cs="Arial" w:ascii="Calibri" w:hAnsi="Calibri"/>
          <w:b/>
          <w:sz w:val="24"/>
          <w:szCs w:val="24"/>
        </w:rPr>
        <w:t>FASE DE LANCES</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color w:val="000000" w:themeColor="text1"/>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libri" w:hAnsi="Calibri"/>
          <w:bCs/>
          <w:sz w:val="24"/>
          <w:szCs w:val="24"/>
          <w:lang w:eastAsia="en-US"/>
        </w:rPr>
        <w:t>exclusivamente por meio do sistema eletrônico</w:t>
      </w:r>
      <w:r>
        <w:rPr>
          <w:rFonts w:cs="Arial" w:ascii="Calibri" w:hAnsi="Calibri"/>
          <w:sz w:val="24"/>
          <w:szCs w:val="24"/>
          <w:lang w:eastAsia="en-US"/>
        </w:rPr>
        <w:t xml:space="preserve">, </w:t>
      </w:r>
      <w:r>
        <w:rPr>
          <w:rFonts w:cs="Arial" w:ascii="Calibri" w:hAnsi="Calibri"/>
          <w:color w:val="000000" w:themeColor="text1"/>
          <w:sz w:val="24"/>
          <w:szCs w:val="24"/>
          <w:lang w:eastAsia="en-US"/>
        </w:rPr>
        <w:t>sendo encerrado no horário de finalização de lances também já previsto neste aviso.</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ind w:left="709" w:hanging="364"/>
        <w:contextualSpacing/>
        <w:jc w:val="both"/>
        <w:rPr/>
      </w:pPr>
      <w:r>
        <w:rPr>
          <w:rFonts w:cs="Arial" w:ascii="Calibri" w:hAnsi="Calibri"/>
          <w:b/>
          <w:bCs/>
          <w:i/>
          <w:iCs/>
          <w:color w:val="FF0000"/>
          <w:sz w:val="24"/>
          <w:szCs w:val="24"/>
        </w:rPr>
        <w:t>O lance deverá ser ofertado pelo VALOR TOTAL DO ITEM, SEMPRE ATENTANDO PARA DUAS CASAS DECIMAIS.</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ind w:left="709" w:hanging="364"/>
        <w:contextualSpacing/>
        <w:jc w:val="both"/>
        <w:rPr/>
      </w:pPr>
      <w:r>
        <w:rPr>
          <w:rFonts w:cs="Arial" w:ascii="Calibri" w:hAnsi="Calibri"/>
          <w:sz w:val="24"/>
          <w:szCs w:val="24"/>
        </w:rPr>
        <w:t>O intervalo mínimo de diferença de valores entre os lances, que incidirá tanto em relação aos lances intermediários quanto em relação ao que cobrir a melhor oferta é de</w:t>
      </w:r>
      <w:r>
        <w:rPr>
          <w:rFonts w:cs="Arial" w:ascii="Calibri" w:hAnsi="Calibri"/>
          <w:i/>
          <w:iCs/>
          <w:sz w:val="24"/>
          <w:szCs w:val="24"/>
        </w:rPr>
        <w:t>R$ 0,01 (um centavo)</w:t>
      </w:r>
      <w:r>
        <w:rPr>
          <w:rFonts w:cs="Arial" w:ascii="Calibri" w:hAnsi="Calibri"/>
          <w:i/>
          <w:iCs/>
          <w:color w:val="FF0000"/>
          <w:sz w:val="24"/>
          <w:szCs w:val="24"/>
        </w:rPr>
        <w:t>.</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Caso o fornecedor não apresente lances, concorrerá com o valor de sua proposta.</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O encerramento da fase de lances ocorrerá de forma automática pontualmente no horário indicado, sem qualquer possibilidade de prorrogação e não havendo tempo aleatório ou mecanismo similar.</w:t>
      </w:r>
    </w:p>
    <w:p>
      <w:pPr>
        <w:pStyle w:val="PADRO"/>
        <w:widowControl/>
        <w:numPr>
          <w:ilvl w:val="0"/>
          <w:numId w:val="1"/>
        </w:numPr>
        <w:shd w:val="clear" w:color="auto" w:fill="auto"/>
        <w:spacing w:before="120" w:after="120"/>
        <w:ind w:left="709" w:hanging="364"/>
        <w:jc w:val="left"/>
        <w:rPr>
          <w:rFonts w:ascii="Calibri" w:hAnsi="Calibri"/>
          <w:sz w:val="24"/>
          <w:szCs w:val="24"/>
        </w:rPr>
      </w:pPr>
      <w:r>
        <w:rPr>
          <w:rFonts w:cs="Arial" w:ascii="Calibri" w:hAnsi="Calibri"/>
          <w:b/>
          <w:sz w:val="24"/>
          <w:szCs w:val="24"/>
        </w:rPr>
        <w:t>JULGAMENTO DAS PROPOSTAS DE PREÇO</w:t>
      </w:r>
    </w:p>
    <w:p>
      <w:pPr>
        <w:pStyle w:val="ListParagraph"/>
        <w:numPr>
          <w:ilvl w:val="1"/>
          <w:numId w:val="1"/>
        </w:numPr>
        <w:spacing w:lineRule="auto" w:line="276" w:before="120" w:after="120"/>
        <w:ind w:left="709" w:hanging="364"/>
        <w:contextualSpacing/>
        <w:jc w:val="both"/>
        <w:rPr/>
      </w:pPr>
      <w:r>
        <w:rPr>
          <w:rFonts w:cs="Arial" w:ascii="Calibri" w:hAnsi="Calibri"/>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ind w:left="709" w:hanging="364"/>
        <w:contextualSpacing/>
        <w:jc w:val="both"/>
        <w:rPr/>
      </w:pPr>
      <w:r>
        <w:rPr>
          <w:rFonts w:cs="Arial" w:ascii="Calibri" w:hAnsi="Calibri"/>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ind w:left="709" w:hanging="364"/>
        <w:contextualSpacing/>
        <w:jc w:val="both"/>
        <w:rPr/>
      </w:pPr>
      <w:r>
        <w:rPr>
          <w:rFonts w:cs="Arial" w:ascii="Calibri" w:hAnsi="Calibri"/>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ind w:left="709" w:hanging="364"/>
        <w:contextualSpacing/>
        <w:jc w:val="both"/>
        <w:rPr/>
      </w:pPr>
      <w:r>
        <w:rPr>
          <w:rFonts w:cs="Arial" w:ascii="Calibri" w:hAnsi="Calibri"/>
          <w:sz w:val="24"/>
          <w:szCs w:val="24"/>
        </w:rPr>
        <w:t>Em qualquer caso, concluída a negociação, o resultado será registrado na ata do procedimento da dispensa eletrônica.</w:t>
      </w:r>
    </w:p>
    <w:p>
      <w:pPr>
        <w:pStyle w:val="ListParagraph"/>
        <w:numPr>
          <w:ilvl w:val="1"/>
          <w:numId w:val="1"/>
        </w:numPr>
        <w:spacing w:lineRule="auto" w:line="276" w:before="120" w:after="120"/>
        <w:ind w:left="709" w:hanging="364"/>
        <w:contextualSpacing/>
        <w:jc w:val="both"/>
        <w:rPr/>
      </w:pPr>
      <w:r>
        <w:rPr>
          <w:rFonts w:cs="Arial" w:ascii="Calibri" w:hAnsi="Calibri"/>
          <w:sz w:val="24"/>
          <w:szCs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ind w:left="709" w:hanging="364"/>
        <w:jc w:val="both"/>
        <w:rPr/>
      </w:pPr>
      <w:r>
        <w:rPr>
          <w:rFonts w:cs="Arial" w:ascii="Calibri" w:hAnsi="Calibri"/>
          <w:color w:val="000000" w:themeColor="text1"/>
          <w:sz w:val="24"/>
          <w:szCs w:val="24"/>
        </w:rPr>
        <w:t xml:space="preserve">O prazo de validade </w:t>
      </w:r>
      <w:r>
        <w:rPr>
          <w:rFonts w:cs="Arial" w:ascii="Calibri" w:hAnsi="Calibri"/>
          <w:sz w:val="24"/>
          <w:szCs w:val="24"/>
        </w:rPr>
        <w:t>da</w:t>
      </w:r>
      <w:r>
        <w:rPr>
          <w:rFonts w:cs="Arial" w:ascii="Calibri" w:hAnsi="Calibri"/>
          <w:color w:val="000000" w:themeColor="text1"/>
          <w:sz w:val="24"/>
          <w:szCs w:val="24"/>
        </w:rPr>
        <w:t xml:space="preserve"> proposta não será inferior a 60 </w:t>
      </w:r>
      <w:r>
        <w:rPr>
          <w:rFonts w:cs="Arial" w:ascii="Calibri" w:hAnsi="Calibri"/>
          <w:color w:val="FF0000"/>
          <w:sz w:val="24"/>
          <w:szCs w:val="24"/>
        </w:rPr>
        <w:t>(sessenta)</w:t>
      </w:r>
      <w:r>
        <w:rPr>
          <w:rFonts w:cs="Arial" w:ascii="Calibri" w:hAnsi="Calibri"/>
          <w:color w:val="000000" w:themeColor="text1"/>
          <w:sz w:val="24"/>
          <w:szCs w:val="24"/>
        </w:rPr>
        <w:t xml:space="preserve"> dias</w:t>
      </w:r>
      <w:r>
        <w:rPr>
          <w:rFonts w:cs="Arial" w:ascii="Calibri" w:hAnsi="Calibri"/>
          <w:b/>
          <w:bCs/>
          <w:color w:val="000000" w:themeColor="text1"/>
          <w:sz w:val="24"/>
          <w:szCs w:val="24"/>
        </w:rPr>
        <w:t>,</w:t>
      </w:r>
      <w:r>
        <w:rPr>
          <w:rFonts w:cs="Arial" w:ascii="Calibri" w:hAnsi="Calibri"/>
          <w:color w:val="000000" w:themeColor="text1"/>
          <w:sz w:val="24"/>
          <w:szCs w:val="24"/>
        </w:rPr>
        <w:t xml:space="preserve"> a contar da data de sua apresentação.</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 xml:space="preserve">Será desclassificada a proposta vencedora que: </w:t>
      </w:r>
    </w:p>
    <w:p>
      <w:pPr>
        <w:pStyle w:val="ListParagraph"/>
        <w:numPr>
          <w:ilvl w:val="2"/>
          <w:numId w:val="1"/>
        </w:numPr>
        <w:spacing w:lineRule="auto" w:line="276" w:before="120" w:after="120"/>
        <w:ind w:left="709" w:hanging="364"/>
        <w:contextualSpacing/>
        <w:jc w:val="both"/>
        <w:rPr/>
      </w:pPr>
      <w:r>
        <w:rPr>
          <w:rFonts w:cs="Arial" w:ascii="Calibri" w:hAnsi="Calibri"/>
          <w:color w:val="000000"/>
          <w:sz w:val="24"/>
          <w:szCs w:val="24"/>
        </w:rPr>
        <w:t>contiver vícios insanáveis</w:t>
      </w:r>
      <w:r>
        <w:rPr>
          <w:rFonts w:cs="Arial" w:ascii="Calibri" w:hAnsi="Calibri"/>
          <w:iCs/>
          <w:color w:val="000000" w:themeColor="text1"/>
          <w:sz w:val="24"/>
          <w:szCs w:val="24"/>
        </w:rPr>
        <w:t>;</w:t>
      </w:r>
    </w:p>
    <w:p>
      <w:pPr>
        <w:pStyle w:val="ListParagraph"/>
        <w:numPr>
          <w:ilvl w:val="2"/>
          <w:numId w:val="1"/>
        </w:numPr>
        <w:spacing w:lineRule="auto" w:line="276" w:before="120" w:after="120"/>
        <w:ind w:left="709" w:hanging="364"/>
        <w:contextualSpacing/>
        <w:jc w:val="both"/>
        <w:rPr/>
      </w:pPr>
      <w:r>
        <w:rPr>
          <w:rFonts w:cs="Arial" w:ascii="Calibri" w:hAnsi="Calibri"/>
          <w:color w:val="000000"/>
          <w:sz w:val="24"/>
          <w:szCs w:val="24"/>
        </w:rPr>
        <w:t>não obedecer às especificações técnicas pormenorizadas neste aviso</w:t>
      </w:r>
      <w:r>
        <w:rPr>
          <w:rFonts w:cs="Arial" w:ascii="Calibri" w:hAnsi="Calibri"/>
          <w:iCs/>
          <w:color w:val="000000" w:themeColor="text1"/>
          <w:sz w:val="24"/>
          <w:szCs w:val="24"/>
        </w:rPr>
        <w:t>;</w:t>
      </w:r>
    </w:p>
    <w:p>
      <w:pPr>
        <w:pStyle w:val="ListParagraph"/>
        <w:numPr>
          <w:ilvl w:val="2"/>
          <w:numId w:val="1"/>
        </w:numPr>
        <w:spacing w:lineRule="auto" w:line="276" w:before="120" w:after="120"/>
        <w:ind w:left="709" w:hanging="364"/>
        <w:contextualSpacing/>
        <w:jc w:val="both"/>
        <w:rPr/>
      </w:pPr>
      <w:r>
        <w:rPr>
          <w:rFonts w:cs="Arial" w:ascii="Calibri" w:hAnsi="Calibri"/>
          <w:color w:val="000000"/>
          <w:sz w:val="24"/>
          <w:szCs w:val="24"/>
        </w:rPr>
        <w:t>apresentar preços inexequíveis ou permanecerem acima do preço máximo definido para a contratação;</w:t>
      </w:r>
    </w:p>
    <w:p>
      <w:pPr>
        <w:pStyle w:val="ListParagraph"/>
        <w:numPr>
          <w:ilvl w:val="2"/>
          <w:numId w:val="1"/>
        </w:numPr>
        <w:spacing w:lineRule="auto" w:line="276" w:before="120" w:after="120"/>
        <w:ind w:left="709" w:hanging="364"/>
        <w:contextualSpacing/>
        <w:jc w:val="both"/>
        <w:rPr/>
      </w:pPr>
      <w:r>
        <w:rPr>
          <w:rFonts w:cs="Arial" w:ascii="Calibri" w:hAnsi="Calibri"/>
          <w:color w:val="000000"/>
          <w:sz w:val="24"/>
          <w:szCs w:val="24"/>
        </w:rPr>
        <w:t>não tiverem sua exequibilidade demonstrada, quando exigido pela Administração</w:t>
      </w:r>
      <w:r>
        <w:rPr>
          <w:rFonts w:cs="Arial" w:ascii="Calibri" w:hAnsi="Calibri"/>
          <w:iCs/>
          <w:color w:val="000000" w:themeColor="text1"/>
          <w:sz w:val="24"/>
          <w:szCs w:val="24"/>
        </w:rPr>
        <w:t>;</w:t>
      </w:r>
    </w:p>
    <w:p>
      <w:pPr>
        <w:pStyle w:val="ListParagraph"/>
        <w:numPr>
          <w:ilvl w:val="2"/>
          <w:numId w:val="1"/>
        </w:numPr>
        <w:spacing w:lineRule="auto" w:line="276" w:before="120" w:after="120"/>
        <w:ind w:left="709" w:hanging="364"/>
        <w:contextualSpacing/>
        <w:jc w:val="both"/>
        <w:rPr/>
      </w:pPr>
      <w:r>
        <w:rPr>
          <w:rFonts w:cs="Arial" w:ascii="Calibri" w:hAnsi="Calibri"/>
          <w:color w:val="000000"/>
          <w:sz w:val="24"/>
          <w:szCs w:val="24"/>
        </w:rPr>
        <w:t>apresentar desconformidade com quaisquer outras exigências deste aviso ou seus anexos, desde que insanável.</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Quando</w:t>
      </w:r>
      <w:r>
        <w:rPr>
          <w:rFonts w:cs="Arial" w:ascii="Calibri" w:hAnsi="Calibri"/>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ind w:left="709" w:hanging="364"/>
        <w:contextualSpacing/>
        <w:jc w:val="both"/>
        <w:rPr/>
      </w:pPr>
      <w:r>
        <w:rPr>
          <w:rFonts w:cs="Arial" w:ascii="Calibri" w:hAnsi="Calibr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ind w:left="709" w:hanging="364"/>
        <w:contextualSpacing/>
        <w:jc w:val="both"/>
        <w:rPr/>
      </w:pPr>
      <w:r>
        <w:rPr>
          <w:rFonts w:cs="Arial" w:ascii="Calibri" w:hAnsi="Calibri"/>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09" w:right="-15" w:hanging="364"/>
        <w:contextualSpacing/>
        <w:jc w:val="both"/>
        <w:rPr/>
      </w:pPr>
      <w:r>
        <w:rPr>
          <w:rFonts w:cs="Arial" w:ascii="Calibri" w:hAnsi="Calibri"/>
          <w:color w:val="000000" w:themeColor="text1"/>
          <w:sz w:val="24"/>
          <w:szCs w:val="24"/>
          <w:lang w:eastAsia="en-US"/>
        </w:rPr>
        <w:t xml:space="preserve">Se houver indícios de inexequibilidade da proposta de preço, ou em caso da necessidade de esclarecimentos </w:t>
      </w:r>
      <w:r>
        <w:rPr>
          <w:rFonts w:cs="Arial" w:ascii="Calibri" w:hAnsi="Calibri"/>
          <w:sz w:val="24"/>
          <w:szCs w:val="24"/>
        </w:rPr>
        <w:t>complementares</w:t>
      </w:r>
      <w:r>
        <w:rPr>
          <w:rFonts w:cs="Arial" w:ascii="Calibri" w:hAnsi="Calibri"/>
          <w:color w:val="000000" w:themeColor="text1"/>
          <w:sz w:val="24"/>
          <w:szCs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 xml:space="preserve">Erros no preenchimento da planilha não constituem motivo para a desclassificação da proposta. A planilha </w:t>
      </w:r>
      <w:r>
        <w:rPr>
          <w:rFonts w:cs="Arial" w:ascii="Calibri" w:hAnsi="Calibri"/>
          <w:sz w:val="24"/>
          <w:szCs w:val="24"/>
        </w:rPr>
        <w:t>poderá</w:t>
      </w:r>
      <w:r>
        <w:rPr>
          <w:rFonts w:cs="Arial" w:ascii="Calibri" w:hAnsi="Calibri"/>
          <w:color w:val="000000" w:themeColor="text1"/>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lang w:eastAsia="en-US"/>
        </w:rPr>
        <w:t>Encerrada a análise quanto à aceitação da proposta, se iniciará a fase de habilitação, observado o disposto neste Aviso de Contratação Direta. </w:t>
      </w:r>
    </w:p>
    <w:p>
      <w:pPr>
        <w:pStyle w:val="PADRO"/>
        <w:widowControl/>
        <w:numPr>
          <w:ilvl w:val="0"/>
          <w:numId w:val="1"/>
        </w:numPr>
        <w:shd w:val="clear" w:color="auto" w:fill="auto"/>
        <w:spacing w:before="120" w:after="120"/>
        <w:ind w:left="709" w:hanging="364"/>
        <w:jc w:val="both"/>
        <w:rPr/>
      </w:pPr>
      <w:r>
        <w:rPr>
          <w:rFonts w:cs="Arial" w:ascii="Calibri" w:hAnsi="Calibri"/>
          <w:b/>
          <w:sz w:val="24"/>
          <w:szCs w:val="24"/>
        </w:rPr>
        <w:t>HABILITAÇÃO</w:t>
      </w:r>
    </w:p>
    <w:p>
      <w:pPr>
        <w:pStyle w:val="ListParagraph"/>
        <w:numPr>
          <w:ilvl w:val="1"/>
          <w:numId w:val="1"/>
        </w:numPr>
        <w:spacing w:lineRule="auto" w:line="276" w:before="120" w:after="120"/>
        <w:ind w:left="709" w:hanging="364"/>
        <w:contextualSpacing/>
        <w:jc w:val="both"/>
        <w:rPr/>
      </w:pPr>
      <w:r>
        <w:rPr>
          <w:rFonts w:cs="Arial" w:ascii="Calibri" w:hAnsi="Calibri"/>
          <w:sz w:val="24"/>
          <w:szCs w:val="24"/>
          <w:lang w:eastAsia="ar-SA"/>
        </w:rPr>
        <w:t xml:space="preserve">Como </w:t>
      </w:r>
      <w:r>
        <w:rPr>
          <w:rFonts w:cs="Arial" w:ascii="Calibri" w:hAnsi="Calibri"/>
          <w:color w:val="000000"/>
          <w:sz w:val="24"/>
          <w:szCs w:val="24"/>
        </w:rPr>
        <w:t>condição</w:t>
      </w:r>
      <w:r>
        <w:rPr>
          <w:rFonts w:cs="Arial" w:ascii="Calibri" w:hAnsi="Calibri"/>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709" w:hanging="364"/>
        <w:contextualSpacing/>
        <w:jc w:val="both"/>
        <w:rPr/>
      </w:pPr>
      <w:r>
        <w:rPr>
          <w:rFonts w:cs="Arial" w:ascii="Calibri" w:hAnsi="Calibri"/>
          <w:sz w:val="24"/>
          <w:szCs w:val="24"/>
          <w:lang w:eastAsia="ar-SA"/>
        </w:rPr>
        <w:t xml:space="preserve">a) SICAF;  </w:t>
      </w:r>
    </w:p>
    <w:p>
      <w:pPr>
        <w:pStyle w:val="ListParagraph"/>
        <w:spacing w:lineRule="auto" w:line="276" w:before="120" w:after="120"/>
        <w:ind w:left="709" w:hanging="364"/>
        <w:contextualSpacing/>
        <w:jc w:val="both"/>
        <w:rPr/>
      </w:pPr>
      <w:r>
        <w:rPr>
          <w:rFonts w:cs="Arial" w:ascii="Calibri" w:hAnsi="Calibri"/>
          <w:sz w:val="24"/>
          <w:szCs w:val="24"/>
          <w:lang w:eastAsia="ar-SA"/>
        </w:rPr>
        <w:t>b) Cadastro Nacional de Empresas Inidôneas e Suspensas - CEIS, mantido pela Controladoria-Geral da União (</w:t>
      </w:r>
      <w:hyperlink r:id="rId4">
        <w:r>
          <w:rPr>
            <w:rStyle w:val="LinkdaInternet"/>
            <w:rFonts w:eastAsia="Calibri" w:cs="Arial" w:ascii="Calibri" w:hAnsi="Calibri"/>
            <w:sz w:val="24"/>
            <w:szCs w:val="24"/>
            <w:lang w:eastAsia="ar-SA"/>
          </w:rPr>
          <w:t>www.portaldatransparencia.gov.br/ceis</w:t>
        </w:r>
      </w:hyperlink>
      <w:r>
        <w:rPr>
          <w:rFonts w:cs="Arial" w:ascii="Calibri" w:hAnsi="Calibri"/>
          <w:sz w:val="24"/>
          <w:szCs w:val="24"/>
          <w:lang w:eastAsia="ar-SA"/>
        </w:rPr>
        <w:t xml:space="preserve">);  </w:t>
      </w:r>
    </w:p>
    <w:p>
      <w:pPr>
        <w:pStyle w:val="ListParagraph"/>
        <w:spacing w:lineRule="auto" w:line="276" w:before="120" w:after="120"/>
        <w:ind w:left="709" w:hanging="364"/>
        <w:contextualSpacing/>
        <w:jc w:val="both"/>
        <w:rPr/>
      </w:pPr>
      <w:r>
        <w:rPr>
          <w:rFonts w:cs="Arial" w:ascii="Calibri" w:hAnsi="Calibri"/>
          <w:sz w:val="24"/>
          <w:szCs w:val="24"/>
          <w:lang w:eastAsia="ar-SA"/>
        </w:rPr>
        <w:t>c) Cadastro Nacional de Condenações Cíveis por Atos de Improbidade Administrativa, mantido pelo Conselho Nacional de Justiça (</w:t>
      </w:r>
      <w:hyperlink r:id="rId5">
        <w:r>
          <w:rPr>
            <w:rStyle w:val="LinkdaInternet"/>
            <w:rFonts w:eastAsia="Calibri" w:cs="Arial" w:ascii="Calibri" w:hAnsi="Calibri"/>
            <w:sz w:val="24"/>
            <w:szCs w:val="24"/>
            <w:lang w:eastAsia="ar-SA"/>
          </w:rPr>
          <w:t>www.cnj.jus.br/improbidade_adm/consultar_requerido.php</w:t>
        </w:r>
      </w:hyperlink>
      <w:r>
        <w:rPr>
          <w:rFonts w:cs="Arial" w:ascii="Calibri" w:hAnsi="Calibri"/>
          <w:sz w:val="24"/>
          <w:szCs w:val="24"/>
          <w:lang w:eastAsia="ar-SA"/>
        </w:rPr>
        <w:t xml:space="preserve">).  </w:t>
      </w:r>
    </w:p>
    <w:p>
      <w:pPr>
        <w:pStyle w:val="ListParagraph"/>
        <w:spacing w:lineRule="auto" w:line="276" w:before="120" w:after="120"/>
        <w:ind w:left="709" w:hanging="364"/>
        <w:contextualSpacing/>
        <w:jc w:val="both"/>
        <w:rPr/>
      </w:pPr>
      <w:r>
        <w:rPr>
          <w:rFonts w:cs="Arial" w:ascii="Calibri" w:hAnsi="Calibri"/>
          <w:sz w:val="24"/>
          <w:szCs w:val="24"/>
          <w:lang w:eastAsia="ar-SA"/>
        </w:rPr>
        <w:t xml:space="preserve">d) Lista de Inidôneos mantida pelo Tribunal de Contas da União - TCU; </w:t>
      </w:r>
    </w:p>
    <w:p>
      <w:pPr>
        <w:pStyle w:val="ListParagraph"/>
        <w:numPr>
          <w:ilvl w:val="2"/>
          <w:numId w:val="1"/>
        </w:numPr>
        <w:spacing w:lineRule="auto" w:line="276" w:before="120" w:after="120"/>
        <w:ind w:left="709" w:hanging="364"/>
        <w:contextualSpacing/>
        <w:jc w:val="both"/>
        <w:rPr/>
      </w:pPr>
      <w:r>
        <w:rPr>
          <w:rFonts w:cs="Arial" w:ascii="Calibri" w:hAnsi="Calibri"/>
          <w:sz w:val="24"/>
          <w:szCs w:val="24"/>
          <w:lang w:eastAsia="ar-SA"/>
        </w:rPr>
        <w:t xml:space="preserve">Para a consulta de </w:t>
      </w:r>
      <w:r>
        <w:rPr>
          <w:rFonts w:cs="Arial" w:ascii="Calibri" w:hAnsi="Calibri"/>
          <w:color w:val="000000" w:themeColor="text1"/>
          <w:sz w:val="24"/>
          <w:szCs w:val="24"/>
        </w:rPr>
        <w:t>fornecedores</w:t>
      </w:r>
      <w:r>
        <w:rPr>
          <w:rFonts w:cs="Arial" w:ascii="Calibri" w:hAnsi="Calibri"/>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ind w:left="709" w:hanging="364"/>
        <w:contextualSpacing/>
        <w:jc w:val="both"/>
        <w:rPr>
          <w:rFonts w:ascii="Calibri" w:hAnsi="Calibri"/>
          <w:sz w:val="24"/>
          <w:szCs w:val="24"/>
        </w:rPr>
      </w:pPr>
      <w:r>
        <w:rPr>
          <w:rFonts w:cs="Arial" w:ascii="Calibri" w:hAnsi="Calibri"/>
          <w:color w:val="000000" w:themeColor="text1"/>
          <w:sz w:val="24"/>
          <w:szCs w:val="24"/>
        </w:rPr>
        <w:t xml:space="preserve">A consulta aos </w:t>
      </w:r>
      <w:r>
        <w:rPr>
          <w:rFonts w:cs="Arial" w:ascii="Calibri" w:hAnsi="Calibri"/>
          <w:sz w:val="24"/>
          <w:szCs w:val="24"/>
          <w:lang w:eastAsia="ar-SA"/>
        </w:rPr>
        <w:t>cadastros</w:t>
      </w:r>
      <w:r>
        <w:rPr>
          <w:rFonts w:cs="Arial" w:ascii="Calibri" w:hAnsi="Calibri"/>
          <w:color w:val="000000" w:themeColor="text1"/>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ind w:left="709" w:hanging="364"/>
        <w:contextualSpacing/>
        <w:jc w:val="both"/>
        <w:rPr/>
      </w:pPr>
      <w:r>
        <w:rPr>
          <w:rFonts w:cs="Arial" w:ascii="Calibri" w:hAnsi="Calibri"/>
          <w:color w:val="000000" w:themeColor="text1"/>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ind w:left="709" w:hanging="364"/>
        <w:contextualSpacing/>
        <w:jc w:val="both"/>
        <w:rPr/>
      </w:pPr>
      <w:r>
        <w:rPr>
          <w:rFonts w:cs="Arial" w:ascii="Calibri" w:hAnsi="Calibri"/>
          <w:color w:val="000000" w:themeColor="text1"/>
          <w:sz w:val="24"/>
          <w:szCs w:val="24"/>
        </w:rPr>
        <w:t>A tentativa de burla será verificada por meio dos vínculos societários, linhas de fornecimento similares, dentre outros.</w:t>
      </w:r>
    </w:p>
    <w:p>
      <w:pPr>
        <w:pStyle w:val="ListParagraph"/>
        <w:numPr>
          <w:ilvl w:val="4"/>
          <w:numId w:val="1"/>
        </w:numPr>
        <w:spacing w:lineRule="auto" w:line="276" w:before="120" w:after="120"/>
        <w:ind w:left="709" w:hanging="364"/>
        <w:contextualSpacing/>
        <w:jc w:val="both"/>
        <w:rPr/>
      </w:pPr>
      <w:r>
        <w:rPr>
          <w:rFonts w:cs="Arial" w:ascii="Calibri" w:hAnsi="Calibri"/>
          <w:color w:val="000000" w:themeColor="text1"/>
          <w:sz w:val="24"/>
          <w:szCs w:val="24"/>
        </w:rPr>
        <w:t>O fornecedor será convocado para manifestação previamente à sua desclassificação</w:t>
      </w:r>
    </w:p>
    <w:p>
      <w:pPr>
        <w:pStyle w:val="ListParagraph"/>
        <w:numPr>
          <w:ilvl w:val="2"/>
          <w:numId w:val="1"/>
        </w:numPr>
        <w:spacing w:lineRule="auto" w:line="276" w:before="120" w:after="120"/>
        <w:ind w:left="709" w:hanging="364"/>
        <w:contextualSpacing/>
        <w:jc w:val="both"/>
        <w:rPr/>
      </w:pPr>
      <w:r>
        <w:rPr>
          <w:rFonts w:cs="Arial" w:ascii="Calibri" w:hAnsi="Calibri"/>
          <w:color w:val="000000" w:themeColor="text1"/>
          <w:sz w:val="24"/>
          <w:szCs w:val="24"/>
        </w:rPr>
        <w:t>Constatada a existência de sanção, o fornecedor será reputado inabilitado, por falta de condição de participação.</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rPr>
        <w:t xml:space="preserve">Caso atendidas as condições de participação, </w:t>
      </w:r>
      <w:r>
        <w:rPr>
          <w:rFonts w:cs="Arial" w:ascii="Calibri" w:hAnsi="Calibri"/>
          <w:sz w:val="24"/>
          <w:szCs w:val="24"/>
        </w:rPr>
        <w:t>a habilitação dos fornecedores será verificada por meio do SICAF, nos documentos por ele abrangidos</w:t>
      </w:r>
      <w:r>
        <w:rPr>
          <w:rFonts w:cs="Arial" w:ascii="Calibri" w:hAnsi="Calibri"/>
          <w:color w:val="000000" w:themeColor="text1"/>
          <w:sz w:val="24"/>
          <w:szCs w:val="24"/>
        </w:rPr>
        <w:t>.</w:t>
      </w:r>
    </w:p>
    <w:p>
      <w:pPr>
        <w:pStyle w:val="ListParagraph"/>
        <w:numPr>
          <w:ilvl w:val="2"/>
          <w:numId w:val="1"/>
        </w:numPr>
        <w:spacing w:lineRule="auto" w:line="276" w:before="120" w:after="120"/>
        <w:ind w:left="709" w:hanging="364"/>
        <w:contextualSpacing/>
        <w:jc w:val="both"/>
        <w:rPr/>
      </w:pPr>
      <w:r>
        <w:rPr>
          <w:rFonts w:cs="Arial" w:ascii="Calibri" w:hAnsi="Calibri"/>
          <w:color w:val="000000" w:themeColor="text1"/>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ind w:left="709" w:hanging="364"/>
        <w:contextualSpacing/>
        <w:jc w:val="both"/>
        <w:rPr/>
      </w:pPr>
      <w:r>
        <w:rPr>
          <w:rFonts w:cs="Arial" w:ascii="Calibri" w:hAnsi="Calibri"/>
          <w:color w:val="000000" w:themeColor="text1"/>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para endereço </w:t>
      </w:r>
      <w:hyperlink r:id="rId6">
        <w:r>
          <w:rPr>
            <w:rStyle w:val="LinkdaInternet"/>
            <w:rFonts w:cs="Arial" w:ascii="Calibri" w:hAnsi="Calibri"/>
            <w:b/>
            <w:bCs/>
            <w:color w:val="0000FF"/>
            <w:sz w:val="24"/>
            <w:szCs w:val="24"/>
            <w:u w:val="none" w:color="0000FF"/>
          </w:rPr>
          <w:t>salc.raj@hotmail.com</w:t>
        </w:r>
      </w:hyperlink>
      <w:r>
        <w:rPr>
          <w:rFonts w:cs="Arial" w:ascii="Calibri" w:hAnsi="Calibri"/>
          <w:color w:val="000000" w:themeColor="text1"/>
          <w:sz w:val="24"/>
          <w:szCs w:val="24"/>
        </w:rPr>
        <w:t>, sob pena de inabilitação.</w:t>
      </w:r>
    </w:p>
    <w:p>
      <w:pPr>
        <w:pStyle w:val="ListParagraph"/>
        <w:numPr>
          <w:ilvl w:val="1"/>
          <w:numId w:val="1"/>
        </w:numPr>
        <w:spacing w:lineRule="auto" w:line="276" w:before="120" w:after="120"/>
        <w:ind w:left="709" w:hanging="364"/>
        <w:contextualSpacing/>
        <w:jc w:val="both"/>
        <w:rPr/>
      </w:pPr>
      <w:r>
        <w:rPr>
          <w:rFonts w:cs="Arial" w:ascii="Calibri" w:hAnsi="Calibri"/>
          <w:color w:val="000000" w:themeColor="text1"/>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09" w:hanging="364"/>
        <w:contextualSpacing/>
        <w:jc w:val="both"/>
        <w:rPr/>
      </w:pPr>
      <w:r>
        <w:rPr>
          <w:rFonts w:cs="Arial" w:ascii="Calibri" w:hAnsi="Calibri"/>
          <w:bCs/>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09" w:hanging="364"/>
        <w:contextualSpacing/>
        <w:jc w:val="both"/>
        <w:rPr>
          <w:rFonts w:ascii="Calibri" w:hAnsi="Calibri"/>
          <w:sz w:val="24"/>
          <w:szCs w:val="24"/>
        </w:rPr>
      </w:pPr>
      <w:r>
        <w:rPr>
          <w:rFonts w:cs="Arial" w:ascii="Calibri" w:hAnsi="Calibri"/>
          <w:bCs/>
          <w:sz w:val="24"/>
          <w:szCs w:val="24"/>
        </w:rPr>
        <w:t xml:space="preserve">Havendo </w:t>
      </w:r>
      <w:r>
        <w:rPr>
          <w:rFonts w:cs="Arial" w:ascii="Calibri" w:hAnsi="Calibri"/>
          <w:iCs/>
          <w:sz w:val="24"/>
          <w:szCs w:val="24"/>
          <w:lang w:eastAsia="en-US"/>
        </w:rPr>
        <w:t>necessidade</w:t>
      </w:r>
      <w:r>
        <w:rPr>
          <w:rFonts w:cs="Arial" w:ascii="Calibri" w:hAnsi="Calibri"/>
          <w:bCs/>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09" w:hanging="364"/>
        <w:contextualSpacing/>
        <w:jc w:val="both"/>
        <w:rPr/>
      </w:pPr>
      <w:r>
        <w:rPr>
          <w:rFonts w:cs="Arial" w:ascii="Calibri" w:hAnsi="Calibri"/>
          <w:color w:val="000000"/>
          <w:sz w:val="24"/>
          <w:szCs w:val="24"/>
        </w:rPr>
        <w:t xml:space="preserve">Será inabilitado o fornecedor que não comprovar sua habilitação, seja por não apresentar </w:t>
      </w:r>
      <w:r>
        <w:rPr>
          <w:rFonts w:cs="Arial" w:ascii="Calibri" w:hAnsi="Calibri"/>
          <w:iCs/>
          <w:sz w:val="24"/>
          <w:szCs w:val="24"/>
          <w:lang w:eastAsia="en-US"/>
        </w:rPr>
        <w:t>quaisquer</w:t>
      </w:r>
      <w:r>
        <w:rPr>
          <w:rFonts w:cs="Arial" w:ascii="Calibri" w:hAnsi="Calibri"/>
          <w:color w:val="000000"/>
          <w:sz w:val="24"/>
          <w:szCs w:val="24"/>
        </w:rPr>
        <w:t xml:space="preserve"> dos </w:t>
      </w:r>
      <w:r>
        <w:rPr>
          <w:rFonts w:cs="Arial" w:ascii="Calibri" w:hAnsi="Calibri"/>
          <w:bCs/>
          <w:sz w:val="24"/>
          <w:szCs w:val="24"/>
        </w:rPr>
        <w:t>documentos</w:t>
      </w:r>
      <w:r>
        <w:rPr>
          <w:rFonts w:cs="Arial" w:ascii="Calibri" w:hAnsi="Calibri"/>
          <w:color w:val="000000"/>
          <w:sz w:val="24"/>
          <w:szCs w:val="24"/>
        </w:rPr>
        <w:t xml:space="preserve"> exigidos, ou apresentá-los em desacordo com o estabelecido neste Aviso de Contratação Direta.</w:t>
      </w:r>
    </w:p>
    <w:p>
      <w:pPr>
        <w:pStyle w:val="ListParagraph"/>
        <w:numPr>
          <w:ilvl w:val="2"/>
          <w:numId w:val="1"/>
        </w:numPr>
        <w:spacing w:lineRule="auto" w:line="276" w:before="120" w:after="120"/>
        <w:ind w:left="709" w:hanging="364"/>
        <w:contextualSpacing/>
        <w:jc w:val="both"/>
        <w:rPr/>
      </w:pPr>
      <w:r>
        <w:rPr>
          <w:rFonts w:cs="Arial" w:ascii="Calibri" w:hAnsi="Calibri"/>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09" w:hanging="364"/>
        <w:contextualSpacing/>
        <w:jc w:val="both"/>
        <w:rPr/>
      </w:pPr>
      <w:r>
        <w:rPr>
          <w:rFonts w:cs="Arial" w:ascii="Calibri" w:hAnsi="Calibri"/>
          <w:iCs/>
          <w:sz w:val="24"/>
          <w:szCs w:val="24"/>
          <w:lang w:eastAsia="en-US"/>
        </w:rPr>
        <w:t>Constatado o atendimento às exigências de habilitação, o fornecedor será habilitado</w:t>
      </w:r>
    </w:p>
    <w:p>
      <w:pPr>
        <w:pStyle w:val="PADRO"/>
        <w:widowControl/>
        <w:numPr>
          <w:ilvl w:val="0"/>
          <w:numId w:val="1"/>
        </w:numPr>
        <w:shd w:val="clear" w:color="auto" w:fill="auto"/>
        <w:spacing w:before="120" w:after="120"/>
        <w:ind w:left="709" w:hanging="364"/>
        <w:jc w:val="both"/>
        <w:rPr/>
      </w:pPr>
      <w:r>
        <w:rPr>
          <w:rFonts w:cs="Arial" w:ascii="Calibri" w:hAnsi="Calibri"/>
          <w:b/>
          <w:sz w:val="24"/>
          <w:szCs w:val="24"/>
        </w:rPr>
        <w:t>CONTRATAÇÃO</w:t>
      </w:r>
    </w:p>
    <w:p>
      <w:pPr>
        <w:pStyle w:val="Normal"/>
        <w:numPr>
          <w:ilvl w:val="1"/>
          <w:numId w:val="1"/>
        </w:numPr>
        <w:spacing w:lineRule="auto" w:line="276" w:before="120" w:after="120"/>
        <w:ind w:left="709" w:hanging="364"/>
        <w:jc w:val="both"/>
        <w:rPr/>
      </w:pPr>
      <w:r>
        <w:rPr>
          <w:rFonts w:eastAsia="Arial" w:cs="Arial" w:ascii="Calibri" w:hAnsi="Calibri"/>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709" w:hanging="364"/>
        <w:jc w:val="both"/>
        <w:rPr/>
      </w:pPr>
      <w:r>
        <w:rPr>
          <w:rFonts w:eastAsia="Arial" w:cs="Arial" w:ascii="Calibri" w:hAnsi="Calibri"/>
          <w:color w:val="000000"/>
          <w:sz w:val="24"/>
          <w:szCs w:val="24"/>
        </w:rPr>
        <w:t xml:space="preserve">O adjudicatário terá o prazo de 02 </w:t>
      </w:r>
      <w:r>
        <w:rPr>
          <w:rFonts w:eastAsia="Arial" w:cs="Arial" w:ascii="Calibri" w:hAnsi="Calibri"/>
          <w:color w:val="FF0000"/>
          <w:sz w:val="24"/>
          <w:szCs w:val="24"/>
        </w:rPr>
        <w:t>(dois) dias úteis</w:t>
      </w:r>
      <w:r>
        <w:rPr>
          <w:rFonts w:eastAsia="Arial" w:cs="Arial" w:ascii="Calibri" w:hAnsi="Calibri"/>
          <w:color w:val="000000"/>
          <w:sz w:val="24"/>
          <w:szCs w:val="24"/>
        </w:rPr>
        <w:t xml:space="preserve">, contados a partir da data de sua convocação, para </w:t>
      </w:r>
      <w:r>
        <w:rPr>
          <w:rFonts w:eastAsia="Arial" w:cs="Arial" w:ascii="Calibri" w:hAnsi="Calibri"/>
          <w:color w:val="FF0000"/>
          <w:sz w:val="24"/>
          <w:szCs w:val="24"/>
        </w:rPr>
        <w:t xml:space="preserve">assinar o Termo de Contrato ou aceitar instrumento equivalente, conforme o caso (Nota de Empenho/Carta Contrato/Autorização), </w:t>
      </w:r>
      <w:r>
        <w:rPr>
          <w:rFonts w:eastAsia="Arial" w:cs="Arial" w:ascii="Calibri" w:hAnsi="Calibri"/>
          <w:color w:val="000000"/>
          <w:sz w:val="24"/>
          <w:szCs w:val="24"/>
        </w:rPr>
        <w:t xml:space="preserve">sob pena de decair do direito à contratação, sem prejuízo das sanções previstas neste Aviso de Contratação Direta. </w:t>
      </w:r>
    </w:p>
    <w:p>
      <w:pPr>
        <w:pStyle w:val="Normal"/>
        <w:numPr>
          <w:ilvl w:val="2"/>
          <w:numId w:val="1"/>
        </w:numPr>
        <w:spacing w:lineRule="auto" w:line="276" w:before="120" w:after="120"/>
        <w:ind w:left="709" w:hanging="364"/>
        <w:jc w:val="both"/>
        <w:rPr/>
      </w:pPr>
      <w:r>
        <w:rPr>
          <w:rFonts w:eastAsia="Arial" w:cs="Arial" w:ascii="Calibri" w:hAnsi="Calibri"/>
          <w:i/>
          <w:color w:val="FF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utéis, a contar da data de seu recebimento. </w:t>
      </w:r>
    </w:p>
    <w:p>
      <w:pPr>
        <w:pStyle w:val="Normal"/>
        <w:numPr>
          <w:ilvl w:val="2"/>
          <w:numId w:val="1"/>
        </w:numPr>
        <w:spacing w:lineRule="auto" w:line="276" w:before="120" w:after="120"/>
        <w:ind w:left="709" w:hanging="364"/>
        <w:jc w:val="both"/>
        <w:rPr/>
      </w:pPr>
      <w:r>
        <w:rPr>
          <w:rFonts w:eastAsia="Arial" w:cs="Arial" w:ascii="Calibri" w:hAnsi="Calibri"/>
          <w:color w:val="000000"/>
          <w:sz w:val="24"/>
          <w:szCs w:val="24"/>
        </w:rPr>
        <w:t xml:space="preserve">O prazo previsto para assinatura do contrato ou aceitação da nota de empenho ou instrumento equivalente poderá ser prorrogado </w:t>
      </w:r>
      <w:r>
        <w:rPr>
          <w:rFonts w:cs="Times New Roman" w:ascii="Calibri" w:hAnsi="Calibri"/>
          <w:bCs/>
          <w:sz w:val="24"/>
          <w:szCs w:val="24"/>
        </w:rPr>
        <w:t>1 (uma) vez</w:t>
      </w:r>
      <w:r>
        <w:rPr>
          <w:rFonts w:eastAsia="Arial" w:cs="Arial" w:ascii="Calibri" w:hAnsi="Calibri"/>
          <w:sz w:val="24"/>
          <w:szCs w:val="24"/>
        </w:rPr>
        <w:t xml:space="preserve">, </w:t>
      </w:r>
      <w:r>
        <w:rPr>
          <w:rFonts w:eastAsia="Arial" w:cs="Arial" w:ascii="Calibri" w:hAnsi="Calibri"/>
          <w:color w:val="000000"/>
          <w:sz w:val="24"/>
          <w:szCs w:val="24"/>
        </w:rPr>
        <w:t>por igual período, por solicitação justificada do adjudicatário e aceita pela Administração.</w:t>
      </w:r>
    </w:p>
    <w:p>
      <w:pPr>
        <w:pStyle w:val="Normal"/>
        <w:numPr>
          <w:ilvl w:val="1"/>
          <w:numId w:val="1"/>
        </w:numPr>
        <w:spacing w:lineRule="auto" w:line="276" w:before="120" w:after="120"/>
        <w:ind w:left="709" w:hanging="364"/>
        <w:jc w:val="both"/>
        <w:rPr/>
      </w:pPr>
      <w:r>
        <w:rPr>
          <w:rFonts w:eastAsia="Arial" w:cs="Arial" w:ascii="Calibri" w:hAnsi="Calibri"/>
          <w:i/>
          <w:color w:val="FF0000"/>
          <w:sz w:val="24"/>
          <w:szCs w:val="24"/>
        </w:rPr>
        <w:t>O Aceite da Nota de Empenho ou do instrumento equivalente, emitida à empresa adjudicada, implica no reconhecimento de que:</w:t>
      </w:r>
    </w:p>
    <w:p>
      <w:pPr>
        <w:pStyle w:val="Normal"/>
        <w:numPr>
          <w:ilvl w:val="2"/>
          <w:numId w:val="1"/>
        </w:numPr>
        <w:spacing w:lineRule="auto" w:line="276" w:before="120" w:after="120"/>
        <w:ind w:left="709" w:hanging="364"/>
        <w:jc w:val="both"/>
        <w:rPr/>
      </w:pPr>
      <w:r>
        <w:rPr>
          <w:rFonts w:eastAsia="Arial" w:cs="Arial" w:ascii="Calibri" w:hAnsi="Calibri"/>
          <w:i/>
          <w:color w:val="FF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76" w:before="120" w:after="120"/>
        <w:ind w:left="709" w:hanging="364"/>
        <w:jc w:val="both"/>
        <w:rPr/>
      </w:pPr>
      <w:r>
        <w:rPr>
          <w:rFonts w:eastAsia="Arial" w:cs="Arial" w:ascii="Calibri" w:hAnsi="Calibri"/>
          <w:i/>
          <w:color w:val="FF0000"/>
          <w:sz w:val="24"/>
          <w:szCs w:val="24"/>
        </w:rPr>
        <w:t>a contratada se vincula à sua proposta e às previsões contidas no Aviso de Contratação Direta e seus anexos;</w:t>
      </w:r>
    </w:p>
    <w:p>
      <w:pPr>
        <w:pStyle w:val="Normal"/>
        <w:numPr>
          <w:ilvl w:val="2"/>
          <w:numId w:val="1"/>
        </w:numPr>
        <w:spacing w:lineRule="auto" w:line="276" w:before="120" w:after="120"/>
        <w:ind w:left="709" w:hanging="364"/>
        <w:jc w:val="both"/>
        <w:rPr/>
      </w:pPr>
      <w:r>
        <w:rPr>
          <w:rFonts w:eastAsia="Arial" w:cs="Arial" w:ascii="Calibri" w:hAnsi="Calibri"/>
          <w:i/>
          <w:color w:val="FF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709" w:hanging="364"/>
        <w:jc w:val="both"/>
        <w:rPr>
          <w:rFonts w:ascii="Calibri" w:hAnsi="Calibri"/>
          <w:sz w:val="24"/>
          <w:szCs w:val="24"/>
        </w:rPr>
      </w:pPr>
      <w:r>
        <w:rPr>
          <w:rFonts w:eastAsia="Arial" w:cs="Arial" w:ascii="Calibri" w:hAnsi="Calibri"/>
          <w:color w:val="000000"/>
          <w:sz w:val="24"/>
          <w:szCs w:val="24"/>
        </w:rPr>
        <w:t xml:space="preserve">O prazo de vigência da contratação é de 90 (noventa) dias prorrogáveis conforme previsão nos anexos a este Aviso de Contratação Direta. </w:t>
      </w:r>
    </w:p>
    <w:p>
      <w:pPr>
        <w:pStyle w:val="Normal"/>
        <w:numPr>
          <w:ilvl w:val="1"/>
          <w:numId w:val="1"/>
        </w:numPr>
        <w:spacing w:lineRule="auto" w:line="276" w:before="120" w:after="120"/>
        <w:ind w:left="709" w:hanging="364"/>
        <w:jc w:val="both"/>
        <w:rPr/>
      </w:pPr>
      <w:r>
        <w:rPr>
          <w:rFonts w:cs="Arial" w:ascii="Calibri" w:hAnsi="Calibri"/>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pPr>
        <w:pStyle w:val="PADRO"/>
        <w:widowControl/>
        <w:numPr>
          <w:ilvl w:val="0"/>
          <w:numId w:val="1"/>
        </w:numPr>
        <w:shd w:val="clear" w:color="auto" w:fill="auto"/>
        <w:spacing w:before="120" w:after="120"/>
        <w:ind w:left="709" w:hanging="364"/>
        <w:jc w:val="both"/>
        <w:rPr/>
      </w:pPr>
      <w:r>
        <w:rPr>
          <w:rFonts w:cs="Arial" w:ascii="Calibri" w:hAnsi="Calibri"/>
          <w:b/>
          <w:sz w:val="24"/>
          <w:szCs w:val="24"/>
        </w:rPr>
        <w:t>SANÇÕES</w:t>
      </w:r>
    </w:p>
    <w:p>
      <w:pPr>
        <w:pStyle w:val="Normal"/>
        <w:numPr>
          <w:ilvl w:val="1"/>
          <w:numId w:val="1"/>
        </w:numPr>
        <w:spacing w:lineRule="auto" w:line="276" w:before="120" w:after="120"/>
        <w:ind w:left="709" w:hanging="364"/>
        <w:jc w:val="both"/>
        <w:rPr/>
      </w:pPr>
      <w:r>
        <w:rPr>
          <w:rFonts w:cs="Arial" w:ascii="Calibri" w:hAnsi="Calibri"/>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ind w:left="709" w:hanging="364"/>
        <w:jc w:val="both"/>
        <w:rPr/>
      </w:pPr>
      <w:r>
        <w:rPr>
          <w:rFonts w:cs="Arial" w:ascii="Calibri" w:hAnsi="Calibri"/>
          <w:color w:val="000000"/>
          <w:sz w:val="24"/>
          <w:szCs w:val="24"/>
        </w:rPr>
        <w:t>dar causa à inexecução parcial do contrato</w:t>
      </w:r>
      <w:r>
        <w:rPr>
          <w:rFonts w:cs="Arial" w:ascii="Calibri" w:hAnsi="Calibri"/>
          <w:sz w:val="24"/>
          <w:szCs w:val="24"/>
        </w:rPr>
        <w:t>;</w:t>
      </w:r>
    </w:p>
    <w:p>
      <w:pPr>
        <w:pStyle w:val="Normal"/>
        <w:numPr>
          <w:ilvl w:val="2"/>
          <w:numId w:val="1"/>
        </w:numPr>
        <w:spacing w:lineRule="auto" w:line="276" w:before="120" w:after="120"/>
        <w:ind w:left="709" w:hanging="364"/>
        <w:jc w:val="both"/>
        <w:rPr/>
      </w:pPr>
      <w:r>
        <w:rPr>
          <w:rFonts w:cs="Arial" w:ascii="Calibri" w:hAnsi="Calibri"/>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ind w:left="709" w:hanging="364"/>
        <w:jc w:val="both"/>
        <w:rPr/>
      </w:pPr>
      <w:r>
        <w:rPr>
          <w:rFonts w:cs="Arial" w:ascii="Calibri" w:hAnsi="Calibri"/>
          <w:color w:val="000000"/>
          <w:sz w:val="24"/>
          <w:szCs w:val="24"/>
        </w:rPr>
        <w:t>dar causa à inexecução total do contrato;</w:t>
      </w:r>
    </w:p>
    <w:p>
      <w:pPr>
        <w:pStyle w:val="Normal"/>
        <w:numPr>
          <w:ilvl w:val="2"/>
          <w:numId w:val="1"/>
        </w:numPr>
        <w:spacing w:lineRule="auto" w:line="276" w:before="120" w:after="120"/>
        <w:ind w:left="709" w:hanging="364"/>
        <w:jc w:val="both"/>
        <w:rPr/>
      </w:pPr>
      <w:r>
        <w:rPr>
          <w:rFonts w:cs="Arial" w:ascii="Calibri" w:hAnsi="Calibri"/>
          <w:color w:val="000000"/>
          <w:sz w:val="24"/>
          <w:szCs w:val="24"/>
        </w:rPr>
        <w:t>deixar de entregar a documentação exigida para o certame;</w:t>
      </w:r>
    </w:p>
    <w:p>
      <w:pPr>
        <w:pStyle w:val="Normal"/>
        <w:numPr>
          <w:ilvl w:val="2"/>
          <w:numId w:val="1"/>
        </w:numPr>
        <w:spacing w:lineRule="auto" w:line="276" w:before="120" w:after="120"/>
        <w:ind w:left="709" w:hanging="364"/>
        <w:jc w:val="both"/>
        <w:rPr/>
      </w:pPr>
      <w:r>
        <w:rPr>
          <w:rFonts w:cs="Arial" w:ascii="Calibri" w:hAnsi="Calibri"/>
          <w:color w:val="000000"/>
          <w:sz w:val="24"/>
          <w:szCs w:val="24"/>
        </w:rPr>
        <w:t>não manter a proposta, salvo em decorrência de fato superveniente devidamente justificado;</w:t>
      </w:r>
    </w:p>
    <w:p>
      <w:pPr>
        <w:pStyle w:val="Normal"/>
        <w:numPr>
          <w:ilvl w:val="2"/>
          <w:numId w:val="1"/>
        </w:numPr>
        <w:spacing w:lineRule="auto" w:line="276" w:before="120" w:after="120"/>
        <w:ind w:left="709" w:hanging="364"/>
        <w:jc w:val="both"/>
        <w:rPr/>
      </w:pPr>
      <w:r>
        <w:rPr>
          <w:rFonts w:cs="Arial" w:ascii="Calibri" w:hAnsi="Calibri"/>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ind w:left="709" w:hanging="364"/>
        <w:jc w:val="both"/>
        <w:rPr/>
      </w:pPr>
      <w:r>
        <w:rPr>
          <w:rFonts w:cs="Arial" w:ascii="Calibri" w:hAnsi="Calibri"/>
          <w:color w:val="000000"/>
          <w:sz w:val="24"/>
          <w:szCs w:val="24"/>
        </w:rPr>
        <w:t> </w:t>
      </w:r>
      <w:r>
        <w:rPr>
          <w:rFonts w:cs="Arial" w:ascii="Calibri" w:hAnsi="Calibri"/>
          <w:color w:val="000000"/>
          <w:sz w:val="24"/>
          <w:szCs w:val="24"/>
        </w:rPr>
        <w:t>ensejar o retardamento da execução ou da entrega do objeto da licitação sem motivo justificado;</w:t>
      </w:r>
    </w:p>
    <w:p>
      <w:pPr>
        <w:pStyle w:val="Normal"/>
        <w:numPr>
          <w:ilvl w:val="2"/>
          <w:numId w:val="1"/>
        </w:numPr>
        <w:spacing w:lineRule="auto" w:line="276" w:before="120" w:after="120"/>
        <w:ind w:left="709" w:hanging="364"/>
        <w:jc w:val="both"/>
        <w:rPr/>
      </w:pPr>
      <w:r>
        <w:rPr>
          <w:rFonts w:cs="Arial" w:ascii="Calibri" w:hAnsi="Calibri"/>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ind w:left="709" w:hanging="364"/>
        <w:jc w:val="both"/>
        <w:rPr/>
      </w:pPr>
      <w:r>
        <w:rPr>
          <w:rFonts w:cs="Arial" w:ascii="Calibri" w:hAnsi="Calibri"/>
          <w:color w:val="000000"/>
          <w:sz w:val="24"/>
          <w:szCs w:val="24"/>
        </w:rPr>
        <w:t>fraudar a dispensa eletrônica ou praticar ato fraudulento na execução do contrato;</w:t>
      </w:r>
    </w:p>
    <w:p>
      <w:pPr>
        <w:pStyle w:val="Normal"/>
        <w:numPr>
          <w:ilvl w:val="2"/>
          <w:numId w:val="1"/>
        </w:numPr>
        <w:spacing w:lineRule="auto" w:line="276" w:before="120" w:after="120"/>
        <w:ind w:left="709" w:hanging="364"/>
        <w:jc w:val="both"/>
        <w:rPr/>
      </w:pPr>
      <w:r>
        <w:rPr>
          <w:rFonts w:cs="Arial" w:ascii="Calibri" w:hAnsi="Calibri"/>
          <w:color w:val="000000"/>
          <w:sz w:val="24"/>
          <w:szCs w:val="24"/>
        </w:rPr>
        <w:t> </w:t>
      </w:r>
      <w:r>
        <w:rPr>
          <w:rFonts w:cs="Arial" w:ascii="Calibri" w:hAnsi="Calibri"/>
          <w:color w:val="000000"/>
          <w:sz w:val="24"/>
          <w:szCs w:val="24"/>
        </w:rPr>
        <w:t>comportar-se de modo inidôneo ou cometer fraude de qualquer natureza;</w:t>
      </w:r>
    </w:p>
    <w:p>
      <w:pPr>
        <w:pStyle w:val="ListParagraph"/>
        <w:numPr>
          <w:ilvl w:val="3"/>
          <w:numId w:val="1"/>
        </w:numPr>
        <w:spacing w:lineRule="auto" w:line="276" w:before="120" w:after="120"/>
        <w:ind w:left="709" w:hanging="364"/>
        <w:contextualSpacing/>
        <w:jc w:val="both"/>
        <w:rPr/>
      </w:pPr>
      <w:r>
        <w:rPr>
          <w:rFonts w:cs="Arial" w:ascii="Calibri" w:hAnsi="Calibri"/>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ind w:left="709" w:hanging="364"/>
        <w:jc w:val="both"/>
        <w:rPr/>
      </w:pPr>
      <w:r>
        <w:rPr>
          <w:rFonts w:cs="Arial" w:ascii="Calibri" w:hAnsi="Calibri"/>
          <w:color w:val="000000"/>
          <w:sz w:val="24"/>
          <w:szCs w:val="24"/>
        </w:rPr>
        <w:t> </w:t>
      </w:r>
      <w:r>
        <w:rPr>
          <w:rFonts w:cs="Arial" w:ascii="Calibri" w:hAnsi="Calibri"/>
          <w:color w:val="000000"/>
          <w:sz w:val="24"/>
          <w:szCs w:val="24"/>
        </w:rPr>
        <w:t>praticar atos ilícitos com vistas a frustrar os objetivos deste certame.</w:t>
      </w:r>
    </w:p>
    <w:p>
      <w:pPr>
        <w:pStyle w:val="Normal"/>
        <w:numPr>
          <w:ilvl w:val="2"/>
          <w:numId w:val="1"/>
        </w:numPr>
        <w:spacing w:lineRule="auto" w:line="276" w:before="120" w:after="120"/>
        <w:ind w:left="709" w:hanging="364"/>
        <w:jc w:val="both"/>
        <w:rPr/>
      </w:pPr>
      <w:r>
        <w:rPr>
          <w:rFonts w:cs="Arial" w:ascii="Calibri" w:hAnsi="Calibri"/>
          <w:color w:val="000000"/>
          <w:sz w:val="24"/>
          <w:szCs w:val="24"/>
        </w:rPr>
        <w:t>praticar ato lesivo previsto no </w:t>
      </w:r>
      <w:r>
        <w:fldChar w:fldCharType="begin"/>
      </w:r>
      <w:r>
        <w:rPr>
          <w:rStyle w:val="LinkdaInternet"/>
          <w:sz w:val="24"/>
          <w:szCs w:val="24"/>
          <w:rFonts w:ascii="Calibri" w:hAnsi="Calibri"/>
          <w:color w:val="000000"/>
        </w:rPr>
        <w:instrText xml:space="preserve"> HYPERLINK "http://www.planalto.gov.br/ccivil_03/_Ato2011-2014/2013/Lei/L12846.htm" \l "art5"</w:instrText>
      </w:r>
      <w:r>
        <w:rPr>
          <w:rStyle w:val="LinkdaInternet"/>
          <w:sz w:val="24"/>
          <w:szCs w:val="24"/>
          <w:rFonts w:ascii="Calibri" w:hAnsi="Calibri"/>
          <w:color w:val="000000"/>
        </w:rPr>
        <w:fldChar w:fldCharType="separate"/>
      </w:r>
      <w:r>
        <w:rPr>
          <w:rStyle w:val="LinkdaInternet"/>
          <w:rFonts w:ascii="Calibri" w:hAnsi="Calibri"/>
          <w:color w:val="000000"/>
          <w:sz w:val="24"/>
          <w:szCs w:val="24"/>
        </w:rPr>
        <w:t>art. 5º da Lei nº 12.846, de 1º de agosto de 2013.</w:t>
      </w:r>
      <w:r>
        <w:rPr>
          <w:rStyle w:val="LinkdaInternet"/>
          <w:sz w:val="24"/>
          <w:szCs w:val="24"/>
          <w:rFonts w:ascii="Calibri" w:hAnsi="Calibri"/>
          <w:color w:val="000000"/>
        </w:rPr>
        <w:fldChar w:fldCharType="end"/>
      </w:r>
    </w:p>
    <w:p>
      <w:pPr>
        <w:pStyle w:val="Normal"/>
        <w:numPr>
          <w:ilvl w:val="1"/>
          <w:numId w:val="1"/>
        </w:numPr>
        <w:spacing w:lineRule="auto" w:line="276" w:before="120" w:after="120"/>
        <w:ind w:left="709" w:hanging="364"/>
        <w:jc w:val="both"/>
        <w:rPr/>
      </w:pPr>
      <w:r>
        <w:rPr>
          <w:rFonts w:cs="Arial" w:ascii="Calibri" w:hAnsi="Calibri"/>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ind w:left="709" w:hanging="364"/>
        <w:jc w:val="both"/>
        <w:rPr/>
      </w:pPr>
      <w:r>
        <w:rPr>
          <w:rFonts w:cs="Arial" w:ascii="Calibri" w:hAnsi="Calibri"/>
          <w:sz w:val="24"/>
          <w:szCs w:val="24"/>
        </w:rPr>
        <w:t>Advertência pela falta do subitem 8.1.1 deste Aviso de Contratação Direta,quando não se justificar a imposição de penalidade mais grave;</w:t>
      </w:r>
    </w:p>
    <w:p>
      <w:pPr>
        <w:pStyle w:val="Normal"/>
        <w:numPr>
          <w:ilvl w:val="2"/>
          <w:numId w:val="5"/>
        </w:numPr>
        <w:spacing w:lineRule="auto" w:line="276" w:before="120" w:after="120"/>
        <w:ind w:left="709" w:hanging="364"/>
        <w:jc w:val="both"/>
        <w:rPr/>
      </w:pPr>
      <w:r>
        <w:rPr>
          <w:rFonts w:cs="Arial" w:ascii="Calibri" w:hAnsi="Calibri"/>
          <w:sz w:val="24"/>
          <w:szCs w:val="24"/>
        </w:rPr>
        <w:t xml:space="preserve">Multa de </w:t>
      </w:r>
      <w:r>
        <w:rPr>
          <w:rFonts w:cs="Arial" w:ascii="Calibri" w:hAnsi="Calibri"/>
          <w:color w:val="FF0000"/>
          <w:sz w:val="24"/>
          <w:szCs w:val="24"/>
        </w:rPr>
        <w:t xml:space="preserve">10% ( dez por cento) </w:t>
      </w:r>
      <w:r>
        <w:rPr>
          <w:rFonts w:cs="Arial" w:ascii="Calibri" w:hAnsi="Calibri"/>
          <w:sz w:val="24"/>
          <w:szCs w:val="24"/>
        </w:rPr>
        <w:t>sobre o valor estimado do(s) item(s) prejudicado(s) pela conduta do fornecedor, por qualquer das infrações dos subitens 8.1.1 a 8.1.12;</w:t>
      </w:r>
    </w:p>
    <w:p>
      <w:pPr>
        <w:pStyle w:val="Normal"/>
        <w:numPr>
          <w:ilvl w:val="2"/>
          <w:numId w:val="5"/>
        </w:numPr>
        <w:spacing w:lineRule="auto" w:line="276" w:before="120" w:after="120"/>
        <w:ind w:left="709" w:hanging="364"/>
        <w:jc w:val="both"/>
        <w:rPr/>
      </w:pPr>
      <w:r>
        <w:rPr>
          <w:rFonts w:cs="Arial" w:ascii="Calibri" w:hAnsi="Calibri"/>
          <w:color w:val="000000"/>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Calibri" w:hAnsi="Calibri"/>
          <w:sz w:val="24"/>
          <w:szCs w:val="24"/>
        </w:rPr>
        <w:t>;</w:t>
      </w:r>
    </w:p>
    <w:p>
      <w:pPr>
        <w:pStyle w:val="Normal"/>
        <w:numPr>
          <w:ilvl w:val="2"/>
          <w:numId w:val="5"/>
        </w:numPr>
        <w:spacing w:lineRule="auto" w:line="276" w:before="120" w:after="120"/>
        <w:ind w:left="709" w:hanging="364"/>
        <w:jc w:val="both"/>
        <w:rPr>
          <w:rFonts w:ascii="Calibri" w:hAnsi="Calibri"/>
          <w:sz w:val="24"/>
          <w:szCs w:val="24"/>
        </w:rPr>
      </w:pPr>
      <w:r>
        <w:rPr>
          <w:rFonts w:cs="Arial" w:ascii="Calibri" w:hAnsi="Calibri"/>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Calibri" w:hAnsi="Calibri"/>
          <w:sz w:val="24"/>
          <w:szCs w:val="24"/>
        </w:rPr>
        <w:t>;</w:t>
      </w:r>
    </w:p>
    <w:p>
      <w:pPr>
        <w:pStyle w:val="Normal"/>
        <w:numPr>
          <w:ilvl w:val="1"/>
          <w:numId w:val="1"/>
        </w:numPr>
        <w:spacing w:lineRule="auto" w:line="276" w:before="120" w:after="120"/>
        <w:ind w:left="709" w:hanging="364"/>
        <w:jc w:val="both"/>
        <w:rPr/>
      </w:pPr>
      <w:r>
        <w:rPr>
          <w:rFonts w:cs="Arial" w:ascii="Calibri" w:hAnsi="Calibri"/>
          <w:bCs/>
          <w:sz w:val="24"/>
          <w:szCs w:val="24"/>
        </w:rPr>
        <w:t>Na aplicação das sanções serão considerados:</w:t>
      </w:r>
    </w:p>
    <w:p>
      <w:pPr>
        <w:pStyle w:val="Normal"/>
        <w:numPr>
          <w:ilvl w:val="2"/>
          <w:numId w:val="1"/>
        </w:numPr>
        <w:spacing w:lineRule="auto" w:line="276" w:before="120" w:after="120"/>
        <w:ind w:left="709" w:hanging="364"/>
        <w:jc w:val="both"/>
        <w:rPr/>
      </w:pPr>
      <w:r>
        <w:rPr>
          <w:rFonts w:cs="Arial" w:ascii="Calibri" w:hAnsi="Calibri"/>
          <w:bCs/>
          <w:sz w:val="24"/>
          <w:szCs w:val="24"/>
        </w:rPr>
        <w:t>a natureza e a gravidade da infração cometida;</w:t>
      </w:r>
    </w:p>
    <w:p>
      <w:pPr>
        <w:pStyle w:val="Normal"/>
        <w:numPr>
          <w:ilvl w:val="2"/>
          <w:numId w:val="1"/>
        </w:numPr>
        <w:spacing w:lineRule="auto" w:line="276" w:before="120" w:after="120"/>
        <w:ind w:left="709" w:hanging="364"/>
        <w:jc w:val="both"/>
        <w:rPr/>
      </w:pPr>
      <w:r>
        <w:rPr>
          <w:rFonts w:cs="Arial" w:ascii="Calibri" w:hAnsi="Calibri"/>
          <w:bCs/>
          <w:sz w:val="24"/>
          <w:szCs w:val="24"/>
        </w:rPr>
        <w:t>as peculiaridades do caso concreto;</w:t>
      </w:r>
    </w:p>
    <w:p>
      <w:pPr>
        <w:pStyle w:val="Normal"/>
        <w:numPr>
          <w:ilvl w:val="2"/>
          <w:numId w:val="1"/>
        </w:numPr>
        <w:spacing w:lineRule="auto" w:line="276" w:before="120" w:after="120"/>
        <w:ind w:left="709" w:hanging="364"/>
        <w:jc w:val="both"/>
        <w:rPr/>
      </w:pPr>
      <w:r>
        <w:rPr>
          <w:rFonts w:cs="Arial" w:ascii="Calibri" w:hAnsi="Calibri"/>
          <w:bCs/>
          <w:sz w:val="24"/>
          <w:szCs w:val="24"/>
        </w:rPr>
        <w:t>as circunstâncias agravantes ou atenuantes;</w:t>
      </w:r>
    </w:p>
    <w:p>
      <w:pPr>
        <w:pStyle w:val="Normal"/>
        <w:numPr>
          <w:ilvl w:val="2"/>
          <w:numId w:val="1"/>
        </w:numPr>
        <w:spacing w:lineRule="auto" w:line="276" w:before="120" w:after="120"/>
        <w:ind w:left="709" w:hanging="364"/>
        <w:jc w:val="both"/>
        <w:rPr/>
      </w:pPr>
      <w:r>
        <w:rPr>
          <w:rFonts w:cs="Arial" w:ascii="Calibri" w:hAnsi="Calibri"/>
          <w:bCs/>
          <w:sz w:val="24"/>
          <w:szCs w:val="24"/>
        </w:rPr>
        <w:t>os danos que dela provierem para a Administração Pública;</w:t>
      </w:r>
    </w:p>
    <w:p>
      <w:pPr>
        <w:pStyle w:val="Normal"/>
        <w:numPr>
          <w:ilvl w:val="2"/>
          <w:numId w:val="1"/>
        </w:numPr>
        <w:spacing w:lineRule="auto" w:line="276" w:before="120" w:after="120"/>
        <w:ind w:left="709" w:hanging="364"/>
        <w:jc w:val="both"/>
        <w:rPr/>
      </w:pPr>
      <w:r>
        <w:rPr>
          <w:rFonts w:cs="Arial" w:ascii="Calibri" w:hAnsi="Calibri"/>
          <w:bCs/>
          <w:sz w:val="24"/>
          <w:szCs w:val="24"/>
        </w:rPr>
        <w:t>a implantação ou o aperfeiçoamento de programa de integridade, conforme normas e orientações dos órgãos de controle.</w:t>
      </w:r>
    </w:p>
    <w:p>
      <w:pPr>
        <w:pStyle w:val="Normal"/>
        <w:numPr>
          <w:ilvl w:val="1"/>
          <w:numId w:val="1"/>
        </w:numPr>
        <w:spacing w:lineRule="auto" w:line="276" w:before="120" w:after="120"/>
        <w:ind w:left="709" w:hanging="364"/>
        <w:jc w:val="both"/>
        <w:rPr/>
      </w:pPr>
      <w:bookmarkStart w:id="2" w:name="art156§8"/>
      <w:bookmarkStart w:id="3" w:name="art156§7"/>
      <w:bookmarkStart w:id="4" w:name="art156§6"/>
      <w:bookmarkEnd w:id="2"/>
      <w:bookmarkEnd w:id="3"/>
      <w:bookmarkEnd w:id="4"/>
      <w:r>
        <w:rPr>
          <w:rFonts w:cs="Arial" w:ascii="Calibri" w:hAnsi="Calibri"/>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709" w:hanging="364"/>
        <w:jc w:val="both"/>
        <w:rPr/>
      </w:pPr>
      <w:bookmarkStart w:id="5" w:name="art156§9"/>
      <w:bookmarkEnd w:id="5"/>
      <w:r>
        <w:rPr>
          <w:rFonts w:cs="Arial" w:ascii="Calibri" w:hAnsi="Calibri"/>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709" w:hanging="364"/>
        <w:jc w:val="both"/>
        <w:rPr/>
      </w:pPr>
      <w:r>
        <w:rPr>
          <w:rFonts w:cs="Arial" w:ascii="Calibri" w:hAnsi="Calibri"/>
          <w:sz w:val="24"/>
          <w:szCs w:val="24"/>
        </w:rPr>
        <w:t>A penalidade de multa pode ser aplicada cumulativamente com as demais sanções.</w:t>
      </w:r>
    </w:p>
    <w:p>
      <w:pPr>
        <w:pStyle w:val="Normal"/>
        <w:numPr>
          <w:ilvl w:val="1"/>
          <w:numId w:val="1"/>
        </w:numPr>
        <w:spacing w:lineRule="auto" w:line="276" w:before="120" w:after="120"/>
        <w:ind w:left="709" w:hanging="364"/>
        <w:jc w:val="both"/>
        <w:rPr/>
      </w:pPr>
      <w:r>
        <w:rPr>
          <w:rFonts w:cs="Arial" w:ascii="Calibri" w:hAnsi="Calibri"/>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necessário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709" w:hanging="364"/>
        <w:jc w:val="both"/>
        <w:rPr/>
      </w:pPr>
      <w:r>
        <w:rPr>
          <w:rFonts w:cs="Arial" w:ascii="Calibri" w:hAnsi="Calibri"/>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709" w:hanging="364"/>
        <w:jc w:val="both"/>
        <w:rPr/>
      </w:pPr>
      <w:r>
        <w:rPr>
          <w:rFonts w:cs="Arial" w:ascii="Calibri" w:hAnsi="Calibri"/>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709" w:hanging="364"/>
        <w:jc w:val="both"/>
        <w:rPr/>
      </w:pPr>
      <w:r>
        <w:rPr>
          <w:rFonts w:cs="Arial" w:ascii="Calibri" w:hAnsi="Calibri"/>
          <w:sz w:val="24"/>
          <w:szCs w:val="24"/>
        </w:rPr>
        <w:t>As sanções por atos praticados no decorrer da contratação estão previstas nos anexos a este Aviso.</w:t>
      </w:r>
    </w:p>
    <w:p>
      <w:pPr>
        <w:pStyle w:val="ListParagraph"/>
        <w:keepNext w:val="true"/>
        <w:numPr>
          <w:ilvl w:val="0"/>
          <w:numId w:val="1"/>
        </w:numPr>
        <w:tabs>
          <w:tab w:val="clear" w:pos="708"/>
          <w:tab w:val="left" w:pos="959" w:leader="none"/>
        </w:tabs>
        <w:spacing w:before="120" w:after="120"/>
        <w:ind w:left="709" w:hanging="364"/>
        <w:contextualSpacing/>
        <w:jc w:val="both"/>
        <w:rPr/>
      </w:pPr>
      <w:r>
        <w:rPr>
          <w:rFonts w:cs="Arial" w:ascii="Calibri" w:hAnsi="Calibri"/>
          <w:b/>
          <w:sz w:val="24"/>
          <w:szCs w:val="24"/>
        </w:rPr>
        <w:t>DO LOCAL E PRAZO PARA ENTREGA DO OBJETO</w:t>
      </w:r>
    </w:p>
    <w:p>
      <w:pPr>
        <w:pStyle w:val="ListParagraph"/>
        <w:tabs>
          <w:tab w:val="clear" w:pos="708"/>
          <w:tab w:val="left" w:pos="959" w:leader="none"/>
        </w:tabs>
        <w:spacing w:before="120" w:after="120"/>
        <w:ind w:left="709" w:hanging="364"/>
        <w:contextualSpacing/>
        <w:jc w:val="both"/>
        <w:rPr/>
      </w:pPr>
      <w:r>
        <w:rPr>
          <w:rFonts w:cs="Arial" w:ascii="Calibri" w:hAnsi="Calibri"/>
          <w:b/>
          <w:bCs/>
          <w:sz w:val="24"/>
          <w:szCs w:val="24"/>
        </w:rPr>
        <w:t>9.1</w:t>
        <w:tab/>
      </w:r>
      <w:r>
        <w:rPr>
          <w:rFonts w:cs="Arial" w:ascii="Calibri" w:hAnsi="Calibri"/>
          <w:sz w:val="24"/>
          <w:szCs w:val="24"/>
        </w:rPr>
        <w:t xml:space="preserve">Rua Alcebiades Bobadilha da Cunha, 627 – Centro –79260-000 – Bela Vista – MS Fone (67) 3439 1241 – </w:t>
      </w:r>
      <w:hyperlink r:id="rId7">
        <w:r>
          <w:rPr>
            <w:rStyle w:val="LinkdaInternet"/>
            <w:rFonts w:cs="Arial" w:ascii="Calibri" w:hAnsi="Calibri"/>
            <w:sz w:val="24"/>
            <w:szCs w:val="24"/>
          </w:rPr>
          <w:t>salc.raj@hotmail.com</w:t>
        </w:r>
      </w:hyperlink>
      <w:r>
        <w:rPr>
          <w:rStyle w:val="LinkdaInternet"/>
          <w:rFonts w:cs="Arial" w:ascii="Calibri" w:hAnsi="Calibri"/>
          <w:sz w:val="24"/>
          <w:szCs w:val="24"/>
          <w:u w:val="none"/>
        </w:rPr>
        <w:t>.</w:t>
      </w:r>
      <w:r>
        <w:rPr>
          <w:rFonts w:cs="Arial" w:ascii="Calibri" w:hAnsi="Calibri"/>
          <w:sz w:val="24"/>
          <w:szCs w:val="24"/>
        </w:rPr>
        <w:t xml:space="preserve"> O prazo de entrega não poderá ser superior a 30 (trinta) dias corridos, a partir do recebimento da NOTA DE EMPENHO pela CONTRATADA.</w:t>
      </w:r>
    </w:p>
    <w:p>
      <w:pPr>
        <w:pStyle w:val="PADRO"/>
        <w:widowControl/>
        <w:numPr>
          <w:ilvl w:val="0"/>
          <w:numId w:val="1"/>
        </w:numPr>
        <w:shd w:val="clear" w:color="auto" w:fill="auto"/>
        <w:spacing w:before="120" w:after="120"/>
        <w:ind w:left="709" w:hanging="364"/>
        <w:jc w:val="both"/>
        <w:rPr/>
      </w:pPr>
      <w:r>
        <w:rPr>
          <w:rFonts w:cs="Arial" w:ascii="Calibri" w:hAnsi="Calibri"/>
          <w:b/>
          <w:sz w:val="24"/>
          <w:szCs w:val="24"/>
        </w:rPr>
        <w:t>DAS DISPOSIÇÕES GERAIS</w:t>
      </w:r>
    </w:p>
    <w:p>
      <w:pPr>
        <w:pStyle w:val="Normal"/>
        <w:numPr>
          <w:ilvl w:val="1"/>
          <w:numId w:val="1"/>
        </w:numPr>
        <w:snapToGrid w:val="false"/>
        <w:spacing w:lineRule="auto" w:line="276" w:before="120" w:after="120"/>
        <w:ind w:left="709" w:hanging="364"/>
        <w:jc w:val="both"/>
        <w:rPr/>
      </w:pPr>
      <w:r>
        <w:rPr>
          <w:rFonts w:ascii="Calibri" w:hAnsi="Calibri"/>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709" w:hanging="364"/>
        <w:jc w:val="both"/>
        <w:rPr/>
      </w:pPr>
      <w:r>
        <w:rPr>
          <w:rFonts w:cs="Arial" w:ascii="Calibri" w:hAnsi="Calibri"/>
          <w:color w:val="000000"/>
          <w:sz w:val="24"/>
          <w:szCs w:val="24"/>
        </w:rPr>
        <w:t>No caso de todos os fornecedores restarem desclassificados ou inabilitados (procedimento fracassado), a Administração poderá:</w:t>
      </w:r>
    </w:p>
    <w:p>
      <w:pPr>
        <w:pStyle w:val="Normal"/>
        <w:numPr>
          <w:ilvl w:val="2"/>
          <w:numId w:val="1"/>
        </w:numPr>
        <w:spacing w:lineRule="auto" w:line="276" w:before="120" w:after="120"/>
        <w:ind w:left="709" w:hanging="364"/>
        <w:jc w:val="both"/>
        <w:rPr/>
      </w:pPr>
      <w:r>
        <w:rPr>
          <w:rFonts w:cs="Arial" w:ascii="Calibri" w:hAnsi="Calibri"/>
          <w:color w:val="000000"/>
          <w:sz w:val="24"/>
          <w:szCs w:val="24"/>
        </w:rPr>
        <w:t>republicar o presente aviso com uma nova data;</w:t>
      </w:r>
    </w:p>
    <w:p>
      <w:pPr>
        <w:pStyle w:val="Normal"/>
        <w:numPr>
          <w:ilvl w:val="2"/>
          <w:numId w:val="1"/>
        </w:numPr>
        <w:spacing w:lineRule="auto" w:line="276" w:before="120" w:after="120"/>
        <w:ind w:left="709" w:hanging="364"/>
        <w:jc w:val="both"/>
        <w:rPr/>
      </w:pPr>
      <w:r>
        <w:rPr>
          <w:rFonts w:cs="Arial" w:ascii="Calibri" w:hAnsi="Calibri"/>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ind w:left="709" w:hanging="364"/>
        <w:jc w:val="both"/>
        <w:rPr/>
      </w:pPr>
      <w:r>
        <w:rPr>
          <w:rFonts w:cs="Arial" w:ascii="Calibri" w:hAnsi="Calibri"/>
          <w:color w:val="000000"/>
          <w:sz w:val="24"/>
          <w:szCs w:val="24"/>
        </w:rPr>
        <w:t>No caso do subitem anterior, a contratação será operacionalizada fora deste procedimento.</w:t>
      </w:r>
    </w:p>
    <w:p>
      <w:pPr>
        <w:pStyle w:val="Normal"/>
        <w:numPr>
          <w:ilvl w:val="2"/>
          <w:numId w:val="1"/>
        </w:numPr>
        <w:spacing w:lineRule="auto" w:line="276" w:before="120" w:after="120"/>
        <w:ind w:left="709" w:hanging="364"/>
        <w:jc w:val="both"/>
        <w:rPr/>
      </w:pPr>
      <w:r>
        <w:rPr>
          <w:rFonts w:cs="Arial" w:ascii="Calibri" w:hAnsi="Calibri"/>
          <w:color w:val="000000"/>
          <w:sz w:val="24"/>
          <w:szCs w:val="24"/>
        </w:rPr>
        <w:t>fixar prazo para que possa haver adequação das propostas ou da documentação de habilitação, conforme o caso.</w:t>
      </w:r>
    </w:p>
    <w:p>
      <w:pPr>
        <w:pStyle w:val="Normal"/>
        <w:numPr>
          <w:ilvl w:val="1"/>
          <w:numId w:val="1"/>
        </w:numPr>
        <w:spacing w:lineRule="auto" w:line="276" w:before="120" w:after="120"/>
        <w:ind w:left="709" w:hanging="364"/>
        <w:jc w:val="both"/>
        <w:rPr/>
      </w:pPr>
      <w:r>
        <w:rPr>
          <w:rFonts w:cs="Arial" w:ascii="Calibri" w:hAnsi="Calibri"/>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709" w:hanging="364"/>
        <w:jc w:val="both"/>
        <w:rPr/>
      </w:pPr>
      <w:r>
        <w:rPr>
          <w:rFonts w:cs="Arial" w:ascii="Calibri" w:hAnsi="Calibri"/>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709" w:hanging="364"/>
        <w:jc w:val="both"/>
        <w:rPr/>
      </w:pPr>
      <w:r>
        <w:rPr>
          <w:rFonts w:cs="Arial" w:ascii="Calibri" w:hAnsi="Calibri"/>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709" w:hanging="364"/>
        <w:jc w:val="both"/>
        <w:rPr/>
      </w:pPr>
      <w:r>
        <w:rPr>
          <w:rFonts w:cs="Arial" w:ascii="Calibri" w:hAnsi="Calibri"/>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709" w:hanging="364"/>
        <w:jc w:val="both"/>
        <w:rPr/>
      </w:pPr>
      <w:r>
        <w:rPr>
          <w:rFonts w:cs="Arial" w:ascii="Calibri" w:hAnsi="Calibri"/>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709" w:hanging="364"/>
        <w:jc w:val="both"/>
        <w:rPr>
          <w:rFonts w:ascii="Calibri" w:hAnsi="Calibri"/>
          <w:sz w:val="24"/>
          <w:szCs w:val="24"/>
        </w:rPr>
      </w:pPr>
      <w:r>
        <w:rPr>
          <w:rFonts w:cs="Arial" w:ascii="Calibri" w:hAnsi="Calibri"/>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709" w:hanging="364"/>
        <w:jc w:val="both"/>
        <w:rPr/>
      </w:pPr>
      <w:r>
        <w:rPr>
          <w:rFonts w:cs="Arial" w:ascii="Calibri" w:hAnsi="Calibri"/>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709" w:hanging="364"/>
        <w:jc w:val="both"/>
        <w:rPr/>
      </w:pPr>
      <w:r>
        <w:rPr>
          <w:rFonts w:cs="Arial" w:ascii="Calibri" w:hAnsi="Calibri"/>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709" w:hanging="364"/>
        <w:jc w:val="both"/>
        <w:rPr/>
      </w:pPr>
      <w:r>
        <w:rPr>
          <w:rFonts w:cs="Arial" w:ascii="Calibri" w:hAnsi="Calibri"/>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709" w:hanging="364"/>
        <w:jc w:val="both"/>
        <w:rPr/>
      </w:pPr>
      <w:r>
        <w:rPr>
          <w:rFonts w:cs="Arial" w:ascii="Calibri" w:hAnsi="Calibri"/>
          <w:color w:val="000000"/>
          <w:sz w:val="24"/>
          <w:szCs w:val="24"/>
        </w:rPr>
        <w:t>Da sessão pública será divulgada Ata no sistema eletrônico.</w:t>
      </w:r>
    </w:p>
    <w:p>
      <w:pPr>
        <w:pStyle w:val="ListParagraph"/>
        <w:numPr>
          <w:ilvl w:val="1"/>
          <w:numId w:val="1"/>
        </w:numPr>
        <w:tabs>
          <w:tab w:val="clear" w:pos="708"/>
          <w:tab w:val="left" w:pos="1067" w:leader="none"/>
        </w:tabs>
        <w:spacing w:lineRule="auto" w:line="276" w:before="1" w:after="0"/>
        <w:ind w:left="709" w:hanging="364"/>
        <w:contextualSpacing/>
        <w:jc w:val="both"/>
        <w:rPr/>
      </w:pPr>
      <w:r>
        <w:rPr>
          <w:rFonts w:cs="Arial" w:ascii="Calibri" w:hAnsi="Calibri"/>
          <w:color w:val="000000"/>
          <w:sz w:val="24"/>
          <w:szCs w:val="24"/>
        </w:rPr>
        <w:t>Os esclarecimentos poderão ser dirigidos à SALC do 10º R C Mec através de e- mail (</w:t>
      </w:r>
      <w:hyperlink r:id="rId8">
        <w:r>
          <w:rPr>
            <w:rStyle w:val="LinkdaInternet"/>
            <w:rFonts w:cs="Arial" w:ascii="Calibri" w:hAnsi="Calibri"/>
            <w:color w:val="007FFF"/>
            <w:sz w:val="24"/>
            <w:szCs w:val="24"/>
            <w:u w:val="none" w:color="0000FF"/>
          </w:rPr>
          <w:t>salc.raj@hotmail.com</w:t>
        </w:r>
      </w:hyperlink>
      <w:r>
        <w:rPr>
          <w:rFonts w:cs="Arial" w:ascii="Calibri" w:hAnsi="Calibri"/>
          <w:color w:val="000000"/>
          <w:sz w:val="24"/>
          <w:szCs w:val="24"/>
        </w:rPr>
        <w:t>) ou contato telefônico 67 3439 1241).</w:t>
      </w:r>
    </w:p>
    <w:p>
      <w:pPr>
        <w:pStyle w:val="Normal"/>
        <w:spacing w:lineRule="auto" w:line="276" w:before="120" w:after="120"/>
        <w:ind w:left="709" w:hanging="364"/>
        <w:rPr>
          <w:rFonts w:ascii="Calibri" w:hAnsi="Calibri"/>
          <w:sz w:val="24"/>
          <w:szCs w:val="24"/>
        </w:rPr>
      </w:pPr>
      <w:r>
        <w:rPr>
          <w:rFonts w:cs="Arial" w:ascii="Calibri" w:hAnsi="Calibri"/>
          <w:b/>
          <w:bCs/>
          <w:color w:val="000000"/>
          <w:sz w:val="24"/>
          <w:szCs w:val="24"/>
        </w:rPr>
        <w:t>ANEXO I – Documentação exigida para Habilitação</w:t>
      </w:r>
    </w:p>
    <w:p>
      <w:pPr>
        <w:pStyle w:val="Normal"/>
        <w:ind w:left="709" w:hanging="364"/>
        <w:rPr>
          <w:rFonts w:ascii="Calibri" w:hAnsi="Calibri"/>
          <w:sz w:val="24"/>
          <w:szCs w:val="24"/>
        </w:rPr>
      </w:pPr>
      <w:r>
        <w:rPr>
          <w:rFonts w:ascii="Calibri" w:hAnsi="Calibri"/>
          <w:sz w:val="24"/>
          <w:szCs w:val="24"/>
        </w:rPr>
      </w:r>
    </w:p>
    <w:p>
      <w:pPr>
        <w:pStyle w:val="Normal"/>
        <w:ind w:left="709" w:hanging="364"/>
        <w:rPr>
          <w:rFonts w:ascii="Calibri" w:hAnsi="Calibri"/>
          <w:sz w:val="24"/>
          <w:szCs w:val="24"/>
        </w:rPr>
      </w:pPr>
      <w:r>
        <w:rPr>
          <w:rFonts w:ascii="Calibri" w:hAnsi="Calibri"/>
          <w:sz w:val="24"/>
          <w:szCs w:val="24"/>
        </w:rPr>
      </w:r>
    </w:p>
    <w:p>
      <w:pPr>
        <w:pStyle w:val="Normal"/>
        <w:ind w:left="709" w:hanging="364"/>
        <w:jc w:val="center"/>
        <w:rPr>
          <w:rFonts w:ascii="Calibri" w:hAnsi="Calibri"/>
          <w:sz w:val="24"/>
          <w:szCs w:val="24"/>
        </w:rPr>
      </w:pPr>
      <w:r>
        <w:rPr>
          <w:rFonts w:ascii="Calibri" w:hAnsi="Calibri"/>
          <w:sz w:val="24"/>
          <w:szCs w:val="24"/>
        </w:rPr>
        <w:t>Bela Vista - MS, 17</w:t>
      </w:r>
      <w:r>
        <w:rPr>
          <w:rFonts w:ascii="Calibri" w:hAnsi="Calibri"/>
          <w:color w:val="FF0000"/>
          <w:sz w:val="24"/>
          <w:szCs w:val="24"/>
        </w:rPr>
        <w:t xml:space="preserve"> </w:t>
      </w:r>
      <w:r>
        <w:rPr>
          <w:rFonts w:ascii="Calibri" w:hAnsi="Calibri"/>
          <w:color w:val="000000"/>
          <w:sz w:val="24"/>
          <w:szCs w:val="24"/>
        </w:rPr>
        <w:t>de março de 2023.</w:t>
      </w:r>
    </w:p>
    <w:p>
      <w:pPr>
        <w:pStyle w:val="Normal"/>
        <w:ind w:left="709" w:hanging="364"/>
        <w:jc w:val="center"/>
        <w:rPr>
          <w:rFonts w:ascii="Calibri" w:hAnsi="Calibri"/>
          <w:b/>
          <w:b/>
          <w:bCs/>
          <w:sz w:val="24"/>
          <w:szCs w:val="24"/>
        </w:rPr>
      </w:pPr>
      <w:r>
        <w:rPr>
          <w:rFonts w:ascii="Calibri" w:hAnsi="Calibri"/>
          <w:b/>
          <w:bCs/>
          <w:sz w:val="24"/>
          <w:szCs w:val="24"/>
        </w:rPr>
      </w:r>
    </w:p>
    <w:p>
      <w:pPr>
        <w:pStyle w:val="Normal"/>
        <w:ind w:left="709" w:hanging="364"/>
        <w:jc w:val="center"/>
        <w:rPr>
          <w:rFonts w:ascii="Calibri" w:hAnsi="Calibri"/>
          <w:b/>
          <w:b/>
          <w:bCs/>
          <w:sz w:val="24"/>
          <w:szCs w:val="24"/>
        </w:rPr>
      </w:pPr>
      <w:r>
        <w:rPr>
          <w:rFonts w:ascii="Calibri" w:hAnsi="Calibri"/>
          <w:b/>
          <w:bCs/>
          <w:sz w:val="24"/>
          <w:szCs w:val="24"/>
        </w:rPr>
      </w:r>
    </w:p>
    <w:p>
      <w:pPr>
        <w:pStyle w:val="Normal"/>
        <w:bidi w:val="0"/>
        <w:jc w:val="center"/>
        <w:rPr>
          <w:color w:val="FF0000"/>
        </w:rPr>
      </w:pPr>
      <w:r>
        <w:rPr>
          <w:rFonts w:ascii="Times New Roman" w:hAnsi="Times New Roman"/>
          <w:b/>
          <w:bCs/>
          <w:i w:val="false"/>
          <w:strike w:val="false"/>
          <w:dstrike w:val="false"/>
          <w:outline w:val="false"/>
          <w:shadow w:val="false"/>
          <w:color w:val="000000"/>
          <w:sz w:val="24"/>
          <w:szCs w:val="24"/>
          <w:u w:val="none"/>
          <w:em w:val="none"/>
        </w:rPr>
        <w:t xml:space="preserve">SIMONE PERRUPATO ANTUNES </w:t>
      </w:r>
      <w:r>
        <w:rPr>
          <w:rFonts w:ascii="Times New Roman" w:hAnsi="Times New Roman"/>
          <w:b/>
          <w:i w:val="false"/>
          <w:strike w:val="false"/>
          <w:dstrike w:val="false"/>
          <w:outline w:val="false"/>
          <w:shadow w:val="false"/>
          <w:color w:val="000000"/>
          <w:sz w:val="24"/>
          <w:u w:val="none"/>
          <w:em w:val="none"/>
        </w:rPr>
        <w:t>– 2º Ten</w:t>
      </w:r>
    </w:p>
    <w:p>
      <w:pPr>
        <w:pStyle w:val="Normal"/>
        <w:bidi w:val="0"/>
        <w:jc w:val="center"/>
        <w:rPr>
          <w:color w:val="FF0000"/>
        </w:rPr>
      </w:pPr>
      <w:r>
        <w:rPr>
          <w:rFonts w:cs="Arial" w:ascii="Times New Roman" w:hAnsi="Times New Roman"/>
          <w:b w:val="false"/>
          <w:i w:val="false"/>
          <w:strike w:val="false"/>
          <w:dstrike w:val="false"/>
          <w:outline w:val="false"/>
          <w:shadow w:val="false"/>
          <w:color w:val="000000"/>
          <w:sz w:val="24"/>
          <w:szCs w:val="24"/>
          <w:u w:val="none"/>
          <w:em w:val="none"/>
        </w:rPr>
        <w:t>Chefe da Se</w:t>
      </w:r>
      <w:r>
        <w:rPr>
          <w:rFonts w:ascii="Times New Roman" w:hAnsi="Times New Roman"/>
          <w:b w:val="false"/>
          <w:i w:val="false"/>
          <w:strike w:val="false"/>
          <w:dstrike w:val="false"/>
          <w:outline w:val="false"/>
          <w:shadow w:val="false"/>
          <w:color w:val="000000"/>
          <w:sz w:val="24"/>
          <w:u w:val="none"/>
          <w:em w:val="none"/>
        </w:rPr>
        <w:t>ção Veterinária do 10º R C Mec</w:t>
      </w:r>
    </w:p>
    <w:p>
      <w:pPr>
        <w:pStyle w:val="Normal"/>
        <w:ind w:left="709" w:hanging="364"/>
        <w:jc w:val="center"/>
        <w:rPr>
          <w:color w:val="FF0000"/>
        </w:rPr>
      </w:pPr>
      <w:r>
        <w:rPr>
          <w:color w:val="FF0000"/>
        </w:rPr>
      </w:r>
    </w:p>
    <w:p>
      <w:pPr>
        <w:pStyle w:val="Normal"/>
        <w:spacing w:lineRule="auto" w:line="276" w:before="0" w:after="120"/>
        <w:ind w:left="709" w:right="-15" w:hanging="364"/>
        <w:rPr>
          <w:rFonts w:ascii="Calibri" w:hAnsi="Calibri" w:cs="Arial"/>
          <w:color w:val="FF0000"/>
          <w:sz w:val="24"/>
          <w:szCs w:val="24"/>
        </w:rPr>
      </w:pPr>
      <w:r>
        <w:rPr>
          <w:rFonts w:cs="Arial" w:ascii="Calibri" w:hAnsi="Calibri"/>
          <w:color w:val="FF0000"/>
          <w:sz w:val="24"/>
          <w:szCs w:val="24"/>
        </w:rPr>
      </w:r>
    </w:p>
    <w:p>
      <w:pPr>
        <w:pStyle w:val="Normal"/>
        <w:spacing w:lineRule="auto" w:line="276" w:before="0" w:after="120"/>
        <w:ind w:left="709" w:right="-15" w:hanging="364"/>
        <w:rPr>
          <w:rFonts w:ascii="Calibri" w:hAnsi="Calibri" w:cs="Arial"/>
          <w:color w:val="000000"/>
          <w:sz w:val="24"/>
          <w:szCs w:val="24"/>
        </w:rPr>
      </w:pPr>
      <w:r>
        <w:rPr>
          <w:rFonts w:cs="Arial" w:ascii="Calibri" w:hAnsi="Calibri"/>
          <w:color w:val="000000"/>
          <w:sz w:val="24"/>
          <w:szCs w:val="24"/>
        </w:rPr>
      </w:r>
    </w:p>
    <w:p>
      <w:pPr>
        <w:pStyle w:val="Normal"/>
        <w:ind w:left="709" w:hanging="364"/>
        <w:rPr>
          <w:rFonts w:ascii="Calibri" w:hAnsi="Calibri"/>
          <w:sz w:val="24"/>
          <w:szCs w:val="24"/>
        </w:rPr>
      </w:pPr>
      <w:r>
        <w:rPr>
          <w:rFonts w:cs="Arial" w:ascii="Calibri" w:hAnsi="Calibri"/>
          <w:b/>
          <w:bCs/>
          <w:sz w:val="24"/>
          <w:szCs w:val="24"/>
          <w:lang w:eastAsia="en-US"/>
        </w:rPr>
        <w:t>ANEXO I – DOCUMENTAÇÃO EXIGIDA PARA HABILITAÇÃO</w:t>
      </w:r>
    </w:p>
    <w:p>
      <w:pPr>
        <w:pStyle w:val="PADRO"/>
        <w:widowControl/>
        <w:numPr>
          <w:ilvl w:val="0"/>
          <w:numId w:val="3"/>
        </w:numPr>
        <w:shd w:val="clear" w:fill="FFFFFF"/>
        <w:spacing w:before="120" w:after="120"/>
        <w:ind w:left="709" w:hanging="364"/>
        <w:jc w:val="left"/>
        <w:rPr>
          <w:rFonts w:ascii="Calibri" w:hAnsi="Calibri"/>
          <w:sz w:val="24"/>
          <w:szCs w:val="24"/>
        </w:rPr>
      </w:pPr>
      <w:r>
        <w:rPr>
          <w:rFonts w:cs="Arial" w:ascii="Calibri" w:hAnsi="Calibri"/>
          <w:b/>
          <w:bCs/>
          <w:color w:val="000000"/>
          <w:sz w:val="24"/>
          <w:szCs w:val="24"/>
        </w:rPr>
        <w:t>Regularidade fiscal, social e trabalhista:</w:t>
      </w:r>
    </w:p>
    <w:p>
      <w:pPr>
        <w:pStyle w:val="Normal"/>
        <w:numPr>
          <w:ilvl w:val="1"/>
          <w:numId w:val="3"/>
        </w:numPr>
        <w:tabs>
          <w:tab w:val="clear" w:pos="708"/>
          <w:tab w:val="left" w:pos="1440" w:leader="none"/>
        </w:tabs>
        <w:snapToGrid w:val="false"/>
        <w:spacing w:lineRule="auto" w:line="276" w:before="120" w:after="120"/>
        <w:ind w:left="709" w:hanging="364"/>
        <w:jc w:val="both"/>
        <w:rPr/>
      </w:pPr>
      <w:r>
        <w:rPr>
          <w:rFonts w:cs="Arial" w:ascii="Calibri" w:hAnsi="Calibri"/>
          <w:sz w:val="24"/>
          <w:szCs w:val="24"/>
          <w:lang w:eastAsia="en-US"/>
        </w:rPr>
        <w:t>prova de inscrição no Cadastro Nacional de Pessoas Jurídicas ou no Cadastro de Pessoas Físicas, conforme o caso;</w:t>
      </w:r>
    </w:p>
    <w:p>
      <w:pPr>
        <w:pStyle w:val="Normal"/>
        <w:numPr>
          <w:ilvl w:val="1"/>
          <w:numId w:val="3"/>
        </w:numPr>
        <w:tabs>
          <w:tab w:val="clear" w:pos="708"/>
          <w:tab w:val="left" w:pos="1440" w:leader="none"/>
        </w:tabs>
        <w:snapToGrid w:val="false"/>
        <w:spacing w:lineRule="auto" w:line="276" w:before="120" w:after="120"/>
        <w:ind w:left="709" w:hanging="364"/>
        <w:jc w:val="both"/>
        <w:rPr/>
      </w:pPr>
      <w:r>
        <w:rPr>
          <w:rFonts w:cs="Arial" w:ascii="Calibri" w:hAnsi="Calibr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708"/>
          <w:tab w:val="left" w:pos="1440" w:leader="none"/>
        </w:tabs>
        <w:snapToGrid w:val="false"/>
        <w:spacing w:lineRule="auto" w:line="276" w:before="120" w:after="120"/>
        <w:ind w:left="709" w:hanging="364"/>
        <w:jc w:val="both"/>
        <w:rPr/>
      </w:pPr>
      <w:r>
        <w:rPr>
          <w:rFonts w:cs="Arial" w:ascii="Calibri" w:hAnsi="Calibri"/>
          <w:color w:val="000000"/>
          <w:sz w:val="24"/>
          <w:szCs w:val="24"/>
          <w:lang w:eastAsia="en-US"/>
        </w:rPr>
        <w:t>prova de regularidade com o Fundo de Garantia do Tempo de Serviço (FGTS);</w:t>
      </w:r>
    </w:p>
    <w:p>
      <w:pPr>
        <w:pStyle w:val="Normal"/>
        <w:numPr>
          <w:ilvl w:val="1"/>
          <w:numId w:val="3"/>
        </w:numPr>
        <w:tabs>
          <w:tab w:val="clear" w:pos="708"/>
          <w:tab w:val="left" w:pos="1440" w:leader="none"/>
        </w:tabs>
        <w:snapToGrid w:val="false"/>
        <w:spacing w:lineRule="auto" w:line="276" w:before="120" w:after="120"/>
        <w:ind w:left="709" w:hanging="364"/>
        <w:jc w:val="both"/>
        <w:rPr>
          <w:rFonts w:ascii="Calibri" w:hAnsi="Calibri"/>
          <w:sz w:val="24"/>
          <w:szCs w:val="24"/>
        </w:rPr>
      </w:pPr>
      <w:r>
        <w:rPr>
          <w:rFonts w:cs="Arial" w:ascii="Calibri" w:hAnsi="Calibri"/>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708"/>
          <w:tab w:val="left" w:pos="1440" w:leader="none"/>
        </w:tabs>
        <w:snapToGrid w:val="false"/>
        <w:spacing w:lineRule="auto" w:line="276" w:before="120" w:after="120"/>
        <w:ind w:left="709" w:hanging="364"/>
        <w:jc w:val="both"/>
        <w:rPr/>
      </w:pPr>
      <w:r>
        <w:rPr>
          <w:rFonts w:cs="Arial" w:ascii="Calibri" w:hAnsi="Calibri"/>
          <w:bCs/>
          <w:sz w:val="24"/>
          <w:szCs w:val="24"/>
        </w:rPr>
        <w:t xml:space="preserve">prova de </w:t>
      </w:r>
      <w:r>
        <w:rPr>
          <w:rFonts w:cs="Arial" w:ascii="Calibri" w:hAnsi="Calibri"/>
          <w:color w:val="000000"/>
          <w:sz w:val="24"/>
          <w:szCs w:val="24"/>
        </w:rPr>
        <w:t xml:space="preserve">inscrição no cadastro de contribuintes </w:t>
      </w:r>
      <w:r>
        <w:rPr>
          <w:rFonts w:cs="Arial" w:ascii="Calibri" w:hAnsi="Calibri"/>
          <w:i/>
          <w:iCs/>
          <w:color w:val="FF0000"/>
          <w:sz w:val="24"/>
          <w:szCs w:val="24"/>
        </w:rPr>
        <w:t>estadual e/ou municipal</w:t>
      </w:r>
      <w:r>
        <w:rPr>
          <w:rFonts w:cs="Arial" w:ascii="Calibri" w:hAnsi="Calibri"/>
          <w:color w:val="000000"/>
          <w:sz w:val="24"/>
          <w:szCs w:val="24"/>
        </w:rPr>
        <w:t>, relativo ao domicílio ou sede do fornecedor, pertinente ao seu ramo de atividade e compatível com o objeto contratual</w:t>
      </w:r>
      <w:r>
        <w:rPr>
          <w:rFonts w:cs="Arial" w:ascii="Calibri" w:hAnsi="Calibri"/>
          <w:bCs/>
          <w:sz w:val="24"/>
          <w:szCs w:val="24"/>
        </w:rPr>
        <w:t xml:space="preserve">; </w:t>
      </w:r>
    </w:p>
    <w:p>
      <w:pPr>
        <w:pStyle w:val="Normal"/>
        <w:numPr>
          <w:ilvl w:val="1"/>
          <w:numId w:val="3"/>
        </w:numPr>
        <w:tabs>
          <w:tab w:val="clear" w:pos="708"/>
          <w:tab w:val="left" w:pos="1440" w:leader="none"/>
        </w:tabs>
        <w:snapToGrid w:val="false"/>
        <w:spacing w:lineRule="auto" w:line="276" w:before="120" w:after="120"/>
        <w:ind w:left="709" w:hanging="364"/>
        <w:jc w:val="both"/>
        <w:rPr/>
      </w:pPr>
      <w:r>
        <w:rPr>
          <w:rFonts w:cs="Arial" w:ascii="Calibri" w:hAnsi="Calibri"/>
          <w:sz w:val="24"/>
          <w:szCs w:val="24"/>
        </w:rPr>
        <w:t xml:space="preserve">prova de regularidade com a Fazenda </w:t>
      </w:r>
      <w:r>
        <w:rPr>
          <w:rFonts w:cs="Arial" w:ascii="Calibri" w:hAnsi="Calibri"/>
          <w:i/>
          <w:iCs/>
          <w:color w:val="FF0000"/>
          <w:sz w:val="24"/>
          <w:szCs w:val="24"/>
        </w:rPr>
        <w:t>Estadual e/ou Municipal</w:t>
      </w:r>
      <w:r>
        <w:rPr>
          <w:rFonts w:cs="Arial" w:ascii="Calibri" w:hAnsi="Calibri"/>
          <w:sz w:val="24"/>
          <w:szCs w:val="24"/>
        </w:rPr>
        <w:t xml:space="preserve"> do domicílio ou sede do fornecedor, relativa à atividade em cujo exercício contrata ou concorre; </w:t>
      </w:r>
    </w:p>
    <w:p>
      <w:pPr>
        <w:pStyle w:val="Normal"/>
        <w:numPr>
          <w:ilvl w:val="1"/>
          <w:numId w:val="3"/>
        </w:numPr>
        <w:tabs>
          <w:tab w:val="clear" w:pos="708"/>
          <w:tab w:val="left" w:pos="1440" w:leader="none"/>
        </w:tabs>
        <w:snapToGrid w:val="false"/>
        <w:spacing w:lineRule="auto" w:line="276" w:before="120" w:after="120"/>
        <w:ind w:left="709" w:hanging="364"/>
        <w:jc w:val="both"/>
        <w:rPr/>
      </w:pPr>
      <w:r>
        <w:rPr>
          <w:rFonts w:cs="Arial" w:ascii="Calibri" w:hAnsi="Calibri"/>
          <w:sz w:val="24"/>
          <w:szCs w:val="24"/>
        </w:rPr>
        <w:t xml:space="preserve">caso o fornecedor seja considerado isento dos tributos </w:t>
      </w:r>
      <w:r>
        <w:rPr>
          <w:rFonts w:cs="Arial" w:ascii="Calibri" w:hAnsi="Calibri"/>
          <w:i/>
          <w:color w:val="FF0000"/>
          <w:sz w:val="24"/>
          <w:szCs w:val="24"/>
        </w:rPr>
        <w:t xml:space="preserve">estaduais </w:t>
      </w:r>
      <w:r>
        <w:rPr>
          <w:rFonts w:cs="Arial" w:ascii="Calibri" w:hAnsi="Calibri"/>
          <w:b/>
          <w:i/>
          <w:color w:val="FF0000"/>
          <w:sz w:val="24"/>
          <w:szCs w:val="24"/>
          <w:u w:val="single"/>
        </w:rPr>
        <w:t>ou</w:t>
      </w:r>
      <w:r>
        <w:rPr>
          <w:rFonts w:cs="Arial" w:ascii="Calibri" w:hAnsi="Calibri"/>
          <w:i/>
          <w:color w:val="FF0000"/>
          <w:sz w:val="24"/>
          <w:szCs w:val="24"/>
        </w:rPr>
        <w:t xml:space="preserve"> municipais </w:t>
      </w:r>
      <w:r>
        <w:rPr>
          <w:rFonts w:cs="Arial" w:ascii="Calibri" w:hAnsi="Calibri"/>
          <w:sz w:val="24"/>
          <w:szCs w:val="24"/>
        </w:rPr>
        <w:t xml:space="preserve">relacionados ao objeto contratual, deverá comprovar tal condição mediante a apresentação de declaração da Fazenda respectiva do seu domicílio ou sede, ou outra equivalente, na forma da lei; </w:t>
      </w:r>
    </w:p>
    <w:p>
      <w:pPr>
        <w:pStyle w:val="PADRO"/>
        <w:widowControl/>
        <w:shd w:val="clear" w:fill="FFFFFF"/>
        <w:spacing w:before="120" w:after="120"/>
        <w:ind w:left="709" w:hanging="364"/>
        <w:rPr>
          <w:rFonts w:ascii="Calibri" w:hAnsi="Calibri" w:cs="Arial"/>
          <w:i/>
          <w:i/>
          <w:color w:val="FF0000"/>
          <w:sz w:val="24"/>
          <w:szCs w:val="24"/>
          <w:highlight w:val="green"/>
        </w:rPr>
      </w:pPr>
      <w:r>
        <w:rPr>
          <w:rFonts w:cs="Arial" w:ascii="Calibri" w:hAnsi="Calibri"/>
          <w:i/>
          <w:color w:val="FF0000"/>
          <w:sz w:val="24"/>
          <w:szCs w:val="24"/>
          <w:highlight w:val="green"/>
        </w:rPr>
      </w:r>
    </w:p>
    <w:p>
      <w:pPr>
        <w:pStyle w:val="PADRO"/>
        <w:widowControl/>
        <w:shd w:val="clear" w:fill="FFFFFF"/>
        <w:spacing w:before="120" w:after="120"/>
        <w:ind w:left="709" w:hanging="364"/>
        <w:rPr>
          <w:rFonts w:ascii="Calibri" w:hAnsi="Calibri" w:cs="Arial"/>
          <w:i/>
          <w:i/>
          <w:color w:val="FF0000"/>
          <w:sz w:val="24"/>
          <w:szCs w:val="24"/>
          <w:highlight w:val="green"/>
        </w:rPr>
      </w:pPr>
      <w:r>
        <w:rPr>
          <w:rFonts w:cs="Arial" w:ascii="Calibri" w:hAnsi="Calibri"/>
          <w:i/>
          <w:color w:val="FF0000"/>
          <w:sz w:val="24"/>
          <w:szCs w:val="24"/>
          <w:highlight w:val="green"/>
        </w:rPr>
      </w:r>
    </w:p>
    <w:p>
      <w:pPr>
        <w:pStyle w:val="Normal"/>
        <w:ind w:left="709" w:hanging="364"/>
        <w:jc w:val="center"/>
        <w:rPr>
          <w:rFonts w:ascii="Calibri" w:hAnsi="Calibri"/>
          <w:sz w:val="24"/>
          <w:szCs w:val="24"/>
        </w:rPr>
      </w:pPr>
      <w:r>
        <w:rPr>
          <w:rFonts w:ascii="Calibri" w:hAnsi="Calibri"/>
          <w:sz w:val="24"/>
          <w:szCs w:val="24"/>
        </w:rPr>
        <w:t>Bela Vista - MS, 17</w:t>
      </w:r>
      <w:r>
        <w:rPr>
          <w:rFonts w:ascii="Calibri" w:hAnsi="Calibri"/>
          <w:color w:val="FF0000"/>
          <w:sz w:val="24"/>
          <w:szCs w:val="24"/>
        </w:rPr>
        <w:t xml:space="preserve"> </w:t>
      </w:r>
      <w:r>
        <w:rPr>
          <w:rFonts w:ascii="Calibri" w:hAnsi="Calibri"/>
          <w:color w:val="000000"/>
          <w:sz w:val="24"/>
          <w:szCs w:val="24"/>
        </w:rPr>
        <w:t>de março</w:t>
      </w:r>
      <w:r>
        <w:rPr>
          <w:rFonts w:ascii="Calibri" w:hAnsi="Calibri"/>
          <w:sz w:val="24"/>
          <w:szCs w:val="24"/>
        </w:rPr>
        <w:t xml:space="preserve"> de 2023.</w:t>
      </w:r>
    </w:p>
    <w:p>
      <w:pPr>
        <w:pStyle w:val="Normal"/>
        <w:ind w:left="709" w:hanging="364"/>
        <w:jc w:val="center"/>
        <w:rPr>
          <w:rFonts w:ascii="Calibri" w:hAnsi="Calibri"/>
          <w:sz w:val="24"/>
          <w:szCs w:val="24"/>
        </w:rPr>
      </w:pPr>
      <w:r>
        <w:rPr>
          <w:rFonts w:ascii="Calibri" w:hAnsi="Calibri"/>
          <w:sz w:val="24"/>
          <w:szCs w:val="24"/>
        </w:rPr>
      </w:r>
    </w:p>
    <w:p>
      <w:pPr>
        <w:pStyle w:val="Normal"/>
        <w:ind w:left="709" w:hanging="364"/>
        <w:jc w:val="center"/>
        <w:rPr>
          <w:rFonts w:ascii="Calibri" w:hAnsi="Calibri"/>
          <w:sz w:val="24"/>
          <w:szCs w:val="24"/>
        </w:rPr>
      </w:pPr>
      <w:r>
        <w:rPr>
          <w:rFonts w:ascii="Calibri" w:hAnsi="Calibri"/>
          <w:sz w:val="24"/>
          <w:szCs w:val="24"/>
        </w:rPr>
      </w:r>
    </w:p>
    <w:p>
      <w:pPr>
        <w:pStyle w:val="Normal"/>
        <w:ind w:left="709" w:hanging="364"/>
        <w:jc w:val="center"/>
        <w:rPr>
          <w:rFonts w:ascii="Calibri" w:hAnsi="Calibri"/>
          <w:sz w:val="24"/>
          <w:szCs w:val="24"/>
        </w:rPr>
      </w:pPr>
      <w:r>
        <w:rPr>
          <w:rFonts w:ascii="Calibri" w:hAnsi="Calibri"/>
          <w:sz w:val="24"/>
          <w:szCs w:val="24"/>
        </w:rPr>
      </w:r>
    </w:p>
    <w:p>
      <w:pPr>
        <w:pStyle w:val="Normal"/>
        <w:ind w:left="709" w:hanging="364"/>
        <w:jc w:val="center"/>
        <w:rPr>
          <w:rFonts w:ascii="Calibri" w:hAnsi="Calibri"/>
          <w:sz w:val="24"/>
          <w:szCs w:val="24"/>
        </w:rPr>
      </w:pPr>
      <w:r>
        <w:rPr>
          <w:rFonts w:ascii="Calibri" w:hAnsi="Calibri"/>
          <w:sz w:val="24"/>
          <w:szCs w:val="24"/>
        </w:rPr>
      </w:r>
    </w:p>
    <w:p>
      <w:pPr>
        <w:pStyle w:val="Normal"/>
        <w:ind w:left="709" w:hanging="364"/>
        <w:jc w:val="center"/>
        <w:rPr>
          <w:rFonts w:ascii="Calibri" w:hAnsi="Calibri"/>
          <w:b/>
          <w:b/>
          <w:bCs/>
          <w:sz w:val="24"/>
          <w:szCs w:val="24"/>
        </w:rPr>
      </w:pPr>
      <w:r>
        <w:rPr>
          <w:rFonts w:ascii="Calibri" w:hAnsi="Calibri"/>
          <w:b/>
          <w:bCs/>
          <w:sz w:val="24"/>
          <w:szCs w:val="24"/>
        </w:rPr>
      </w:r>
    </w:p>
    <w:p>
      <w:pPr>
        <w:pStyle w:val="Standard"/>
        <w:ind w:left="34" w:right="0" w:hanging="0"/>
        <w:jc w:val="center"/>
        <w:rPr>
          <w:rFonts w:ascii="Calibri" w:hAnsi="Calibri" w:eastAsia="Times New Roman" w:cs="Times New Roman"/>
          <w:b/>
          <w:b/>
          <w:bCs/>
          <w:color w:val="000000"/>
          <w:sz w:val="24"/>
          <w:szCs w:val="24"/>
        </w:rPr>
      </w:pPr>
      <w:r>
        <w:rPr>
          <w:rFonts w:eastAsia="Times New Roman" w:cs="Times New Roman"/>
          <w:b/>
          <w:bCs/>
          <w:color w:val="000000"/>
          <w:sz w:val="24"/>
          <w:szCs w:val="24"/>
        </w:rPr>
      </w:r>
    </w:p>
    <w:p>
      <w:pPr>
        <w:pStyle w:val="Standard"/>
        <w:ind w:left="34" w:right="0" w:hanging="0"/>
        <w:jc w:val="center"/>
        <w:rPr>
          <w:rFonts w:ascii="Calibri" w:hAnsi="Calibri" w:eastAsia="Times New Roman" w:cs="Times New Roman"/>
          <w:color w:val="000000"/>
          <w:sz w:val="24"/>
          <w:szCs w:val="24"/>
        </w:rPr>
      </w:pPr>
      <w:r>
        <w:rPr>
          <w:rFonts w:eastAsia="Times New Roman" w:cs="Times New Roman"/>
          <w:b/>
          <w:bCs/>
          <w:color w:val="000000"/>
          <w:sz w:val="24"/>
          <w:szCs w:val="24"/>
        </w:rPr>
        <w:t>KENJI ALEXANDRE NAKAMURA – Cel</w:t>
      </w:r>
    </w:p>
    <w:p>
      <w:pPr>
        <w:pStyle w:val="Standard"/>
        <w:ind w:left="34" w:right="0" w:hanging="0"/>
        <w:jc w:val="center"/>
        <w:rPr>
          <w:rFonts w:ascii="Calibri" w:hAnsi="Calibri" w:eastAsia="Times New Roman" w:cs="Times New Roman"/>
          <w:b w:val="false"/>
          <w:b w:val="false"/>
          <w:bCs w:val="false"/>
          <w:color w:val="000000"/>
          <w:sz w:val="24"/>
          <w:szCs w:val="24"/>
        </w:rPr>
      </w:pPr>
      <w:r>
        <w:rPr>
          <w:rFonts w:eastAsia="Times New Roman" w:cs="Arial"/>
          <w:b w:val="false"/>
          <w:bCs w:val="false"/>
          <w:color w:val="000000"/>
          <w:sz w:val="24"/>
          <w:szCs w:val="24"/>
        </w:rPr>
        <w:t>Ordenador de Despesas do 10º R C Mec</w:t>
      </w:r>
    </w:p>
    <w:sectPr>
      <w:footerReference w:type="default" r:id="rId9"/>
      <w:type w:val="nextPage"/>
      <w:pgSz w:w="11906" w:h="16838"/>
      <w:pgMar w:left="1701" w:right="1701" w:gutter="0" w:header="0" w:top="1417" w:footer="708" w:bottom="1417"/>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Fonts w:ascii="Arial" w:hAnsi="Arial"/>
      </w:rPr>
    </w:lvl>
    <w:lvl w:ilvl="1">
      <w:start w:val="1"/>
      <w:numFmt w:val="decimal"/>
      <w:lvlText w:val="%1.%2."/>
      <w:lvlJc w:val="left"/>
      <w:pPr>
        <w:tabs>
          <w:tab w:val="num" w:pos="0"/>
        </w:tabs>
        <w:ind w:left="792" w:hanging="432"/>
      </w:pPr>
      <w:rPr>
        <w:i w:val="false"/>
        <w:b/>
        <w:iCs/>
      </w:rPr>
    </w:lvl>
    <w:lvl w:ilvl="2">
      <w:start w:val="1"/>
      <w:numFmt w:val="decimal"/>
      <w:lvlText w:val="%1.%2.%3."/>
      <w:lvlJc w:val="left"/>
      <w:pPr>
        <w:tabs>
          <w:tab w:val="num" w:pos="0"/>
        </w:tabs>
        <w:ind w:left="930" w:hanging="504"/>
      </w:pPr>
      <w:rPr>
        <w:i w:val="false"/>
        <w:b/>
        <w:iCs/>
        <w:rFonts w:cs="Arial"/>
        <w:color w:val="00000A"/>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3">
    <w:lvl w:ilvl="0">
      <w:start w:val="1"/>
      <w:numFmt w:val="decimal"/>
      <w:lvlText w:val="%1"/>
      <w:lvlJc w:val="left"/>
      <w:pPr>
        <w:tabs>
          <w:tab w:val="num" w:pos="0"/>
        </w:tabs>
        <w:ind w:left="360" w:hanging="360"/>
      </w:pPr>
      <w:rPr/>
    </w:lvl>
    <w:lvl w:ilvl="1">
      <w:start w:val="1"/>
      <w:numFmt w:val="decimal"/>
      <w:lvlText w:val="%1.%2"/>
      <w:lvlJc w:val="left"/>
      <w:pPr>
        <w:tabs>
          <w:tab w:val="num" w:pos="0"/>
        </w:tabs>
        <w:ind w:left="927" w:hanging="360"/>
      </w:pPr>
      <w:rPr>
        <w:b/>
      </w:rPr>
    </w:lvl>
    <w:lvl w:ilvl="2">
      <w:start w:val="1"/>
      <w:numFmt w:val="decimal"/>
      <w:lvlText w:val="%1.%2.%3"/>
      <w:lvlJc w:val="left"/>
      <w:pPr>
        <w:tabs>
          <w:tab w:val="num" w:pos="0"/>
        </w:tabs>
        <w:ind w:left="1854" w:hanging="720"/>
      </w:pPr>
      <w:rPr>
        <w:b/>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00000A"/>
      </w:rPr>
    </w:lvl>
    <w:lvl w:ilvl="3">
      <w:start w:val="1"/>
      <w:numFmt w:val="lowerLetter"/>
      <w:lvlText w:val="%4)"/>
      <w:lvlJc w:val="left"/>
      <w:pPr>
        <w:tabs>
          <w:tab w:val="num" w:pos="0"/>
        </w:tabs>
        <w:ind w:left="164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00000A"/>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0"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d0e1a"/>
    <w:pPr>
      <w:widowControl/>
      <w:suppressAutoHyphens w:val="true"/>
      <w:bidi w:val="0"/>
      <w:spacing w:before="0" w:after="0"/>
      <w:jc w:val="left"/>
    </w:pPr>
    <w:rPr>
      <w:rFonts w:ascii="Arial" w:hAnsi="Arial" w:eastAsia="Times New Roman" w:cs="Tahoma"/>
      <w:color w:val="00000A"/>
      <w:kern w:val="0"/>
      <w:sz w:val="20"/>
      <w:szCs w:val="24"/>
      <w:lang w:val="pt-BR" w:eastAsia="pt-BR" w:bidi="ar-SA"/>
    </w:rPr>
  </w:style>
  <w:style w:type="paragraph" w:styleId="Ttulo1" w:customStyle="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uiPriority w:val="99"/>
    <w:semiHidden/>
    <w:qFormat/>
    <w:rsid w:val="003d08af"/>
    <w:rPr>
      <w:rFonts w:ascii="Arial" w:hAnsi="Arial" w:eastAsia="Times New Roman" w:cs="Tahoma"/>
      <w:b/>
      <w:bCs/>
      <w:sz w:val="20"/>
      <w:szCs w:val="20"/>
      <w:lang w:eastAsia="pt-BR"/>
    </w:rPr>
  </w:style>
  <w:style w:type="character" w:styleId="LinkdaInternet" w:customStyle="1">
    <w:name w:val="Link da Internet"/>
    <w:qFormat/>
    <w:rsid w:val="00014d48"/>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805244"/>
    <w:rPr>
      <w:rFonts w:ascii="Arial" w:hAnsi="Arial" w:eastAsia="Times New Roman" w:cs="Tahoma"/>
      <w:sz w:val="20"/>
      <w:szCs w:val="24"/>
      <w:lang w:eastAsia="pt-BR"/>
    </w:rPr>
  </w:style>
  <w:style w:type="character" w:styleId="Linkdainternetvisitado">
    <w:name w:val="Link da internet visitado"/>
    <w:rPr>
      <w:color w:val="800000"/>
      <w:u w:val="single"/>
      <w:lang w:val="zxx" w:eastAsia="zxx" w:bidi="zxx"/>
    </w:rPr>
  </w:style>
  <w:style w:type="paragraph" w:styleId="Ttulo" w:customStyle="1">
    <w:name w:val="Título"/>
    <w:basedOn w:val="Normal"/>
    <w:next w:val="Corpodotexto"/>
    <w:qFormat/>
    <w:rsid w:val="00014d48"/>
    <w:pPr>
      <w:keepNext w:val="true"/>
      <w:spacing w:before="240" w:after="120"/>
    </w:pPr>
    <w:rPr>
      <w:rFonts w:ascii="Liberation Sans" w:hAnsi="Liberation Sans" w:eastAsia="WenQuanYi Micro Hei" w:cs="Lohit Devanagari"/>
      <w:sz w:val="28"/>
      <w:szCs w:val="28"/>
    </w:rPr>
  </w:style>
  <w:style w:type="paragraph" w:styleId="Corpodotexto">
    <w:name w:val="Body Text"/>
    <w:basedOn w:val="Normal"/>
    <w:rsid w:val="00e60ae2"/>
    <w:pPr>
      <w:spacing w:lineRule="auto" w:line="288" w:before="0" w:after="140"/>
    </w:pPr>
    <w:rPr/>
  </w:style>
  <w:style w:type="paragraph" w:styleId="Lista">
    <w:name w:val="List"/>
    <w:basedOn w:val="Corpodotexto"/>
    <w:rsid w:val="00e60ae2"/>
    <w:pPr/>
    <w:rPr>
      <w:rFonts w:cs="Arial"/>
    </w:rPr>
  </w:style>
  <w:style w:type="paragraph" w:styleId="Legenda" w:customStyle="1">
    <w:name w:val="Caption"/>
    <w:basedOn w:val="Normal"/>
    <w:qFormat/>
    <w:rsid w:val="00e60ae2"/>
    <w:pPr>
      <w:suppressLineNumbers/>
      <w:spacing w:before="120" w:after="120"/>
    </w:pPr>
    <w:rPr>
      <w:rFonts w:cs="Arial"/>
      <w:i/>
      <w:iCs/>
      <w:sz w:val="24"/>
    </w:rPr>
  </w:style>
  <w:style w:type="paragraph" w:styleId="Ndice" w:customStyle="1">
    <w:name w:val="Índice"/>
    <w:basedOn w:val="Normal"/>
    <w:qFormat/>
    <w:rsid w:val="00e60ae2"/>
    <w:pPr>
      <w:suppressLineNumbers/>
    </w:pPr>
    <w:rPr>
      <w:rFonts w:cs="Arial"/>
    </w:rPr>
  </w:style>
  <w:style w:type="paragraph" w:styleId="Ttulododocumento">
    <w:name w:val="Title"/>
    <w:basedOn w:val="Normal"/>
    <w:qFormat/>
    <w:rsid w:val="00e60ae2"/>
    <w:pPr>
      <w:keepNext w:val="true"/>
      <w:spacing w:before="240" w:after="120"/>
    </w:pPr>
    <w:rPr>
      <w:rFonts w:ascii="Liberation Sans" w:hAnsi="Liberation Sans" w:eastAsia="Microsoft YaHei" w:cs="Arial"/>
      <w:sz w:val="28"/>
      <w:szCs w:val="28"/>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customStyle="1">
    <w:name w:val="Header"/>
    <w:basedOn w:val="Normal"/>
    <w:link w:val="CabealhoChar"/>
    <w:uiPriority w:val="99"/>
    <w:unhideWhenUsed/>
    <w:rsid w:val="00805244"/>
    <w:pPr>
      <w:tabs>
        <w:tab w:val="clear" w:pos="708"/>
        <w:tab w:val="center" w:pos="4252" w:leader="none"/>
        <w:tab w:val="right" w:pos="8504" w:leader="none"/>
      </w:tabs>
    </w:pPr>
    <w:rPr/>
  </w:style>
  <w:style w:type="paragraph" w:styleId="Rodap" w:customStyle="1">
    <w:name w:val="Footer"/>
    <w:basedOn w:val="Normal"/>
    <w:link w:val="RodapChar"/>
    <w:uiPriority w:val="99"/>
    <w:unhideWhenUsed/>
    <w:rsid w:val="00805244"/>
    <w:pPr>
      <w:tabs>
        <w:tab w:val="clear" w:pos="708"/>
        <w:tab w:val="center" w:pos="4252" w:leader="none"/>
        <w:tab w:val="right" w:pos="8504" w:leader="none"/>
      </w:tabs>
    </w:pPr>
    <w:rPr/>
  </w:style>
  <w:style w:type="paragraph" w:styleId="Caption">
    <w:name w:val="caption"/>
    <w:basedOn w:val="Normal"/>
    <w:qFormat/>
    <w:rsid w:val="00e60ae2"/>
    <w:pPr>
      <w:suppressLineNumbers/>
      <w:spacing w:before="120" w:after="120"/>
    </w:pPr>
    <w:rPr>
      <w:rFonts w:cs="Arial"/>
      <w:i/>
      <w:iCs/>
      <w:sz w:val="24"/>
    </w:rPr>
  </w:style>
  <w:style w:type="paragraph" w:styleId="Contedodatabela" w:customStyle="1">
    <w:name w:val="Conteúdo da tabela"/>
    <w:basedOn w:val="Normal"/>
    <w:qFormat/>
    <w:rsid w:val="00e60ae2"/>
    <w:pPr/>
    <w:rPr/>
  </w:style>
  <w:style w:type="paragraph" w:styleId="Standard">
    <w:name w:val="Standard"/>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0"/>
      <w:szCs w:val="22"/>
      <w:lang w:val="pt-BR" w:eastAsia="en-US" w:bidi="ar-SA"/>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styleId="Tabelacomgrade">
    <w:name w:val="Table Grid"/>
    <w:basedOn w:val="Tabelanormal"/>
    <w:rsid w:val="002f5eff"/>
    <w:rPr>
      <w:rFonts w:eastAsiaTheme="minorEastAsia"/>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yperlink" Target="mailto:salc.raj@hotmai.com" TargetMode="External"/><Relationship Id="rId7" Type="http://schemas.openxmlformats.org/officeDocument/2006/relationships/hyperlink" Target="mailto:salc.raj@hotmail.com" TargetMode="External"/><Relationship Id="rId8" Type="http://schemas.openxmlformats.org/officeDocument/2006/relationships/hyperlink" Target="mailto:salc.raj@hotmai.com" TargetMode="Externa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Application>LibreOffice/7.3.3.2$Windows_X86_64 LibreOffice_project/d1d0ea68f081ee2800a922cac8f79445e4603348</Application>
  <AppVersion>15.0000</AppVersion>
  <Pages>15</Pages>
  <Words>4950</Words>
  <Characters>28363</Characters>
  <CharactersWithSpaces>32963</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dcterms:modified xsi:type="dcterms:W3CDTF">2023-03-24T10:43:15Z</dcterms:modified>
  <cp:revision>86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