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cs="Arial"/>
          <w:b/>
          <w:b/>
          <w:bCs/>
          <w:i/>
          <w:i/>
          <w:iCs/>
          <w:color w:val="FF0000"/>
          <w:sz w:val="20"/>
          <w:szCs w:val="20"/>
        </w:rPr>
      </w:pPr>
      <w:r>
        <w:rPr>
          <w:rFonts w:cs="Arial" w:ascii="Arial" w:hAnsi="Arial"/>
          <w:b/>
          <w:bCs/>
          <w:i/>
          <w:iCs/>
          <w:color w:val="FF0000"/>
          <w:sz w:val="20"/>
          <w:szCs w:val="20"/>
        </w:rPr>
      </w:r>
    </w:p>
    <w:p>
      <w:pPr>
        <w:pStyle w:val="Normal"/>
        <w:jc w:val="center"/>
        <w:rPr>
          <w:color w:val="000000"/>
        </w:rPr>
      </w:pPr>
      <w:bookmarkStart w:id="0" w:name="_Hlk82471863"/>
      <w:bookmarkEnd w:id="0"/>
      <w:r>
        <w:rPr>
          <w:rFonts w:eastAsia="Times New Roman" w:cs="Arial" w:ascii="Arial" w:hAnsi="Arial"/>
          <w:b/>
          <w:bCs/>
          <w:i/>
          <w:iCs/>
          <w:color w:val="000000"/>
          <w:sz w:val="20"/>
          <w:szCs w:val="20"/>
        </w:rPr>
        <w:t>6º GRUPO DE ARTILHARIA DE CAMPANHA</w:t>
      </w:r>
    </w:p>
    <w:p>
      <w:pPr>
        <w:pStyle w:val="Normal"/>
        <w:spacing w:lineRule="auto" w:line="312" w:before="120" w:after="288"/>
        <w:jc w:val="center"/>
        <w:rPr>
          <w:rFonts w:ascii="Arial" w:hAnsi="Arial" w:cs="Arial"/>
          <w:bCs/>
          <w:color w:val="000000"/>
          <w:sz w:val="20"/>
          <w:szCs w:val="20"/>
        </w:rPr>
      </w:pPr>
      <w:r>
        <w:rPr>
          <w:rFonts w:cs="Arial" w:ascii="Arial" w:hAnsi="Arial"/>
          <w:color w:val="000000" w:themeColor="text1"/>
          <w:sz w:val="20"/>
          <w:szCs w:val="20"/>
        </w:rPr>
        <w:t>(Processo Administrativo n° 64543.</w:t>
      </w:r>
      <w:r>
        <w:rPr>
          <w:rFonts w:cs="Arial" w:ascii="Arial" w:hAnsi="Arial"/>
          <w:color w:val="000000"/>
          <w:sz w:val="20"/>
          <w:szCs w:val="20"/>
        </w:rPr>
        <w:t>006702</w:t>
      </w:r>
      <w:r>
        <w:rPr>
          <w:rFonts w:cs="Arial" w:ascii="Arial" w:hAnsi="Arial"/>
          <w:color w:val="000000" w:themeColor="text1"/>
          <w:sz w:val="20"/>
          <w:szCs w:val="20"/>
        </w:rPr>
        <w:t>/2023-</w:t>
      </w:r>
      <w:r>
        <w:rPr>
          <w:rFonts w:cs="Arial" w:ascii="Arial" w:hAnsi="Arial"/>
          <w:color w:val="000000"/>
          <w:sz w:val="20"/>
          <w:szCs w:val="20"/>
        </w:rPr>
        <w:t>47</w:t>
      </w:r>
      <w:r>
        <w:rPr>
          <w:rFonts w:cs="Arial" w:ascii="Arial" w:hAnsi="Arial"/>
          <w:color w:val="000000" w:themeColor="text1"/>
          <w:sz w:val="20"/>
          <w:szCs w:val="20"/>
        </w:rPr>
        <w:t>)</w:t>
      </w:r>
    </w:p>
    <w:p>
      <w:pPr>
        <w:pStyle w:val="Nivel01"/>
        <w:numPr>
          <w:ilvl w:val="0"/>
          <w:numId w:val="1"/>
        </w:numPr>
        <w:ind w:left="0" w:hanging="0"/>
        <w:rPr>
          <w:rFonts w:eastAsia="Arial"/>
        </w:rPr>
      </w:pPr>
      <w:r>
        <w:rPr/>
        <w:t>CONDIÇÕES GERAIS DA CONTRATAÇÃO</w:t>
      </w:r>
    </w:p>
    <w:p>
      <w:pPr>
        <w:pStyle w:val="Nivel2"/>
        <w:numPr>
          <w:ilvl w:val="1"/>
          <w:numId w:val="3"/>
        </w:numPr>
        <w:ind w:left="0" w:hanging="0"/>
        <w:rPr/>
      </w:pPr>
      <w:r>
        <w:rPr/>
        <w:t>Contrataç</w:t>
      </w:r>
      <w:r>
        <w:rPr>
          <w:rFonts w:eastAsia="Arial" w:cs="Arial"/>
          <w:color w:val="000000"/>
          <w:sz w:val="20"/>
          <w:szCs w:val="20"/>
          <w:lang w:val="pt-BR" w:eastAsia="pt-BR" w:bidi="ar-SA"/>
        </w:rPr>
        <w:t>ão de assinatura da revista Brasíndice 12 meses (24edições) intermediária</w:t>
      </w:r>
      <w:r>
        <w:rPr>
          <w:color w:val="000000"/>
        </w:rPr>
        <w:t xml:space="preserve">, </w:t>
      </w:r>
      <w:r>
        <w:rPr>
          <w:b/>
          <w:bCs/>
          <w:color w:val="000000"/>
        </w:rPr>
        <w:t xml:space="preserve">na modalidade </w:t>
      </w:r>
      <w:r>
        <w:rPr>
          <w:rFonts w:eastAsia="Arial" w:cs="Arial"/>
          <w:b/>
          <w:bCs/>
          <w:color w:val="000000"/>
          <w:sz w:val="20"/>
          <w:szCs w:val="20"/>
          <w:lang w:val="pt-BR" w:eastAsia="pt-BR" w:bidi="ar-SA"/>
        </w:rPr>
        <w:t xml:space="preserve">online </w:t>
      </w:r>
      <w:r>
        <w:rPr>
          <w:b/>
          <w:bCs/>
          <w:color w:val="000000"/>
        </w:rPr>
        <w:t>,</w:t>
      </w:r>
      <w:r>
        <w:rPr/>
        <w:t xml:space="preserve"> nos termos da tabela abaixo, conforme condições e exigências estabelecidas neste instrumento.</w:t>
      </w:r>
    </w:p>
    <w:tbl>
      <w:tblPr>
        <w:tblW w:w="9639" w:type="dxa"/>
        <w:jc w:val="left"/>
        <w:tblInd w:w="98" w:type="dxa"/>
        <w:tblLayout w:type="fixed"/>
        <w:tblCellMar>
          <w:top w:w="0" w:type="dxa"/>
          <w:left w:w="93" w:type="dxa"/>
          <w:bottom w:w="0" w:type="dxa"/>
          <w:right w:w="108" w:type="dxa"/>
        </w:tblCellMar>
        <w:tblLook w:val="04a0" w:noHBand="0" w:noVBand="1" w:firstColumn="1" w:lastRow="0" w:lastColumn="0" w:firstRow="1"/>
      </w:tblPr>
      <w:tblGrid>
        <w:gridCol w:w="800"/>
        <w:gridCol w:w="1694"/>
        <w:gridCol w:w="1026"/>
        <w:gridCol w:w="1240"/>
        <w:gridCol w:w="1420"/>
        <w:gridCol w:w="2041"/>
        <w:gridCol w:w="1417"/>
      </w:tblGrid>
      <w:tr>
        <w:trPr/>
        <w:tc>
          <w:tcPr>
            <w:tcW w:w="80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b/>
                <w:b/>
                <w:bCs/>
                <w:color w:val="000000"/>
                <w:sz w:val="20"/>
                <w:szCs w:val="20"/>
              </w:rPr>
            </w:pPr>
            <w:r>
              <w:rPr>
                <w:rFonts w:eastAsia="Arial" w:cs="Arial" w:ascii="Arial" w:hAnsi="Arial"/>
                <w:b/>
                <w:bCs/>
                <w:color w:val="000000" w:themeColor="text1"/>
                <w:sz w:val="18"/>
                <w:szCs w:val="18"/>
              </w:rPr>
              <w:t>ITEM</w:t>
            </w:r>
          </w:p>
        </w:tc>
        <w:tc>
          <w:tcPr>
            <w:tcW w:w="169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Fonts w:eastAsia="Arial" w:cs="Arial" w:ascii="Arial" w:hAnsi="Arial"/>
                <w:b/>
                <w:bCs/>
                <w:color w:val="000000" w:themeColor="text1"/>
                <w:sz w:val="18"/>
                <w:szCs w:val="18"/>
              </w:rPr>
              <w:t>ESPECIFICAÇÃO</w:t>
            </w:r>
          </w:p>
        </w:tc>
        <w:tc>
          <w:tcPr>
            <w:tcW w:w="102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Fonts w:eastAsia="Arial" w:cs="Arial" w:ascii="Arial" w:hAnsi="Arial"/>
                <w:b/>
                <w:bCs/>
                <w:color w:val="000000" w:themeColor="text1"/>
                <w:sz w:val="18"/>
                <w:szCs w:val="18"/>
              </w:rPr>
              <w:t>CATMAT</w:t>
            </w:r>
          </w:p>
        </w:tc>
        <w:tc>
          <w:tcPr>
            <w:tcW w:w="12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Fonts w:eastAsia="Arial" w:cs="Arial" w:ascii="Arial" w:hAnsi="Arial"/>
                <w:b/>
                <w:bCs/>
                <w:color w:val="000000" w:themeColor="text1"/>
                <w:sz w:val="18"/>
                <w:szCs w:val="18"/>
              </w:rPr>
              <w:t>UNIDADE DE MEDIDA</w:t>
            </w:r>
          </w:p>
        </w:tc>
        <w:tc>
          <w:tcPr>
            <w:tcW w:w="142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b/>
                <w:b/>
                <w:bCs/>
                <w:sz w:val="20"/>
                <w:szCs w:val="20"/>
              </w:rPr>
            </w:pPr>
            <w:r>
              <w:rPr>
                <w:rFonts w:eastAsia="Arial" w:cs="Arial" w:ascii="Arial" w:hAnsi="Arial"/>
                <w:b/>
                <w:bCs/>
                <w:sz w:val="18"/>
                <w:szCs w:val="18"/>
              </w:rPr>
              <w:t>QUANTIDADE</w:t>
            </w:r>
          </w:p>
        </w:tc>
        <w:tc>
          <w:tcPr>
            <w:tcW w:w="204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sz w:val="18"/>
                <w:szCs w:val="18"/>
              </w:rPr>
            </w:pPr>
            <w:r>
              <w:rPr>
                <w:rFonts w:eastAsia="Arial" w:cs="Arial" w:ascii="Arial" w:hAnsi="Arial"/>
                <w:b/>
                <w:bCs/>
                <w:sz w:val="18"/>
                <w:szCs w:val="18"/>
              </w:rPr>
              <w:t>VALOR UNITÁRIO</w:t>
            </w:r>
          </w:p>
        </w:tc>
        <w:tc>
          <w:tcPr>
            <w:tcW w:w="141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b/>
                <w:b/>
                <w:bCs/>
                <w:sz w:val="20"/>
                <w:szCs w:val="20"/>
              </w:rPr>
            </w:pPr>
            <w:r>
              <w:rPr>
                <w:rFonts w:eastAsia="Arial" w:cs="Arial" w:ascii="Arial" w:hAnsi="Arial"/>
                <w:b/>
                <w:bCs/>
                <w:sz w:val="18"/>
                <w:szCs w:val="18"/>
              </w:rPr>
              <w:t>VALOR TOTAL</w:t>
            </w:r>
          </w:p>
        </w:tc>
      </w:tr>
      <w:tr>
        <w:trPr/>
        <w:tc>
          <w:tcPr>
            <w:tcW w:w="80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b/>
                <w:b/>
                <w:bCs/>
                <w:color w:val="000000"/>
                <w:sz w:val="20"/>
                <w:szCs w:val="20"/>
              </w:rPr>
            </w:pPr>
            <w:r>
              <w:rPr>
                <w:rFonts w:eastAsia="Arial" w:cs="Arial" w:ascii="Arial" w:hAnsi="Arial"/>
                <w:b/>
                <w:bCs/>
                <w:color w:val="000000" w:themeColor="text1"/>
                <w:sz w:val="20"/>
                <w:szCs w:val="20"/>
              </w:rPr>
              <w:t>1</w:t>
            </w:r>
          </w:p>
        </w:tc>
        <w:tc>
          <w:tcPr>
            <w:tcW w:w="169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BRAS</w:t>
            </w:r>
            <w:r>
              <w:rPr>
                <w:rFonts w:eastAsia="Arial" w:cs="Arial" w:ascii="arial" w:hAnsi="arial"/>
                <w:color w:val="000000"/>
                <w:sz w:val="20"/>
                <w:szCs w:val="20"/>
                <w:lang w:val="pt-BR" w:eastAsia="pt-BR" w:bidi="ar-SA"/>
              </w:rPr>
              <w:t>ÍNDICE  online 12 meses (24 edições) intermediária</w:t>
            </w:r>
          </w:p>
        </w:tc>
        <w:tc>
          <w:tcPr>
            <w:tcW w:w="102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
          </w:p>
        </w:tc>
        <w:tc>
          <w:tcPr>
            <w:tcW w:w="12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12 meses</w:t>
            </w:r>
          </w:p>
        </w:tc>
        <w:tc>
          <w:tcPr>
            <w:tcW w:w="142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01</w:t>
            </w:r>
          </w:p>
        </w:tc>
        <w:tc>
          <w:tcPr>
            <w:tcW w:w="204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pPr>
            <w:r>
              <w:rPr>
                <w:rFonts w:eastAsia="Arial" w:cs="Arial" w:ascii="Arial" w:hAnsi="Arial"/>
                <w:color w:val="000000"/>
                <w:sz w:val="20"/>
                <w:szCs w:val="20"/>
              </w:rPr>
              <w:t xml:space="preserve">R$ </w:t>
            </w:r>
            <w:r>
              <w:rPr>
                <w:rFonts w:eastAsia="Arial" w:cs="Arial" w:ascii="Arial" w:hAnsi="Arial"/>
                <w:color w:val="000000"/>
                <w:sz w:val="20"/>
                <w:szCs w:val="20"/>
              </w:rPr>
              <w:t>1.600,00</w:t>
            </w:r>
          </w:p>
        </w:tc>
        <w:tc>
          <w:tcPr>
            <w:tcW w:w="141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312" w:before="120" w:after="288"/>
              <w:jc w:val="center"/>
              <w:rPr/>
            </w:pPr>
            <w:r>
              <w:rPr>
                <w:rFonts w:eastAsia="Arial" w:cs="Arial" w:ascii="Arial" w:hAnsi="Arial"/>
                <w:color w:val="000000"/>
                <w:sz w:val="20"/>
                <w:szCs w:val="20"/>
              </w:rPr>
              <w:t xml:space="preserve">R$ </w:t>
            </w:r>
            <w:r>
              <w:rPr>
                <w:rFonts w:eastAsia="Arial" w:cs="Arial" w:ascii="Arial" w:hAnsi="Arial"/>
                <w:color w:val="000000"/>
                <w:sz w:val="20"/>
                <w:szCs w:val="20"/>
              </w:rPr>
              <w:t>1.600,00</w:t>
            </w:r>
          </w:p>
        </w:tc>
      </w:tr>
    </w:tbl>
    <w:p>
      <w:pPr>
        <w:pStyle w:val="Nivel2"/>
        <w:numPr>
          <w:ilvl w:val="0"/>
          <w:numId w:val="0"/>
        </w:numPr>
        <w:ind w:left="999" w:hanging="0"/>
        <w:rPr/>
      </w:pPr>
      <w:r>
        <w:rPr/>
        <w:t xml:space="preserve">1.2 O objeto desta contratação </w:t>
      </w:r>
      <w:r>
        <w:rPr>
          <w:b/>
          <w:bCs/>
        </w:rPr>
        <w:t>não</w:t>
      </w:r>
      <w:r>
        <w:rPr/>
        <w:t xml:space="preserve"> se enquadra como sendo de bem de luxo, conforme Decreto nº 10.818, de 27 de setembro de 2021.</w:t>
      </w:r>
    </w:p>
    <w:p>
      <w:pPr>
        <w:pStyle w:val="Nivel2"/>
        <w:numPr>
          <w:ilvl w:val="0"/>
          <w:numId w:val="0"/>
        </w:numPr>
        <w:ind w:left="999" w:hanging="0"/>
        <w:rPr/>
      </w:pPr>
      <w:r>
        <w:rPr/>
        <w:t>1.3 O contrato</w:t>
      </w:r>
      <w:r>
        <w:rPr>
          <w:shd w:fill="FFFFFF" w:val="clear"/>
        </w:rPr>
        <w:t xml:space="preserve"> ou a nota de empenho </w:t>
      </w:r>
      <w:r>
        <w:rPr/>
        <w:t>oferece maior detalhamento das regras que serão aplicadas em relação à vigência da contratação.</w:t>
      </w:r>
    </w:p>
    <w:p>
      <w:pPr>
        <w:pStyle w:val="Nivel01"/>
        <w:numPr>
          <w:ilvl w:val="0"/>
          <w:numId w:val="1"/>
        </w:numPr>
        <w:ind w:left="0" w:hanging="0"/>
        <w:rPr/>
      </w:pPr>
      <w:r>
        <w:rPr/>
        <w:t>FUNDAMENTAÇÃO E DESCRIÇÃO DA NECESSIDADE DA CONTRATAÇÃO</w:t>
      </w:r>
    </w:p>
    <w:p>
      <w:pPr>
        <w:pStyle w:val="Nivel2"/>
        <w:numPr>
          <w:ilvl w:val="0"/>
          <w:numId w:val="0"/>
        </w:numPr>
        <w:ind w:left="999" w:hanging="0"/>
        <w:rPr/>
      </w:pPr>
      <w:r>
        <w:rPr/>
        <w:t>2.1 A Fundamentação da Contratação e de seus quantitativos encontra-se pormenorizada em Tópico específico dos Estudos Técnicos Preliminares, apêndice deste Termo de Referência.</w:t>
      </w:r>
    </w:p>
    <w:p>
      <w:pPr>
        <w:pStyle w:val="Nvel2Red"/>
        <w:numPr>
          <w:ilvl w:val="0"/>
          <w:numId w:val="0"/>
        </w:numPr>
        <w:ind w:left="999" w:hanging="0"/>
        <w:rPr>
          <w:color w:val="000000"/>
          <w:highlight w:val="white"/>
        </w:rPr>
      </w:pPr>
      <w:r>
        <w:rPr>
          <w:color w:val="000000"/>
          <w:highlight w:val="white"/>
        </w:rPr>
        <w:t>2.2 O objeto da contratação n</w:t>
      </w:r>
      <w:r>
        <w:rPr>
          <w:rFonts w:eastAsia="Arial" w:cs="Arial"/>
          <w:i/>
          <w:iCs/>
          <w:color w:val="000000"/>
          <w:sz w:val="20"/>
          <w:szCs w:val="20"/>
          <w:highlight w:val="white"/>
          <w:lang w:val="pt-BR" w:eastAsia="pt-BR" w:bidi="ar-SA"/>
        </w:rPr>
        <w:t>ão</w:t>
      </w:r>
      <w:r>
        <w:rPr>
          <w:color w:val="000000"/>
          <w:highlight w:val="white"/>
        </w:rPr>
        <w:t xml:space="preserve"> está previsto no Plano de Contratações Anual 2023, conforme consta das informações básicas desse termo de referência.</w:t>
      </w:r>
    </w:p>
    <w:p>
      <w:pPr>
        <w:pStyle w:val="Nivel01"/>
        <w:numPr>
          <w:ilvl w:val="0"/>
          <w:numId w:val="1"/>
        </w:numPr>
        <w:ind w:left="0" w:hanging="0"/>
        <w:rPr/>
      </w:pPr>
      <w:r>
        <w:rPr/>
        <w:t>DESCRIÇÃO DA SOLUÇÃO COMO UM TODO CONSIDERADO O CICLO DE VIDA DO OBJETO E ESPECIFICAÇÃO DO PRODUTO</w:t>
      </w:r>
    </w:p>
    <w:p>
      <w:pPr>
        <w:pStyle w:val="Nvel2Red"/>
        <w:numPr>
          <w:ilvl w:val="0"/>
          <w:numId w:val="0"/>
        </w:numPr>
        <w:ind w:left="999" w:hanging="0"/>
        <w:rPr/>
      </w:pPr>
      <w:r>
        <w:rPr>
          <w:color w:val="000000"/>
        </w:rPr>
        <w:t>3.1 A descrição da solução como um todo encontra-se pormenorizada em tópico específico do Estudo Técnico Preliminar, apêndice deste Termo de Referência.</w:t>
      </w:r>
    </w:p>
    <w:p>
      <w:pPr>
        <w:pStyle w:val="Nivel01"/>
        <w:numPr>
          <w:ilvl w:val="0"/>
          <w:numId w:val="1"/>
        </w:numPr>
        <w:ind w:left="0" w:hanging="0"/>
        <w:rPr/>
      </w:pPr>
      <w:r>
        <w:rPr/>
        <w:t>REQUISITOS DA CONTRATAÇÃO</w:t>
      </w:r>
    </w:p>
    <w:p>
      <w:pPr>
        <w:pStyle w:val="Nivel2"/>
        <w:numPr>
          <w:ilvl w:val="0"/>
          <w:numId w:val="0"/>
        </w:numPr>
        <w:ind w:left="999" w:hanging="0"/>
        <w:rPr/>
      </w:pPr>
      <w:r>
        <w:rPr/>
        <w:t>4.1 Devem ser respeitados os critérios de sustentabilidade eventualmente inseridos na descrição do objeto, bem como os que se baseiam no Guia Nacional de Contratações Sustentáveis:</w:t>
      </w:r>
    </w:p>
    <w:p>
      <w:pPr>
        <w:pStyle w:val="Nivel2"/>
        <w:numPr>
          <w:ilvl w:val="0"/>
          <w:numId w:val="0"/>
        </w:numPr>
        <w:ind w:left="999" w:hanging="0"/>
        <w:rPr/>
      </w:pPr>
      <w:r>
        <w:rPr/>
        <w:t>4.2 Não é admitida a subcontratação do objeto contratual.</w:t>
      </w:r>
    </w:p>
    <w:p>
      <w:pPr>
        <w:pStyle w:val="Nivel01"/>
        <w:numPr>
          <w:ilvl w:val="0"/>
          <w:numId w:val="1"/>
        </w:numPr>
        <w:ind w:left="0" w:hanging="0"/>
        <w:rPr/>
      </w:pPr>
      <w:r>
        <w:rPr/>
        <w:t>MODELO DE EXECUÇÃO DO OBJETO</w:t>
      </w:r>
    </w:p>
    <w:p>
      <w:pPr>
        <w:pStyle w:val="Nvel1SemNum"/>
        <w:keepNext w:val="true"/>
        <w:keepLines/>
        <w:widowControl/>
        <w:numPr>
          <w:ilvl w:val="0"/>
          <w:numId w:val="0"/>
        </w:numPr>
        <w:bidi w:val="0"/>
        <w:spacing w:lineRule="auto" w:line="276" w:before="240" w:after="120"/>
        <w:ind w:left="0" w:hanging="0"/>
        <w:jc w:val="both"/>
        <w:rPr>
          <w:rFonts w:ascii="Arial" w:hAnsi="Arial" w:eastAsia="ＭＳ ゴシック" w:cs="Arial"/>
          <w:b/>
          <w:b/>
          <w:bCs/>
          <w:sz w:val="20"/>
          <w:szCs w:val="20"/>
          <w:lang w:eastAsia="pt-BR"/>
        </w:rPr>
      </w:pPr>
      <w:r>
        <w:rPr>
          <w:rFonts w:eastAsia="ＭＳ ゴシック" w:cs="Arial"/>
          <w:b/>
          <w:bCs/>
          <w:sz w:val="20"/>
          <w:szCs w:val="20"/>
          <w:lang w:eastAsia="pt-BR"/>
        </w:rPr>
        <w:t>Condições de Entrega</w:t>
      </w:r>
    </w:p>
    <w:p>
      <w:pPr>
        <w:pStyle w:val="Nvel2Red"/>
        <w:numPr>
          <w:ilvl w:val="0"/>
          <w:numId w:val="0"/>
        </w:numPr>
        <w:ind w:left="999" w:hanging="0"/>
        <w:rPr/>
      </w:pPr>
      <w:r>
        <w:rPr>
          <w:color w:val="000000"/>
        </w:rPr>
        <w:t>5.1 O prazo de início d</w:t>
      </w:r>
      <w:r>
        <w:rPr>
          <w:color w:val="000000"/>
        </w:rPr>
        <w:t xml:space="preserve">a assinatura </w:t>
      </w:r>
      <w:r>
        <w:rPr>
          <w:color w:val="000000"/>
        </w:rPr>
        <w:t xml:space="preserve">é de 15 (quinze) dias, contados do envio da nota de empenho. </w:t>
      </w:r>
    </w:p>
    <w:p>
      <w:pPr>
        <w:pStyle w:val="Nvel2Red"/>
        <w:numPr>
          <w:ilvl w:val="0"/>
          <w:numId w:val="0"/>
        </w:numPr>
        <w:ind w:left="999" w:hanging="0"/>
        <w:rPr/>
      </w:pPr>
      <w:r>
        <w:rPr>
          <w:color w:val="000000"/>
        </w:rPr>
        <w:t>5.2 Caso não seja possível a entrega na data prevista, a empresa deverá comunicar as razões respectivas com pelo menos 5 (cinco) dias de antecedência para que qualquer pleito de prorrogação de prazo seja analisado, ressalvadas situações de caso fortuito e força maior.</w:t>
      </w:r>
    </w:p>
    <w:p>
      <w:pPr>
        <w:pStyle w:val="Nvel1SemNumPreto"/>
        <w:ind w:left="0" w:hanging="0"/>
        <w:rPr/>
      </w:pPr>
      <w:r>
        <w:rPr/>
        <w:t>Garantia, manutenção e assistência técnica</w:t>
      </w:r>
    </w:p>
    <w:p>
      <w:pPr>
        <w:pStyle w:val="Nvel2Red"/>
        <w:numPr>
          <w:ilvl w:val="0"/>
          <w:numId w:val="0"/>
        </w:numPr>
        <w:ind w:left="999" w:hanging="0"/>
        <w:rPr>
          <w:color w:val="000000"/>
        </w:rPr>
      </w:pPr>
      <w:r>
        <w:rPr>
          <w:color w:val="000000"/>
        </w:rPr>
        <w:t>5.4 O prazo de garantia é aquele estabelecido na Lei nº 8.078, de 11 de setembro de 1990 (Código de Defesa do Consumidor).</w:t>
      </w:r>
    </w:p>
    <w:p>
      <w:pPr>
        <w:pStyle w:val="Nvel2Red"/>
        <w:numPr>
          <w:ilvl w:val="0"/>
          <w:numId w:val="0"/>
        </w:numPr>
        <w:ind w:left="999" w:hanging="0"/>
        <w:rPr>
          <w:color w:val="000000"/>
        </w:rPr>
      </w:pPr>
      <w:r>
        <w:rPr>
          <w:color w:val="000000"/>
        </w:rPr>
        <w:t xml:space="preserve">5.5 A garantia será prestada com vistas a manter </w:t>
      </w:r>
      <w:r>
        <w:rPr>
          <w:color w:val="000000"/>
        </w:rPr>
        <w:t>a assinatura</w:t>
      </w:r>
      <w:r>
        <w:rPr>
          <w:color w:val="000000"/>
        </w:rPr>
        <w:t xml:space="preserve"> fornecid</w:t>
      </w:r>
      <w:r>
        <w:rPr>
          <w:color w:val="000000"/>
        </w:rPr>
        <w:t>a</w:t>
      </w:r>
      <w:r>
        <w:rPr>
          <w:color w:val="000000"/>
        </w:rPr>
        <w:t xml:space="preserve"> em perfeitas condições de uso, sem qualquer ônus ou custo adicional para o Contratante. </w:t>
      </w:r>
    </w:p>
    <w:p>
      <w:pPr>
        <w:pStyle w:val="Nvel2Red"/>
        <w:numPr>
          <w:ilvl w:val="0"/>
          <w:numId w:val="0"/>
        </w:numPr>
        <w:ind w:left="999" w:hanging="0"/>
        <w:rPr>
          <w:color w:val="000000"/>
        </w:rPr>
      </w:pPr>
      <w:r>
        <w:rPr>
          <w:color w:val="000000"/>
        </w:rPr>
        <w:t xml:space="preserve">5.6 A garantia abrange a realização da manutenção corretiva dos bens pelo próprio Contratado, ou, se for o caso, por meio de assistência técnica autorizada, de acordo com as normas técnicas específicas. </w:t>
      </w:r>
    </w:p>
    <w:p>
      <w:pPr>
        <w:pStyle w:val="Nvel2Red"/>
        <w:numPr>
          <w:ilvl w:val="0"/>
          <w:numId w:val="0"/>
        </w:numPr>
        <w:ind w:left="999" w:hanging="0"/>
        <w:rPr>
          <w:color w:val="000000"/>
        </w:rPr>
      </w:pPr>
      <w:r>
        <w:rPr>
          <w:color w:val="000000"/>
        </w:rPr>
        <w:t xml:space="preserve">5.7 Entende-se por manutenção corretiva aquela destinada a corrigir os defeitos apresentados pelos </w:t>
      </w:r>
      <w:r>
        <w:rPr>
          <w:color w:val="000000"/>
        </w:rPr>
        <w:t>serviços</w:t>
      </w:r>
      <w:r>
        <w:rPr>
          <w:color w:val="000000"/>
        </w:rPr>
        <w:t xml:space="preserve">, compreendendo a substituição de peças, a realização de ajustes, reparos e correções necessárias. </w:t>
      </w:r>
    </w:p>
    <w:p>
      <w:pPr>
        <w:pStyle w:val="Nvel2Red"/>
        <w:numPr>
          <w:ilvl w:val="0"/>
          <w:numId w:val="0"/>
        </w:numPr>
        <w:ind w:left="999" w:hanging="0"/>
        <w:rPr>
          <w:highlight w:val="white"/>
        </w:rPr>
      </w:pPr>
      <w:r>
        <w:rPr>
          <w:color w:val="000000"/>
          <w:highlight w:val="white"/>
        </w:rPr>
        <w:t>5.8 As linhas que apresentarem vício ou defeito no período de vigência da garantia deverão ser substituídas por outras novas, de primeiro uso, e originais, que apresentem padrões de qualidade e desempenho iguais ou superiores às substituídas</w:t>
      </w:r>
    </w:p>
    <w:p>
      <w:pPr>
        <w:pStyle w:val="Nvel2Red"/>
        <w:numPr>
          <w:ilvl w:val="0"/>
          <w:numId w:val="0"/>
        </w:numPr>
        <w:ind w:left="999" w:hanging="0"/>
        <w:rPr>
          <w:color w:val="000000"/>
        </w:rPr>
      </w:pPr>
      <w:r>
        <w:rPr>
          <w:color w:val="000000"/>
        </w:rPr>
        <w:t xml:space="preserve">5.9 Uma vez notificado, o Contratado realizará a reparação ou substituição dos bens </w:t>
      </w:r>
      <w:r>
        <w:rPr>
          <w:color w:val="000000"/>
        </w:rPr>
        <w:t xml:space="preserve">ou serviços prestados </w:t>
      </w:r>
      <w:r>
        <w:rPr>
          <w:color w:val="000000"/>
        </w:rPr>
        <w:t xml:space="preserve"> que apresentarem vício ou defeito no prazo de até</w:t>
      </w:r>
      <w:r>
        <w:rPr>
          <w:b/>
          <w:bCs/>
          <w:color w:val="000000"/>
        </w:rPr>
        <w:t xml:space="preserve"> 7 sete dias úteis</w:t>
      </w:r>
      <w:r>
        <w:rPr>
          <w:color w:val="000000"/>
        </w:rPr>
        <w:t xml:space="preserve">, contados a partir da data de retirada do equipamento das dependências da Administração pelo Contratado ou pela assistência técnica autorizada. </w:t>
      </w:r>
    </w:p>
    <w:p>
      <w:pPr>
        <w:pStyle w:val="Nvel2Red"/>
        <w:numPr>
          <w:ilvl w:val="0"/>
          <w:numId w:val="0"/>
        </w:numPr>
        <w:ind w:left="999" w:hanging="0"/>
        <w:rPr/>
      </w:pPr>
      <w:r>
        <w:rPr>
          <w:color w:val="000000"/>
        </w:rPr>
        <w:t xml:space="preserve">5.10 O prazo indicado no subitem anterior, durante seu transcurso, poderá ser prorrogado uma única vez, por igual período, mediante solicitação escrita e justificada do Contratado, aceita pelo Contratante. </w:t>
      </w:r>
    </w:p>
    <w:p>
      <w:pPr>
        <w:pStyle w:val="Nvel2Red"/>
        <w:numPr>
          <w:ilvl w:val="0"/>
          <w:numId w:val="0"/>
        </w:numPr>
        <w:ind w:left="999" w:hanging="0"/>
        <w:rPr/>
      </w:pPr>
      <w:r>
        <w:rPr>
          <w:color w:val="000000"/>
        </w:rPr>
        <w:t xml:space="preserve">5.11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pPr>
        <w:pStyle w:val="Nvel2Red"/>
        <w:numPr>
          <w:ilvl w:val="0"/>
          <w:numId w:val="0"/>
        </w:numPr>
        <w:ind w:left="999" w:hanging="0"/>
        <w:rPr/>
      </w:pPr>
      <w:r>
        <w:rPr>
          <w:color w:val="000000"/>
        </w:rPr>
        <w:t xml:space="preserve">5.12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pPr>
        <w:pStyle w:val="Nvel2Red"/>
        <w:numPr>
          <w:ilvl w:val="0"/>
          <w:numId w:val="0"/>
        </w:numPr>
        <w:ind w:left="999" w:hanging="0"/>
        <w:rPr/>
      </w:pPr>
      <w:r>
        <w:rPr>
          <w:color w:val="000000"/>
        </w:rPr>
        <w:t xml:space="preserve">5.13 O custo referente ao transporte dos equipamentos cobertos pela garantia será de responsabilidade do Contratado. </w:t>
      </w:r>
    </w:p>
    <w:p>
      <w:pPr>
        <w:pStyle w:val="Nvel2Red"/>
        <w:numPr>
          <w:ilvl w:val="0"/>
          <w:numId w:val="0"/>
        </w:numPr>
        <w:ind w:left="999" w:hanging="0"/>
        <w:rPr/>
      </w:pPr>
      <w:r>
        <w:rPr>
          <w:color w:val="000000"/>
        </w:rPr>
        <w:t>5.14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pStyle w:val="Nivel01"/>
        <w:numPr>
          <w:ilvl w:val="0"/>
          <w:numId w:val="1"/>
        </w:numPr>
        <w:ind w:left="0" w:hanging="0"/>
        <w:rPr/>
      </w:pPr>
      <w:r>
        <w:rPr/>
        <w:t>MODELO DE GESTÃO DO CONTRATO</w:t>
      </w:r>
    </w:p>
    <w:p>
      <w:pPr>
        <w:pStyle w:val="Nivel2"/>
        <w:numPr>
          <w:ilvl w:val="0"/>
          <w:numId w:val="0"/>
        </w:numPr>
        <w:ind w:left="999" w:hanging="0"/>
        <w:rPr/>
      </w:pPr>
      <w:r>
        <w:rPr/>
        <w:t>6.1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ind w:left="999" w:hanging="0"/>
        <w:rPr/>
      </w:pPr>
      <w:r>
        <w:rPr/>
        <w:t>6.2 As comunicações entre o órgão ou entidade e a contratada devem ser realizadas por escrito sempre que o ato exigir tal formalidade, admitindo-se o uso de mensagem eletrônica para esse fim.</w:t>
      </w:r>
    </w:p>
    <w:p>
      <w:pPr>
        <w:pStyle w:val="Nivel2"/>
        <w:numPr>
          <w:ilvl w:val="0"/>
          <w:numId w:val="0"/>
        </w:numPr>
        <w:ind w:left="999" w:hanging="0"/>
        <w:rPr/>
      </w:pPr>
      <w:r>
        <w:rPr/>
        <w:t>6.3 O órgão ou entidade poderá convocar representante da empresa para adoção de providências que devam ser cumpridas de imediato.</w:t>
      </w:r>
    </w:p>
    <w:p>
      <w:pPr>
        <w:pStyle w:val="Nivel2"/>
        <w:numPr>
          <w:ilvl w:val="0"/>
          <w:numId w:val="0"/>
        </w:numPr>
        <w:ind w:left="999" w:hanging="0"/>
        <w:rPr/>
      </w:pPr>
      <w:r>
        <w:rPr/>
        <w:t>6.4 Após a assinatura do contrato ou instrumento equivalente</w:t>
      </w:r>
      <w:r>
        <w:rPr>
          <w:strike/>
        </w:rPr>
        <w:t>,</w:t>
      </w:r>
      <w:r>
        <w:rPr/>
        <w:t xml:space="preserve"> o órgão ou entidade poderá convocar o representante da empresa contratada para reunião inicial para apresentação do plano de fiscalização, que conterá informações acerca das obrigações contratuais, dos mecanismos de fiscalização, entre outros.</w:t>
      </w:r>
    </w:p>
    <w:p>
      <w:pPr>
        <w:pStyle w:val="Nivel2"/>
        <w:numPr>
          <w:ilvl w:val="0"/>
          <w:numId w:val="0"/>
        </w:numPr>
        <w:ind w:left="0" w:hanging="0"/>
        <w:rPr/>
      </w:pPr>
      <w:r>
        <w:rPr>
          <w:b/>
          <w:bCs/>
        </w:rPr>
        <w:t>Fiscalização</w:t>
      </w:r>
    </w:p>
    <w:p>
      <w:pPr>
        <w:pStyle w:val="Nivel2"/>
        <w:numPr>
          <w:ilvl w:val="0"/>
          <w:numId w:val="0"/>
        </w:numPr>
        <w:ind w:left="999" w:hanging="0"/>
        <w:rPr/>
      </w:pPr>
      <w:r>
        <w:rPr/>
        <w:t>6.5 A execução do cont</w:t>
      </w:r>
      <w:r>
        <w:rPr>
          <w:color w:val="000000"/>
        </w:rPr>
        <w:t>rato deverá ser acompanhada e fiscalizada pelo(s) fiscal(is) do contrato, ou pelos respectivos substitutos (</w:t>
      </w:r>
      <w:r>
        <w:fldChar w:fldCharType="begin"/>
      </w:r>
      <w:r>
        <w:rPr>
          <w:rStyle w:val="LinkdaInternet"/>
          <w:color w:val="000000"/>
        </w:rPr>
        <w:instrText xml:space="preserve"> HYPERLINK "http://www.planalto.gov.br/ccivil_03/_ato2019-2022/2021/lei/L14133.htm" \l "art117"</w:instrText>
      </w:r>
      <w:r>
        <w:rPr>
          <w:rStyle w:val="LinkdaInternet"/>
          <w:color w:val="000000"/>
        </w:rPr>
        <w:fldChar w:fldCharType="separate"/>
      </w:r>
      <w:r>
        <w:rPr>
          <w:rStyle w:val="LinkdaInternet"/>
          <w:color w:val="000000"/>
        </w:rPr>
        <w:t>Lei nº 14.133, de 2021, art. 117, caput</w:t>
      </w:r>
      <w:r>
        <w:rPr>
          <w:rStyle w:val="LinkdaInternet"/>
          <w:color w:val="000000"/>
        </w:rPr>
        <w:fldChar w:fldCharType="end"/>
      </w:r>
      <w:r>
        <w:rPr>
          <w:color w:val="000000"/>
        </w:rPr>
        <w:t>).</w:t>
      </w:r>
    </w:p>
    <w:p>
      <w:pPr>
        <w:pStyle w:val="Nivel2"/>
        <w:numPr>
          <w:ilvl w:val="0"/>
          <w:numId w:val="0"/>
        </w:numPr>
        <w:ind w:left="999" w:hanging="0"/>
        <w:rPr/>
      </w:pPr>
      <w:r>
        <w:rPr/>
        <w:t>6.6 A ação da fiscalização não reduz nem tampouco exclui a responsabilidade da Contratada perante a Administração e terceiros</w:t>
      </w:r>
    </w:p>
    <w:p>
      <w:pPr>
        <w:pStyle w:val="Nvel1SemNumPreto"/>
        <w:ind w:left="0" w:hanging="0"/>
        <w:rPr/>
      </w:pPr>
      <w:r>
        <w:rPr/>
        <w:t>Fiscalização Técnica</w:t>
      </w:r>
    </w:p>
    <w:p>
      <w:pPr>
        <w:pStyle w:val="Nivel2"/>
        <w:numPr>
          <w:ilvl w:val="0"/>
          <w:numId w:val="0"/>
        </w:numPr>
        <w:ind w:left="999" w:hanging="0"/>
        <w:rPr/>
      </w:pPr>
      <w:r>
        <w:rPr/>
        <w:t>6.7 O fiscal técnico do contrato acompanhará a execução do contrato, para que sejam cumpridas todas as condições estabelecidas no contrato, de modo a assegurar os melhores resultados para a Administração. (Decreto nº 11.246, de 2022, art. 22, VI);</w:t>
      </w:r>
    </w:p>
    <w:p>
      <w:pPr>
        <w:pStyle w:val="Nivel3"/>
        <w:numPr>
          <w:ilvl w:val="0"/>
          <w:numId w:val="0"/>
        </w:numPr>
        <w:ind w:left="2065" w:hanging="0"/>
        <w:rPr/>
      </w:pPr>
      <w:r>
        <w:rPr>
          <w:color w:val="000000"/>
        </w:rPr>
        <w:t>6.7.1 O fiscal técnico do contrato anotará no histórico de gerenciamento do contrato todas as ocorrências relacionadas à execução do contrato, com a descrição do que for necessário para a regularização das faltas ou dos defeitos observados. (</w:t>
      </w:r>
      <w:r>
        <w:fldChar w:fldCharType="begin"/>
      </w:r>
      <w:r>
        <w:rPr>
          <w:rStyle w:val="LinkdaInternet"/>
          <w:color w:val="000000"/>
        </w:rPr>
        <w:instrText xml:space="preserve"> HYPERLINK "http://www.planalto.gov.br/ccivil_03/_ato2019-2022/2021/lei/L14133.htm" \l "art117§1"</w:instrText>
      </w:r>
      <w:r>
        <w:rPr>
          <w:rStyle w:val="LinkdaInternet"/>
          <w:color w:val="000000"/>
        </w:rPr>
        <w:fldChar w:fldCharType="separate"/>
      </w:r>
      <w:r>
        <w:rPr>
          <w:rStyle w:val="LinkdaInternet"/>
          <w:color w:val="000000"/>
        </w:rPr>
        <w:t>Lei nº 14.133, de 2021, art. 117, §1º</w:t>
      </w:r>
      <w:r>
        <w:rPr>
          <w:rStyle w:val="LinkdaInternet"/>
          <w:color w:val="000000"/>
        </w:rPr>
        <w:fldChar w:fldCharType="end"/>
      </w:r>
      <w:r>
        <w:rPr>
          <w:color w:val="000000"/>
        </w:rPr>
        <w:t xml:space="preserve">, e </w:t>
      </w:r>
      <w:r>
        <w:fldChar w:fldCharType="begin"/>
      </w:r>
      <w:r>
        <w:rPr>
          <w:rStyle w:val="LinkdaInternet"/>
          <w:color w:val="000000"/>
        </w:rPr>
        <w:instrText xml:space="preserve"> HYPERLINK "https://www.planalto.gov.br/ccivil_03/_ato2019-2022/2022/Decreto/D11246.htm" \l "art22"</w:instrText>
      </w:r>
      <w:r>
        <w:rPr>
          <w:rStyle w:val="LinkdaInternet"/>
          <w:color w:val="000000"/>
        </w:rPr>
        <w:fldChar w:fldCharType="separate"/>
      </w:r>
      <w:r>
        <w:rPr>
          <w:rStyle w:val="LinkdaInternet"/>
          <w:color w:val="000000"/>
        </w:rPr>
        <w:t>Decreto nº 11.246, de 2022, art. 22, II);</w:t>
      </w:r>
      <w:r>
        <w:rPr>
          <w:rStyle w:val="LinkdaInternet"/>
          <w:color w:val="000000"/>
        </w:rPr>
        <w:fldChar w:fldCharType="end"/>
      </w:r>
    </w:p>
    <w:p>
      <w:pPr>
        <w:pStyle w:val="Nivel3"/>
        <w:numPr>
          <w:ilvl w:val="0"/>
          <w:numId w:val="0"/>
        </w:numPr>
        <w:ind w:left="2065" w:hanging="0"/>
        <w:rPr/>
      </w:pPr>
      <w:r>
        <w:rPr>
          <w:color w:val="000000"/>
        </w:rPr>
        <w:t>6.7.2 Identificada qualquer inexatidão ou irregularidade, o fiscal técnico do contrato emitirá notificações para a correção da execução do contrato, determinando prazo para a correção. (</w:t>
      </w:r>
      <w:r>
        <w:fldChar w:fldCharType="begin"/>
      </w:r>
      <w:r>
        <w:rPr>
          <w:rStyle w:val="LinkdaInternet"/>
          <w:color w:val="000000"/>
        </w:rPr>
        <w:instrText xml:space="preserve"> HYPERLINK "https://www.planalto.gov.br/ccivil_03/_ato2019-2022/2022/Decreto/D11246.htm" \l "art22"</w:instrText>
      </w:r>
      <w:r>
        <w:rPr>
          <w:rStyle w:val="LinkdaInternet"/>
          <w:color w:val="000000"/>
        </w:rPr>
        <w:fldChar w:fldCharType="separate"/>
      </w:r>
      <w:r>
        <w:rPr>
          <w:rStyle w:val="LinkdaInternet"/>
          <w:color w:val="000000"/>
        </w:rPr>
        <w:t>Decreto nº 11.246, de 2022, art. 22, III</w:t>
      </w:r>
      <w:r>
        <w:rPr>
          <w:rStyle w:val="LinkdaInternet"/>
          <w:color w:val="000000"/>
        </w:rPr>
        <w:fldChar w:fldCharType="end"/>
      </w:r>
      <w:r>
        <w:rPr>
          <w:color w:val="000000"/>
        </w:rPr>
        <w:t xml:space="preserve">); </w:t>
      </w:r>
    </w:p>
    <w:p>
      <w:pPr>
        <w:pStyle w:val="Nivel3"/>
        <w:numPr>
          <w:ilvl w:val="0"/>
          <w:numId w:val="0"/>
        </w:numPr>
        <w:ind w:left="2065" w:hanging="0"/>
        <w:rPr/>
      </w:pPr>
      <w:r>
        <w:rPr>
          <w:color w:val="000000"/>
        </w:rPr>
        <w:t>6.7.3 O fiscal técnico do contrato informará ao gestor do contato, em tempo hábil, a situação que demandar decisão ou adoção de medidas que ultrapassem sua competência, para que adote as medidas necessárias e saneadoras, se for o caso. (</w:t>
      </w:r>
      <w:r>
        <w:fldChar w:fldCharType="begin"/>
      </w:r>
      <w:r>
        <w:rPr>
          <w:rStyle w:val="LinkdaInternet"/>
          <w:color w:val="000000"/>
        </w:rPr>
        <w:instrText xml:space="preserve"> HYPERLINK "https://www.planalto.gov.br/ccivil_03/_ato2019-2022/2022/Decreto/D11246.htm" \l "art22"</w:instrText>
      </w:r>
      <w:r>
        <w:rPr>
          <w:rStyle w:val="LinkdaInternet"/>
          <w:color w:val="000000"/>
        </w:rPr>
        <w:fldChar w:fldCharType="separate"/>
      </w:r>
      <w:r>
        <w:rPr>
          <w:rStyle w:val="LinkdaInternet"/>
          <w:color w:val="000000"/>
        </w:rPr>
        <w:t>Decreto nº 11.246, de 2022, art. 22, IV</w:t>
      </w:r>
      <w:r>
        <w:rPr>
          <w:rStyle w:val="LinkdaInternet"/>
          <w:color w:val="000000"/>
        </w:rPr>
        <w:fldChar w:fldCharType="end"/>
      </w:r>
      <w:r>
        <w:rPr>
          <w:color w:val="000000"/>
        </w:rPr>
        <w:t>).</w:t>
      </w:r>
    </w:p>
    <w:p>
      <w:pPr>
        <w:pStyle w:val="Nivel3"/>
        <w:numPr>
          <w:ilvl w:val="0"/>
          <w:numId w:val="0"/>
        </w:numPr>
        <w:ind w:left="2065" w:hanging="0"/>
        <w:rPr/>
      </w:pPr>
      <w:r>
        <w:rPr>
          <w:color w:val="000000"/>
        </w:rPr>
        <w:t>6.7.4 No caso de ocorrências que possam inviabilizar a execução do contrato nas datas aprazadas, o fiscal técnico do contrato comunicará o fato imediatamente ao gestor do contrato. (</w:t>
      </w:r>
      <w:r>
        <w:fldChar w:fldCharType="begin"/>
      </w:r>
      <w:r>
        <w:rPr>
          <w:rStyle w:val="LinkdaInternet"/>
          <w:color w:val="000000"/>
        </w:rPr>
        <w:instrText xml:space="preserve"> HYPERLINK "https://www.planalto.gov.br/ccivil_03/_ato2019-2022/2022/Decreto/D11246.htm" \l "art22"</w:instrText>
      </w:r>
      <w:r>
        <w:rPr>
          <w:rStyle w:val="LinkdaInternet"/>
          <w:color w:val="000000"/>
        </w:rPr>
        <w:fldChar w:fldCharType="separate"/>
      </w:r>
      <w:r>
        <w:rPr>
          <w:rStyle w:val="LinkdaInternet"/>
          <w:color w:val="000000"/>
        </w:rPr>
        <w:t>Decreto nº 11.246, de 2022, art. 22, V</w:t>
      </w:r>
      <w:r>
        <w:rPr>
          <w:rStyle w:val="LinkdaInternet"/>
          <w:color w:val="000000"/>
        </w:rPr>
        <w:fldChar w:fldCharType="end"/>
      </w:r>
      <w:r>
        <w:rPr>
          <w:color w:val="000000"/>
        </w:rPr>
        <w:t>).</w:t>
      </w:r>
    </w:p>
    <w:p>
      <w:pPr>
        <w:pStyle w:val="Nivel3"/>
        <w:numPr>
          <w:ilvl w:val="0"/>
          <w:numId w:val="0"/>
        </w:numPr>
        <w:ind w:left="2065" w:hanging="0"/>
        <w:rPr/>
      </w:pPr>
      <w:r>
        <w:rPr>
          <w:color w:val="000000"/>
        </w:rPr>
        <w:t xml:space="preserve">6.7.5 O fiscal técnico do contrato comunicará ao gestor do contrato, em tempo hábil, o término do contrato sob sua responsabilidade, com vistas à renovação tempestiva ou à prorrogação contratual </w:t>
      </w:r>
      <w:r>
        <w:fldChar w:fldCharType="begin"/>
      </w:r>
      <w:r>
        <w:rPr>
          <w:rStyle w:val="LinkdaInternet"/>
          <w:color w:val="000000"/>
        </w:rPr>
        <w:instrText xml:space="preserve"> HYPERLINK "https://www.planalto.gov.br/ccivil_03/_ato2019-2022/2022/Decreto/D11246.htm" \l "art22"</w:instrText>
      </w:r>
      <w:r>
        <w:rPr>
          <w:rStyle w:val="LinkdaInternet"/>
          <w:color w:val="000000"/>
        </w:rPr>
        <w:fldChar w:fldCharType="separate"/>
      </w:r>
      <w:r>
        <w:rPr>
          <w:rStyle w:val="LinkdaInternet"/>
          <w:color w:val="000000"/>
        </w:rPr>
        <w:t>(Decreto nº 11.246, de 2022, art. 22, VII</w:t>
      </w:r>
      <w:r>
        <w:rPr>
          <w:rStyle w:val="LinkdaInternet"/>
          <w:color w:val="000000"/>
        </w:rPr>
        <w:fldChar w:fldCharType="end"/>
      </w:r>
      <w:r>
        <w:rPr>
          <w:color w:val="000000"/>
        </w:rPr>
        <w:t>).</w:t>
      </w:r>
    </w:p>
    <w:p>
      <w:pPr>
        <w:pStyle w:val="Nivel3"/>
        <w:widowControl/>
        <w:numPr>
          <w:ilvl w:val="0"/>
          <w:numId w:val="0"/>
        </w:numPr>
        <w:suppressAutoHyphens w:val="true"/>
        <w:bidi w:val="0"/>
        <w:spacing w:lineRule="auto" w:line="276" w:before="120" w:after="120"/>
        <w:ind w:left="0" w:hanging="0"/>
        <w:jc w:val="both"/>
        <w:rPr>
          <w:rFonts w:ascii="Arial" w:hAnsi="Arial" w:eastAsia="" w:cs="Arial"/>
          <w:color w:val="000000"/>
          <w:sz w:val="20"/>
          <w:szCs w:val="20"/>
          <w:lang w:val="pt-BR" w:eastAsia="pt-BR" w:bidi="ar-SA"/>
        </w:rPr>
      </w:pPr>
      <w:r>
        <w:rPr>
          <w:rFonts w:eastAsia="" w:cs="Arial"/>
          <w:color w:val="000000"/>
          <w:sz w:val="20"/>
          <w:szCs w:val="20"/>
          <w:lang w:val="pt-BR" w:eastAsia="pt-BR" w:bidi="ar-SA"/>
        </w:rPr>
        <w:t>Fiscalização Administrativa</w:t>
      </w:r>
    </w:p>
    <w:p>
      <w:pPr>
        <w:pStyle w:val="Nivel2"/>
        <w:widowControl/>
        <w:numPr>
          <w:ilvl w:val="0"/>
          <w:numId w:val="0"/>
        </w:numPr>
        <w:suppressAutoHyphens w:val="true"/>
        <w:bidi w:val="0"/>
        <w:spacing w:lineRule="auto" w:line="276" w:before="120" w:after="120"/>
        <w:ind w:left="999" w:hanging="0"/>
        <w:jc w:val="left"/>
        <w:rPr/>
      </w:pPr>
      <w:r>
        <w:rPr>
          <w:color w:val="000000"/>
        </w:rPr>
        <w:t xml:space="preserve">6.8 O fiscal administrativo do </w:t>
      </w:r>
      <w:r>
        <w:rPr>
          <w:rFonts w:eastAsia="Arial" w:cs="Arial"/>
          <w:color w:val="000000"/>
          <w:sz w:val="20"/>
          <w:szCs w:val="20"/>
          <w:lang w:val="pt-BR" w:eastAsia="pt-BR" w:bidi="ar-SA"/>
        </w:rPr>
        <w:t>contrato</w:t>
      </w:r>
      <w:r>
        <w:rPr>
          <w:color w:val="000000"/>
        </w:rPr>
        <w:t xml:space="preserve"> verificará a manutenção das condições de habilitação da contratada, acompanhará o empenho, o pagamento, as garantias, as glosas e a formalização de apostilamento e termos aditivos, solicitando quaisquer documentos comprobatórios pertinentes, caso necessário (</w:t>
      </w:r>
      <w:r>
        <w:fldChar w:fldCharType="begin"/>
      </w:r>
      <w:r>
        <w:rPr>
          <w:rStyle w:val="LinkdaInternet"/>
          <w:color w:val="000000"/>
        </w:rPr>
        <w:instrText xml:space="preserve"> HYPERLINK "https://www.planalto.gov.br/ccivil_03/_ato2019-2022/2022/Decreto/D11246.htm" \l "art23"</w:instrText>
      </w:r>
      <w:r>
        <w:rPr>
          <w:rStyle w:val="LinkdaInternet"/>
          <w:color w:val="000000"/>
        </w:rPr>
        <w:fldChar w:fldCharType="separate"/>
      </w:r>
      <w:r>
        <w:rPr>
          <w:rStyle w:val="LinkdaInternet"/>
          <w:color w:val="000000"/>
        </w:rPr>
        <w:t>Art. 23, I e II, do Decreto nº 11.246, de 2022</w:t>
      </w:r>
      <w:r>
        <w:rPr>
          <w:rStyle w:val="LinkdaInternet"/>
          <w:color w:val="000000"/>
        </w:rPr>
        <w:fldChar w:fldCharType="end"/>
      </w:r>
      <w:r>
        <w:rPr>
          <w:color w:val="000000"/>
        </w:rPr>
        <w:t>).</w:t>
      </w:r>
    </w:p>
    <w:p>
      <w:pPr>
        <w:pStyle w:val="Nivel3"/>
        <w:numPr>
          <w:ilvl w:val="0"/>
          <w:numId w:val="0"/>
        </w:numPr>
        <w:ind w:left="2065" w:hanging="0"/>
        <w:rPr/>
      </w:pPr>
      <w:r>
        <w:rPr>
          <w:color w:val="000000"/>
        </w:rPr>
        <w:t>6.8.1 Caso ocorra descumprimento das obrigações contratuais, o fiscal administrativo do contrato atuará tempestivamente na solução do problema, reportando ao gestor do contrato para que tome as providências cabíveis, quando ultrapassar a sua competência; (</w:t>
      </w:r>
      <w:r>
        <w:fldChar w:fldCharType="begin"/>
      </w:r>
      <w:r>
        <w:rPr>
          <w:rStyle w:val="LinkdaInternet"/>
          <w:color w:val="000000"/>
        </w:rPr>
        <w:instrText xml:space="preserve"> HYPERLINK "https://www.planalto.gov.br/ccivil_03/_ato2019-2022/2022/Decreto/D11246.htm" \l "art23"</w:instrText>
      </w:r>
      <w:r>
        <w:rPr>
          <w:rStyle w:val="LinkdaInternet"/>
          <w:color w:val="000000"/>
        </w:rPr>
        <w:fldChar w:fldCharType="separate"/>
      </w:r>
      <w:r>
        <w:rPr>
          <w:rStyle w:val="LinkdaInternet"/>
          <w:color w:val="000000"/>
        </w:rPr>
        <w:t>Decreto nº 11.246, de 2022, art. 23, IV</w:t>
      </w:r>
      <w:r>
        <w:rPr>
          <w:rStyle w:val="LinkdaInternet"/>
          <w:color w:val="000000"/>
        </w:rPr>
        <w:fldChar w:fldCharType="end"/>
      </w:r>
      <w:r>
        <w:rPr>
          <w:color w:val="000000"/>
        </w:rPr>
        <w:t>).</w:t>
      </w:r>
    </w:p>
    <w:p>
      <w:pPr>
        <w:pStyle w:val="Nvel1SemNumPreto"/>
        <w:ind w:left="0" w:hanging="0"/>
        <w:rPr>
          <w:i/>
          <w:i/>
          <w:iCs/>
        </w:rPr>
      </w:pPr>
      <w:r>
        <w:rPr/>
        <w:t>Gestor do Contrato</w:t>
      </w:r>
    </w:p>
    <w:p>
      <w:pPr>
        <w:pStyle w:val="Nivel2"/>
        <w:numPr>
          <w:ilvl w:val="0"/>
          <w:numId w:val="0"/>
        </w:numPr>
        <w:ind w:left="999" w:hanging="0"/>
        <w:rPr/>
      </w:pPr>
      <w:r>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ivel2"/>
        <w:numPr>
          <w:ilvl w:val="0"/>
          <w:numId w:val="0"/>
        </w:numPr>
        <w:ind w:left="999" w:hanging="0"/>
        <w:rPr/>
      </w:pPr>
      <w:r>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ivel2"/>
        <w:numPr>
          <w:ilvl w:val="0"/>
          <w:numId w:val="0"/>
        </w:numPr>
        <w:ind w:left="999" w:hanging="0"/>
        <w:rPr/>
      </w:pPr>
      <w:r>
        <w:rPr/>
        <w:t xml:space="preserve">6.11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pPr>
        <w:pStyle w:val="Nivel2"/>
        <w:numPr>
          <w:ilvl w:val="0"/>
          <w:numId w:val="0"/>
        </w:numPr>
        <w:ind w:left="999" w:hanging="0"/>
        <w:rPr/>
      </w:pPr>
      <w:r>
        <w:rPr/>
        <w:t xml:space="preserve">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ivel2"/>
        <w:numPr>
          <w:ilvl w:val="0"/>
          <w:numId w:val="0"/>
        </w:numPr>
        <w:ind w:left="999" w:hanging="0"/>
        <w:rPr/>
      </w:pPr>
      <w:r>
        <w:rPr/>
        <w:t xml:space="preserve">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ivel2"/>
        <w:numPr>
          <w:ilvl w:val="0"/>
          <w:numId w:val="0"/>
        </w:numPr>
        <w:ind w:left="999" w:hanging="0"/>
        <w:rPr/>
      </w:pPr>
      <w:r>
        <w:rPr/>
        <w:t xml:space="preserve">6.14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ivel2"/>
        <w:numPr>
          <w:ilvl w:val="0"/>
          <w:numId w:val="0"/>
        </w:numPr>
        <w:ind w:left="999" w:hanging="0"/>
        <w:rPr/>
      </w:pPr>
      <w:r>
        <w:rPr/>
        <w:t>6.15 O gestor do contrato deverá enviar a documentação pertinente ao setor de contratos para a formalização dos procedimentos de liquidação e pagamento, no valor dimensionado pela fiscalização e gestão nos termos do contrato.</w:t>
      </w:r>
    </w:p>
    <w:p>
      <w:pPr>
        <w:pStyle w:val="Nivel01"/>
        <w:numPr>
          <w:ilvl w:val="0"/>
          <w:numId w:val="1"/>
        </w:numPr>
        <w:ind w:left="0" w:hanging="0"/>
        <w:rPr/>
      </w:pPr>
      <w:r>
        <w:rPr/>
        <w:t>CRITÉRIOS DE MEDIÇÃO E DE PAGAMENTO</w:t>
      </w:r>
    </w:p>
    <w:p>
      <w:pPr>
        <w:pStyle w:val="Nvel1SemNumPreto"/>
        <w:ind w:left="0" w:hanging="0"/>
        <w:jc w:val="both"/>
        <w:rPr>
          <w:b w:val="false"/>
          <w:b w:val="false"/>
          <w:bCs w:val="false"/>
        </w:rPr>
      </w:pPr>
      <w:r>
        <w:rPr>
          <w:b w:val="false"/>
          <w:bCs w:val="false"/>
          <w:lang w:eastAsia="en-US"/>
        </w:rPr>
        <w:t xml:space="preserve">7.1 CONTRATADA deverá </w:t>
      </w:r>
      <w:r>
        <w:rPr>
          <w:b w:val="false"/>
          <w:bCs w:val="false"/>
          <w:lang w:eastAsia="en-US"/>
        </w:rPr>
        <w:t>a</w:t>
      </w:r>
      <w:r>
        <w:rPr>
          <w:b w:val="false"/>
          <w:bCs w:val="false"/>
          <w:lang w:eastAsia="en-US"/>
        </w:rPr>
        <w:t>presentar a Nota-Fiscal Fatura de Serviços de Telecomunicações para liquidação e pagamento da despesa, com antecedência mínima de 30 (trinta) dias antes do dia de vencimento mensal pactuado, nos termos do regulamento do Serviço Telefônico Fixo Comutado, aprovado pela RESOLUÇÃO No 85, de 30 de dezembro 1998.,</w:t>
      </w:r>
    </w:p>
    <w:p>
      <w:pPr>
        <w:pStyle w:val="Nvel1SemNumPreto"/>
        <w:ind w:left="0" w:hanging="0"/>
        <w:jc w:val="both"/>
        <w:rPr/>
      </w:pPr>
      <w:r>
        <w:rPr>
          <w:b w:val="false"/>
          <w:bCs w:val="false"/>
          <w:lang w:eastAsia="en-US"/>
        </w:rPr>
        <w:t>7.2 Fica pactuado o dia de vencimento da fatura para o dia 20 de cada mês, podendo se acordado nova data junto à prestadora de serviço</w:t>
      </w:r>
    </w:p>
    <w:p>
      <w:pPr>
        <w:pStyle w:val="Nvel1SemNumPreto"/>
        <w:ind w:left="0" w:hanging="0"/>
        <w:jc w:val="both"/>
        <w:rPr>
          <w:b w:val="false"/>
          <w:b w:val="false"/>
          <w:bCs w:val="false"/>
        </w:rPr>
      </w:pPr>
      <w:r>
        <w:rPr>
          <w:b w:val="false"/>
          <w:bCs w:val="false"/>
          <w:lang w:eastAsia="en-US"/>
        </w:rPr>
        <w:t>7.3 Fica garantido ao Comando do 6º GAC o direito de negociar prazos entre a entrega da fatura e o seu vencimento, de forma que se possam realizar todos os procedimentos administrativos necessários para o pagamento.</w:t>
      </w:r>
    </w:p>
    <w:p>
      <w:pPr>
        <w:pStyle w:val="Nvel1SemNumPreto"/>
        <w:ind w:left="0" w:hanging="0"/>
        <w:jc w:val="both"/>
        <w:rPr>
          <w:b w:val="false"/>
          <w:b w:val="false"/>
          <w:bCs w:val="false"/>
        </w:rPr>
      </w:pPr>
      <w:r>
        <w:rPr>
          <w:b w:val="false"/>
          <w:bCs w:val="false"/>
          <w:lang w:eastAsia="en-US"/>
        </w:rPr>
        <w:t>7.4. A Nota-Fiscal Fatura deverá ser acompanhada dos relatórios gerenciais.</w:t>
      </w:r>
    </w:p>
    <w:p>
      <w:pPr>
        <w:pStyle w:val="Nvel1SemNumPreto"/>
        <w:ind w:left="0" w:hanging="0"/>
        <w:jc w:val="both"/>
        <w:rPr>
          <w:b w:val="false"/>
          <w:b w:val="false"/>
          <w:bCs w:val="false"/>
        </w:rPr>
      </w:pPr>
      <w:r>
        <w:rPr>
          <w:b w:val="false"/>
          <w:bCs w:val="false"/>
          <w:lang w:eastAsia="en-US"/>
        </w:rPr>
        <w:t>7.5 É obrigatório o truncamento da fração do centavo na apresentação do valor final de qualquer registro individual constante da fatura, conforme regulamentado na Resolução ANATEL 424/2005 em seu Art. 11.</w:t>
      </w:r>
    </w:p>
    <w:p>
      <w:pPr>
        <w:pStyle w:val="Nvel1SemNumPreto"/>
        <w:ind w:left="0" w:hanging="0"/>
        <w:rPr/>
      </w:pPr>
      <w:r>
        <w:rPr/>
        <w:t>Liquidação</w:t>
      </w:r>
    </w:p>
    <w:p>
      <w:pPr>
        <w:pStyle w:val="Nivel2"/>
        <w:numPr>
          <w:ilvl w:val="0"/>
          <w:numId w:val="0"/>
        </w:numPr>
        <w:ind w:left="999" w:hanging="0"/>
        <w:rPr>
          <w:lang w:eastAsia="en-US"/>
        </w:rPr>
      </w:pPr>
      <w:r>
        <w:rPr>
          <w:lang w:eastAsia="en-US"/>
        </w:rPr>
        <w:t>7.6 Recebida a Nota Fiscal ou documento de cobrança equivalente, correrá o prazo de dez dias úteis para fins de liquidação, na forma desta seção, prorrogáveis por igual período, nos termos do art. 7º, §</w:t>
      </w:r>
      <w:r>
        <w:rPr>
          <w:color w:val="000000"/>
          <w:lang w:eastAsia="en-US"/>
        </w:rPr>
        <w:t>3</w:t>
      </w:r>
      <w:r>
        <w:rPr>
          <w:rStyle w:val="LinkdaInternet"/>
          <w:color w:val="000000"/>
          <w:lang w:eastAsia="en-US"/>
        </w:rPr>
        <w:t>º da Instrução Normativa SEGES/ME nº 77/2022</w:t>
      </w:r>
      <w:r>
        <w:rPr>
          <w:color w:val="000000"/>
          <w:lang w:eastAsia="en-US"/>
        </w:rPr>
        <w:t>.</w:t>
      </w:r>
    </w:p>
    <w:p>
      <w:pPr>
        <w:pStyle w:val="Nivel3"/>
        <w:numPr>
          <w:ilvl w:val="0"/>
          <w:numId w:val="0"/>
        </w:numPr>
        <w:ind w:left="2065" w:hanging="0"/>
        <w:rPr/>
      </w:pPr>
      <w:r>
        <w:rPr/>
        <w:t>7.7 O prazo de que trata o item anterior será reduzido à metade, mantendo-se a possibilidade de prorrogação, no caso de contratações decorrentes de despesas cujos valores não ultrapassem o limite de que trata o</w:t>
      </w:r>
      <w:r>
        <w:rPr>
          <w:color w:val="000000"/>
        </w:rPr>
        <w:t xml:space="preserve"> </w:t>
      </w:r>
      <w:r>
        <w:fldChar w:fldCharType="begin"/>
      </w:r>
      <w:r>
        <w:rPr>
          <w:rStyle w:val="LinkdaInternet"/>
          <w:color w:val="000000"/>
        </w:rPr>
        <w:instrText xml:space="preserve"> HYPERLINK "http://www.planalto.gov.br/ccivil_03/_ato2019-2022/2021/lei/L14133.htm" \l "art75"</w:instrText>
      </w:r>
      <w:r>
        <w:rPr>
          <w:rStyle w:val="LinkdaInternet"/>
          <w:color w:val="000000"/>
        </w:rPr>
        <w:fldChar w:fldCharType="separate"/>
      </w:r>
      <w:r>
        <w:rPr>
          <w:rStyle w:val="LinkdaInternet"/>
          <w:color w:val="000000"/>
        </w:rPr>
        <w:t>inciso II do art. 75 da Lei nº 14.133, de 2021</w:t>
      </w:r>
      <w:r>
        <w:rPr>
          <w:rStyle w:val="LinkdaInternet"/>
          <w:color w:val="000000"/>
        </w:rPr>
        <w:fldChar w:fldCharType="end"/>
      </w:r>
      <w:r>
        <w:rPr>
          <w:color w:val="000000"/>
        </w:rPr>
        <w:t>.</w:t>
      </w:r>
    </w:p>
    <w:p>
      <w:pPr>
        <w:pStyle w:val="Nivel2"/>
        <w:numPr>
          <w:ilvl w:val="0"/>
          <w:numId w:val="0"/>
        </w:numPr>
        <w:ind w:left="999" w:hanging="0"/>
        <w:rPr>
          <w:lang w:eastAsia="en-US"/>
        </w:rPr>
      </w:pPr>
      <w:r>
        <w:rPr>
          <w:lang w:eastAsia="en-US"/>
        </w:rPr>
        <w:t xml:space="preserve">7.8 Para fins de liquidação, o setor competente deverá verificar se a nota fiscal ou instrumento de cobrança equivalente apresentado expressa os elementos necessários e essenciais do documento, tais como: </w:t>
      </w:r>
    </w:p>
    <w:p>
      <w:pPr>
        <w:pStyle w:val="Nivel3"/>
        <w:numPr>
          <w:ilvl w:val="0"/>
          <w:numId w:val="0"/>
        </w:numPr>
        <w:ind w:left="2065" w:hanging="0"/>
        <w:rPr/>
      </w:pPr>
      <w:r>
        <w:rPr>
          <w:lang w:eastAsia="en-US"/>
        </w:rPr>
        <w:t>7.8.1 o prazo de validade;</w:t>
      </w:r>
    </w:p>
    <w:p>
      <w:pPr>
        <w:pStyle w:val="Nivel3"/>
        <w:numPr>
          <w:ilvl w:val="0"/>
          <w:numId w:val="0"/>
        </w:numPr>
        <w:ind w:left="2065" w:hanging="0"/>
        <w:rPr>
          <w:lang w:eastAsia="en-US"/>
        </w:rPr>
      </w:pPr>
      <w:r>
        <w:rPr>
          <w:lang w:eastAsia="en-US"/>
        </w:rPr>
        <w:t xml:space="preserve">7.8.2 a data da emissão; </w:t>
      </w:r>
    </w:p>
    <w:p>
      <w:pPr>
        <w:pStyle w:val="Nivel3"/>
        <w:numPr>
          <w:ilvl w:val="0"/>
          <w:numId w:val="0"/>
        </w:numPr>
        <w:ind w:left="2065" w:hanging="0"/>
        <w:rPr>
          <w:lang w:eastAsia="en-US"/>
        </w:rPr>
      </w:pPr>
      <w:r>
        <w:rPr>
          <w:lang w:eastAsia="en-US"/>
        </w:rPr>
        <w:t xml:space="preserve">7.8.3 os dados do contrato e do órgão contratante; </w:t>
      </w:r>
    </w:p>
    <w:p>
      <w:pPr>
        <w:pStyle w:val="Nivel3"/>
        <w:numPr>
          <w:ilvl w:val="0"/>
          <w:numId w:val="0"/>
        </w:numPr>
        <w:ind w:left="2065" w:hanging="0"/>
        <w:rPr>
          <w:lang w:eastAsia="en-US"/>
        </w:rPr>
      </w:pPr>
      <w:r>
        <w:rPr>
          <w:lang w:eastAsia="en-US"/>
        </w:rPr>
        <w:t xml:space="preserve">7.8.4 o período respectivo de execução do contrato; </w:t>
      </w:r>
    </w:p>
    <w:p>
      <w:pPr>
        <w:pStyle w:val="Nivel3"/>
        <w:numPr>
          <w:ilvl w:val="0"/>
          <w:numId w:val="0"/>
        </w:numPr>
        <w:ind w:left="2065" w:hanging="0"/>
        <w:rPr>
          <w:lang w:eastAsia="en-US"/>
        </w:rPr>
      </w:pPr>
      <w:r>
        <w:rPr>
          <w:lang w:eastAsia="en-US"/>
        </w:rPr>
        <w:t xml:space="preserve">7.8.5 o valor a pagar; e </w:t>
      </w:r>
    </w:p>
    <w:p>
      <w:pPr>
        <w:pStyle w:val="Nivel3"/>
        <w:numPr>
          <w:ilvl w:val="0"/>
          <w:numId w:val="0"/>
        </w:numPr>
        <w:ind w:left="2065" w:hanging="0"/>
        <w:rPr>
          <w:lang w:eastAsia="en-US"/>
        </w:rPr>
      </w:pPr>
      <w:r>
        <w:rPr>
          <w:lang w:eastAsia="en-US"/>
        </w:rPr>
        <w:t>7.8.6 eventual destaque do valor de retenções tributárias cabíveis.</w:t>
      </w:r>
    </w:p>
    <w:p>
      <w:pPr>
        <w:pStyle w:val="Nivel2"/>
        <w:numPr>
          <w:ilvl w:val="0"/>
          <w:numId w:val="0"/>
        </w:numPr>
        <w:ind w:left="999" w:hanging="0"/>
        <w:rPr/>
      </w:pPr>
      <w:r>
        <w:rPr>
          <w:rFonts w:eastAsia="Calibri"/>
          <w:lang w:eastAsia="en-US"/>
        </w:rPr>
        <w:t xml:space="preserve">7.9 Havendo erro na apresentação da nota fiscal ou instrumento de cobrança equivalente, ou circunstância que impeça a </w:t>
      </w:r>
      <w:r>
        <w:rPr>
          <w:lang w:eastAsia="en-US"/>
        </w:rPr>
        <w:t>liquidação da despesa, esta ficará sobrestada até que o contratado providencie as medidas saneadoras, reiniciando-se o prazo após a comprovação da regularização da situação, sem ônus ao contratante;</w:t>
      </w:r>
    </w:p>
    <w:p>
      <w:pPr>
        <w:pStyle w:val="Nivel2"/>
        <w:numPr>
          <w:ilvl w:val="0"/>
          <w:numId w:val="0"/>
        </w:numPr>
        <w:ind w:left="999" w:hanging="0"/>
        <w:rPr/>
      </w:pPr>
      <w:r>
        <w:rPr>
          <w:lang w:eastAsia="en-US"/>
        </w:rPr>
        <w:t xml:space="preserve">7.10 A nota fiscal ou instrumento de cobrança equivalente deverá ser obrigatoriamente acompanhado da comprovação da regularidade fiscal, constatada por meio de consulta </w:t>
      </w:r>
      <w:r>
        <w:rPr>
          <w:i/>
          <w:iCs/>
          <w:lang w:eastAsia="en-US"/>
        </w:rPr>
        <w:t>on-line</w:t>
      </w:r>
      <w:r>
        <w:rPr>
          <w:lang w:eastAsia="en-US"/>
        </w:rPr>
        <w:t xml:space="preserve"> ao SICAF ou, na impossibilidade de acesso ao referido Sistema, mediante consulta aos sítios eletrônicos oficiais ou à documentação mencionada no </w:t>
      </w:r>
      <w:r>
        <w:fldChar w:fldCharType="begin"/>
      </w:r>
      <w:r>
        <w:rPr>
          <w:rStyle w:val="LinkdaInternet"/>
          <w:color w:val="000000"/>
          <w:lang w:eastAsia="en-US"/>
        </w:rPr>
        <w:instrText xml:space="preserve"> HYPERLINK "http://www.planalto.gov.br/ccivil_03/_ato2019-2022/2021/lei/L14133.htm" \l "art68"</w:instrText>
      </w:r>
      <w:r>
        <w:rPr>
          <w:rStyle w:val="LinkdaInternet"/>
          <w:color w:val="000000"/>
          <w:lang w:eastAsia="en-US"/>
        </w:rPr>
        <w:fldChar w:fldCharType="separate"/>
      </w:r>
      <w:r>
        <w:rPr>
          <w:rStyle w:val="LinkdaInternet"/>
          <w:color w:val="000000"/>
          <w:lang w:eastAsia="en-US"/>
        </w:rPr>
        <w:t xml:space="preserve">art. 68 da Lei nº 14.133, de 2021.  </w:t>
      </w:r>
      <w:r>
        <w:rPr>
          <w:rStyle w:val="LinkdaInternet"/>
          <w:color w:val="000000"/>
          <w:lang w:eastAsia="en-US"/>
        </w:rPr>
        <w:fldChar w:fldCharType="end"/>
      </w:r>
      <w:r>
        <w:rPr>
          <w:color w:val="000000"/>
          <w:lang w:eastAsia="en-US"/>
        </w:rPr>
        <w:t xml:space="preserve"> </w:t>
      </w:r>
    </w:p>
    <w:p>
      <w:pPr>
        <w:pStyle w:val="Nivel2"/>
        <w:numPr>
          <w:ilvl w:val="0"/>
          <w:numId w:val="0"/>
        </w:numPr>
        <w:ind w:left="999" w:hanging="0"/>
        <w:rPr/>
      </w:pPr>
      <w:r>
        <w:rPr/>
        <w:t xml:space="preserve">7.11 A Administração deverá realizar consulta ao SICAF para: a) verificar a manutenção das condições de habilitação exigidas; b) </w:t>
      </w:r>
      <w:r>
        <w:rPr>
          <w:shd w:fill="FFFFFF" w:val="clear"/>
        </w:rPr>
        <w:t>identificar possível razão que impeça a contratação no âmbito do órgão ou entidade, tais como a proibição de contratar com a Administração ou com o Poder Público</w:t>
      </w:r>
      <w:r>
        <w:rPr/>
        <w:t>, bem como ocorrências impeditivas indiretas (INSTRUÇÃO NORMATIVA Nº 3, DE 26 DE ABRIL DE 2018).</w:t>
      </w:r>
    </w:p>
    <w:p>
      <w:pPr>
        <w:pStyle w:val="Nivel2"/>
        <w:numPr>
          <w:ilvl w:val="0"/>
          <w:numId w:val="0"/>
        </w:numPr>
        <w:ind w:left="999" w:hanging="0"/>
        <w:rPr/>
      </w:pPr>
      <w:r>
        <w:rPr>
          <w:lang w:eastAsia="en-US"/>
        </w:rPr>
        <w:t>7.12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0"/>
          <w:numId w:val="0"/>
        </w:numPr>
        <w:ind w:left="999" w:hanging="0"/>
        <w:rPr/>
      </w:pPr>
      <w:r>
        <w:rPr>
          <w:lang w:eastAsia="en-US"/>
        </w:rPr>
        <w:t xml:space="preserve">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0"/>
          <w:numId w:val="0"/>
        </w:numPr>
        <w:ind w:left="999" w:hanging="0"/>
        <w:rPr/>
      </w:pPr>
      <w:r>
        <w:rPr>
          <w:lang w:eastAsia="en-US"/>
        </w:rPr>
        <w:t xml:space="preserve">7.14 Persistindo a irregularidade, o contratante deverá adotar as medidas necessárias à rescisão contratual nos autos do processo administrativo correspondente, assegurada ao contratado a ampla defesa. </w:t>
      </w:r>
    </w:p>
    <w:p>
      <w:pPr>
        <w:pStyle w:val="Nivel2"/>
        <w:numPr>
          <w:ilvl w:val="0"/>
          <w:numId w:val="0"/>
        </w:numPr>
        <w:ind w:left="999" w:hanging="0"/>
        <w:rPr/>
      </w:pPr>
      <w:r>
        <w:rPr>
          <w:lang w:eastAsia="en-US"/>
        </w:rPr>
        <w:t xml:space="preserve">7.15 Havendo a efetiva execução do objeto, os pagamentos serão realizados normalmente, até que se decida pela rescisão do contrato, caso o contratado não regularize sua situação junto ao SICAF.  </w:t>
      </w:r>
    </w:p>
    <w:p>
      <w:pPr>
        <w:pStyle w:val="Nvel1SemNumPreto"/>
        <w:ind w:left="0" w:hanging="0"/>
        <w:rPr/>
      </w:pPr>
      <w:r>
        <w:rPr/>
        <w:t>Prazo de pagamento</w:t>
      </w:r>
    </w:p>
    <w:p>
      <w:pPr>
        <w:pStyle w:val="Nivel2"/>
        <w:numPr>
          <w:ilvl w:val="0"/>
          <w:numId w:val="0"/>
        </w:numPr>
        <w:ind w:left="999" w:hanging="0"/>
        <w:rPr/>
      </w:pPr>
      <w:r>
        <w:rPr/>
        <w:t>7.16 O pagamento será efetuado no prazo de até 10 (dez) dias úteis contados da finalização da liquidação da despesa, conforme seção anterior, nos termos da</w:t>
      </w:r>
      <w:r>
        <w:rPr>
          <w:color w:val="000000"/>
        </w:rPr>
        <w:t xml:space="preserve"> </w:t>
      </w:r>
      <w:hyperlink r:id="rId2">
        <w:r>
          <w:rPr>
            <w:rStyle w:val="LinkdaInternet"/>
            <w:color w:val="000000"/>
          </w:rPr>
          <w:t>Instrução Normativa SEGES/ME nº 77, de 2022</w:t>
        </w:r>
      </w:hyperlink>
      <w:r>
        <w:rPr>
          <w:color w:val="000000"/>
        </w:rPr>
        <w:t>.</w:t>
      </w:r>
    </w:p>
    <w:p>
      <w:pPr>
        <w:pStyle w:val="Nivel2"/>
        <w:numPr>
          <w:ilvl w:val="0"/>
          <w:numId w:val="0"/>
        </w:numPr>
        <w:ind w:left="999" w:hanging="0"/>
        <w:rPr/>
      </w:pPr>
      <w:r>
        <w:rPr>
          <w:lang w:eastAsia="en-US"/>
        </w:rPr>
        <w:t xml:space="preserve">7.17 No caso de atraso pelo Contratante, os valores devidos ao contratado serão atualizados monetariamente entre o termo final do prazo de pagamento até a data de sua efetiva realização, mediante aplicação do índice </w:t>
      </w:r>
      <w:r>
        <w:rPr>
          <w:i/>
          <w:iCs/>
          <w:color w:val="000000"/>
          <w:lang w:eastAsia="en-US"/>
        </w:rPr>
        <w:t>IGP-M</w:t>
      </w:r>
      <w:r>
        <w:rPr>
          <w:lang w:eastAsia="en-US"/>
        </w:rPr>
        <w:t xml:space="preserve"> de correção monetária.</w:t>
      </w:r>
    </w:p>
    <w:p>
      <w:pPr>
        <w:pStyle w:val="Nivel2"/>
        <w:numPr>
          <w:ilvl w:val="0"/>
          <w:numId w:val="0"/>
        </w:numPr>
        <w:ind w:left="0" w:hanging="0"/>
        <w:rPr>
          <w:lang w:eastAsia="en-US"/>
        </w:rPr>
      </w:pPr>
      <w:r>
        <w:rPr/>
        <w:t>Forma de pagamento</w:t>
      </w:r>
    </w:p>
    <w:p>
      <w:pPr>
        <w:pStyle w:val="Nivel2"/>
        <w:numPr>
          <w:ilvl w:val="0"/>
          <w:numId w:val="0"/>
        </w:numPr>
        <w:ind w:left="999" w:hanging="0"/>
        <w:rPr/>
      </w:pPr>
      <w:r>
        <w:rPr>
          <w:lang w:eastAsia="en-US"/>
        </w:rPr>
        <w:t>7.18 O pagamento será realizado por meio de ordem bancária, para crédito em banco, agência e conta corrente indicados pelo contratado.</w:t>
      </w:r>
    </w:p>
    <w:p>
      <w:pPr>
        <w:pStyle w:val="Nivel2"/>
        <w:numPr>
          <w:ilvl w:val="0"/>
          <w:numId w:val="0"/>
        </w:numPr>
        <w:ind w:left="999" w:hanging="0"/>
        <w:rPr/>
      </w:pPr>
      <w:r>
        <w:rPr>
          <w:lang w:eastAsia="en-US"/>
        </w:rPr>
        <w:t>7.19 Será considerada data do pagamento o dia em que constar como emitida a ordem bancária para pagamento.</w:t>
      </w:r>
    </w:p>
    <w:p>
      <w:pPr>
        <w:pStyle w:val="Nivel2"/>
        <w:numPr>
          <w:ilvl w:val="0"/>
          <w:numId w:val="0"/>
        </w:numPr>
        <w:ind w:left="999" w:hanging="0"/>
        <w:rPr/>
      </w:pPr>
      <w:r>
        <w:rPr>
          <w:lang w:eastAsia="en-US"/>
        </w:rPr>
        <w:t>7.20 Quando do pagamento, será efetuada a retenção tributária prevista na legislação aplicável.</w:t>
      </w:r>
    </w:p>
    <w:p>
      <w:pPr>
        <w:pStyle w:val="Nivel3"/>
        <w:numPr>
          <w:ilvl w:val="0"/>
          <w:numId w:val="0"/>
        </w:numPr>
        <w:ind w:left="2065" w:hanging="0"/>
        <w:rPr/>
      </w:pPr>
      <w:r>
        <w:rPr>
          <w:lang w:eastAsia="en-US"/>
        </w:rPr>
        <w:t>7.20.1 Independentemente do percentual de tributo inserido na planilha, quando houver, serão retidos na fonte, quando da realização do pagamento, os percentuais estabelecidos na legislação vigente.</w:t>
      </w:r>
    </w:p>
    <w:p>
      <w:pPr>
        <w:pStyle w:val="Nivel2"/>
        <w:numPr>
          <w:ilvl w:val="0"/>
          <w:numId w:val="0"/>
        </w:numPr>
        <w:ind w:left="999" w:hanging="0"/>
        <w:rPr/>
      </w:pPr>
      <w:r>
        <w:rPr>
          <w:lang w:eastAsia="en-US"/>
        </w:rPr>
        <w:t xml:space="preserve">7.21 O contratado regularmente optante pelo Simples Nacional, nos termos da </w:t>
      </w:r>
      <w:hyperlink r:id="rId3">
        <w:r>
          <w:rPr>
            <w:rStyle w:val="LinkdaInternet"/>
            <w:color w:val="000000"/>
            <w:lang w:eastAsia="en-US"/>
          </w:rPr>
          <w:t>Lei Complementar nº 123, de 2006</w:t>
        </w:r>
      </w:hyperlink>
      <w:r>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ivel2"/>
        <w:numPr>
          <w:ilvl w:val="0"/>
          <w:numId w:val="0"/>
        </w:numPr>
        <w:ind w:left="0" w:hanging="0"/>
        <w:rPr>
          <w:color w:val="000000" w:themeColor="text1"/>
          <w:lang w:eastAsia="en-US"/>
        </w:rPr>
      </w:pPr>
      <w:r>
        <w:rPr>
          <w:color w:val="000000" w:themeColor="text1"/>
          <w:lang w:eastAsia="en-US"/>
        </w:rPr>
      </w:r>
    </w:p>
    <w:p>
      <w:pPr>
        <w:pStyle w:val="Nivel01"/>
        <w:numPr>
          <w:ilvl w:val="0"/>
          <w:numId w:val="1"/>
        </w:numPr>
        <w:ind w:left="0" w:hanging="0"/>
        <w:rPr>
          <w:highlight w:val="white"/>
        </w:rPr>
      </w:pPr>
      <w:r>
        <w:rPr>
          <w:shd w:fill="FFFFFF" w:val="clear"/>
        </w:rPr>
        <w:t>FORMA E CRITÉRIOS DE SELEÇÃO DO FORNECEDOR E FORMA DE FORNECIMENTO</w:t>
      </w:r>
    </w:p>
    <w:p>
      <w:pPr>
        <w:pStyle w:val="Nivel2"/>
        <w:widowControl/>
        <w:numPr>
          <w:ilvl w:val="0"/>
          <w:numId w:val="0"/>
        </w:numPr>
        <w:bidi w:val="0"/>
        <w:spacing w:lineRule="auto" w:line="276" w:before="120" w:after="120"/>
        <w:ind w:left="999" w:hanging="0"/>
        <w:jc w:val="both"/>
        <w:rPr/>
      </w:pPr>
      <w:r>
        <w:rPr>
          <w:rFonts w:eastAsia="Arial" w:cs="Arial"/>
          <w:i/>
          <w:iCs/>
          <w:sz w:val="20"/>
          <w:szCs w:val="20"/>
          <w:lang w:eastAsia="pt-BR"/>
        </w:rPr>
        <w:t>8.1 O fornecedor será selecionado por meio da realização de procedimento de</w:t>
      </w:r>
      <w:r>
        <w:rPr>
          <w:rFonts w:eastAsia="Arial" w:cs="Arial"/>
          <w:b/>
          <w:bCs/>
          <w:i/>
          <w:iCs/>
          <w:sz w:val="20"/>
          <w:szCs w:val="20"/>
          <w:lang w:eastAsia="pt-BR"/>
        </w:rPr>
        <w:t xml:space="preserve"> </w:t>
      </w:r>
      <w:r>
        <w:rPr>
          <w:rFonts w:eastAsia="Arial" w:cs="Arial"/>
          <w:b/>
          <w:bCs/>
          <w:i/>
          <w:iCs/>
          <w:sz w:val="20"/>
          <w:szCs w:val="20"/>
          <w:lang w:eastAsia="pt-BR"/>
        </w:rPr>
        <w:t>inexigibilidade de licitaç</w:t>
      </w:r>
      <w:r>
        <w:rPr>
          <w:rFonts w:eastAsia="Arial" w:cs="Arial"/>
          <w:b/>
          <w:bCs/>
          <w:i/>
          <w:iCs/>
          <w:color w:val="000000"/>
          <w:sz w:val="20"/>
          <w:szCs w:val="20"/>
          <w:lang w:val="pt-BR" w:eastAsia="pt-BR" w:bidi="ar-SA"/>
        </w:rPr>
        <w:t>ão</w:t>
      </w:r>
      <w:r>
        <w:rPr>
          <w:rFonts w:eastAsia="Arial" w:cs="Arial"/>
          <w:i/>
          <w:iCs/>
          <w:sz w:val="20"/>
          <w:szCs w:val="20"/>
          <w:lang w:eastAsia="pt-BR"/>
        </w:rPr>
        <w:t xml:space="preserve">, na forma eletrônica, com fundamento na hipótese do </w:t>
      </w:r>
      <w:r>
        <w:rPr>
          <w:rFonts w:eastAsia="Arial" w:cs="Arial"/>
          <w:b/>
          <w:bCs/>
          <w:i/>
          <w:iCs/>
          <w:sz w:val="20"/>
          <w:szCs w:val="20"/>
          <w:lang w:eastAsia="pt-BR"/>
        </w:rPr>
        <w:t xml:space="preserve">art. </w:t>
      </w:r>
      <w:r>
        <w:rPr>
          <w:rFonts w:eastAsia="Arial" w:cs="Arial"/>
          <w:b/>
          <w:bCs/>
          <w:i/>
          <w:iCs/>
          <w:sz w:val="20"/>
          <w:szCs w:val="20"/>
          <w:lang w:eastAsia="pt-BR"/>
        </w:rPr>
        <w:t>74</w:t>
      </w:r>
      <w:r>
        <w:rPr>
          <w:rFonts w:eastAsia="Arial" w:cs="Arial"/>
          <w:b/>
          <w:bCs/>
          <w:i/>
          <w:iCs/>
          <w:sz w:val="20"/>
          <w:szCs w:val="20"/>
          <w:lang w:eastAsia="pt-BR"/>
        </w:rPr>
        <w:t xml:space="preserve">, inciso </w:t>
      </w:r>
      <w:r>
        <w:rPr>
          <w:rFonts w:eastAsia="Arial" w:cs="Arial"/>
          <w:b/>
          <w:bCs/>
          <w:i/>
          <w:iCs/>
          <w:sz w:val="20"/>
          <w:szCs w:val="20"/>
          <w:lang w:eastAsia="pt-BR"/>
        </w:rPr>
        <w:t>I</w:t>
      </w:r>
      <w:r>
        <w:rPr>
          <w:rFonts w:eastAsia="Arial" w:cs="Arial"/>
          <w:i/>
          <w:iCs/>
          <w:sz w:val="20"/>
          <w:szCs w:val="20"/>
          <w:lang w:eastAsia="pt-BR"/>
        </w:rPr>
        <w:t xml:space="preserve"> da Lei n.º 14.133/2021, que culminará com a seleção da proposta de menor preço.</w:t>
      </w:r>
    </w:p>
    <w:p>
      <w:pPr>
        <w:pStyle w:val="Nvel1SemNumPreto"/>
        <w:ind w:left="0" w:hanging="0"/>
        <w:rPr/>
      </w:pPr>
      <w:r>
        <w:rPr/>
        <w:t>Forma de fornecimento</w:t>
      </w:r>
    </w:p>
    <w:p>
      <w:pPr>
        <w:pStyle w:val="Nivel2"/>
        <w:numPr>
          <w:ilvl w:val="0"/>
          <w:numId w:val="0"/>
        </w:numPr>
        <w:ind w:left="999" w:hanging="0"/>
        <w:rPr/>
      </w:pPr>
      <w:r>
        <w:rPr>
          <w:rStyle w:val="Normaltextrun"/>
          <w:shd w:fill="FFFFFF" w:val="clear"/>
        </w:rPr>
        <w:t xml:space="preserve">      </w:t>
      </w:r>
      <w:r>
        <w:rPr>
          <w:rStyle w:val="Normaltextrun"/>
          <w:shd w:fill="FFFFFF" w:val="clear"/>
        </w:rPr>
        <w:t xml:space="preserve">8.2 O </w:t>
      </w:r>
      <w:r>
        <w:rPr>
          <w:rStyle w:val="Findhit"/>
          <w:shd w:fill="FFFFFF" w:val="clear"/>
        </w:rPr>
        <w:t xml:space="preserve">fornecimento do objeto será </w:t>
      </w:r>
      <w:r>
        <w:rPr>
          <w:b/>
          <w:bCs/>
          <w:color w:val="000000"/>
        </w:rPr>
        <w:t>integral</w:t>
      </w:r>
      <w:r>
        <w:rPr>
          <w:color w:val="000000"/>
        </w:rPr>
        <w:t>.</w:t>
      </w:r>
    </w:p>
    <w:p>
      <w:pPr>
        <w:pStyle w:val="Nvel1SemNumPreto"/>
        <w:ind w:left="0" w:hanging="0"/>
        <w:rPr/>
      </w:pPr>
      <w:r>
        <w:rPr/>
        <w:t>Exigências de habilitação</w:t>
      </w:r>
    </w:p>
    <w:p>
      <w:pPr>
        <w:pStyle w:val="Nivel2"/>
        <w:rPr/>
      </w:pPr>
      <w:r>
        <w:rPr>
          <w:rFonts w:eastAsia="Ecofont_Spranq_eco_Sans" w:cs="Ecofont_Spranq_eco_Sans" w:ascii="Ecofont_Spranq_eco_Sans" w:hAnsi="Ecofont_Spranq_eco_Sans"/>
          <w:i/>
          <w:iCs/>
          <w:color w:val="00000A"/>
        </w:rPr>
        <w:t xml:space="preserve">  </w:t>
      </w:r>
      <w:r>
        <w:rPr>
          <w:rFonts w:eastAsia="Ecofont_Spranq_eco_Sans" w:cs="Ecofont_Spranq_eco_Sans" w:ascii="Ecofont_Spranq_eco_Sans" w:hAnsi="Ecofont_Spranq_eco_Sans"/>
          <w:i/>
          <w:iCs/>
          <w:color w:val="00000A"/>
        </w:rPr>
        <w:t xml:space="preserve">8.3 Previamente à celebração do contrato, a Administração verificará o eventual descumprimento das condições para contratação, especialmente quanto à existência de sanção que a impeça, mediante a consulta a cadastros informativos oficiais, tais como: </w:t>
      </w:r>
    </w:p>
    <w:p>
      <w:pPr>
        <w:pStyle w:val="Normal"/>
        <w:numPr>
          <w:ilvl w:val="0"/>
          <w:numId w:val="0"/>
        </w:numPr>
        <w:spacing w:lineRule="auto" w:line="276" w:before="120" w:after="120"/>
        <w:ind w:left="288" w:hanging="0"/>
        <w:jc w:val="both"/>
        <w:rPr/>
      </w:pPr>
      <w:r>
        <w:rPr>
          <w:rFonts w:eastAsia="Arial" w:cs="Arial" w:ascii="Arial" w:hAnsi="Arial"/>
          <w:i/>
          <w:iCs/>
          <w:sz w:val="20"/>
          <w:szCs w:val="20"/>
        </w:rPr>
        <w:t xml:space="preserve">a) SICAF;  </w:t>
      </w:r>
    </w:p>
    <w:p>
      <w:pPr>
        <w:pStyle w:val="Normal"/>
        <w:numPr>
          <w:ilvl w:val="0"/>
          <w:numId w:val="0"/>
        </w:numPr>
        <w:spacing w:lineRule="auto" w:line="276" w:before="120" w:after="120"/>
        <w:ind w:left="288" w:hanging="0"/>
        <w:jc w:val="both"/>
        <w:rPr/>
      </w:pPr>
      <w:r>
        <w:rPr>
          <w:rFonts w:eastAsia="Arial" w:cs="Arial" w:ascii="Arial" w:hAnsi="Arial"/>
          <w:i/>
          <w:iCs/>
          <w:sz w:val="20"/>
          <w:szCs w:val="20"/>
        </w:rPr>
        <w:t>b) Cadastro Nacional de Empresas Inidôneas e Suspensas - CEIS, mantido pela Controladoria-Geral da União (</w:t>
      </w:r>
      <w:hyperlink r:id="rId4">
        <w:r>
          <w:rPr>
            <w:rStyle w:val="LinkdaInternet"/>
            <w:rFonts w:eastAsia="Arial" w:cs="Arial" w:ascii="Arial" w:hAnsi="Arial"/>
            <w:i/>
            <w:iCs/>
            <w:color w:val="00000A"/>
            <w:sz w:val="20"/>
            <w:szCs w:val="20"/>
          </w:rPr>
          <w:t>www.portaldatransparencia.gov.br/ceis</w:t>
        </w:r>
      </w:hyperlink>
      <w:r>
        <w:rPr>
          <w:rFonts w:eastAsia="Arial" w:cs="Arial" w:ascii="Arial" w:hAnsi="Arial"/>
          <w:i/>
          <w:iCs/>
          <w:sz w:val="20"/>
          <w:szCs w:val="20"/>
        </w:rPr>
        <w:t xml:space="preserve">);  </w:t>
      </w:r>
    </w:p>
    <w:p>
      <w:pPr>
        <w:pStyle w:val="Normal"/>
        <w:numPr>
          <w:ilvl w:val="0"/>
          <w:numId w:val="0"/>
        </w:numPr>
        <w:spacing w:lineRule="auto" w:line="276" w:before="120" w:after="120"/>
        <w:ind w:left="288" w:hanging="0"/>
        <w:jc w:val="both"/>
        <w:rPr/>
      </w:pPr>
      <w:r>
        <w:rPr>
          <w:rFonts w:eastAsia="Arial" w:cs="Arial" w:ascii="Arial" w:hAnsi="Arial"/>
          <w:i/>
          <w:iCs/>
          <w:sz w:val="20"/>
          <w:szCs w:val="20"/>
        </w:rPr>
        <w:t>c) Cadastro Nacional de Empresas Punidas – CNEP, mantido pela Controladoria-Geral da União (</w:t>
      </w:r>
      <w:hyperlink r:id="rId5">
        <w:r>
          <w:rPr>
            <w:rStyle w:val="LinkdaInternet"/>
            <w:rFonts w:eastAsia="Arial" w:cs="Arial" w:ascii="Arial" w:hAnsi="Arial"/>
            <w:i/>
            <w:iCs/>
            <w:color w:val="00000A"/>
            <w:sz w:val="20"/>
            <w:szCs w:val="20"/>
          </w:rPr>
          <w:t>https://www.portaltransparencia.gov.br/sancoes/cnep</w:t>
        </w:r>
      </w:hyperlink>
      <w:r>
        <w:rPr>
          <w:rFonts w:eastAsia="Arial" w:cs="Arial" w:ascii="Arial" w:hAnsi="Arial"/>
          <w:i/>
          <w:iCs/>
          <w:sz w:val="20"/>
          <w:szCs w:val="20"/>
        </w:rPr>
        <w:t>)</w:t>
      </w:r>
    </w:p>
    <w:p>
      <w:pPr>
        <w:pStyle w:val="Nivel2"/>
        <w:numPr>
          <w:ilvl w:val="0"/>
          <w:numId w:val="0"/>
        </w:numPr>
        <w:ind w:left="288" w:hanging="0"/>
        <w:rPr/>
      </w:pPr>
      <w:r>
        <w:rPr>
          <w:i/>
          <w:iCs/>
          <w:color w:val="00000A"/>
        </w:rPr>
        <w:t>8.3.1 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ivel2"/>
        <w:numPr>
          <w:ilvl w:val="0"/>
          <w:numId w:val="0"/>
        </w:numPr>
        <w:ind w:left="288" w:hanging="0"/>
        <w:rPr/>
      </w:pPr>
      <w:r>
        <w:rPr>
          <w:i/>
          <w:iCs/>
          <w:color w:val="00000A"/>
        </w:rPr>
        <w:t>8.3.2 Caso conste na Consulta de Situação do interessado a existência de Ocorrências Impeditivas Indiretas, o gestor diligenciará para verificar se houve fraude por parte das empresas apontadas no Relatório de Ocorrências Impeditivas Indiretas.</w:t>
      </w:r>
    </w:p>
    <w:p>
      <w:pPr>
        <w:pStyle w:val="Nivel2"/>
        <w:numPr>
          <w:ilvl w:val="0"/>
          <w:numId w:val="0"/>
        </w:numPr>
        <w:ind w:left="288" w:hanging="0"/>
        <w:rPr/>
      </w:pPr>
      <w:r>
        <w:rPr>
          <w:i/>
          <w:iCs/>
          <w:color w:val="00000A"/>
        </w:rPr>
        <w:t>8.3.3 A tentativa de burla será verificada por meio dos vínculos societários, linhas de fornecimento similares, dentre outros.</w:t>
      </w:r>
    </w:p>
    <w:p>
      <w:pPr>
        <w:pStyle w:val="Nivel2"/>
        <w:numPr>
          <w:ilvl w:val="0"/>
          <w:numId w:val="0"/>
        </w:numPr>
        <w:ind w:left="288" w:hanging="0"/>
        <w:rPr/>
      </w:pPr>
      <w:r>
        <w:rPr>
          <w:i/>
          <w:iCs/>
          <w:color w:val="00000A"/>
        </w:rPr>
        <w:t>8.3.4 O interessado será convocado para manifestação previamente a uma eventual negativa de contratação.</w:t>
      </w:r>
    </w:p>
    <w:p>
      <w:pPr>
        <w:pStyle w:val="Nivel2"/>
        <w:numPr>
          <w:ilvl w:val="0"/>
          <w:numId w:val="0"/>
        </w:numPr>
        <w:ind w:left="288" w:hanging="0"/>
        <w:rPr/>
      </w:pPr>
      <w:r>
        <w:rPr>
          <w:i/>
          <w:iCs/>
          <w:color w:val="00000A"/>
        </w:rPr>
        <w:t>8.3.5  Caso atendidas as condições para contratação, a habilitação do interessado será verificada por meio do SICAF, nos documentos por ele abrangidos.</w:t>
      </w:r>
    </w:p>
    <w:p>
      <w:pPr>
        <w:pStyle w:val="Nivel2"/>
        <w:numPr>
          <w:ilvl w:val="0"/>
          <w:numId w:val="0"/>
        </w:numPr>
        <w:ind w:left="288" w:hanging="0"/>
        <w:rPr/>
      </w:pPr>
      <w:r>
        <w:rPr>
          <w:i/>
          <w:iCs/>
          <w:color w:val="00000A"/>
        </w:rPr>
        <w:t>8.3.6 É dever do interessado manter atualizada a respectiva documentação constante do SICAF, ou encaminhar, quando solicitado pela Administração, a respectiva documentação atualizada.</w:t>
      </w:r>
    </w:p>
    <w:p>
      <w:pPr>
        <w:pStyle w:val="Nivel2"/>
        <w:numPr>
          <w:ilvl w:val="0"/>
          <w:numId w:val="0"/>
        </w:numPr>
        <w:ind w:left="288" w:hanging="0"/>
        <w:rPr/>
      </w:pPr>
      <w:r>
        <w:rPr>
          <w:i/>
          <w:iCs/>
          <w:color w:val="00000A"/>
        </w:rPr>
        <w:t>8.3.7  Não serão aceitos documentos de habilitação com indicação de CNPJ/CPF diferentes, salvo aqueles legalmente permitidos.</w:t>
      </w:r>
    </w:p>
    <w:p>
      <w:pPr>
        <w:pStyle w:val="Nivel2"/>
        <w:numPr>
          <w:ilvl w:val="0"/>
          <w:numId w:val="0"/>
        </w:numPr>
        <w:ind w:left="288" w:hanging="0"/>
        <w:rPr/>
      </w:pPr>
      <w:r>
        <w:rPr>
          <w:i/>
          <w:iCs/>
          <w:color w:val="00000A"/>
        </w:rPr>
        <w:t>8.3.8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ivel2"/>
        <w:numPr>
          <w:ilvl w:val="0"/>
          <w:numId w:val="0"/>
        </w:numPr>
        <w:ind w:left="288" w:hanging="0"/>
        <w:rPr/>
      </w:pPr>
      <w:r>
        <w:rPr>
          <w:i/>
          <w:iCs/>
          <w:color w:val="00000A"/>
        </w:rPr>
        <w:t>8.3.9 Serão aceitos registros de CNPJ de fornecedor matriz e filial com diferenças de números de documentos pertinentes ao CND e ao CRF/FGTS, quando for comprovada a centralização do recolhimento dessas contribuições.</w:t>
      </w:r>
    </w:p>
    <w:p>
      <w:pPr>
        <w:pStyle w:val="Nivel2"/>
        <w:numPr>
          <w:ilvl w:val="0"/>
          <w:numId w:val="0"/>
        </w:numPr>
        <w:ind w:left="288" w:hanging="0"/>
        <w:rPr/>
      </w:pPr>
      <w:r>
        <w:rPr>
          <w:color w:val="00000A"/>
        </w:rPr>
        <w:t>8.3.10 Para fins de habilitação, dever</w:t>
      </w:r>
      <w:r>
        <w:rPr>
          <w:color w:val="000000"/>
          <w:shd w:fill="FFFFFF" w:val="clear"/>
        </w:rPr>
        <w:t xml:space="preserve">á o interessado comprovar os seguintes requisitos, </w:t>
      </w:r>
      <w:r>
        <w:rPr>
          <w:shd w:fill="FFFFFF" w:val="clear"/>
        </w:rPr>
        <w:t>que serão exigidos conforme sua natureza jurídica:</w:t>
      </w:r>
    </w:p>
    <w:p>
      <w:pPr>
        <w:pStyle w:val="Nvel1SemNumPreto"/>
        <w:numPr>
          <w:ilvl w:val="0"/>
          <w:numId w:val="0"/>
        </w:numPr>
        <w:ind w:left="288" w:hanging="0"/>
        <w:rPr/>
      </w:pPr>
      <w:r>
        <w:rPr/>
        <w:t>Habilitação jurídica</w:t>
      </w:r>
    </w:p>
    <w:p>
      <w:pPr>
        <w:pStyle w:val="Nivel2"/>
        <w:numPr>
          <w:ilvl w:val="0"/>
          <w:numId w:val="0"/>
        </w:numPr>
        <w:ind w:left="288" w:hanging="0"/>
        <w:rPr/>
      </w:pPr>
      <w:r>
        <w:rPr>
          <w:b w:val="false"/>
          <w:bCs w:val="false"/>
        </w:rPr>
        <w:t xml:space="preserve">8.4 </w:t>
      </w:r>
      <w:bookmarkStart w:id="1" w:name="_Ref115800561"/>
      <w:r>
        <w:rPr>
          <w:b/>
          <w:bCs/>
        </w:rPr>
        <w:t>Pessoa física:</w:t>
      </w:r>
      <w:r>
        <w:rPr/>
        <w:t xml:space="preserve"> cédula de identidade (RG) ou documento equivalente que, por força de lei, tenha validade para fins de identificação em todo o território nacio</w:t>
      </w:r>
      <w:bookmarkEnd w:id="1"/>
      <w:r>
        <w:rPr/>
        <w:t>nal.</w:t>
      </w:r>
    </w:p>
    <w:p>
      <w:pPr>
        <w:pStyle w:val="Nivel2"/>
        <w:numPr>
          <w:ilvl w:val="0"/>
          <w:numId w:val="0"/>
        </w:numPr>
        <w:ind w:left="288" w:hanging="0"/>
        <w:rPr/>
      </w:pPr>
      <w:r>
        <w:rPr>
          <w:b w:val="false"/>
          <w:bCs w:val="false"/>
        </w:rPr>
        <w:t>8.4.1</w:t>
      </w:r>
      <w:r>
        <w:rPr>
          <w:b/>
          <w:bCs/>
        </w:rPr>
        <w:t xml:space="preserve"> Sociedade empresária, sociedade limitada unipessoal – SLU ou sociedade identificada como empresa individual de responsabilidade limitada - EIRELI</w:t>
      </w:r>
      <w:r>
        <w:rPr/>
        <w:t>: inscrição do ato constitutivo, estatuto ou contrato social no Registro Público de Empresas Mercantis, a cargo da Junta Comercial da respectiva sede, acompanhada de documento comprobatório de seus administradores;</w:t>
      </w:r>
    </w:p>
    <w:p>
      <w:pPr>
        <w:pStyle w:val="Nivel2"/>
        <w:numPr>
          <w:ilvl w:val="0"/>
          <w:numId w:val="0"/>
        </w:numPr>
        <w:ind w:left="288" w:hanging="0"/>
        <w:rPr/>
      </w:pPr>
      <w:r>
        <w:rPr>
          <w:b w:val="false"/>
          <w:bCs w:val="false"/>
        </w:rPr>
        <w:t>8.4.2</w:t>
      </w:r>
      <w:r>
        <w:rPr>
          <w:b/>
          <w:bCs/>
        </w:rPr>
        <w:t xml:space="preserve"> Sociedade empresária estrangeira:</w:t>
      </w:r>
      <w: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Style w:val="LinkdaInternet"/>
          <w:color w:val="000000"/>
        </w:rPr>
        <w:t>Normativa DREI/ME n.º 77, de 18 de março de 2020</w:t>
      </w:r>
      <w:r>
        <w:rPr>
          <w:color w:val="000000"/>
        </w:rPr>
        <w:t>.</w:t>
      </w:r>
    </w:p>
    <w:p>
      <w:pPr>
        <w:pStyle w:val="Nivel2"/>
        <w:numPr>
          <w:ilvl w:val="0"/>
          <w:numId w:val="0"/>
        </w:numPr>
        <w:ind w:left="288" w:hanging="0"/>
        <w:rPr/>
      </w:pPr>
      <w:r>
        <w:rPr>
          <w:b w:val="false"/>
          <w:bCs w:val="false"/>
        </w:rPr>
        <w:t>8.4.3</w:t>
      </w:r>
      <w:r>
        <w:rPr>
          <w:b/>
          <w:bCs/>
        </w:rPr>
        <w:t xml:space="preserve"> Sociedade simples: </w:t>
      </w:r>
      <w:r>
        <w:rPr/>
        <w:t>inscrição do ato constitutivo no Registro Civil de Pessoas Jurídicas do local de sua sede, acompanhada de documento comprobatório de seus administradores;</w:t>
      </w:r>
    </w:p>
    <w:p>
      <w:pPr>
        <w:pStyle w:val="Nivel2"/>
        <w:numPr>
          <w:ilvl w:val="0"/>
          <w:numId w:val="0"/>
        </w:numPr>
        <w:ind w:left="288" w:hanging="0"/>
        <w:rPr/>
      </w:pPr>
      <w:r>
        <w:rPr>
          <w:b w:val="false"/>
          <w:bCs w:val="false"/>
        </w:rPr>
        <w:t>8.4.4</w:t>
      </w:r>
      <w:r>
        <w:rPr>
          <w:b/>
          <w:bCs/>
        </w:rPr>
        <w:t xml:space="preserve"> Filial, sucursal ou agência de sociedade simples ou empresária:</w:t>
      </w:r>
      <w:r>
        <w:rPr/>
        <w:t xml:space="preserve"> inscrição do ato constitutivo da filial, sucursal ou agência da sociedade simples ou empresária, respectivamente, no Registro Civil das Pessoas Jurídicas ou no Registro Público de Empresas </w:t>
      </w:r>
      <w:bookmarkStart w:id="2" w:name="_Int_ySfCXwr4"/>
      <w:r>
        <w:rPr/>
        <w:t>Mercantis onde</w:t>
      </w:r>
      <w:bookmarkEnd w:id="2"/>
      <w:r>
        <w:rPr/>
        <w:t xml:space="preserve"> opera, com averbação no Registro onde tem sede a matriz</w:t>
      </w:r>
    </w:p>
    <w:p>
      <w:pPr>
        <w:pStyle w:val="Nivel2"/>
        <w:numPr>
          <w:ilvl w:val="0"/>
          <w:numId w:val="0"/>
        </w:numPr>
        <w:ind w:left="288" w:hanging="0"/>
        <w:rPr/>
      </w:pPr>
      <w:r>
        <w:rPr/>
        <w:t>8.4.5 Os documentos apresentados deverão estar acompanhados de todas as alterações ou da consolidação respectiva.</w:t>
      </w:r>
    </w:p>
    <w:p>
      <w:pPr>
        <w:pStyle w:val="Nvel1SemNumPreto"/>
        <w:numPr>
          <w:ilvl w:val="0"/>
          <w:numId w:val="0"/>
        </w:numPr>
        <w:ind w:left="288" w:hanging="0"/>
        <w:rPr/>
      </w:pPr>
      <w:r>
        <w:rPr/>
        <w:t xml:space="preserve"> </w:t>
      </w:r>
      <w:r>
        <w:rPr/>
        <w:t>Habilitação fiscal, social e trabalhista</w:t>
      </w:r>
    </w:p>
    <w:p>
      <w:pPr>
        <w:pStyle w:val="Nivel2"/>
        <w:numPr>
          <w:ilvl w:val="0"/>
          <w:numId w:val="0"/>
        </w:numPr>
        <w:ind w:left="288" w:hanging="0"/>
        <w:rPr/>
      </w:pPr>
      <w:r>
        <w:rPr/>
        <w:t>8.5 Prova de inscrição no Cadastro Nacional de Pessoas Jurídicas ou no Cadastro de Pessoas Físicas, conforme o caso;</w:t>
      </w:r>
    </w:p>
    <w:p>
      <w:pPr>
        <w:pStyle w:val="Nivel2"/>
        <w:numPr>
          <w:ilvl w:val="0"/>
          <w:numId w:val="0"/>
        </w:numPr>
        <w:ind w:left="288" w:hanging="0"/>
        <w:rPr/>
      </w:pPr>
      <w:r>
        <w:rPr/>
        <w:t>8.5.1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0"/>
        </w:numPr>
        <w:ind w:left="288" w:hanging="0"/>
        <w:rPr/>
      </w:pPr>
      <w:r>
        <w:rPr/>
        <w:t>8.5.2 Prova de regularidade com o Fundo de Garantia do Tempo de Serviço (FGTS);</w:t>
      </w:r>
    </w:p>
    <w:p>
      <w:pPr>
        <w:pStyle w:val="Nivel2"/>
        <w:numPr>
          <w:ilvl w:val="0"/>
          <w:numId w:val="0"/>
        </w:numPr>
        <w:ind w:left="288" w:hanging="0"/>
        <w:rPr>
          <w:color w:val="000000" w:themeColor="text1"/>
        </w:rPr>
      </w:pPr>
      <w:r>
        <w:rPr/>
        <w:t>8.5.3 declaração de que não emprega menor de 18 anos em trabalho noturno, perigoso ou insalubre e não emprega menor de 16 anos, salvo menor, a partir de 14 anos, na condição de aprendiz, nos termos do artigo 7°, XXXIII, da Constituição;</w:t>
      </w:r>
    </w:p>
    <w:p>
      <w:pPr>
        <w:pStyle w:val="Nivel2"/>
        <w:numPr>
          <w:ilvl w:val="0"/>
          <w:numId w:val="0"/>
        </w:numPr>
        <w:ind w:left="288" w:hanging="0"/>
        <w:rPr/>
      </w:pPr>
      <w:r>
        <w:rPr/>
        <w:t>8.5.4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ind w:left="288" w:hanging="0"/>
        <w:rPr/>
      </w:pPr>
      <w:r>
        <w:rPr/>
        <w:t>8.5.5 Prova de inscrição no cadastro de contribuintes estadual/</w:t>
      </w:r>
      <w:r>
        <w:rPr>
          <w:i/>
          <w:iCs/>
          <w:color w:val="000000"/>
        </w:rPr>
        <w:t>Distrital</w:t>
      </w:r>
      <w:r>
        <w:rPr>
          <w:i/>
          <w:iCs/>
          <w:color w:val="FF0000"/>
        </w:rPr>
        <w:t xml:space="preserve"> </w:t>
      </w:r>
      <w:r>
        <w:rPr/>
        <w:t xml:space="preserve">relativo ao domicílio ou sede do fornecedor, pertinente ao seu ramo de atividade e compatível com o objeto contratual; </w:t>
      </w:r>
    </w:p>
    <w:p>
      <w:pPr>
        <w:pStyle w:val="Nivel2"/>
        <w:numPr>
          <w:ilvl w:val="0"/>
          <w:numId w:val="0"/>
        </w:numPr>
        <w:ind w:left="288" w:hanging="0"/>
        <w:rPr/>
      </w:pPr>
      <w:r>
        <w:rPr/>
        <w:t>8.5.6 Prova de regularidade com a Fazenda</w:t>
      </w:r>
      <w:r>
        <w:rPr>
          <w:color w:val="000000"/>
        </w:rPr>
        <w:t xml:space="preserve"> </w:t>
      </w:r>
      <w:r>
        <w:rPr>
          <w:i/>
          <w:iCs/>
          <w:color w:val="000000"/>
        </w:rPr>
        <w:t>Estadual/Distrital</w:t>
      </w:r>
      <w:r>
        <w:rPr>
          <w:color w:val="FF0000"/>
        </w:rPr>
        <w:t xml:space="preserve"> </w:t>
      </w:r>
      <w:r>
        <w:rPr/>
        <w:t>do domicílio ou sede do fornecedor, relativa à atividade em cujo exercício contrata ou concorre;</w:t>
      </w:r>
    </w:p>
    <w:p>
      <w:pPr>
        <w:pStyle w:val="Nivel2"/>
        <w:numPr>
          <w:ilvl w:val="0"/>
          <w:numId w:val="0"/>
        </w:numPr>
        <w:ind w:left="288" w:hanging="0"/>
        <w:rPr/>
      </w:pPr>
      <w:r>
        <w:rPr/>
        <w:t>8.5.7 Caso o fornecedor seja considerado isento dos tributos</w:t>
      </w:r>
      <w:r>
        <w:rPr>
          <w:color w:val="000000"/>
        </w:rPr>
        <w:t xml:space="preserve"> </w:t>
      </w:r>
      <w:r>
        <w:rPr>
          <w:i/>
          <w:iCs/>
          <w:color w:val="000000"/>
        </w:rPr>
        <w:t>Estadual/Distrital ou Municipal/Distrital</w:t>
      </w:r>
      <w:r>
        <w:rPr>
          <w:color w:val="FF0000"/>
        </w:rPr>
        <w:t xml:space="preserve"> </w:t>
      </w:r>
      <w:r>
        <w:rPr/>
        <w:t>relacionados ao objeto contratual, deverá comprovar tal condição mediante a apresentação de declaração da Fazenda respectiva do seu domicílio ou sede, ou outra equivalente, na forma da lei.</w:t>
      </w:r>
    </w:p>
    <w:p>
      <w:pPr>
        <w:pStyle w:val="Nivel2"/>
        <w:numPr>
          <w:ilvl w:val="0"/>
          <w:numId w:val="0"/>
        </w:numPr>
        <w:ind w:left="288" w:hanging="0"/>
        <w:rPr/>
      </w:pPr>
      <w:r>
        <w:rPr/>
        <w:t>8.5.8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Preto"/>
        <w:ind w:left="0" w:hanging="0"/>
        <w:rPr>
          <w:color w:val="000000"/>
        </w:rPr>
      </w:pPr>
      <w:r>
        <w:rPr>
          <w:color w:val="000000"/>
        </w:rPr>
        <w:t>Qualificação Técnica</w:t>
      </w:r>
    </w:p>
    <w:p>
      <w:pPr>
        <w:pStyle w:val="Nvel2Red"/>
        <w:numPr>
          <w:ilvl w:val="0"/>
          <w:numId w:val="0"/>
        </w:numPr>
        <w:ind w:left="999" w:hanging="0"/>
        <w:rPr>
          <w:color w:val="000000"/>
        </w:rPr>
      </w:pPr>
      <w:r>
        <w:rPr>
          <w:i w:val="false"/>
          <w:iCs w:val="false"/>
          <w:color w:val="000000"/>
        </w:rPr>
        <w:t>8.6 Declaração de que o</w:t>
      </w:r>
      <w:r>
        <w:rPr>
          <w:i w:val="false"/>
          <w:iCs w:val="false"/>
          <w:color w:val="000000"/>
          <w:shd w:fill="FFFFFF" w:val="clear"/>
        </w:rPr>
        <w:t xml:space="preserve"> interessado tomou conhecimento de todas as informações e das condições locais para o cumprimento das obrigações objeto da contratação; </w:t>
      </w:r>
    </w:p>
    <w:p>
      <w:pPr>
        <w:pStyle w:val="Nvel2Red"/>
        <w:numPr>
          <w:ilvl w:val="0"/>
          <w:numId w:val="0"/>
        </w:numPr>
        <w:ind w:left="999" w:hanging="0"/>
        <w:rPr>
          <w:color w:val="000000"/>
        </w:rPr>
      </w:pPr>
      <w:r>
        <w:rPr>
          <w:i w:val="false"/>
          <w:iCs w:val="false"/>
          <w:color w:val="000000"/>
          <w:shd w:fill="FFFFFF" w:val="clear"/>
        </w:rPr>
        <w:t>8.6.1 A declaração acima poderá ser substituída por declaração formal assinada pelo responsável técnico do interessado acerca do conhecimento pleno das condições e peculiarida</w:t>
      </w:r>
      <w:r>
        <w:rPr>
          <w:i w:val="false"/>
          <w:iCs w:val="false"/>
          <w:color w:val="000000"/>
        </w:rPr>
        <w:t>des da contratação.</w:t>
      </w:r>
    </w:p>
    <w:p>
      <w:pPr>
        <w:pStyle w:val="Nivel01"/>
        <w:numPr>
          <w:ilvl w:val="0"/>
          <w:numId w:val="1"/>
        </w:numPr>
        <w:ind w:left="0" w:hanging="0"/>
        <w:rPr>
          <w:highlight w:val="white"/>
        </w:rPr>
      </w:pPr>
      <w:r>
        <w:rPr>
          <w:shd w:fill="FFFFFF" w:val="clear"/>
        </w:rPr>
        <w:t>ESTIMATIVAS DO VALOR DA CONTRATAÇÃO</w:t>
      </w:r>
    </w:p>
    <w:p>
      <w:pPr>
        <w:pStyle w:val="Nvel2Red"/>
        <w:numPr>
          <w:ilvl w:val="0"/>
          <w:numId w:val="0"/>
        </w:numPr>
        <w:ind w:left="999" w:hanging="0"/>
        <w:jc w:val="left"/>
        <w:rPr/>
      </w:pPr>
      <w:r>
        <w:rPr>
          <w:color w:val="000000"/>
          <w:shd w:fill="FFFFFF" w:val="clear"/>
        </w:rPr>
        <w:t xml:space="preserve">9.1 O custo estimado total da contratação é de </w:t>
      </w:r>
      <w:r>
        <w:rPr>
          <w:rFonts w:eastAsia="Arial" w:cs="Arial"/>
          <w:b/>
          <w:bCs/>
          <w:color w:val="000000"/>
          <w:sz w:val="20"/>
          <w:szCs w:val="20"/>
          <w:highlight w:val="white"/>
        </w:rPr>
        <w:t xml:space="preserve">R$ </w:t>
      </w:r>
      <w:r>
        <w:rPr>
          <w:rFonts w:eastAsia="Arial" w:cs="Arial"/>
          <w:b/>
          <w:bCs/>
          <w:color w:val="000000"/>
          <w:sz w:val="20"/>
          <w:szCs w:val="20"/>
          <w:highlight w:val="white"/>
        </w:rPr>
        <w:t>1.600,00</w:t>
      </w:r>
      <w:r>
        <w:rPr>
          <w:b/>
          <w:bCs/>
          <w:color w:val="000000"/>
          <w:shd w:fill="FFFFFF" w:val="clear"/>
        </w:rPr>
        <w:t xml:space="preserve"> (</w:t>
      </w:r>
      <w:r>
        <w:rPr>
          <w:b/>
          <w:bCs/>
          <w:color w:val="000000"/>
          <w:shd w:fill="FFFFFF" w:val="clear"/>
        </w:rPr>
        <w:t>um</w:t>
      </w:r>
      <w:r>
        <w:rPr>
          <w:b/>
          <w:bCs/>
          <w:color w:val="000000"/>
          <w:shd w:fill="FFFFFF" w:val="clear"/>
        </w:rPr>
        <w:t xml:space="preserve"> mil </w:t>
      </w:r>
      <w:r>
        <w:rPr>
          <w:b/>
          <w:bCs/>
          <w:color w:val="000000"/>
          <w:shd w:fill="FFFFFF" w:val="clear"/>
        </w:rPr>
        <w:t>e seiscentos reais</w:t>
      </w:r>
      <w:r>
        <w:rPr>
          <w:b/>
          <w:bCs/>
          <w:color w:val="000000"/>
          <w:shd w:fill="FFFFFF" w:val="clear"/>
        </w:rPr>
        <w:t>)</w:t>
      </w:r>
      <w:r>
        <w:rPr>
          <w:color w:val="000000"/>
          <w:shd w:fill="FFFFFF" w:val="clear"/>
        </w:rPr>
        <w:t>, conforme custos unitários apostos na tabela acima.</w:t>
      </w:r>
    </w:p>
    <w:p>
      <w:pPr>
        <w:pStyle w:val="Nivel01"/>
        <w:numPr>
          <w:ilvl w:val="0"/>
          <w:numId w:val="1"/>
        </w:numPr>
        <w:ind w:left="0" w:hanging="0"/>
        <w:rPr/>
      </w:pPr>
      <w:r>
        <w:rPr/>
        <w:t>ADEQUAÇÃO ORÇAMENTÁRIA</w:t>
      </w:r>
    </w:p>
    <w:p>
      <w:pPr>
        <w:pStyle w:val="Nivel2"/>
        <w:widowControl/>
        <w:numPr>
          <w:ilvl w:val="0"/>
          <w:numId w:val="0"/>
        </w:numPr>
        <w:bidi w:val="0"/>
        <w:spacing w:lineRule="auto" w:line="276" w:before="120" w:after="120"/>
        <w:ind w:left="999" w:hanging="0"/>
        <w:jc w:val="left"/>
        <w:rPr/>
      </w:pPr>
      <w:r>
        <w:rPr>
          <w:rFonts w:eastAsia="Arial" w:cs="Arial"/>
          <w:color w:val="000000"/>
          <w:sz w:val="20"/>
          <w:szCs w:val="20"/>
          <w:lang w:eastAsia="pt-BR"/>
        </w:rPr>
        <w:t>10.1 As</w:t>
      </w:r>
      <w:r>
        <w:rPr/>
        <w:t xml:space="preserve"> despesas decorrentes da presente contratação correrão à conta de recursos específicos consignados no Orçamento Geral da União.</w:t>
      </w:r>
    </w:p>
    <w:p>
      <w:pPr>
        <w:pStyle w:val="Nivel2"/>
        <w:numPr>
          <w:ilvl w:val="0"/>
          <w:numId w:val="0"/>
        </w:numPr>
        <w:ind w:left="999" w:hanging="0"/>
        <w:rPr/>
      </w:pPr>
      <w:r>
        <w:rPr/>
        <w:t>10.2 A contratação será atendida pela seguinte dotação:</w:t>
      </w:r>
    </w:p>
    <w:p>
      <w:pPr>
        <w:pStyle w:val="ListParagraph"/>
        <w:numPr>
          <w:ilvl w:val="0"/>
          <w:numId w:val="2"/>
        </w:numPr>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Gestão/Unidade: </w:t>
      </w:r>
      <w:r>
        <w:rPr>
          <w:rFonts w:eastAsia="Arial" w:cs="Arial" w:ascii="Arial" w:hAnsi="Arial"/>
          <w:b/>
          <w:bCs/>
          <w:sz w:val="20"/>
          <w:szCs w:val="20"/>
        </w:rPr>
        <w:t>160403/167403;</w:t>
      </w:r>
    </w:p>
    <w:p>
      <w:pPr>
        <w:pStyle w:val="ListParagraph"/>
        <w:numPr>
          <w:ilvl w:val="0"/>
          <w:numId w:val="2"/>
        </w:numPr>
        <w:spacing w:lineRule="auto" w:line="276" w:before="120" w:after="120"/>
        <w:ind w:left="284" w:hanging="0"/>
        <w:contextualSpacing/>
        <w:jc w:val="both"/>
        <w:rPr/>
      </w:pPr>
      <w:r>
        <w:rPr>
          <w:rFonts w:eastAsia="Arial" w:cs="Arial" w:ascii="Arial" w:hAnsi="Arial"/>
          <w:sz w:val="20"/>
          <w:szCs w:val="20"/>
        </w:rPr>
        <w:t xml:space="preserve">Fonte de Recursos: </w:t>
      </w:r>
      <w:r>
        <w:rPr>
          <w:rFonts w:eastAsia="Arial" w:cs="Arial" w:ascii="Arial" w:hAnsi="Arial"/>
          <w:sz w:val="20"/>
          <w:szCs w:val="20"/>
        </w:rPr>
        <w:t>0150270001</w:t>
      </w:r>
    </w:p>
    <w:p>
      <w:pPr>
        <w:pStyle w:val="ListParagraph"/>
        <w:numPr>
          <w:ilvl w:val="0"/>
          <w:numId w:val="2"/>
        </w:numPr>
        <w:spacing w:lineRule="auto" w:line="276" w:before="120" w:after="120"/>
        <w:ind w:left="284" w:hanging="0"/>
        <w:contextualSpacing/>
        <w:jc w:val="both"/>
        <w:rPr/>
      </w:pPr>
      <w:r>
        <w:rPr>
          <w:rFonts w:eastAsia="Arial" w:cs="Arial" w:ascii="Arial" w:hAnsi="Arial"/>
          <w:color w:val="000000"/>
          <w:sz w:val="20"/>
          <w:szCs w:val="20"/>
        </w:rPr>
        <w:t xml:space="preserve">Natureza de Despesa: </w:t>
      </w:r>
      <w:r>
        <w:rPr>
          <w:rFonts w:eastAsia="Arial" w:cs="Arial" w:ascii="Arial" w:hAnsi="Arial"/>
          <w:color w:val="000000"/>
          <w:sz w:val="20"/>
          <w:szCs w:val="20"/>
        </w:rPr>
        <w:t>339030</w:t>
      </w:r>
    </w:p>
    <w:p>
      <w:pPr>
        <w:pStyle w:val="ListParagraph"/>
        <w:numPr>
          <w:ilvl w:val="0"/>
          <w:numId w:val="2"/>
        </w:numPr>
        <w:spacing w:lineRule="auto" w:line="276" w:before="120" w:after="120"/>
        <w:ind w:left="284" w:hanging="0"/>
        <w:contextualSpacing/>
        <w:jc w:val="both"/>
        <w:rPr/>
      </w:pPr>
      <w:r>
        <w:rPr>
          <w:rFonts w:eastAsia="Arial" w:cs="Arial" w:ascii="Arial" w:hAnsi="Arial"/>
          <w:sz w:val="20"/>
          <w:szCs w:val="20"/>
        </w:rPr>
        <w:t>Plano Interno:</w:t>
      </w:r>
      <w:r>
        <w:rPr>
          <w:rFonts w:eastAsia="MS Mincho" w:cs="Arial" w:ascii="Arial" w:hAnsi="Arial"/>
          <w:sz w:val="20"/>
          <w:szCs w:val="20"/>
        </w:rPr>
        <w:t xml:space="preserve"> </w:t>
      </w:r>
      <w:r>
        <w:rPr>
          <w:rFonts w:eastAsia="MS Mincho" w:cs="Arial" w:ascii="Arial" w:hAnsi="Arial"/>
          <w:sz w:val="20"/>
          <w:szCs w:val="20"/>
        </w:rPr>
        <w:t>D8SAFCTOUTR</w:t>
      </w:r>
    </w:p>
    <w:p>
      <w:pPr>
        <w:pStyle w:val="Nvel2Red"/>
        <w:numPr>
          <w:ilvl w:val="0"/>
          <w:numId w:val="0"/>
        </w:numPr>
        <w:ind w:left="0" w:hanging="0"/>
        <w:rPr>
          <w:rFonts w:ascii="Arial" w:hAnsi="Arial" w:eastAsia="Arial" w:cs="Arial"/>
          <w:color w:val="000000"/>
          <w:sz w:val="20"/>
          <w:szCs w:val="20"/>
          <w:lang w:eastAsia="pt-BR"/>
        </w:rPr>
      </w:pPr>
      <w:r>
        <w:rPr>
          <w:rFonts w:eastAsia="Arial" w:cs="Arial"/>
          <w:color w:val="000000"/>
          <w:sz w:val="20"/>
          <w:szCs w:val="20"/>
          <w:lang w:eastAsia="pt-BR"/>
        </w:rPr>
      </w:r>
    </w:p>
    <w:p>
      <w:pPr>
        <w:pStyle w:val="Nivel2"/>
        <w:widowControl/>
        <w:numPr>
          <w:ilvl w:val="0"/>
          <w:numId w:val="0"/>
        </w:numPr>
        <w:bidi w:val="0"/>
        <w:spacing w:lineRule="auto" w:line="276" w:before="120" w:after="120"/>
        <w:ind w:left="0" w:hanging="0"/>
        <w:jc w:val="left"/>
        <w:rPr/>
      </w:pPr>
      <w:r>
        <w:rPr>
          <w:rFonts w:eastAsia="Arial" w:cs="Arial"/>
          <w:color w:val="000000"/>
          <w:sz w:val="20"/>
          <w:szCs w:val="20"/>
          <w:lang w:eastAsia="pt-BR"/>
        </w:rPr>
        <w:t xml:space="preserve">Rio Grande, </w:t>
      </w:r>
      <w:r>
        <w:rPr>
          <w:rFonts w:eastAsia="Arial" w:cs="Arial"/>
          <w:color w:val="000000"/>
          <w:sz w:val="20"/>
          <w:szCs w:val="20"/>
          <w:lang w:eastAsia="pt-BR"/>
        </w:rPr>
        <w:t>27</w:t>
      </w:r>
      <w:r>
        <w:rPr>
          <w:rFonts w:eastAsia="Arial" w:cs="Arial"/>
          <w:color w:val="000000"/>
          <w:sz w:val="20"/>
          <w:szCs w:val="20"/>
          <w:lang w:eastAsia="pt-BR"/>
        </w:rPr>
        <w:t xml:space="preserve"> de </w:t>
      </w:r>
      <w:r>
        <w:rPr>
          <w:rFonts w:eastAsia="Arial" w:cs="Arial"/>
          <w:color w:val="000000"/>
          <w:sz w:val="20"/>
          <w:szCs w:val="20"/>
          <w:lang w:eastAsia="pt-BR"/>
        </w:rPr>
        <w:t>novembro</w:t>
      </w:r>
      <w:r>
        <w:rPr>
          <w:rFonts w:eastAsia="Arial" w:cs="Arial"/>
          <w:color w:val="000000"/>
          <w:sz w:val="20"/>
          <w:szCs w:val="20"/>
          <w:lang w:eastAsia="pt-BR"/>
        </w:rPr>
        <w:t xml:space="preserve"> de 2023</w:t>
      </w:r>
    </w:p>
    <w:p>
      <w:pPr>
        <w:pStyle w:val="Nivel2"/>
        <w:numPr>
          <w:ilvl w:val="0"/>
          <w:numId w:val="0"/>
        </w:numPr>
        <w:ind w:left="0" w:hanging="0"/>
        <w:rPr/>
      </w:pPr>
      <w:r>
        <w:rPr/>
      </w:r>
    </w:p>
    <w:p>
      <w:pPr>
        <w:pStyle w:val="Nivel2"/>
        <w:numPr>
          <w:ilvl w:val="0"/>
          <w:numId w:val="0"/>
        </w:numPr>
        <w:ind w:left="0" w:hanging="0"/>
        <w:rPr/>
      </w:pPr>
      <w:r>
        <w:rPr/>
      </w:r>
    </w:p>
    <w:p>
      <w:pPr>
        <w:pStyle w:val="Normal"/>
        <w:spacing w:lineRule="auto" w:line="312" w:before="120" w:after="288"/>
        <w:ind w:left="360" w:hanging="0"/>
        <w:jc w:val="center"/>
        <w:rPr/>
      </w:pPr>
      <w:r>
        <w:rPr>
          <w:rFonts w:eastAsia="Arial" w:cs="Arial" w:ascii="Arial" w:hAnsi="Arial"/>
          <w:b/>
          <w:bCs/>
          <w:sz w:val="20"/>
          <w:szCs w:val="20"/>
        </w:rPr>
        <w:t>FL</w:t>
      </w:r>
      <w:r>
        <w:rPr>
          <w:rFonts w:eastAsia="Arial" w:cs="Arial" w:ascii="Arial" w:hAnsi="Arial"/>
          <w:b/>
          <w:bCs/>
          <w:sz w:val="20"/>
          <w:szCs w:val="20"/>
          <w:lang w:eastAsia="pt-BR"/>
        </w:rPr>
        <w:t>ÁVIO TOSTES ALVES – CEL</w:t>
      </w:r>
      <w:r>
        <w:rPr>
          <w:rFonts w:eastAsia="Arial" w:cs="Arial" w:ascii="Arial" w:hAnsi="Arial"/>
          <w:sz w:val="20"/>
          <w:szCs w:val="20"/>
          <w:lang w:eastAsia="pt-BR"/>
        </w:rPr>
        <w:br/>
        <w:t>Ordenador de despesas do 6º Grupo de Artilharia de Campanha</w:t>
      </w:r>
    </w:p>
    <w:sectPr>
      <w:headerReference w:type="default" r:id="rId6"/>
      <w:footerReference w:type="default" r:id="rId7"/>
      <w:type w:val="nextPage"/>
      <w:pgSz w:w="11906" w:h="16838"/>
      <w:pgMar w:left="1134" w:right="1134"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Calibri">
    <w:charset w:val="01"/>
    <w:family w:val="roman"/>
    <w:pitch w:val="variable"/>
  </w:font>
  <w:font w:name="Tahoma">
    <w:charset w:val="01"/>
    <w:family w:val="roman"/>
    <w:pitch w:val="variable"/>
  </w:font>
  <w:font w:name="Arial">
    <w:charset w:val="01"/>
    <w:family w:val="roman"/>
    <w:pitch w:val="variable"/>
  </w:font>
  <w:font w:name="Liberation Sans">
    <w:altName w:val="Arial"/>
    <w:charset w:val="01"/>
    <w:family w:val="roman"/>
    <w:pitch w:val="variable"/>
  </w:font>
  <w:font w:name="arial">
    <w:charset w:val="01"/>
    <w:family w:val="roman"/>
    <w:pitch w:val="variable"/>
  </w:font>
  <w:font w:name="Rawlin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171784175"/>
    </w:sdtPr>
    <w:sdtContent>
      <w:p>
        <w:pPr>
          <w:pStyle w:val="Rodap"/>
          <w:rPr>
            <w:color w:val="548DD4" w:themeColor="text2" w:themeTint="99"/>
            <w:spacing w:val="60"/>
            <w:sz w:val="16"/>
            <w:szCs w:val="16"/>
          </w:rPr>
        </w:pPr>
        <w:r>
          <w:rPr>
            <w:color w:val="548DD4" w:themeColor="text2" w:themeTint="99"/>
            <w:spacing w:val="60"/>
            <w:sz w:val="22"/>
            <w:szCs w:val="22"/>
          </w:rPr>
          <w:tab/>
          <w:tab/>
        </w:r>
      </w:p>
      <w:p>
        <w:pPr>
          <w:pStyle w:val="Rodap"/>
          <w:rPr/>
        </w:pPr>
        <w:r>
          <w:rPr>
            <w:color w:val="7F7F7F" w:themeColor="text1" w:themeTint="80"/>
            <w:spacing w:val="60"/>
            <w:sz w:val="22"/>
            <w:szCs w:val="22"/>
          </w:rPr>
          <w:tab/>
          <w:tab/>
        </w:r>
        <w:r>
          <w:rPr>
            <w:color w:val="595959" w:themeColor="text1" w:themeTint="a6"/>
            <w:spacing w:val="60"/>
            <w:sz w:val="22"/>
            <w:szCs w:val="22"/>
          </w:rPr>
          <w:t>Página</w:t>
        </w:r>
        <w:r>
          <w:rPr>
            <w:color w:val="595959" w:themeColor="text1" w:themeTint="a6"/>
            <w:sz w:val="22"/>
            <w:szCs w:val="22"/>
          </w:rPr>
          <w:t xml:space="preserve"> </w:t>
        </w:r>
        <w:r>
          <w:rPr/>
          <w:fldChar w:fldCharType="begin"/>
        </w:r>
        <w:r>
          <w:rPr/>
          <w:instrText xml:space="preserve"> PAGE </w:instrText>
        </w:r>
        <w:r>
          <w:rPr/>
          <w:fldChar w:fldCharType="separate"/>
        </w:r>
        <w:r>
          <w:rPr/>
          <w:t>9</w:t>
        </w:r>
        <w:r>
          <w:rPr/>
          <w:fldChar w:fldCharType="end"/>
        </w:r>
        <w:r>
          <w:rPr>
            <w:color w:val="595959" w:themeColor="text1" w:themeTint="a6"/>
            <w:sz w:val="22"/>
            <w:szCs w:val="22"/>
          </w:rPr>
          <w:t xml:space="preserve"> | </w:t>
        </w:r>
        <w:r>
          <w:rPr/>
          <w:fldChar w:fldCharType="begin"/>
        </w:r>
        <w:r>
          <w:rPr/>
          <w:instrText xml:space="preserve"> NUMPAGES </w:instrText>
        </w:r>
        <w:r>
          <w:rPr/>
          <w:fldChar w:fldCharType="separate"/>
        </w:r>
        <w:r>
          <w:rPr/>
          <w:t>9</w:t>
        </w:r>
        <w:r>
          <w:rPr/>
          <w:fldChar w:fldCharType="end"/>
        </w:r>
      </w:p>
      <w:p>
        <w:pPr>
          <w:pStyle w:val="Rodap"/>
          <w:rPr>
            <w:rFonts w:ascii="Rawline" w:hAnsi="Rawline" w:cs="Arial"/>
            <w:sz w:val="12"/>
          </w:rPr>
        </w:pPr>
        <w:r>
          <w:rPr>
            <w:rFonts w:cs="Arial" w:ascii="Rawline" w:hAnsi="Rawline"/>
            <w:sz w:val="12"/>
          </w:rPr>
          <w:t>Câmara Nacional de Modelos de Licitações e Contratos da Consultoria-Geral da União</w:t>
        </w:r>
      </w:p>
      <w:p>
        <w:pPr>
          <w:pStyle w:val="Rodap"/>
          <w:rPr>
            <w:rFonts w:ascii="Rawline" w:hAnsi="Rawline" w:cs="Arial"/>
            <w:sz w:val="12"/>
          </w:rPr>
        </w:pPr>
        <w:r>
          <w:rPr>
            <w:rFonts w:cs="Arial" w:ascii="Rawline" w:hAnsi="Rawline"/>
            <w:sz w:val="12"/>
          </w:rPr>
          <w:t>Atualização: Agosto de 2023</w:t>
        </w:r>
      </w:p>
      <w:p>
        <w:pPr>
          <w:pStyle w:val="Rodap"/>
          <w:rPr>
            <w:rFonts w:ascii="Rawline" w:hAnsi="Rawline"/>
            <w:color w:val="0F243E" w:themeColor="text2" w:themeShade="80"/>
            <w:sz w:val="22"/>
            <w:szCs w:val="22"/>
          </w:rPr>
        </w:pPr>
        <w:r>
          <w:rPr>
            <w:rFonts w:cs="Arial" w:ascii="Rawline" w:hAnsi="Rawline"/>
            <w:sz w:val="12"/>
            <w:szCs w:val="12"/>
          </w:rPr>
          <w:t>Termo de Referência – Contratação Direta</w:t>
          <w:tab/>
          <w:tab/>
        </w:r>
      </w:p>
      <w:p>
        <w:pPr>
          <w:pStyle w:val="Rodap"/>
          <w:rPr>
            <w:rFonts w:ascii="Rawline" w:hAnsi="Rawline"/>
            <w:sz w:val="12"/>
            <w:szCs w:val="12"/>
          </w:rPr>
        </w:pPr>
        <w:r>
          <w:rPr>
            <w:rFonts w:ascii="Rawline" w:hAnsi="Rawline"/>
            <w:sz w:val="12"/>
            <w:szCs w:val="12"/>
          </w:rPr>
          <w:t>Aprovado pela Secretaria de Gestão.</w:t>
        </w:r>
      </w:p>
      <w:p>
        <w:pPr>
          <w:pStyle w:val="Rodap"/>
          <w:rPr>
            <w:rFonts w:ascii="Rawline" w:hAnsi="Rawline"/>
          </w:rPr>
        </w:pPr>
        <w:r>
          <w:rPr>
            <w:rFonts w:ascii="Rawline" w:hAnsi="Rawline"/>
            <w:sz w:val="12"/>
            <w:szCs w:val="12"/>
          </w:rPr>
          <w:t>Identidade visual pela Secretaria de Gestão</w:t>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pPr>
    <w:r>
      <w:rPr>
        <w:rFonts w:cs="Arial" w:ascii="Arial" w:hAnsi="Arial"/>
        <w:sz w:val="20"/>
        <w:szCs w:val="20"/>
      </w:rPr>
      <w:t xml:space="preserve">TERMO DE REFERÊNCIA – </w:t>
    </w:r>
    <w:r>
      <w:rPr>
        <w:rFonts w:cs="Arial" w:ascii="Arial" w:hAnsi="Arial"/>
        <w:sz w:val="20"/>
        <w:szCs w:val="20"/>
        <w:shd w:fill="FFFFFF" w:val="clear"/>
      </w:rPr>
      <w:t>CONTRATAÇÃO DIRETA</w:t>
    </w:r>
  </w:p>
  <w:p>
    <w:pPr>
      <w:pStyle w:val="Cabealho"/>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00000A"/>
      </w:rPr>
    </w:lvl>
    <w:lvl w:ilvl="2">
      <w:start w:val="1"/>
      <w:numFmt w:val="decimal"/>
      <w:lvlText w:val="%1.%2.%3."/>
      <w:lvlJc w:val="left"/>
      <w:pPr>
        <w:tabs>
          <w:tab w:val="num" w:pos="0"/>
        </w:tabs>
        <w:ind w:left="1781" w:hanging="504"/>
      </w:pPr>
      <w:rPr>
        <w:dstrike w:val="false"/>
        <w:strike w:val="false"/>
        <w:sz w:val="20"/>
        <w:i w:val="false"/>
        <w:b w:val="false"/>
        <w:szCs w:val="20"/>
        <w:color w:val="00000A"/>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upperRoman"/>
      <w:lvlText w:val="%1)"/>
      <w:lvlJc w:val="left"/>
      <w:pPr>
        <w:tabs>
          <w:tab w:val="num" w:pos="0"/>
        </w:tabs>
        <w:ind w:left="2136" w:hanging="720"/>
      </w:pPr>
      <w:rPr/>
    </w:lvl>
    <w:lvl w:ilvl="1">
      <w:start w:val="1"/>
      <w:numFmt w:val="lowerLetter"/>
      <w:lvlText w:val="%2."/>
      <w:lvlJc w:val="left"/>
      <w:pPr>
        <w:tabs>
          <w:tab w:val="num" w:pos="0"/>
        </w:tabs>
        <w:ind w:left="2496" w:hanging="360"/>
      </w:pPr>
      <w:rPr/>
    </w:lvl>
    <w:lvl w:ilvl="2">
      <w:start w:val="1"/>
      <w:numFmt w:val="lowerRoman"/>
      <w:lvlText w:val="%3."/>
      <w:lvlJc w:val="right"/>
      <w:pPr>
        <w:tabs>
          <w:tab w:val="num" w:pos="0"/>
        </w:tabs>
        <w:ind w:left="3216" w:hanging="180"/>
      </w:pPr>
      <w:rPr/>
    </w:lvl>
    <w:lvl w:ilvl="3">
      <w:start w:val="1"/>
      <w:numFmt w:val="decimal"/>
      <w:lvlText w:val="%4."/>
      <w:lvlJc w:val="left"/>
      <w:pPr>
        <w:tabs>
          <w:tab w:val="num" w:pos="0"/>
        </w:tabs>
        <w:ind w:left="3936" w:hanging="360"/>
      </w:pPr>
      <w:rPr/>
    </w:lvl>
    <w:lvl w:ilvl="4">
      <w:start w:val="1"/>
      <w:numFmt w:val="lowerLetter"/>
      <w:lvlText w:val="%5."/>
      <w:lvlJc w:val="left"/>
      <w:pPr>
        <w:tabs>
          <w:tab w:val="num" w:pos="0"/>
        </w:tabs>
        <w:ind w:left="4656" w:hanging="360"/>
      </w:pPr>
      <w:rPr/>
    </w:lvl>
    <w:lvl w:ilvl="5">
      <w:start w:val="1"/>
      <w:numFmt w:val="lowerRoman"/>
      <w:lvlText w:val="%6."/>
      <w:lvlJc w:val="right"/>
      <w:pPr>
        <w:tabs>
          <w:tab w:val="num" w:pos="0"/>
        </w:tabs>
        <w:ind w:left="5376" w:hanging="180"/>
      </w:pPr>
      <w:rPr/>
    </w:lvl>
    <w:lvl w:ilvl="6">
      <w:start w:val="1"/>
      <w:numFmt w:val="decimal"/>
      <w:lvlText w:val="%7."/>
      <w:lvlJc w:val="left"/>
      <w:pPr>
        <w:tabs>
          <w:tab w:val="num" w:pos="0"/>
        </w:tabs>
        <w:ind w:left="6096" w:hanging="360"/>
      </w:pPr>
      <w:rPr/>
    </w:lvl>
    <w:lvl w:ilvl="7">
      <w:start w:val="1"/>
      <w:numFmt w:val="lowerLetter"/>
      <w:lvlText w:val="%8."/>
      <w:lvlJc w:val="left"/>
      <w:pPr>
        <w:tabs>
          <w:tab w:val="num" w:pos="0"/>
        </w:tabs>
        <w:ind w:left="6816" w:hanging="360"/>
      </w:pPr>
      <w:rPr/>
    </w:lvl>
    <w:lvl w:ilvl="8">
      <w:start w:val="1"/>
      <w:numFmt w:val="lowerRoman"/>
      <w:lvlText w:val="%9."/>
      <w:lvlJc w:val="right"/>
      <w:pPr>
        <w:tabs>
          <w:tab w:val="num" w:pos="0"/>
        </w:tabs>
        <w:ind w:left="7536" w:hanging="18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szCs w:val="20"/>
        <w:color w:val="00000A"/>
      </w:rPr>
    </w:lvl>
    <w:lvl w:ilvl="2">
      <w:start w:val="1"/>
      <w:numFmt w:val="decimal"/>
      <w:lvlText w:val="%1.%2.%3."/>
      <w:lvlJc w:val="left"/>
      <w:pPr>
        <w:tabs>
          <w:tab w:val="num" w:pos="0"/>
        </w:tabs>
        <w:ind w:left="1781" w:hanging="504"/>
      </w:pPr>
      <w:rPr>
        <w:dstrike w:val="false"/>
        <w:strike w:val="false"/>
        <w:sz w:val="20"/>
        <w:i w:val="false"/>
        <w:b w:val="false"/>
        <w:szCs w:val="20"/>
        <w:color w:val="00000A"/>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60"/>
  <w:mirrorMargin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 w:cs="Tahoma" w:eastAsiaTheme="minorEastAsia"/>
      <w:color w:val="00000A"/>
      <w:kern w:val="0"/>
      <w:sz w:val="24"/>
      <w:szCs w:val="24"/>
      <w:lang w:val="pt-BR" w:eastAsia="pt-BR" w:bidi="ar-SA"/>
    </w:rPr>
  </w:style>
  <w:style w:type="paragraph" w:styleId="Ttulo1">
    <w:name w:val="Heading 1"/>
    <w:basedOn w:val="Normal"/>
    <w:next w:val="Normal"/>
    <w:link w:val="Ttulo1Char"/>
    <w:uiPriority w:val="9"/>
    <w:qFormat/>
    <w:rsid w:val="007f77ad"/>
    <w:pPr>
      <w:keepNext w:val="true"/>
      <w:keepLines/>
      <w:spacing w:before="480" w:after="0"/>
      <w:outlineLvl w:val="0"/>
    </w:pPr>
    <w:rPr>
      <w:rFonts w:ascii="Calibri" w:hAnsi="Calibri"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val="true"/>
      <w:tabs>
        <w:tab w:val="clear" w:pos="708"/>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val="365F91" w:themeColor="accent1" w:themeShade="bf"/>
    </w:rPr>
  </w:style>
  <w:style w:type="paragraph" w:styleId="Ttulo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customStyle="1">
    <w:name w:val="Link da Internet"/>
    <w:basedOn w:val="DefaultParagraphFont"/>
    <w:uiPriority w:val="99"/>
    <w:unhideWhenUsed/>
    <w:rsid w:val="00dc41dd"/>
    <w:rPr>
      <w:color w:val="0000FF" w:themeColor="hyperlink"/>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Annotationtex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val="17365D" w:themeColor="text2" w:themeShade="bf"/>
      <w:spacing w:val="5"/>
      <w:sz w:val="52"/>
      <w:szCs w:val="52"/>
      <w:lang w:eastAsia="pt-BR"/>
    </w:rPr>
  </w:style>
  <w:style w:type="character" w:styleId="Nivel01Char" w:customStyle="1">
    <w:name w:val="Nivel 01 Char"/>
    <w:basedOn w:val="TtuloChar"/>
    <w:link w:val="Nivel01"/>
    <w:qFormat/>
    <w:rsid w:val="00881f44"/>
    <w:rPr>
      <w:rFonts w:ascii="Arial" w:hAnsi="Arial" w:eastAsia="" w:cs="Arial" w:eastAsiaTheme="majorEastAsia"/>
      <w:b/>
      <w:bCs/>
      <w:color w:val="17365D" w:themeColor="text2" w:themeShade="bf"/>
      <w:spacing w:val="5"/>
      <w:sz w:val="52"/>
      <w:szCs w:val="52"/>
      <w:lang w:eastAsia="pt-BR"/>
    </w:rPr>
  </w:style>
  <w:style w:type="character" w:styleId="Ttulo1Char" w:customStyle="1">
    <w:name w:val="Título 1 Char"/>
    <w:basedOn w:val="DefaultParagraphFont"/>
    <w:uiPriority w:val="9"/>
    <w:qFormat/>
    <w:rsid w:val="007f77ad"/>
    <w:rPr>
      <w:rFonts w:ascii="Calibri" w:hAnsi="Calibri" w:eastAsia="" w:cs=""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val="000000" w:themeColor="text1"/>
      <w:spacing w:val="5"/>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Textbody1"/>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da3ef1"/>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Ênfase"/>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Linkdainternetvisitado">
    <w:name w:val="Link da internet visitado"/>
    <w:basedOn w:val="DefaultParagraphFont"/>
    <w:uiPriority w:val="99"/>
    <w:semiHidden/>
    <w:unhideWhenUsed/>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84242c"/>
    <w:rPr>
      <w:rFonts w:ascii="Arial" w:hAnsi="Arial" w:eastAsia="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f93d80"/>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da3ef1"/>
    <w:rPr>
      <w:rFonts w:ascii="Arial" w:hAnsi="Arial" w:eastAsia="Arial" w:cs="Arial"/>
      <w:i/>
      <w:iCs/>
      <w:color w:val="FF0000"/>
      <w:lang w:eastAsia="pt-BR"/>
    </w:rPr>
  </w:style>
  <w:style w:type="character" w:styleId="Nivel3Char" w:customStyle="1">
    <w:name w:val="Nivel 3 Char"/>
    <w:basedOn w:val="DefaultParagraphFont"/>
    <w:link w:val="Nivel3"/>
    <w:qFormat/>
    <w:rsid w:val="005d30b6"/>
    <w:rPr>
      <w:rFonts w:ascii="Arial" w:hAnsi="Arial" w:cs="Arial"/>
      <w:color w:val="000000"/>
      <w:lang w:eastAsia="pt-BR"/>
    </w:rPr>
  </w:style>
  <w:style w:type="character" w:styleId="Nvel3RChar" w:customStyle="1">
    <w:name w:val="Nível 3-R Char"/>
    <w:basedOn w:val="Nivel3Char"/>
    <w:link w:val="Nvel3R"/>
    <w:qFormat/>
    <w:rsid w:val="00775cfb"/>
    <w:rPr>
      <w:rFonts w:ascii="Arial" w:hAnsi="Arial" w:cs="Arial"/>
      <w:i/>
      <w:iCs/>
      <w:color w:val="FF0000"/>
      <w:lang w:eastAsia="pt-BR"/>
    </w:rPr>
  </w:style>
  <w:style w:type="character" w:styleId="Nvel4RChar" w:customStyle="1">
    <w:name w:val="Nível 4-R Char"/>
    <w:basedOn w:val="Nivel4Char"/>
    <w:link w:val="Nvel4R"/>
    <w:qFormat/>
    <w:rsid w:val="00da3ef1"/>
    <w:rPr>
      <w:rFonts w:ascii="Arial" w:hAnsi="Arial" w:cs="Arial"/>
      <w:i/>
      <w:iCs/>
      <w:color w:val="FF0000"/>
      <w:lang w:eastAsia="pt-BR"/>
    </w:rPr>
  </w:style>
  <w:style w:type="character" w:styleId="Nvel1SemNumChar" w:customStyle="1">
    <w:name w:val="Nível 1-Sem Num Char"/>
    <w:basedOn w:val="Nivel01Char"/>
    <w:link w:val="Nvel1SemNum"/>
    <w:qFormat/>
    <w:rsid w:val="00881f44"/>
    <w:rPr>
      <w:rFonts w:ascii="Arial" w:hAnsi="Arial" w:eastAsia="" w:cs="Arial" w:eastAsiaTheme="majorEastAsia"/>
      <w:b/>
      <w:bCs/>
      <w:color w:val="FF0000"/>
      <w:spacing w:val="5"/>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tionnonrsolue1" w:customStyle="1">
    <w:name w:val="Mention non résolue1"/>
    <w:basedOn w:val="DefaultParagraphFont"/>
    <w:uiPriority w:val="99"/>
    <w:semiHidden/>
    <w:unhideWhenUsed/>
    <w:qFormat/>
    <w:rsid w:val="008d252d"/>
    <w:rPr>
      <w:color w:val="605E5C"/>
      <w:shd w:fill="E1DFDD" w:val="clear"/>
    </w:rPr>
  </w:style>
  <w:style w:type="character" w:styleId="Findhit" w:customStyle="1">
    <w:name w:val="findhit"/>
    <w:basedOn w:val="DefaultParagraphFont"/>
    <w:qFormat/>
    <w:rsid w:val="00e66cc3"/>
    <w:rPr/>
  </w:style>
  <w:style w:type="character" w:styleId="Nivel3erroChar" w:customStyle="1">
    <w:name w:val="Nivel 3-erro Char"/>
    <w:basedOn w:val="DefaultParagraphFont"/>
    <w:link w:val="Nivel3erro"/>
    <w:qFormat/>
    <w:rsid w:val="005b0afb"/>
    <w:rPr>
      <w:rFonts w:ascii="Arial" w:hAnsi="Arial" w:cs="Tahoma"/>
      <w:szCs w:val="24"/>
      <w:lang w:eastAsia="pt-BR"/>
    </w:rPr>
  </w:style>
  <w:style w:type="character" w:styleId="AlteraesChar" w:customStyle="1">
    <w:name w:val="Alterações Char"/>
    <w:basedOn w:val="DefaultParagraphFont"/>
    <w:link w:val="Alteraes"/>
    <w:uiPriority w:val="1"/>
    <w:qFormat/>
    <w:rsid w:val="1414b7f7"/>
    <w:rPr>
      <w:rFonts w:ascii="Arial" w:hAnsi="Arial" w:cs="Arial"/>
      <w:i/>
      <w:iCs/>
      <w:color w:val="0000FF"/>
      <w:lang w:eastAsia="pt-BR"/>
    </w:rPr>
  </w:style>
  <w:style w:type="character" w:styleId="Meno1" w:customStyle="1">
    <w:name w:val="Menção1"/>
    <w:basedOn w:val="DefaultParagraphFont"/>
    <w:uiPriority w:val="99"/>
    <w:unhideWhenUsed/>
    <w:qFormat/>
    <w:rsid w:val="002804a7"/>
    <w:rPr>
      <w:color w:val="2B579A"/>
      <w:shd w:fill="E6E6E6" w:val="clear"/>
    </w:rPr>
  </w:style>
  <w:style w:type="character" w:styleId="MenoPendente5" w:customStyle="1">
    <w:name w:val="Menção Pendente5"/>
    <w:basedOn w:val="DefaultParagraphFont"/>
    <w:uiPriority w:val="99"/>
    <w:semiHidden/>
    <w:unhideWhenUsed/>
    <w:qFormat/>
    <w:rsid w:val="00921a92"/>
    <w:rPr>
      <w:color w:val="605E5C"/>
      <w:shd w:fill="E1DFDD" w:val="clear"/>
    </w:rPr>
  </w:style>
  <w:style w:type="character" w:styleId="Nvel1SemNumPretoChar" w:customStyle="1">
    <w:name w:val="Nível 1-Sem Num Preto Char"/>
    <w:basedOn w:val="Nvel1SemNumChar"/>
    <w:link w:val="Nvel1SemNumPreto"/>
    <w:qFormat/>
    <w:rsid w:val="00036ad7"/>
    <w:rPr>
      <w:rFonts w:ascii="Arial" w:hAnsi="Arial" w:eastAsia="" w:cs="Arial" w:eastAsiaTheme="majorEastAsia"/>
      <w:b/>
      <w:bCs/>
      <w:color w:val="FF0000"/>
      <w:spacing w:val="5"/>
      <w:sz w:val="52"/>
      <w:szCs w:val="52"/>
      <w:lang w:eastAsia="zh-CN" w:bidi="hi-IN"/>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lang w:val="zxx" w:eastAsia="zxx" w:bidi="zxx"/>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spacing w:before="0" w:after="0"/>
      <w:contextualSpacing/>
    </w:pPr>
    <w:rPr/>
  </w:style>
  <w:style w:type="paragraph" w:styleId="Notaexplicativa" w:customStyle="1">
    <w:name w:val="Nota explicativa"/>
    <w:basedOn w:val="Quote"/>
    <w:link w:val="NotaexplicativaChar"/>
    <w:qFormat/>
    <w:rsid w:val="00265fb6"/>
    <w:pPr>
      <w:shd w:val="clear" w:fill="FFFFCC"/>
    </w:pPr>
    <w:rPr>
      <w:szCs w:val="20"/>
    </w:rPr>
  </w:style>
  <w:style w:type="paragraph" w:styleId="CabealhoeRodap">
    <w:name w:val="Cabeçalho e Rodapé"/>
    <w:basedOn w:val="Normal"/>
    <w:qFormat/>
    <w:pPr/>
    <w:rPr/>
  </w:style>
  <w:style w:type="paragraph" w:styleId="Cabealho">
    <w:name w:val="Header"/>
    <w:basedOn w:val="Normal"/>
    <w:link w:val="CabealhoChar"/>
    <w:uiPriority w:val="99"/>
    <w:rsid w:val="00ca24fb"/>
    <w:pPr>
      <w:tabs>
        <w:tab w:val="clear" w:pos="708"/>
        <w:tab w:val="center" w:pos="4252" w:leader="none"/>
        <w:tab w:val="right" w:pos="8504" w:leader="none"/>
      </w:tabs>
    </w:pPr>
    <w:rPr/>
  </w:style>
  <w:style w:type="paragraph" w:styleId="Rodap">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link w:val="AssuntodocomentrioChar"/>
    <w:uiPriority w:val="99"/>
    <w:semiHidden/>
    <w:unhideWhenUsed/>
    <w:qFormat/>
    <w:rsid w:val="00430fdb"/>
    <w:pPr/>
    <w:rPr>
      <w:b/>
      <w:bCs/>
    </w:rPr>
  </w:style>
  <w:style w:type="paragraph" w:styleId="Nivel01" w:customStyle="1">
    <w:name w:val="Nivel 01"/>
    <w:basedOn w:val="Ttulo1"/>
    <w:next w:val="Normal"/>
    <w:link w:val="Nivel01Char"/>
    <w:autoRedefine/>
    <w:qFormat/>
    <w:rsid w:val="00881f44"/>
    <w:pPr>
      <w:tabs>
        <w:tab w:val="clear" w:pos="708"/>
        <w:tab w:val="left" w:pos="567" w:leader="none"/>
      </w:tabs>
      <w:spacing w:lineRule="auto" w:line="276" w:before="240" w:after="120"/>
      <w:ind w:left="0" w:hanging="0"/>
      <w:jc w:val="left"/>
    </w:pPr>
    <w:rPr>
      <w:rFonts w:ascii="Arial" w:hAnsi="Arial" w:cs="Arial"/>
      <w:color w:val="00000A"/>
      <w:sz w:val="20"/>
      <w:szCs w:val="20"/>
    </w:rPr>
  </w:style>
  <w:style w:type="paragraph" w:styleId="Nivel01Titulo" w:customStyle="1">
    <w:name w:val="Nivel_01_Titulo"/>
    <w:basedOn w:val="Nivel01"/>
    <w:link w:val="Nivel01TituloChar"/>
    <w:qFormat/>
    <w:rsid w:val="00e967ea"/>
    <w:pPr>
      <w:jc w:val="left"/>
    </w:pPr>
    <w:rPr>
      <w:rFonts w:cs="" w:cstheme="majorBidi"/>
      <w:color w:val="000000" w:themeColor="text1"/>
      <w:spacing w:val="5"/>
      <w:sz w:val="52"/>
      <w:szCs w:val="52"/>
    </w:rPr>
  </w:style>
  <w:style w:type="paragraph" w:styleId="Ttulododocumento">
    <w:name w:val="Title"/>
    <w:basedOn w:val="Normal"/>
    <w:next w:val="Normal"/>
    <w:link w:val="TtuloChar"/>
    <w:qFormat/>
    <w:rsid w:val="007f77ad"/>
    <w:pPr>
      <w:pBdr>
        <w:bottom w:val="single" w:sz="8" w:space="4" w:color="4F81BD"/>
      </w:pBdr>
      <w:spacing w:before="0" w:after="300"/>
      <w:contextualSpacing/>
    </w:pPr>
    <w:rPr>
      <w:rFonts w:ascii="Calibri" w:hAnsi="Calibri" w:eastAsia="" w:cs="" w:asciiTheme="majorHAnsi" w:cstheme="majorBidi" w:eastAsiaTheme="majorEastAsia" w:hAnsiTheme="majorHAnsi"/>
      <w:color w:val="17365D" w:themeColor="text2" w:themeShade="bf"/>
      <w:spacing w:val="5"/>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autoRedefine/>
    <w:qFormat/>
    <w:rsid w:val="0084242c"/>
    <w:pPr>
      <w:spacing w:lineRule="auto" w:line="276" w:before="120" w:after="120"/>
      <w:ind w:left="0" w:hanging="0"/>
      <w:jc w:val="both"/>
    </w:pPr>
    <w:rPr>
      <w:rFonts w:ascii="Arial" w:hAnsi="Arial" w:eastAsia="Arial" w:cs="Arial"/>
      <w:color w:val="000000"/>
      <w:sz w:val="20"/>
      <w:szCs w:val="20"/>
    </w:rPr>
  </w:style>
  <w:style w:type="paragraph" w:styleId="Nivel11" w:customStyle="1">
    <w:name w:val="Nivel 1"/>
    <w:basedOn w:val="Nivel2"/>
    <w:qFormat/>
    <w:rsid w:val="003629e4"/>
    <w:pPr>
      <w:ind w:left="360" w:hanging="360"/>
    </w:pPr>
    <w:rPr>
      <w:b/>
    </w:rPr>
  </w:style>
  <w:style w:type="paragraph" w:styleId="Nivel3" w:customStyle="1">
    <w:name w:val="Nivel 3"/>
    <w:basedOn w:val="Normal"/>
    <w:link w:val="Nivel3Char"/>
    <w:autoRedefine/>
    <w:qFormat/>
    <w:rsid w:val="005d30b6"/>
    <w:pPr>
      <w:spacing w:lineRule="auto" w:line="276" w:before="120" w:after="120"/>
      <w:ind w:left="284" w:hanging="0"/>
      <w:jc w:val="both"/>
    </w:pPr>
    <w:rPr>
      <w:rFonts w:ascii="Arial" w:hAnsi="Arial" w:cs="Arial"/>
      <w:b/>
      <w:bCs/>
      <w:color w:val="000000"/>
      <w:sz w:val="20"/>
      <w:szCs w:val="20"/>
    </w:rPr>
  </w:style>
  <w:style w:type="paragraph" w:styleId="Nivel4" w:customStyle="1">
    <w:name w:val="Nivel 4"/>
    <w:basedOn w:val="Nivel3"/>
    <w:link w:val="Nivel4Char"/>
    <w:autoRedefine/>
    <w:qFormat/>
    <w:rsid w:val="00da3ef1"/>
    <w:pPr>
      <w:ind w:left="567" w:hanging="0"/>
    </w:pPr>
    <w:rPr>
      <w:color w:val="00000A"/>
    </w:rPr>
  </w:style>
  <w:style w:type="paragraph" w:styleId="Nivel5" w:customStyle="1">
    <w:name w:val="Nivel 5"/>
    <w:basedOn w:val="Nivel4"/>
    <w:autoRedefine/>
    <w:qFormat/>
    <w:rsid w:val="00da3ef1"/>
    <w:pPr>
      <w:ind w:left="851"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00000A"/>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00000A"/>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ind w:left="432" w:hanging="432"/>
    </w:pPr>
    <w:rPr>
      <w:rFonts w:eastAsia="Times New Roman"/>
      <w:i/>
      <w:color w:val="FF0000"/>
    </w:rPr>
  </w:style>
  <w:style w:type="paragraph" w:styleId="Nvel3Opcional" w:customStyle="1">
    <w:name w:val="Nível 3 Opcional"/>
    <w:basedOn w:val="Nivel3"/>
    <w:link w:val="Nvel3OpcionalChar"/>
    <w:qFormat/>
    <w:rsid w:val="00a831d9"/>
    <w:pPr>
      <w:ind w:left="1072" w:hanging="504"/>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00000A"/>
      <w:kern w:val="0"/>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f93d80"/>
    <w:pPr>
      <w:spacing w:lineRule="auto" w:line="259" w:before="60" w:after="60"/>
      <w:ind w:left="0" w:hanging="0"/>
      <w:contextualSpacing/>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da3ef1"/>
    <w:pPr/>
    <w:rPr>
      <w:i/>
      <w:iCs/>
      <w:color w:val="FF0000"/>
    </w:rPr>
  </w:style>
  <w:style w:type="paragraph" w:styleId="Nvel3R" w:customStyle="1">
    <w:name w:val="Nível 3-R"/>
    <w:basedOn w:val="Nivel3"/>
    <w:link w:val="Nvel3RChar"/>
    <w:autoRedefine/>
    <w:qFormat/>
    <w:rsid w:val="00775cfb"/>
    <w:pPr>
      <w:jc w:val="both"/>
    </w:pPr>
    <w:rPr>
      <w:b/>
      <w:bCs/>
      <w:i/>
      <w:iCs/>
      <w:color w:val="FF0000"/>
    </w:rPr>
  </w:style>
  <w:style w:type="paragraph" w:styleId="Nvel4R" w:customStyle="1">
    <w:name w:val="Nível 4-R"/>
    <w:basedOn w:val="Nivel4"/>
    <w:link w:val="Nvel4RChar"/>
    <w:autoRedefine/>
    <w:qFormat/>
    <w:rsid w:val="00da3ef1"/>
    <w:pPr/>
    <w:rPr>
      <w:i/>
      <w:iCs/>
      <w:color w:val="FF0000"/>
    </w:rPr>
  </w:style>
  <w:style w:type="paragraph" w:styleId="Nvel1SemNum" w:customStyle="1">
    <w:name w:val="Nível 1-Sem Num"/>
    <w:basedOn w:val="Nivel01"/>
    <w:link w:val="Nvel1SemNumChar"/>
    <w:autoRedefine/>
    <w:qFormat/>
    <w:rsid w:val="00881f44"/>
    <w:pPr>
      <w:ind w:left="0" w:hanging="0"/>
      <w:outlineLvl w:val="1"/>
    </w:pPr>
    <w:rPr>
      <w:color w:val="000000"/>
    </w:rPr>
  </w:style>
  <w:style w:type="paragraph" w:styleId="Citao2" w:customStyle="1">
    <w:name w:val="citação 2"/>
    <w:basedOn w:val="Quote"/>
    <w:qFormat/>
    <w:rsid w:val="00dc41dd"/>
    <w:pPr>
      <w:shd w:val="clear" w:fill="FFFFCC"/>
      <w:overflowPunct w:val="true"/>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paragraph" w:styleId="Nivel3erro" w:customStyle="1">
    <w:name w:val="Nivel 3-erro"/>
    <w:basedOn w:val="Nivel3"/>
    <w:link w:val="Nivel3erroChar"/>
    <w:qFormat/>
    <w:rsid w:val="005b0afb"/>
    <w:pPr>
      <w:spacing w:lineRule="auto" w:line="240"/>
      <w:ind w:left="425" w:hanging="0"/>
    </w:pPr>
    <w:rPr>
      <w:rFonts w:cs="Tahoma"/>
      <w:color w:val="00000A"/>
      <w:szCs w:val="24"/>
    </w:rPr>
  </w:style>
  <w:style w:type="paragraph" w:styleId="Alteraes" w:customStyle="1">
    <w:name w:val="Alterações"/>
    <w:basedOn w:val="Normal"/>
    <w:link w:val="AlteraesChar"/>
    <w:uiPriority w:val="1"/>
    <w:qFormat/>
    <w:rsid w:val="1414b7f7"/>
    <w:pPr>
      <w:spacing w:lineRule="auto" w:line="276" w:before="120" w:after="120"/>
      <w:jc w:val="both"/>
      <w:outlineLvl w:val="1"/>
    </w:pPr>
    <w:rPr>
      <w:rFonts w:ascii="Arial" w:hAnsi="Arial" w:cs="Arial"/>
      <w:i/>
      <w:iCs/>
      <w:color w:val="0000FF"/>
      <w:sz w:val="20"/>
      <w:szCs w:val="20"/>
    </w:rPr>
  </w:style>
  <w:style w:type="paragraph" w:styleId="Nvel1SemNumPreto" w:customStyle="1">
    <w:name w:val="Nível 1-Sem Num Preto"/>
    <w:basedOn w:val="Nvel1SemNum"/>
    <w:link w:val="Nvel1SemNumPretoChar"/>
    <w:qFormat/>
    <w:rsid w:val="00036ad7"/>
    <w:pPr/>
    <w:rPr>
      <w:color w:val="00000A"/>
      <w:lang w:eastAsia="zh-CN" w:bidi="hi-IN"/>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in.gov.br/en/web/dou/-/instrucao-normativa-seges/me-n-77-de-4-de-novembro-de-2022-441681061" TargetMode="External"/><Relationship Id="rId3" Type="http://schemas.openxmlformats.org/officeDocument/2006/relationships/hyperlink" Target="https://www.planalto.gov.br/ccivil_03/leis/lcp/lcp123.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s://www.portaltransparencia.gov.br/sancoes/cnep"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FCC715-7F20-41B2-A569-BB496D3BE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customXml/itemProps4.xml><?xml version="1.0" encoding="utf-8"?>
<ds:datastoreItem xmlns:ds="http://schemas.openxmlformats.org/officeDocument/2006/customXml" ds:itemID="{58D91C4F-6E30-4B53-AA1B-A13F843D46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Application>LibreOffice/7.3.7.2$Linux_X86_64 LibreOffice_project/30$Build-2</Application>
  <AppVersion>15.0000</AppVersion>
  <Pages>9</Pages>
  <Words>3627</Words>
  <Characters>20540</Characters>
  <CharactersWithSpaces>24054</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2023-08-29T19:28:00Z</dcterms:created>
  <dc:creator/>
  <dc:description/>
  <dc:language>pt-BR</dc:language>
  <cp:lastModifiedBy/>
  <dcterms:modified xsi:type="dcterms:W3CDTF">2023-11-27T14:01:57Z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