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widowControl w:val="0"/>
        <w:jc w:val="center"/>
        <w:rPr>
          <w:rFonts w:asciiTheme="minorHAnsi" w:hAnsiTheme="minorHAnsi" w:cstheme="minorHAnsi"/>
        </w:rPr>
      </w:pPr>
      <w:r>
        <w:pict>
          <v:shape id="ole_rId2" o:spid="_x0000_s1026" o:spt="75" type="#_x0000_t75" style="height:28.35pt;width:28.35pt;" o:ole="t" fillcolor="#FFFFFF" filled="t" o:preferrelative="t" stroked="f" coordsize="21600,21600">
            <v:path/>
            <v:fill on="t" focussize="0,0"/>
            <v:stroke on="f" joinstyle="miter"/>
            <v:imagedata r:id="rId6" o:title=""/>
            <o:lock v:ext="edit"/>
            <w10:wrap type="none"/>
            <w10:anchorlock/>
          </v:shape>
          <o:OLEObject Type="Embed" ProgID="PBrush" ShapeID="ole_rId2" DrawAspect="Content" ObjectID="_1468075725" r:id="rId5">
            <o:LockedField>false</o:LockedField>
          </o:OLEObject>
        </w:pict>
      </w:r>
    </w:p>
    <w:p>
      <w:pPr>
        <w:pStyle w:val="14"/>
        <w:widowControl w:val="0"/>
        <w:jc w:val="center"/>
        <w:rPr>
          <w:rFonts w:asciiTheme="minorHAnsi" w:hAnsiTheme="minorHAnsi" w:cstheme="minorHAnsi"/>
          <w:b/>
          <w:color w:val="000000" w:themeColor="text1"/>
          <w:sz w:val="20"/>
          <w:szCs w:val="20"/>
          <w14:textFill>
            <w14:solidFill>
              <w14:schemeClr w14:val="tx1"/>
            </w14:solidFill>
          </w14:textFill>
        </w:rPr>
      </w:pPr>
      <w:r>
        <w:rPr>
          <w:rFonts w:asciiTheme="minorHAnsi" w:hAnsiTheme="minorHAnsi" w:cstheme="minorHAnsi"/>
          <w:b/>
          <w:color w:val="000000" w:themeColor="text1"/>
          <w:sz w:val="20"/>
          <w:szCs w:val="20"/>
          <w14:textFill>
            <w14:solidFill>
              <w14:schemeClr w14:val="tx1"/>
            </w14:solidFill>
          </w14:textFill>
        </w:rPr>
        <w:t>MINISTÉRIO DA DEFESA</w:t>
      </w:r>
    </w:p>
    <w:p>
      <w:pPr>
        <w:widowControl w:val="0"/>
        <w:jc w:val="center"/>
        <w:rPr>
          <w:rFonts w:asciiTheme="minorHAnsi" w:hAnsiTheme="minorHAnsi" w:cstheme="minorHAnsi"/>
          <w:b/>
          <w:bCs/>
          <w:color w:val="000000" w:themeColor="text1"/>
          <w:sz w:val="20"/>
          <w:szCs w:val="20"/>
          <w14:textFill>
            <w14:solidFill>
              <w14:schemeClr w14:val="tx1"/>
            </w14:solidFill>
          </w14:textFill>
        </w:rPr>
      </w:pPr>
      <w:r>
        <w:rPr>
          <w:rFonts w:asciiTheme="minorHAnsi" w:hAnsiTheme="minorHAnsi" w:cstheme="minorHAnsi"/>
          <w:b/>
          <w:bCs/>
          <w:color w:val="000000" w:themeColor="text1"/>
          <w:sz w:val="20"/>
          <w:szCs w:val="20"/>
          <w14:textFill>
            <w14:solidFill>
              <w14:schemeClr w14:val="tx1"/>
            </w14:solidFill>
          </w14:textFill>
        </w:rPr>
        <w:t>EXÉRCITO BRASILEIRO</w:t>
      </w:r>
    </w:p>
    <w:p>
      <w:pPr>
        <w:widowControl w:val="0"/>
        <w:jc w:val="center"/>
        <w:rPr>
          <w:rFonts w:asciiTheme="minorHAnsi" w:hAnsiTheme="minorHAnsi" w:cstheme="minorHAnsi"/>
          <w:b/>
          <w:bCs/>
          <w:color w:val="000000" w:themeColor="text1"/>
          <w:sz w:val="20"/>
          <w:szCs w:val="20"/>
          <w14:textFill>
            <w14:solidFill>
              <w14:schemeClr w14:val="tx1"/>
            </w14:solidFill>
          </w14:textFill>
        </w:rPr>
      </w:pPr>
      <w:r>
        <w:rPr>
          <w:rFonts w:asciiTheme="minorHAnsi" w:hAnsiTheme="minorHAnsi" w:cstheme="minorHAnsi"/>
          <w:b/>
          <w:bCs/>
          <w:color w:val="000000" w:themeColor="text1"/>
          <w:sz w:val="20"/>
          <w:szCs w:val="20"/>
          <w14:textFill>
            <w14:solidFill>
              <w14:schemeClr w14:val="tx1"/>
            </w14:solidFill>
          </w14:textFill>
        </w:rPr>
        <w:t>38º BATALHÃO DE INFANTARIA</w:t>
      </w:r>
    </w:p>
    <w:p>
      <w:pPr>
        <w:widowControl w:val="0"/>
        <w:jc w:val="center"/>
        <w:rPr>
          <w:rFonts w:asciiTheme="minorHAnsi" w:hAnsiTheme="minorHAnsi" w:cstheme="minorHAnsi"/>
          <w:b/>
          <w:bCs/>
          <w:color w:val="000000" w:themeColor="text1"/>
          <w:sz w:val="20"/>
          <w:szCs w:val="20"/>
          <w14:textFill>
            <w14:solidFill>
              <w14:schemeClr w14:val="tx1"/>
            </w14:solidFill>
          </w14:textFill>
        </w:rPr>
      </w:pPr>
      <w:r>
        <w:rPr>
          <w:rFonts w:asciiTheme="minorHAnsi" w:hAnsiTheme="minorHAnsi" w:cstheme="minorHAnsi"/>
          <w:b/>
          <w:bCs/>
          <w:color w:val="000000" w:themeColor="text1"/>
          <w:sz w:val="20"/>
          <w:szCs w:val="20"/>
          <w14:textFill>
            <w14:solidFill>
              <w14:schemeClr w14:val="tx1"/>
            </w14:solidFill>
          </w14:textFill>
        </w:rPr>
        <w:t>(Inf da Gu Fx BA/1851)</w:t>
      </w:r>
    </w:p>
    <w:p>
      <w:pPr>
        <w:widowControl w:val="0"/>
        <w:jc w:val="center"/>
        <w:rPr>
          <w:rFonts w:asciiTheme="minorHAnsi" w:hAnsiTheme="minorHAnsi" w:cstheme="minorHAnsi"/>
          <w:b/>
          <w:bCs/>
          <w:color w:val="000000" w:themeColor="text1"/>
          <w14:textFill>
            <w14:solidFill>
              <w14:schemeClr w14:val="tx1"/>
            </w14:solidFill>
          </w14:textFill>
        </w:rPr>
      </w:pPr>
      <w:r>
        <w:rPr>
          <w:rFonts w:asciiTheme="minorHAnsi" w:hAnsiTheme="minorHAnsi" w:cstheme="minorHAnsi"/>
          <w:b/>
          <w:bCs/>
          <w:color w:val="000000" w:themeColor="text1"/>
          <w:sz w:val="20"/>
          <w:szCs w:val="20"/>
          <w14:textFill>
            <w14:solidFill>
              <w14:schemeClr w14:val="tx1"/>
            </w14:solidFill>
          </w14:textFill>
        </w:rPr>
        <w:t>BATALHÃO GENERAL TIBÚRCIO</w:t>
      </w:r>
    </w:p>
    <w:p>
      <w:pPr>
        <w:spacing w:line="268" w:lineRule="exact"/>
        <w:rPr>
          <w:rFonts w:asciiTheme="minorHAnsi" w:hAnsiTheme="minorHAnsi" w:cstheme="minorHAnsi"/>
          <w:color w:val="000000" w:themeColor="text1"/>
          <w:sz w:val="24"/>
          <w:szCs w:val="24"/>
          <w14:textFill>
            <w14:solidFill>
              <w14:schemeClr w14:val="tx1"/>
            </w14:solidFill>
          </w14:textFill>
        </w:rPr>
      </w:pPr>
    </w:p>
    <w:p>
      <w:pPr>
        <w:spacing w:line="235" w:lineRule="auto"/>
        <w:ind w:left="851" w:right="345" w:firstLine="0"/>
        <w:jc w:val="center"/>
        <w:rPr>
          <w:rFonts w:eastAsia="Times New Roman" w:asciiTheme="minorHAnsi" w:hAnsiTheme="minorHAnsi" w:cstheme="minorHAnsi"/>
          <w:color w:val="000000" w:themeColor="text1"/>
          <w:sz w:val="24"/>
          <w:szCs w:val="24"/>
          <w14:textFill>
            <w14:solidFill>
              <w14:schemeClr w14:val="tx1"/>
            </w14:solidFill>
          </w14:textFill>
        </w:rPr>
      </w:pPr>
      <w:r>
        <w:rPr>
          <w:rFonts w:eastAsia="Times New Roman" w:asciiTheme="minorHAnsi" w:hAnsiTheme="minorHAnsi" w:cstheme="minorHAnsi"/>
          <w:color w:val="000000" w:themeColor="text1"/>
          <w:sz w:val="24"/>
          <w:szCs w:val="24"/>
          <w14:textFill>
            <w14:solidFill>
              <w14:schemeClr w14:val="tx1"/>
            </w14:solidFill>
          </w14:textFill>
        </w:rPr>
        <w:t xml:space="preserve">PRAIA DE PIRATININGA, S/Nº – PRAINHA – VILA VELHA (ES) – CEP 29100-901 </w:t>
      </w:r>
    </w:p>
    <w:p>
      <w:pPr>
        <w:spacing w:line="235" w:lineRule="auto"/>
        <w:ind w:left="851" w:right="345" w:firstLine="0"/>
        <w:jc w:val="center"/>
        <w:rPr>
          <w:rFonts w:asciiTheme="minorHAnsi" w:hAnsiTheme="minorHAnsi" w:cstheme="minorHAnsi"/>
          <w:color w:val="000000" w:themeColor="text1"/>
          <w:sz w:val="24"/>
          <w:szCs w:val="24"/>
          <w14:textFill>
            <w14:solidFill>
              <w14:schemeClr w14:val="tx1"/>
            </w14:solidFill>
          </w14:textFill>
        </w:rPr>
      </w:pPr>
      <w:r>
        <w:rPr>
          <w:rFonts w:eastAsia="Times New Roman" w:asciiTheme="minorHAnsi" w:hAnsiTheme="minorHAnsi" w:cstheme="minorHAnsi"/>
          <w:color w:val="000000" w:themeColor="text1"/>
          <w:sz w:val="24"/>
          <w:szCs w:val="24"/>
          <w14:textFill>
            <w14:solidFill>
              <w14:schemeClr w14:val="tx1"/>
            </w14:solidFill>
          </w14:textFill>
        </w:rPr>
        <w:t xml:space="preserve">FONE (27) </w:t>
      </w:r>
      <w:bookmarkStart w:id="0" w:name="__DdeLink__10016_1540243727"/>
      <w:r>
        <w:rPr>
          <w:rFonts w:eastAsia="Times New Roman" w:asciiTheme="minorHAnsi" w:hAnsiTheme="minorHAnsi" w:cstheme="minorHAnsi"/>
          <w:color w:val="000000" w:themeColor="text1"/>
          <w:sz w:val="24"/>
          <w:szCs w:val="24"/>
          <w14:textFill>
            <w14:solidFill>
              <w14:schemeClr w14:val="tx1"/>
            </w14:solidFill>
          </w14:textFill>
        </w:rPr>
        <w:t>3061-7333</w:t>
      </w:r>
      <w:bookmarkEnd w:id="0"/>
      <w:r>
        <w:rPr>
          <w:rFonts w:eastAsia="Times New Roman" w:asciiTheme="minorHAnsi" w:hAnsiTheme="minorHAnsi" w:cstheme="minorHAnsi"/>
          <w:color w:val="000000" w:themeColor="text1"/>
          <w:sz w:val="24"/>
          <w:szCs w:val="24"/>
          <w14:textFill>
            <w14:solidFill>
              <w14:schemeClr w14:val="tx1"/>
            </w14:solidFill>
          </w14:textFill>
        </w:rPr>
        <w:t xml:space="preserve"> – E-mail: </w:t>
      </w:r>
      <w:bookmarkStart w:id="1" w:name="__DdeLink__328_1286284596"/>
      <w:bookmarkEnd w:id="1"/>
      <w:r>
        <w:rPr>
          <w:rFonts w:eastAsia="Times New Roman" w:asciiTheme="minorHAnsi" w:hAnsiTheme="minorHAnsi" w:cstheme="minorHAnsi"/>
          <w:color w:val="000000" w:themeColor="text1"/>
          <w:sz w:val="24"/>
          <w:szCs w:val="24"/>
          <w14:textFill>
            <w14:solidFill>
              <w14:schemeClr w14:val="tx1"/>
            </w14:solidFill>
          </w14:textFill>
        </w:rPr>
        <w:t>cpl38bi@yahoo.com.br</w:t>
      </w:r>
    </w:p>
    <w:p>
      <w:pPr>
        <w:spacing w:line="266" w:lineRule="exact"/>
        <w:rPr>
          <w:rFonts w:asciiTheme="minorHAnsi" w:hAnsiTheme="minorHAnsi" w:cstheme="minorHAnsi"/>
          <w:color w:val="000000" w:themeColor="text1"/>
          <w:sz w:val="24"/>
          <w:szCs w:val="24"/>
          <w14:textFill>
            <w14:solidFill>
              <w14:schemeClr w14:val="tx1"/>
            </w14:solidFill>
          </w14:textFill>
        </w:rPr>
      </w:pPr>
    </w:p>
    <w:p>
      <w:pPr>
        <w:ind w:right="-319" w:firstLine="0"/>
        <w:jc w:val="center"/>
        <w:rPr>
          <w:rFonts w:asciiTheme="minorHAnsi" w:hAnsiTheme="minorHAnsi" w:cstheme="minorHAnsi"/>
          <w:color w:val="000000" w:themeColor="text1"/>
          <w:sz w:val="24"/>
          <w:szCs w:val="24"/>
          <w14:textFill>
            <w14:solidFill>
              <w14:schemeClr w14:val="tx1"/>
            </w14:solidFill>
          </w14:textFill>
        </w:rPr>
      </w:pPr>
      <w:r>
        <w:rPr>
          <w:rFonts w:eastAsia="Times New Roman" w:asciiTheme="minorHAnsi" w:hAnsiTheme="minorHAnsi" w:cstheme="minorHAnsi"/>
          <w:b/>
          <w:bCs/>
          <w:color w:val="000000" w:themeColor="text1"/>
          <w:sz w:val="24"/>
          <w:szCs w:val="24"/>
          <w14:textFill>
            <w14:solidFill>
              <w14:schemeClr w14:val="tx1"/>
            </w14:solidFill>
          </w14:textFill>
        </w:rPr>
        <w:t>TERMO DE REFERÊNCIA</w:t>
      </w:r>
    </w:p>
    <w:p>
      <w:pPr>
        <w:spacing w:line="20" w:lineRule="exact"/>
        <w:rPr>
          <w:rFonts w:asciiTheme="minorHAnsi" w:hAnsiTheme="minorHAnsi" w:cstheme="minorHAnsi"/>
          <w:b/>
          <w:bCs/>
          <w:color w:val="000000" w:themeColor="text1"/>
          <w:sz w:val="24"/>
          <w:szCs w:val="24"/>
          <w14:textFill>
            <w14:solidFill>
              <w14:schemeClr w14:val="tx1"/>
            </w14:solidFill>
          </w14:textFill>
        </w:rPr>
      </w:pPr>
    </w:p>
    <w:p>
      <w:pPr>
        <w:ind w:right="-359" w:firstLine="0"/>
        <w:jc w:val="center"/>
        <w:rPr>
          <w:rFonts w:eastAsia="Times New Roman" w:asciiTheme="minorHAnsi" w:hAnsiTheme="minorHAnsi" w:cstheme="minorHAnsi"/>
          <w:b/>
          <w:bCs/>
          <w:color w:val="000000" w:themeColor="text1"/>
          <w:sz w:val="24"/>
          <w:szCs w:val="24"/>
          <w14:textFill>
            <w14:solidFill>
              <w14:schemeClr w14:val="tx1"/>
            </w14:solidFill>
          </w14:textFill>
        </w:rPr>
      </w:pPr>
      <w:r>
        <w:rPr>
          <w:rFonts w:eastAsia="Times New Roman" w:asciiTheme="minorHAnsi" w:hAnsiTheme="minorHAnsi" w:cstheme="minorHAnsi"/>
          <w:b/>
          <w:bCs/>
          <w:color w:val="000000" w:themeColor="text1"/>
          <w:sz w:val="24"/>
          <w:szCs w:val="24"/>
          <w14:textFill>
            <w14:solidFill>
              <w14:schemeClr w14:val="tx1"/>
            </w14:solidFill>
          </w14:textFill>
        </w:rPr>
        <w:t>PROCESSO ADMINISTRATIVO Nº _____/2022</w:t>
      </w:r>
    </w:p>
    <w:p>
      <w:pPr>
        <w:ind w:right="-359" w:firstLine="0"/>
        <w:jc w:val="center"/>
        <w:rPr>
          <w:rFonts w:eastAsia="Times New Roman" w:asciiTheme="minorHAnsi" w:hAnsiTheme="minorHAnsi" w:cstheme="minorHAnsi"/>
          <w:b/>
          <w:bCs/>
          <w:color w:val="000000" w:themeColor="text1"/>
          <w:sz w:val="24"/>
          <w:szCs w:val="24"/>
          <w14:textFill>
            <w14:solidFill>
              <w14:schemeClr w14:val="tx1"/>
            </w14:solidFill>
          </w14:textFill>
        </w:rPr>
      </w:pPr>
      <w:r>
        <w:rPr>
          <w:rFonts w:eastAsia="Times New Roman" w:asciiTheme="minorHAnsi" w:hAnsiTheme="minorHAnsi" w:cstheme="minorHAnsi"/>
          <w:b/>
          <w:bCs/>
          <w:color w:val="000000" w:themeColor="text1"/>
          <w:sz w:val="24"/>
          <w:szCs w:val="24"/>
          <w14:textFill>
            <w14:solidFill>
              <w14:schemeClr w14:val="tx1"/>
            </w14:solidFill>
          </w14:textFill>
        </w:rPr>
        <w:t>DISPENSA ELETRÔNICA Nº ______/2022</w:t>
      </w:r>
    </w:p>
    <w:p>
      <w:pPr>
        <w:ind w:right="-359" w:firstLine="0"/>
        <w:jc w:val="center"/>
      </w:pPr>
      <w:r>
        <w:rPr>
          <w:rFonts w:eastAsia="Times New Roman" w:asciiTheme="minorHAnsi" w:hAnsiTheme="minorHAnsi" w:cstheme="minorHAnsi"/>
          <w:b/>
          <w:bCs/>
          <w:color w:val="000000" w:themeColor="text1"/>
          <w:sz w:val="24"/>
          <w:szCs w:val="24"/>
          <w14:textFill>
            <w14:solidFill>
              <w14:schemeClr w14:val="tx1"/>
            </w14:solidFill>
          </w14:textFill>
        </w:rPr>
        <w:t xml:space="preserve">NUP: </w:t>
      </w:r>
      <w:r>
        <w:rPr>
          <w:rFonts w:hint="default" w:eastAsia="Times New Roman" w:asciiTheme="minorHAnsi" w:hAnsiTheme="minorHAnsi"/>
          <w:b/>
          <w:bCs/>
          <w:color w:val="000000" w:themeColor="text1"/>
          <w:sz w:val="24"/>
          <w:szCs w:val="24"/>
          <w14:textFill>
            <w14:solidFill>
              <w14:schemeClr w14:val="tx1"/>
            </w14:solidFill>
          </w14:textFill>
        </w:rPr>
        <w:t>64064.004493/2023-90</w:t>
      </w:r>
    </w:p>
    <w:p>
      <w:pPr>
        <w:ind w:right="-359" w:firstLine="0"/>
        <w:jc w:val="center"/>
        <w:rPr>
          <w:rFonts w:asciiTheme="minorHAnsi" w:hAnsiTheme="minorHAnsi" w:cstheme="minorHAnsi"/>
          <w:b/>
          <w:bCs/>
          <w:color w:val="000000" w:themeColor="text1"/>
          <w:sz w:val="24"/>
          <w:szCs w:val="24"/>
          <w14:textFill>
            <w14:solidFill>
              <w14:schemeClr w14:val="tx1"/>
            </w14:solidFill>
          </w14:textFill>
        </w:rPr>
      </w:pPr>
    </w:p>
    <w:p>
      <w:pPr>
        <w:spacing w:line="314" w:lineRule="exact"/>
        <w:rPr>
          <w:rFonts w:asciiTheme="minorHAnsi" w:hAnsiTheme="minorHAnsi" w:cstheme="minorHAnsi"/>
          <w:color w:val="000000" w:themeColor="text1"/>
          <w:sz w:val="24"/>
          <w:szCs w:val="24"/>
          <w14:textFill>
            <w14:solidFill>
              <w14:schemeClr w14:val="tx1"/>
            </w14:solidFill>
          </w14:textFill>
        </w:rPr>
      </w:pPr>
    </w:p>
    <w:p>
      <w:pPr>
        <w:rPr>
          <w:rFonts w:asciiTheme="minorHAnsi" w:hAnsiTheme="minorHAnsi" w:cstheme="minorHAnsi"/>
          <w:color w:val="000000" w:themeColor="text1"/>
          <w:sz w:val="24"/>
          <w:szCs w:val="24"/>
          <w14:textFill>
            <w14:solidFill>
              <w14:schemeClr w14:val="tx1"/>
            </w14:solidFill>
          </w14:textFill>
        </w:rPr>
      </w:pPr>
      <w:r>
        <w:rPr>
          <w:rFonts w:eastAsia="Times New Roman" w:asciiTheme="minorHAnsi" w:hAnsiTheme="minorHAnsi" w:cstheme="minorHAnsi"/>
          <w:b/>
          <w:bCs/>
          <w:color w:val="000000" w:themeColor="text1"/>
          <w:sz w:val="24"/>
          <w:szCs w:val="24"/>
          <w14:textFill>
            <w14:solidFill>
              <w14:schemeClr w14:val="tx1"/>
            </w14:solidFill>
          </w14:textFill>
        </w:rPr>
        <w:t>1.  OBJETO</w:t>
      </w:r>
    </w:p>
    <w:p>
      <w:pPr>
        <w:ind w:firstLine="283"/>
        <w:jc w:val="both"/>
      </w:pPr>
      <w:r>
        <w:rPr>
          <w:rFonts w:eastAsia="Times New Roman" w:asciiTheme="minorHAnsi" w:hAnsiTheme="minorHAnsi" w:cstheme="minorHAnsi"/>
          <w:color w:val="000000" w:themeColor="text1"/>
          <w:sz w:val="24"/>
          <w:szCs w:val="24"/>
          <w14:textFill>
            <w14:solidFill>
              <w14:schemeClr w14:val="tx1"/>
            </w14:solidFill>
          </w14:textFill>
        </w:rPr>
        <w:t>1.1 A presente licitação na modalidade DISPENSA ELETRÔNICA tem como objeto a aquisição de material</w:t>
      </w:r>
      <w:r>
        <w:rPr>
          <w:rFonts w:hint="default" w:eastAsia="Times New Roman" w:asciiTheme="minorHAnsi" w:hAnsiTheme="minorHAnsi" w:cstheme="minorHAnsi"/>
          <w:color w:val="000000" w:themeColor="text1"/>
          <w:sz w:val="24"/>
          <w:szCs w:val="24"/>
          <w:lang w:val="pt-BR"/>
          <w14:textFill>
            <w14:solidFill>
              <w14:schemeClr w14:val="tx1"/>
            </w14:solidFill>
          </w14:textFill>
        </w:rPr>
        <w:t xml:space="preserve">, </w:t>
      </w:r>
      <w:r>
        <w:rPr>
          <w:rFonts w:eastAsia="Times New Roman" w:asciiTheme="minorHAnsi" w:hAnsiTheme="minorHAnsi" w:cstheme="minorHAnsi"/>
          <w:color w:val="000000" w:themeColor="text1"/>
          <w:sz w:val="24"/>
          <w:szCs w:val="24"/>
          <w14:textFill>
            <w14:solidFill>
              <w14:schemeClr w14:val="tx1"/>
            </w14:solidFill>
          </w14:textFill>
        </w:rPr>
        <w:t>medicamentos</w:t>
      </w:r>
      <w:r>
        <w:rPr>
          <w:rFonts w:hint="default" w:eastAsia="Times New Roman" w:asciiTheme="minorHAnsi" w:hAnsiTheme="minorHAnsi" w:cstheme="minorHAnsi"/>
          <w:color w:val="000000" w:themeColor="text1"/>
          <w:sz w:val="24"/>
          <w:szCs w:val="24"/>
          <w:lang w:val="pt-BR"/>
          <w14:textFill>
            <w14:solidFill>
              <w14:schemeClr w14:val="tx1"/>
            </w14:solidFill>
          </w14:textFill>
        </w:rPr>
        <w:t xml:space="preserve"> e teste</w:t>
      </w:r>
      <w:r>
        <w:rPr>
          <w:rFonts w:eastAsia="Times New Roman" w:asciiTheme="minorHAnsi" w:hAnsiTheme="minorHAnsi" w:cstheme="minorHAnsi"/>
          <w:color w:val="000000" w:themeColor="text1"/>
          <w:sz w:val="24"/>
          <w:szCs w:val="24"/>
          <w14:textFill>
            <w14:solidFill>
              <w14:schemeClr w14:val="tx1"/>
            </w14:solidFill>
          </w14:textFill>
        </w:rPr>
        <w:t>, conforme condições, quantidades e exigências estabelecidas neste Termo de Referência.</w:t>
      </w:r>
    </w:p>
    <w:p>
      <w:pPr>
        <w:spacing w:line="292" w:lineRule="exact"/>
        <w:rPr>
          <w:rFonts w:asciiTheme="minorHAnsi" w:hAnsiTheme="minorHAnsi" w:cstheme="minorHAnsi"/>
          <w:color w:val="000000" w:themeColor="text1"/>
          <w:sz w:val="24"/>
          <w:szCs w:val="24"/>
          <w14:textFill>
            <w14:solidFill>
              <w14:schemeClr w14:val="tx1"/>
            </w14:solidFill>
          </w14:textFill>
        </w:rPr>
      </w:pPr>
    </w:p>
    <w:p>
      <w:pPr>
        <w:rPr>
          <w:rFonts w:asciiTheme="minorHAnsi" w:hAnsiTheme="minorHAnsi" w:cstheme="minorHAnsi"/>
          <w:color w:val="000000" w:themeColor="text1"/>
          <w:sz w:val="24"/>
          <w:szCs w:val="24"/>
          <w14:textFill>
            <w14:solidFill>
              <w14:schemeClr w14:val="tx1"/>
            </w14:solidFill>
          </w14:textFill>
        </w:rPr>
      </w:pPr>
      <w:r>
        <w:rPr>
          <w:rFonts w:eastAsia="Times New Roman" w:asciiTheme="minorHAnsi" w:hAnsiTheme="minorHAnsi" w:cstheme="minorHAnsi"/>
          <w:b/>
          <w:bCs/>
          <w:color w:val="000000" w:themeColor="text1"/>
          <w:sz w:val="24"/>
          <w:szCs w:val="24"/>
          <w14:textFill>
            <w14:solidFill>
              <w14:schemeClr w14:val="tx1"/>
            </w14:solidFill>
          </w14:textFill>
        </w:rPr>
        <w:t>2.  JUSTIFICATIVA</w:t>
      </w:r>
    </w:p>
    <w:p>
      <w:pPr>
        <w:ind w:firstLine="283"/>
        <w:jc w:val="both"/>
      </w:pPr>
      <w:r>
        <w:rPr>
          <w:rFonts w:eastAsia="Times New Roman" w:asciiTheme="minorHAnsi" w:hAnsiTheme="minorHAnsi" w:cstheme="minorHAnsi"/>
          <w:color w:val="000000" w:themeColor="text1"/>
          <w:sz w:val="24"/>
          <w:szCs w:val="24"/>
          <w14:textFill>
            <w14:solidFill>
              <w14:schemeClr w14:val="tx1"/>
            </w14:solidFill>
          </w14:textFill>
        </w:rPr>
        <w:t xml:space="preserve">2.1 </w:t>
      </w:r>
      <w:r>
        <w:rPr>
          <w:rFonts w:hint="default" w:eastAsia="Times New Roman" w:asciiTheme="minorHAnsi" w:hAnsiTheme="minorHAnsi"/>
          <w:color w:val="000000" w:themeColor="text1"/>
          <w:sz w:val="24"/>
          <w:szCs w:val="24"/>
          <w14:textFill>
            <w14:solidFill>
              <w14:schemeClr w14:val="tx1"/>
            </w14:solidFill>
          </w14:textFill>
        </w:rPr>
        <w:t>Os materiais, medicamentos e teste abaixo necessitam ser adquiridos para uso em militares atendidos na Formação Sanitária, para tratamento de reposição de ferro e procedimentos na Fisioterapia e Laboratório de Análises Clínicas do Posto Médico do 38º BI.</w:t>
      </w:r>
    </w:p>
    <w:p>
      <w:pPr>
        <w:spacing w:line="234" w:lineRule="exact"/>
        <w:rPr>
          <w:rFonts w:asciiTheme="minorHAnsi" w:hAnsiTheme="minorHAnsi" w:cstheme="minorHAnsi"/>
          <w:color w:val="000000" w:themeColor="text1"/>
          <w:sz w:val="24"/>
          <w:szCs w:val="24"/>
          <w14:textFill>
            <w14:solidFill>
              <w14:schemeClr w14:val="tx1"/>
            </w14:solidFill>
          </w14:textFill>
        </w:rPr>
      </w:pPr>
    </w:p>
    <w:p>
      <w:pPr>
        <w:rPr>
          <w:rFonts w:asciiTheme="minorHAnsi" w:hAnsiTheme="minorHAnsi" w:cstheme="minorHAnsi"/>
          <w:b/>
          <w:bCs/>
          <w:color w:val="000000" w:themeColor="text1"/>
          <w:sz w:val="24"/>
          <w:szCs w:val="24"/>
          <w14:textFill>
            <w14:solidFill>
              <w14:schemeClr w14:val="tx1"/>
            </w14:solidFill>
          </w14:textFill>
        </w:rPr>
      </w:pPr>
      <w:r>
        <w:rPr>
          <w:rFonts w:eastAsia="Times New Roman" w:asciiTheme="minorHAnsi" w:hAnsiTheme="minorHAnsi" w:cstheme="minorHAnsi"/>
          <w:b/>
          <w:bCs/>
          <w:color w:val="000000" w:themeColor="text1"/>
          <w:sz w:val="24"/>
          <w:szCs w:val="24"/>
          <w14:textFill>
            <w14:solidFill>
              <w14:schemeClr w14:val="tx1"/>
            </w14:solidFill>
          </w14:textFill>
        </w:rPr>
        <w:t>3. ESPECIFICAÇÃO TÉCNICA / DESCRIÇÃO DO OBJETO</w:t>
      </w:r>
    </w:p>
    <w:p>
      <w:pPr>
        <w:ind w:left="340" w:firstLine="0"/>
        <w:rPr>
          <w:rFonts w:eastAsia="Times New Roman" w:asciiTheme="minorHAnsi" w:hAnsiTheme="minorHAnsi" w:cstheme="minorHAnsi"/>
          <w:color w:val="000000" w:themeColor="text1"/>
          <w:sz w:val="24"/>
          <w:szCs w:val="24"/>
          <w14:textFill>
            <w14:solidFill>
              <w14:schemeClr w14:val="tx1"/>
            </w14:solidFill>
          </w14:textFill>
        </w:rPr>
      </w:pPr>
    </w:p>
    <w:p>
      <w:pPr>
        <w:spacing w:line="20" w:lineRule="exact"/>
        <w:rPr>
          <w:rFonts w:asciiTheme="minorHAnsi" w:hAnsiTheme="minorHAnsi" w:cstheme="minorHAnsi"/>
          <w:color w:val="000000" w:themeColor="text1"/>
          <w:sz w:val="24"/>
          <w:szCs w:val="24"/>
          <w14:textFill>
            <w14:solidFill>
              <w14:schemeClr w14:val="tx1"/>
            </w14:solidFill>
          </w14:textFill>
        </w:rPr>
      </w:pPr>
    </w:p>
    <w:tbl>
      <w:tblPr>
        <w:tblStyle w:val="3"/>
        <w:tblW w:w="9923" w:type="dxa"/>
        <w:tblInd w:w="10" w:type="dxa"/>
        <w:tblLayout w:type="fixed"/>
        <w:tblCellMar>
          <w:top w:w="0" w:type="dxa"/>
          <w:left w:w="10" w:type="dxa"/>
          <w:bottom w:w="0" w:type="dxa"/>
          <w:right w:w="30" w:type="dxa"/>
        </w:tblCellMar>
      </w:tblPr>
      <w:tblGrid>
        <w:gridCol w:w="709"/>
        <w:gridCol w:w="4820"/>
        <w:gridCol w:w="1417"/>
        <w:gridCol w:w="1418"/>
        <w:gridCol w:w="1559"/>
      </w:tblGrid>
      <w:tr>
        <w:tblPrEx>
          <w:tblCellMar>
            <w:top w:w="0" w:type="dxa"/>
            <w:left w:w="10" w:type="dxa"/>
            <w:bottom w:w="0" w:type="dxa"/>
            <w:right w:w="30" w:type="dxa"/>
          </w:tblCellMar>
        </w:tblPrEx>
        <w:trPr>
          <w:trHeight w:val="311" w:hRule="atLeast"/>
        </w:trPr>
        <w:tc>
          <w:tcPr>
            <w:tcW w:w="709" w:type="dxa"/>
            <w:tcBorders>
              <w:top w:val="single" w:color="000001" w:sz="4" w:space="0"/>
              <w:left w:val="single" w:color="000001" w:sz="4" w:space="0"/>
              <w:bottom w:val="single" w:color="000001" w:sz="4" w:space="0"/>
            </w:tcBorders>
            <w:shd w:val="clear" w:color="auto" w:fill="auto"/>
            <w:vAlign w:val="center"/>
          </w:tcPr>
          <w:p>
            <w:pPr>
              <w:pStyle w:val="7"/>
              <w:widowControl w:val="0"/>
              <w:spacing w:before="0" w:after="0"/>
              <w:jc w:val="center"/>
              <w:rPr>
                <w:rFonts w:asciiTheme="minorHAnsi" w:hAnsiTheme="minorHAnsi" w:cstheme="minorHAnsi"/>
                <w:color w:val="000000" w:themeColor="text1"/>
                <w14:textFill>
                  <w14:solidFill>
                    <w14:schemeClr w14:val="tx1"/>
                  </w14:solidFill>
                </w14:textFill>
              </w:rPr>
            </w:pPr>
            <w:r>
              <w:rPr>
                <w:rFonts w:asciiTheme="minorHAnsi" w:hAnsiTheme="minorHAnsi" w:cstheme="minorHAnsi"/>
                <w:b/>
                <w:i w:val="0"/>
                <w:color w:val="000000" w:themeColor="text1"/>
                <w14:textFill>
                  <w14:solidFill>
                    <w14:schemeClr w14:val="tx1"/>
                  </w14:solidFill>
                </w14:textFill>
              </w:rPr>
              <w:t>Item</w:t>
            </w:r>
          </w:p>
        </w:tc>
        <w:tc>
          <w:tcPr>
            <w:tcW w:w="4820" w:type="dxa"/>
            <w:tcBorders>
              <w:top w:val="single" w:color="000001" w:sz="4" w:space="0"/>
              <w:left w:val="single" w:color="000001" w:sz="4" w:space="0"/>
              <w:bottom w:val="single" w:color="000001" w:sz="4" w:space="0"/>
            </w:tcBorders>
            <w:shd w:val="clear" w:color="auto" w:fill="auto"/>
            <w:vAlign w:val="center"/>
          </w:tcPr>
          <w:p>
            <w:pPr>
              <w:pStyle w:val="7"/>
              <w:widowControl w:val="0"/>
              <w:spacing w:before="0" w:after="0"/>
              <w:jc w:val="center"/>
              <w:rPr>
                <w:rFonts w:asciiTheme="minorHAnsi" w:hAnsiTheme="minorHAnsi" w:cstheme="minorHAnsi"/>
                <w:color w:val="000000" w:themeColor="text1"/>
                <w14:textFill>
                  <w14:solidFill>
                    <w14:schemeClr w14:val="tx1"/>
                  </w14:solidFill>
                </w14:textFill>
              </w:rPr>
            </w:pPr>
            <w:r>
              <w:rPr>
                <w:rFonts w:asciiTheme="minorHAnsi" w:hAnsiTheme="minorHAnsi" w:cstheme="minorHAnsi"/>
                <w:b/>
                <w:bCs/>
                <w:i w:val="0"/>
                <w:color w:val="000000" w:themeColor="text1"/>
                <w14:textFill>
                  <w14:solidFill>
                    <w14:schemeClr w14:val="tx1"/>
                  </w14:solidFill>
                </w14:textFill>
              </w:rPr>
              <w:t>Especificação</w:t>
            </w:r>
          </w:p>
        </w:tc>
        <w:tc>
          <w:tcPr>
            <w:tcW w:w="1417" w:type="dxa"/>
            <w:tcBorders>
              <w:top w:val="single" w:color="000001" w:sz="4" w:space="0"/>
              <w:left w:val="single" w:color="000001" w:sz="4" w:space="0"/>
              <w:bottom w:val="single" w:color="000001" w:sz="4" w:space="0"/>
            </w:tcBorders>
            <w:shd w:val="clear" w:color="auto" w:fill="auto"/>
            <w:vAlign w:val="center"/>
          </w:tcPr>
          <w:p>
            <w:pPr>
              <w:pStyle w:val="7"/>
              <w:widowControl w:val="0"/>
              <w:spacing w:before="0" w:after="0"/>
              <w:jc w:val="center"/>
              <w:rPr>
                <w:rFonts w:asciiTheme="minorHAnsi" w:hAnsiTheme="minorHAnsi" w:cstheme="minorHAnsi"/>
                <w:color w:val="000000" w:themeColor="text1"/>
                <w14:textFill>
                  <w14:solidFill>
                    <w14:schemeClr w14:val="tx1"/>
                  </w14:solidFill>
                </w14:textFill>
              </w:rPr>
            </w:pPr>
            <w:r>
              <w:rPr>
                <w:rFonts w:asciiTheme="minorHAnsi" w:hAnsiTheme="minorHAnsi" w:cstheme="minorHAnsi"/>
                <w:b/>
                <w:i w:val="0"/>
                <w:color w:val="000000" w:themeColor="text1"/>
                <w14:textFill>
                  <w14:solidFill>
                    <w14:schemeClr w14:val="tx1"/>
                  </w14:solidFill>
                </w14:textFill>
              </w:rPr>
              <w:t>Unidade</w:t>
            </w:r>
          </w:p>
        </w:tc>
        <w:tc>
          <w:tcPr>
            <w:tcW w:w="1418" w:type="dxa"/>
            <w:tcBorders>
              <w:top w:val="single" w:color="000001" w:sz="4" w:space="0"/>
              <w:left w:val="single" w:color="000001" w:sz="4" w:space="0"/>
              <w:bottom w:val="single" w:color="000001" w:sz="4" w:space="0"/>
            </w:tcBorders>
            <w:shd w:val="clear" w:color="auto" w:fill="auto"/>
            <w:vAlign w:val="center"/>
          </w:tcPr>
          <w:p>
            <w:pPr>
              <w:pStyle w:val="7"/>
              <w:widowControl w:val="0"/>
              <w:spacing w:before="0" w:after="0"/>
              <w:jc w:val="center"/>
              <w:rPr>
                <w:rFonts w:asciiTheme="minorHAnsi" w:hAnsiTheme="minorHAnsi" w:cstheme="minorHAnsi"/>
                <w:b/>
                <w:i w:val="0"/>
                <w:color w:val="000000" w:themeColor="text1"/>
                <w14:textFill>
                  <w14:solidFill>
                    <w14:schemeClr w14:val="tx1"/>
                  </w14:solidFill>
                </w14:textFill>
              </w:rPr>
            </w:pPr>
            <w:r>
              <w:rPr>
                <w:rFonts w:asciiTheme="minorHAnsi" w:hAnsiTheme="minorHAnsi" w:cstheme="minorHAnsi"/>
                <w:b/>
                <w:i w:val="0"/>
                <w:color w:val="000000" w:themeColor="text1"/>
                <w14:textFill>
                  <w14:solidFill>
                    <w14:schemeClr w14:val="tx1"/>
                  </w14:solidFill>
                </w14:textFill>
              </w:rPr>
              <w:t>Valor Unit</w:t>
            </w:r>
          </w:p>
        </w:tc>
        <w:tc>
          <w:tcPr>
            <w:tcW w:w="1559" w:type="dxa"/>
            <w:tcBorders>
              <w:top w:val="single" w:color="000001" w:sz="4" w:space="0"/>
              <w:left w:val="single" w:color="000001" w:sz="4" w:space="0"/>
              <w:bottom w:val="single" w:color="000001" w:sz="4" w:space="0"/>
              <w:right w:val="single" w:color="000001" w:sz="4" w:space="0"/>
            </w:tcBorders>
            <w:shd w:val="clear" w:color="auto" w:fill="auto"/>
            <w:vAlign w:val="center"/>
          </w:tcPr>
          <w:p>
            <w:pPr>
              <w:pStyle w:val="7"/>
              <w:widowControl w:val="0"/>
              <w:spacing w:before="0" w:after="0"/>
              <w:jc w:val="center"/>
              <w:rPr>
                <w:rFonts w:asciiTheme="minorHAnsi" w:hAnsiTheme="minorHAnsi" w:cstheme="minorHAnsi"/>
                <w:color w:val="000000" w:themeColor="text1"/>
                <w14:textFill>
                  <w14:solidFill>
                    <w14:schemeClr w14:val="tx1"/>
                  </w14:solidFill>
                </w14:textFill>
              </w:rPr>
            </w:pPr>
            <w:r>
              <w:rPr>
                <w:rFonts w:asciiTheme="minorHAnsi" w:hAnsiTheme="minorHAnsi" w:cstheme="minorHAnsi"/>
                <w:b/>
                <w:i w:val="0"/>
                <w:color w:val="000000" w:themeColor="text1"/>
                <w14:textFill>
                  <w14:solidFill>
                    <w14:schemeClr w14:val="tx1"/>
                  </w14:solidFill>
                </w14:textFill>
              </w:rPr>
              <w:t>Valor Total</w:t>
            </w:r>
          </w:p>
        </w:tc>
      </w:tr>
      <w:tr>
        <w:tblPrEx>
          <w:tblCellMar>
            <w:top w:w="0" w:type="dxa"/>
            <w:left w:w="10" w:type="dxa"/>
            <w:bottom w:w="0" w:type="dxa"/>
            <w:right w:w="30" w:type="dxa"/>
          </w:tblCellMar>
        </w:tblPrEx>
        <w:trPr>
          <w:trHeight w:val="79" w:hRule="atLeast"/>
        </w:trPr>
        <w:tc>
          <w:tcPr>
            <w:tcW w:w="709" w:type="dxa"/>
            <w:tcBorders>
              <w:top w:val="single" w:color="000001" w:sz="4" w:space="0"/>
              <w:left w:val="single" w:color="000001" w:sz="4" w:space="0"/>
              <w:bottom w:val="single" w:color="000001" w:sz="4" w:space="0"/>
            </w:tcBorders>
            <w:shd w:val="clear" w:color="auto" w:fill="auto"/>
            <w:vAlign w:val="center"/>
          </w:tcPr>
          <w:p>
            <w:pPr>
              <w:widowControl w:val="0"/>
              <w:jc w:val="center"/>
              <w:rPr>
                <w:color w:val="000000"/>
                <w:sz w:val="22"/>
                <w:szCs w:val="22"/>
              </w:rPr>
            </w:pPr>
            <w:r>
              <w:rPr>
                <w:rFonts w:ascii="Calibri" w:hAnsi="Calibri"/>
                <w:color w:val="000000"/>
                <w:sz w:val="22"/>
                <w:szCs w:val="22"/>
              </w:rPr>
              <w:t>1</w:t>
            </w:r>
          </w:p>
        </w:tc>
        <w:tc>
          <w:tcPr>
            <w:tcW w:w="4820" w:type="dxa"/>
            <w:tcBorders>
              <w:top w:val="single" w:color="000001" w:sz="4" w:space="0"/>
              <w:left w:val="single" w:color="000001" w:sz="4" w:space="0"/>
              <w:bottom w:val="single" w:color="000001" w:sz="4" w:space="0"/>
            </w:tcBorders>
            <w:shd w:val="clear" w:color="auto" w:fill="auto"/>
            <w:vAlign w:val="top"/>
          </w:tcPr>
          <w:p>
            <w:pPr>
              <w:widowControl w:val="0"/>
              <w:spacing w:before="0" w:after="200" w:line="283" w:lineRule="atLeast"/>
              <w:jc w:val="both"/>
              <w:rPr>
                <w:color w:val="000000"/>
              </w:rPr>
            </w:pPr>
            <w:r>
              <w:rPr>
                <w:rFonts w:hint="default" w:ascii="Calibri" w:hAnsi="Calibri" w:cs="Calibri"/>
                <w:color w:val="000000" w:themeColor="text1"/>
                <w:sz w:val="22"/>
                <w:szCs w:val="22"/>
                <w:lang w:val="pt-BR"/>
                <w14:textFill>
                  <w14:solidFill>
                    <w14:schemeClr w14:val="tx1"/>
                  </w14:solidFill>
                </w14:textFill>
              </w:rPr>
              <w:t>Agulha de acupuntura, s</w:t>
            </w:r>
            <w:r>
              <w:rPr>
                <w:rFonts w:hint="default" w:ascii="Calibri" w:hAnsi="Calibri" w:eastAsia="monospace" w:cs="Calibri"/>
                <w:i w:val="0"/>
                <w:iCs w:val="0"/>
                <w:caps w:val="0"/>
                <w:color w:val="000000" w:themeColor="text1"/>
                <w:spacing w:val="0"/>
                <w:sz w:val="22"/>
                <w:szCs w:val="22"/>
                <w:shd w:val="clear" w:fill="FFFFFF"/>
                <w14:textFill>
                  <w14:solidFill>
                    <w14:schemeClr w14:val="tx1"/>
                  </w14:solidFill>
                </w14:textFill>
              </w:rPr>
              <w:t>istêmica caixa com 1000 un 0,25x30 mm</w:t>
            </w:r>
            <w:r>
              <w:rPr>
                <w:rFonts w:hint="default" w:ascii="Calibri" w:hAnsi="Calibri" w:eastAsia="monospace" w:cs="Calibri"/>
                <w:i w:val="0"/>
                <w:iCs w:val="0"/>
                <w:caps w:val="0"/>
                <w:color w:val="000000" w:themeColor="text1"/>
                <w:spacing w:val="0"/>
                <w:sz w:val="22"/>
                <w:szCs w:val="22"/>
                <w:shd w:val="clear" w:fill="FFFFFF"/>
                <w:lang w:val="pt-BR"/>
                <w14:textFill>
                  <w14:solidFill>
                    <w14:schemeClr w14:val="tx1"/>
                  </w14:solidFill>
                </w14:textFill>
              </w:rPr>
              <w:t>.</w:t>
            </w:r>
          </w:p>
        </w:tc>
        <w:tc>
          <w:tcPr>
            <w:tcW w:w="1417" w:type="dxa"/>
            <w:tcBorders>
              <w:top w:val="single" w:color="000001" w:sz="4" w:space="0"/>
              <w:left w:val="single" w:color="000001" w:sz="4" w:space="0"/>
              <w:bottom w:val="single" w:color="000001" w:sz="4" w:space="0"/>
            </w:tcBorders>
            <w:shd w:val="clear" w:color="auto" w:fill="auto"/>
            <w:vAlign w:val="center"/>
          </w:tcPr>
          <w:p>
            <w:pPr>
              <w:widowControl w:val="0"/>
              <w:tabs>
                <w:tab w:val="left" w:pos="284"/>
                <w:tab w:val="left" w:pos="426"/>
              </w:tabs>
              <w:jc w:val="center"/>
              <w:rPr>
                <w:color w:val="000000"/>
              </w:rPr>
            </w:pPr>
            <w:r>
              <w:rPr>
                <w:rFonts w:hint="default" w:ascii="Calibri" w:hAnsi="Calibri" w:cs="Calibri"/>
                <w:sz w:val="22"/>
                <w:szCs w:val="22"/>
                <w:lang w:val="pt-BR"/>
              </w:rPr>
              <w:t>caixa</w:t>
            </w:r>
          </w:p>
        </w:tc>
        <w:tc>
          <w:tcPr>
            <w:tcW w:w="1418" w:type="dxa"/>
            <w:tcBorders>
              <w:top w:val="single" w:color="000001" w:sz="4" w:space="0"/>
              <w:left w:val="single" w:color="000001" w:sz="4" w:space="0"/>
              <w:bottom w:val="single" w:color="000001" w:sz="4" w:space="0"/>
            </w:tcBorders>
            <w:shd w:val="clear" w:color="auto" w:fill="auto"/>
            <w:vAlign w:val="center"/>
          </w:tcPr>
          <w:p>
            <w:pPr>
              <w:suppressAutoHyphens w:val="0"/>
              <w:spacing w:before="60" w:after="60"/>
              <w:jc w:val="center"/>
              <w:rPr>
                <w:rFonts w:ascii="Calibri" w:hAnsi="Calibri"/>
                <w:sz w:val="24"/>
                <w:szCs w:val="24"/>
                <w:lang w:eastAsia="pt-BR"/>
              </w:rPr>
            </w:pPr>
            <w:r>
              <w:rPr>
                <w:rFonts w:hint="default" w:ascii="Calibri" w:hAnsi="Calibri" w:cs="Calibri"/>
                <w:sz w:val="22"/>
                <w:szCs w:val="22"/>
                <w:lang w:eastAsia="pt-BR"/>
              </w:rPr>
              <w:t xml:space="preserve">R$ </w:t>
            </w:r>
            <w:r>
              <w:rPr>
                <w:rFonts w:hint="default" w:ascii="Calibri" w:hAnsi="Calibri" w:cs="Calibri"/>
                <w:sz w:val="22"/>
                <w:szCs w:val="22"/>
                <w:lang w:val="en-US" w:eastAsia="pt-BR"/>
              </w:rPr>
              <w:t>166,42</w:t>
            </w:r>
          </w:p>
        </w:tc>
        <w:tc>
          <w:tcPr>
            <w:tcW w:w="1559" w:type="dxa"/>
            <w:tcBorders>
              <w:top w:val="single" w:color="000001" w:sz="4" w:space="0"/>
              <w:left w:val="single" w:color="000001" w:sz="4" w:space="0"/>
              <w:bottom w:val="single" w:color="000001" w:sz="4" w:space="0"/>
              <w:right w:val="single" w:color="000001" w:sz="4" w:space="0"/>
            </w:tcBorders>
            <w:shd w:val="clear" w:color="auto" w:fill="auto"/>
            <w:vAlign w:val="center"/>
          </w:tcPr>
          <w:p>
            <w:pPr>
              <w:suppressAutoHyphens w:val="0"/>
              <w:spacing w:before="60" w:after="60"/>
              <w:jc w:val="center"/>
              <w:rPr>
                <w:rFonts w:ascii="Calibri" w:hAnsi="Calibri"/>
                <w:sz w:val="24"/>
                <w:szCs w:val="24"/>
                <w:lang w:eastAsia="pt-BR"/>
              </w:rPr>
            </w:pPr>
            <w:r>
              <w:rPr>
                <w:rFonts w:hint="default" w:ascii="Calibri" w:hAnsi="Calibri" w:cs="Calibri"/>
                <w:sz w:val="22"/>
                <w:szCs w:val="22"/>
                <w:lang w:eastAsia="pt-BR"/>
              </w:rPr>
              <w:t xml:space="preserve">R$ </w:t>
            </w:r>
            <w:r>
              <w:rPr>
                <w:rFonts w:hint="default" w:ascii="Calibri" w:hAnsi="Calibri" w:cs="Calibri"/>
                <w:sz w:val="22"/>
                <w:szCs w:val="22"/>
                <w:lang w:val="en-US" w:eastAsia="pt-BR"/>
              </w:rPr>
              <w:t>665,68</w:t>
            </w:r>
          </w:p>
        </w:tc>
      </w:tr>
      <w:tr>
        <w:tblPrEx>
          <w:tblCellMar>
            <w:top w:w="0" w:type="dxa"/>
            <w:left w:w="10" w:type="dxa"/>
            <w:bottom w:w="0" w:type="dxa"/>
            <w:right w:w="30" w:type="dxa"/>
          </w:tblCellMar>
        </w:tblPrEx>
        <w:trPr>
          <w:trHeight w:val="79" w:hRule="atLeast"/>
        </w:trPr>
        <w:tc>
          <w:tcPr>
            <w:tcW w:w="709" w:type="dxa"/>
            <w:tcBorders>
              <w:top w:val="single" w:color="000001" w:sz="4" w:space="0"/>
              <w:left w:val="single" w:color="000001" w:sz="4" w:space="0"/>
              <w:bottom w:val="single" w:color="000001" w:sz="4" w:space="0"/>
            </w:tcBorders>
            <w:shd w:val="clear" w:color="auto" w:fill="auto"/>
            <w:vAlign w:val="center"/>
          </w:tcPr>
          <w:p>
            <w:pPr>
              <w:widowControl w:val="0"/>
              <w:jc w:val="center"/>
              <w:rPr>
                <w:sz w:val="22"/>
                <w:szCs w:val="22"/>
              </w:rPr>
            </w:pPr>
            <w:r>
              <w:rPr>
                <w:rFonts w:ascii="Calibri" w:hAnsi="Calibri" w:cs="Calibri"/>
                <w:color w:val="000000"/>
                <w:sz w:val="22"/>
                <w:szCs w:val="22"/>
              </w:rPr>
              <w:t>2</w:t>
            </w:r>
          </w:p>
        </w:tc>
        <w:tc>
          <w:tcPr>
            <w:tcW w:w="4820" w:type="dxa"/>
            <w:tcBorders>
              <w:top w:val="single" w:color="000001" w:sz="4" w:space="0"/>
              <w:left w:val="single" w:color="000001" w:sz="4" w:space="0"/>
              <w:bottom w:val="single" w:color="000001" w:sz="4" w:space="0"/>
            </w:tcBorders>
            <w:shd w:val="clear" w:color="auto" w:fill="auto"/>
            <w:vAlign w:val="top"/>
          </w:tcPr>
          <w:p>
            <w:pPr>
              <w:widowControl w:val="0"/>
              <w:spacing w:line="240" w:lineRule="auto"/>
              <w:jc w:val="both"/>
            </w:pPr>
            <w:r>
              <w:rPr>
                <w:rFonts w:hint="default" w:ascii="Calibri" w:hAnsi="Calibri" w:cs="Calibri"/>
                <w:sz w:val="22"/>
                <w:szCs w:val="22"/>
              </w:rPr>
              <w:t xml:space="preserve">Hidróxido férrico, sacarato 100mg, injetável, ampola 5ml. </w:t>
            </w:r>
          </w:p>
        </w:tc>
        <w:tc>
          <w:tcPr>
            <w:tcW w:w="1417" w:type="dxa"/>
            <w:tcBorders>
              <w:top w:val="single" w:color="000001" w:sz="4" w:space="0"/>
              <w:left w:val="single" w:color="000001" w:sz="4" w:space="0"/>
              <w:bottom w:val="single" w:color="000001" w:sz="4" w:space="0"/>
            </w:tcBorders>
            <w:shd w:val="clear" w:color="auto" w:fill="auto"/>
            <w:vAlign w:val="center"/>
          </w:tcPr>
          <w:p>
            <w:pPr>
              <w:widowControl w:val="0"/>
              <w:jc w:val="center"/>
              <w:rPr>
                <w:rFonts w:ascii="Calibri" w:hAnsi="Calibri" w:cs="Calibri"/>
                <w:lang w:eastAsia="pt-BR"/>
              </w:rPr>
            </w:pPr>
            <w:r>
              <w:rPr>
                <w:rFonts w:hint="default" w:ascii="Calibri" w:hAnsi="Calibri" w:cs="Calibri"/>
                <w:color w:val="000000"/>
                <w:sz w:val="22"/>
                <w:szCs w:val="22"/>
              </w:rPr>
              <w:t>ampola</w:t>
            </w:r>
          </w:p>
        </w:tc>
        <w:tc>
          <w:tcPr>
            <w:tcW w:w="1418" w:type="dxa"/>
            <w:tcBorders>
              <w:top w:val="single" w:color="000001" w:sz="4" w:space="0"/>
              <w:left w:val="single" w:color="000001" w:sz="4" w:space="0"/>
              <w:bottom w:val="single" w:color="000001" w:sz="4" w:space="0"/>
            </w:tcBorders>
            <w:shd w:val="clear" w:color="auto" w:fill="auto"/>
            <w:vAlign w:val="center"/>
          </w:tcPr>
          <w:p>
            <w:pPr>
              <w:suppressAutoHyphens w:val="0"/>
              <w:spacing w:before="60" w:after="60"/>
              <w:jc w:val="center"/>
              <w:rPr>
                <w:rFonts w:ascii="Calibri" w:hAnsi="Calibri"/>
                <w:sz w:val="24"/>
                <w:szCs w:val="24"/>
                <w:lang w:eastAsia="pt-BR"/>
              </w:rPr>
            </w:pPr>
            <w:r>
              <w:rPr>
                <w:rFonts w:hint="default" w:ascii="Calibri" w:hAnsi="Calibri" w:cs="Calibri"/>
                <w:sz w:val="22"/>
                <w:szCs w:val="22"/>
                <w:lang w:eastAsia="pt-BR"/>
              </w:rPr>
              <w:t xml:space="preserve">R$ </w:t>
            </w:r>
            <w:r>
              <w:rPr>
                <w:rFonts w:hint="default" w:ascii="Calibri" w:hAnsi="Calibri" w:cs="Calibri"/>
                <w:sz w:val="22"/>
                <w:szCs w:val="22"/>
                <w:lang w:val="en-US" w:eastAsia="pt-BR"/>
              </w:rPr>
              <w:t>25,10</w:t>
            </w:r>
          </w:p>
        </w:tc>
        <w:tc>
          <w:tcPr>
            <w:tcW w:w="1559" w:type="dxa"/>
            <w:tcBorders>
              <w:top w:val="single" w:color="000001" w:sz="4" w:space="0"/>
              <w:left w:val="single" w:color="000001" w:sz="4" w:space="0"/>
              <w:bottom w:val="single" w:color="000001" w:sz="4" w:space="0"/>
              <w:right w:val="single" w:color="000001" w:sz="4" w:space="0"/>
            </w:tcBorders>
            <w:shd w:val="clear" w:color="auto" w:fill="auto"/>
            <w:vAlign w:val="center"/>
          </w:tcPr>
          <w:p>
            <w:pPr>
              <w:suppressAutoHyphens w:val="0"/>
              <w:spacing w:before="60" w:after="60"/>
              <w:jc w:val="center"/>
              <w:rPr>
                <w:rFonts w:ascii="Calibri" w:hAnsi="Calibri"/>
                <w:sz w:val="24"/>
                <w:szCs w:val="24"/>
                <w:lang w:eastAsia="pt-BR"/>
              </w:rPr>
            </w:pPr>
            <w:r>
              <w:rPr>
                <w:rFonts w:hint="default" w:ascii="Calibri" w:hAnsi="Calibri" w:cs="Calibri"/>
                <w:sz w:val="22"/>
                <w:szCs w:val="22"/>
                <w:lang w:eastAsia="pt-BR"/>
              </w:rPr>
              <w:t xml:space="preserve">R$ </w:t>
            </w:r>
            <w:r>
              <w:rPr>
                <w:rFonts w:hint="default" w:ascii="Calibri" w:hAnsi="Calibri" w:cs="Calibri"/>
                <w:sz w:val="22"/>
                <w:szCs w:val="22"/>
                <w:lang w:val="en-US" w:eastAsia="pt-BR"/>
              </w:rPr>
              <w:t>2.510,00</w:t>
            </w:r>
          </w:p>
        </w:tc>
      </w:tr>
      <w:tr>
        <w:tblPrEx>
          <w:tblCellMar>
            <w:top w:w="0" w:type="dxa"/>
            <w:left w:w="10" w:type="dxa"/>
            <w:bottom w:w="0" w:type="dxa"/>
            <w:right w:w="30" w:type="dxa"/>
          </w:tblCellMar>
        </w:tblPrEx>
        <w:trPr>
          <w:trHeight w:val="79" w:hRule="atLeast"/>
        </w:trPr>
        <w:tc>
          <w:tcPr>
            <w:tcW w:w="709" w:type="dxa"/>
            <w:tcBorders>
              <w:top w:val="single" w:color="000001" w:sz="4" w:space="0"/>
              <w:left w:val="single" w:color="000001" w:sz="4" w:space="0"/>
              <w:bottom w:val="single" w:color="000001" w:sz="4" w:space="0"/>
            </w:tcBorders>
            <w:shd w:val="clear" w:color="auto" w:fill="auto"/>
            <w:vAlign w:val="center"/>
          </w:tcPr>
          <w:p>
            <w:pPr>
              <w:widowControl w:val="0"/>
              <w:jc w:val="center"/>
              <w:rPr>
                <w:rFonts w:ascii="Calibri" w:hAnsi="Calibri"/>
                <w:sz w:val="22"/>
                <w:szCs w:val="22"/>
              </w:rPr>
            </w:pPr>
            <w:r>
              <w:rPr>
                <w:rFonts w:ascii="Calibri" w:hAnsi="Calibri"/>
                <w:sz w:val="22"/>
                <w:szCs w:val="22"/>
              </w:rPr>
              <w:t>3</w:t>
            </w:r>
          </w:p>
        </w:tc>
        <w:tc>
          <w:tcPr>
            <w:tcW w:w="4820" w:type="dxa"/>
            <w:tcBorders>
              <w:top w:val="single" w:color="000001" w:sz="4" w:space="0"/>
              <w:left w:val="single" w:color="000001" w:sz="4" w:space="0"/>
              <w:bottom w:val="single" w:color="000001" w:sz="4" w:space="0"/>
            </w:tcBorders>
            <w:shd w:val="clear" w:color="auto" w:fill="auto"/>
            <w:vAlign w:val="top"/>
          </w:tcPr>
          <w:p>
            <w:pPr>
              <w:widowControl w:val="0"/>
              <w:tabs>
                <w:tab w:val="left" w:pos="1134"/>
              </w:tabs>
              <w:suppressAutoHyphens w:val="0"/>
              <w:spacing w:before="60" w:after="60" w:line="240" w:lineRule="auto"/>
              <w:jc w:val="both"/>
              <w:rPr>
                <w:rFonts w:ascii="Calibri" w:hAnsi="Calibri" w:cs="Calibri"/>
                <w:bCs/>
                <w:sz w:val="22"/>
                <w:szCs w:val="22"/>
              </w:rPr>
            </w:pPr>
            <w:r>
              <w:rPr>
                <w:rFonts w:hint="default" w:ascii="Calibri" w:hAnsi="Calibri" w:cs="Calibri"/>
                <w:bCs/>
                <w:sz w:val="22"/>
                <w:szCs w:val="22"/>
              </w:rPr>
              <w:t>Tobramicina 3mg/ml</w:t>
            </w:r>
            <w:r>
              <w:rPr>
                <w:rFonts w:hint="default" w:ascii="Calibri" w:hAnsi="Calibri" w:cs="Calibri"/>
                <w:bCs/>
                <w:sz w:val="22"/>
                <w:szCs w:val="22"/>
                <w:lang w:val="pt-BR"/>
              </w:rPr>
              <w:t>,</w:t>
            </w:r>
            <w:r>
              <w:rPr>
                <w:rFonts w:hint="default" w:ascii="Calibri" w:hAnsi="Calibri" w:cs="Calibri"/>
                <w:bCs/>
                <w:sz w:val="22"/>
                <w:szCs w:val="22"/>
              </w:rPr>
              <w:t xml:space="preserve"> 5</w:t>
            </w:r>
            <w:r>
              <w:rPr>
                <w:rFonts w:hint="default" w:ascii="Calibri" w:hAnsi="Calibri" w:cs="Calibri"/>
                <w:bCs/>
                <w:sz w:val="22"/>
                <w:szCs w:val="22"/>
                <w:lang w:val="pt-BR"/>
              </w:rPr>
              <w:t xml:space="preserve"> </w:t>
            </w:r>
            <w:r>
              <w:rPr>
                <w:rFonts w:hint="default" w:ascii="Calibri" w:hAnsi="Calibri" w:cs="Calibri"/>
                <w:bCs/>
                <w:sz w:val="22"/>
                <w:szCs w:val="22"/>
              </w:rPr>
              <w:t>ml</w:t>
            </w:r>
            <w:r>
              <w:rPr>
                <w:rFonts w:hint="default" w:ascii="Calibri" w:hAnsi="Calibri" w:cs="Calibri"/>
                <w:bCs/>
                <w:sz w:val="22"/>
                <w:szCs w:val="22"/>
                <w:lang w:val="pt-BR"/>
              </w:rPr>
              <w:t xml:space="preserve">, </w:t>
            </w:r>
            <w:r>
              <w:rPr>
                <w:rFonts w:hint="default" w:ascii="Calibri" w:hAnsi="Calibri" w:cs="Calibri"/>
                <w:bCs/>
                <w:sz w:val="22"/>
                <w:szCs w:val="22"/>
              </w:rPr>
              <w:t xml:space="preserve"> </w:t>
            </w:r>
            <w:r>
              <w:rPr>
                <w:rFonts w:hint="default" w:ascii="Calibri" w:hAnsi="Calibri" w:cs="Calibri"/>
                <w:bCs/>
                <w:sz w:val="22"/>
                <w:szCs w:val="22"/>
                <w:lang w:val="pt-BR"/>
              </w:rPr>
              <w:t>s</w:t>
            </w:r>
            <w:r>
              <w:rPr>
                <w:rFonts w:hint="default" w:ascii="Calibri" w:hAnsi="Calibri" w:cs="Calibri"/>
                <w:bCs/>
                <w:sz w:val="22"/>
                <w:szCs w:val="22"/>
              </w:rPr>
              <w:t xml:space="preserve">olução </w:t>
            </w:r>
            <w:r>
              <w:rPr>
                <w:rFonts w:hint="default" w:ascii="Calibri" w:hAnsi="Calibri" w:cs="Calibri"/>
                <w:bCs/>
                <w:sz w:val="22"/>
                <w:szCs w:val="22"/>
                <w:lang w:val="pt-BR"/>
              </w:rPr>
              <w:t>o</w:t>
            </w:r>
            <w:r>
              <w:rPr>
                <w:rFonts w:hint="default" w:ascii="Calibri" w:hAnsi="Calibri" w:cs="Calibri"/>
                <w:bCs/>
                <w:sz w:val="22"/>
                <w:szCs w:val="22"/>
              </w:rPr>
              <w:t>ftálmica</w:t>
            </w:r>
            <w:r>
              <w:rPr>
                <w:rFonts w:hint="default" w:ascii="Calibri" w:hAnsi="Calibri" w:cs="Calibri"/>
                <w:bCs/>
                <w:sz w:val="22"/>
                <w:szCs w:val="22"/>
                <w:lang w:val="pt-BR"/>
              </w:rPr>
              <w:t>.</w:t>
            </w:r>
          </w:p>
        </w:tc>
        <w:tc>
          <w:tcPr>
            <w:tcW w:w="1417" w:type="dxa"/>
            <w:tcBorders>
              <w:top w:val="single" w:color="000001" w:sz="4" w:space="0"/>
              <w:left w:val="single" w:color="000001" w:sz="4" w:space="0"/>
              <w:bottom w:val="single" w:color="000001" w:sz="4" w:space="0"/>
            </w:tcBorders>
            <w:shd w:val="clear" w:color="auto" w:fill="auto"/>
            <w:vAlign w:val="center"/>
          </w:tcPr>
          <w:p>
            <w:pPr>
              <w:widowControl w:val="0"/>
              <w:jc w:val="center"/>
              <w:rPr>
                <w:rFonts w:ascii="Calibri" w:hAnsi="Calibri" w:eastAsia="Calibri" w:cs="Calibri"/>
                <w:color w:val="00000A"/>
                <w:sz w:val="22"/>
                <w:szCs w:val="22"/>
              </w:rPr>
            </w:pPr>
            <w:r>
              <w:rPr>
                <w:rFonts w:hint="default" w:ascii="Calibri" w:hAnsi="Calibri" w:cs="Calibri"/>
                <w:sz w:val="22"/>
                <w:szCs w:val="22"/>
                <w:lang w:val="pt-BR"/>
              </w:rPr>
              <w:t>frasco</w:t>
            </w:r>
          </w:p>
        </w:tc>
        <w:tc>
          <w:tcPr>
            <w:tcW w:w="1418" w:type="dxa"/>
            <w:tcBorders>
              <w:top w:val="single" w:color="000001" w:sz="4" w:space="0"/>
              <w:left w:val="single" w:color="000001" w:sz="4" w:space="0"/>
              <w:bottom w:val="single" w:color="000001" w:sz="4" w:space="0"/>
            </w:tcBorders>
            <w:shd w:val="clear" w:color="auto" w:fill="auto"/>
            <w:vAlign w:val="center"/>
          </w:tcPr>
          <w:p>
            <w:pPr>
              <w:suppressAutoHyphens w:val="0"/>
              <w:spacing w:before="60" w:after="60"/>
              <w:jc w:val="center"/>
              <w:rPr>
                <w:rFonts w:ascii="Calibri" w:hAnsi="Calibri"/>
                <w:sz w:val="24"/>
                <w:szCs w:val="24"/>
                <w:lang w:eastAsia="pt-BR"/>
              </w:rPr>
            </w:pPr>
            <w:r>
              <w:rPr>
                <w:rFonts w:hint="default" w:ascii="Calibri" w:hAnsi="Calibri" w:cs="Calibri"/>
                <w:sz w:val="22"/>
                <w:szCs w:val="22"/>
                <w:lang w:eastAsia="pt-BR"/>
              </w:rPr>
              <w:t>R$</w:t>
            </w:r>
            <w:r>
              <w:rPr>
                <w:rFonts w:hint="default" w:ascii="Calibri" w:hAnsi="Calibri" w:cs="Calibri"/>
                <w:sz w:val="22"/>
                <w:szCs w:val="22"/>
                <w:lang w:val="en-US" w:eastAsia="pt-BR"/>
              </w:rPr>
              <w:t xml:space="preserve"> 19,70</w:t>
            </w:r>
          </w:p>
        </w:tc>
        <w:tc>
          <w:tcPr>
            <w:tcW w:w="1559" w:type="dxa"/>
            <w:tcBorders>
              <w:top w:val="single" w:color="000001" w:sz="4" w:space="0"/>
              <w:left w:val="single" w:color="000001" w:sz="4" w:space="0"/>
              <w:bottom w:val="single" w:color="000001" w:sz="4" w:space="0"/>
              <w:right w:val="single" w:color="000001" w:sz="4" w:space="0"/>
            </w:tcBorders>
            <w:shd w:val="clear" w:color="auto" w:fill="auto"/>
            <w:vAlign w:val="center"/>
          </w:tcPr>
          <w:p>
            <w:pPr>
              <w:suppressAutoHyphens w:val="0"/>
              <w:spacing w:before="60" w:after="60"/>
              <w:jc w:val="center"/>
              <w:rPr>
                <w:rFonts w:ascii="Calibri" w:hAnsi="Calibri"/>
                <w:sz w:val="24"/>
                <w:szCs w:val="24"/>
                <w:lang w:eastAsia="pt-BR"/>
              </w:rPr>
            </w:pPr>
            <w:r>
              <w:rPr>
                <w:rFonts w:hint="default" w:ascii="Calibri" w:hAnsi="Calibri" w:cs="Calibri"/>
                <w:sz w:val="22"/>
                <w:szCs w:val="22"/>
                <w:lang w:eastAsia="pt-BR"/>
              </w:rPr>
              <w:t>R$</w:t>
            </w:r>
            <w:r>
              <w:rPr>
                <w:rFonts w:hint="default" w:ascii="Calibri" w:hAnsi="Calibri" w:cs="Calibri"/>
                <w:sz w:val="22"/>
                <w:szCs w:val="22"/>
                <w:lang w:val="en-US" w:eastAsia="pt-BR"/>
              </w:rPr>
              <w:t xml:space="preserve"> 394,00</w:t>
            </w:r>
          </w:p>
        </w:tc>
      </w:tr>
      <w:tr>
        <w:tblPrEx>
          <w:tblCellMar>
            <w:top w:w="0" w:type="dxa"/>
            <w:left w:w="10" w:type="dxa"/>
            <w:bottom w:w="0" w:type="dxa"/>
            <w:right w:w="30" w:type="dxa"/>
          </w:tblCellMar>
        </w:tblPrEx>
        <w:trPr>
          <w:trHeight w:val="79" w:hRule="atLeast"/>
        </w:trPr>
        <w:tc>
          <w:tcPr>
            <w:tcW w:w="709" w:type="dxa"/>
            <w:tcBorders>
              <w:top w:val="single" w:color="000001" w:sz="4" w:space="0"/>
              <w:left w:val="single" w:color="000001" w:sz="4" w:space="0"/>
              <w:bottom w:val="single" w:color="000001" w:sz="4" w:space="0"/>
            </w:tcBorders>
            <w:shd w:val="clear" w:color="auto" w:fill="auto"/>
            <w:vAlign w:val="center"/>
          </w:tcPr>
          <w:p>
            <w:pPr>
              <w:widowControl w:val="0"/>
              <w:jc w:val="center"/>
              <w:rPr>
                <w:rFonts w:hint="default" w:ascii="Calibri" w:hAnsi="Calibri"/>
                <w:sz w:val="22"/>
                <w:szCs w:val="22"/>
                <w:lang w:val="pt-BR"/>
              </w:rPr>
            </w:pPr>
            <w:r>
              <w:rPr>
                <w:rFonts w:hint="default" w:ascii="Calibri" w:hAnsi="Calibri"/>
                <w:sz w:val="22"/>
                <w:szCs w:val="22"/>
                <w:lang w:val="pt-BR"/>
              </w:rPr>
              <w:t>4</w:t>
            </w:r>
          </w:p>
        </w:tc>
        <w:tc>
          <w:tcPr>
            <w:tcW w:w="4820" w:type="dxa"/>
            <w:tcBorders>
              <w:top w:val="single" w:color="000001" w:sz="4" w:space="0"/>
              <w:left w:val="single" w:color="000001" w:sz="4" w:space="0"/>
              <w:bottom w:val="single" w:color="000001" w:sz="4" w:space="0"/>
            </w:tcBorders>
            <w:shd w:val="clear" w:color="auto" w:fill="auto"/>
            <w:vAlign w:val="top"/>
          </w:tcPr>
          <w:p>
            <w:pPr>
              <w:widowControl w:val="0"/>
              <w:tabs>
                <w:tab w:val="left" w:pos="1134"/>
              </w:tabs>
              <w:suppressAutoHyphens w:val="0"/>
              <w:spacing w:before="60" w:after="60" w:line="240" w:lineRule="auto"/>
              <w:jc w:val="both"/>
              <w:rPr>
                <w:rFonts w:ascii="Calibri" w:hAnsi="Calibri" w:cs="Calibri"/>
                <w:bCs/>
                <w:sz w:val="22"/>
                <w:szCs w:val="22"/>
              </w:rPr>
            </w:pPr>
            <w:r>
              <w:rPr>
                <w:rFonts w:hint="default" w:ascii="Calibri" w:hAnsi="Calibri" w:cs="Calibri"/>
                <w:bCs/>
                <w:sz w:val="22"/>
                <w:szCs w:val="22"/>
                <w:lang w:val="pt-BR"/>
              </w:rPr>
              <w:t>Teste imunocromatográfico para detecção simultânea do Antígeno NS1 e Anticorpos IgG e IgM da Dengue humana. Apresentação Teste.</w:t>
            </w:r>
          </w:p>
        </w:tc>
        <w:tc>
          <w:tcPr>
            <w:tcW w:w="1417" w:type="dxa"/>
            <w:tcBorders>
              <w:top w:val="single" w:color="000001" w:sz="4" w:space="0"/>
              <w:left w:val="single" w:color="000001" w:sz="4" w:space="0"/>
              <w:bottom w:val="single" w:color="000001" w:sz="4" w:space="0"/>
            </w:tcBorders>
            <w:shd w:val="clear" w:color="auto" w:fill="auto"/>
            <w:vAlign w:val="center"/>
          </w:tcPr>
          <w:p>
            <w:pPr>
              <w:widowControl w:val="0"/>
              <w:jc w:val="center"/>
              <w:rPr>
                <w:rFonts w:ascii="Calibri" w:hAnsi="Calibri" w:eastAsia="Calibri" w:cs="Calibri"/>
                <w:color w:val="00000A"/>
                <w:sz w:val="22"/>
                <w:szCs w:val="22"/>
              </w:rPr>
            </w:pPr>
            <w:r>
              <w:rPr>
                <w:rFonts w:hint="default" w:ascii="Calibri" w:hAnsi="Calibri" w:cs="Calibri"/>
                <w:sz w:val="22"/>
                <w:szCs w:val="22"/>
                <w:lang w:val="pt-BR"/>
              </w:rPr>
              <w:t>teste</w:t>
            </w:r>
          </w:p>
        </w:tc>
        <w:tc>
          <w:tcPr>
            <w:tcW w:w="1418" w:type="dxa"/>
            <w:tcBorders>
              <w:top w:val="single" w:color="000001" w:sz="4" w:space="0"/>
              <w:left w:val="single" w:color="000001" w:sz="4" w:space="0"/>
              <w:bottom w:val="single" w:color="000001" w:sz="4" w:space="0"/>
            </w:tcBorders>
            <w:shd w:val="clear" w:color="auto" w:fill="auto"/>
            <w:vAlign w:val="center"/>
          </w:tcPr>
          <w:p>
            <w:pPr>
              <w:suppressAutoHyphens w:val="0"/>
              <w:spacing w:before="60" w:after="60"/>
              <w:jc w:val="center"/>
              <w:rPr>
                <w:rFonts w:ascii="Calibri" w:hAnsi="Calibri"/>
                <w:sz w:val="24"/>
                <w:szCs w:val="24"/>
                <w:lang w:eastAsia="pt-BR"/>
              </w:rPr>
            </w:pPr>
            <w:r>
              <w:rPr>
                <w:rFonts w:hint="default" w:ascii="Calibri" w:hAnsi="Calibri" w:cs="Calibri"/>
                <w:sz w:val="22"/>
                <w:szCs w:val="22"/>
                <w:lang w:eastAsia="pt-BR"/>
              </w:rPr>
              <w:t>R$</w:t>
            </w:r>
            <w:r>
              <w:rPr>
                <w:rFonts w:hint="default" w:ascii="Calibri" w:hAnsi="Calibri" w:cs="Calibri"/>
                <w:sz w:val="22"/>
                <w:szCs w:val="22"/>
                <w:lang w:val="en-US" w:eastAsia="pt-BR"/>
              </w:rPr>
              <w:t xml:space="preserve"> 54,82</w:t>
            </w:r>
          </w:p>
        </w:tc>
        <w:tc>
          <w:tcPr>
            <w:tcW w:w="1559" w:type="dxa"/>
            <w:tcBorders>
              <w:top w:val="single" w:color="000001" w:sz="4" w:space="0"/>
              <w:left w:val="single" w:color="000001" w:sz="4" w:space="0"/>
              <w:bottom w:val="single" w:color="000001" w:sz="4" w:space="0"/>
              <w:right w:val="single" w:color="000001" w:sz="4" w:space="0"/>
            </w:tcBorders>
            <w:shd w:val="clear" w:color="auto" w:fill="auto"/>
            <w:vAlign w:val="center"/>
          </w:tcPr>
          <w:p>
            <w:pPr>
              <w:suppressAutoHyphens w:val="0"/>
              <w:spacing w:before="60" w:after="60"/>
              <w:jc w:val="center"/>
              <w:rPr>
                <w:rFonts w:ascii="Calibri" w:hAnsi="Calibri"/>
                <w:sz w:val="24"/>
                <w:szCs w:val="24"/>
                <w:lang w:eastAsia="pt-BR"/>
              </w:rPr>
            </w:pPr>
            <w:r>
              <w:rPr>
                <w:rFonts w:hint="default" w:ascii="Calibri" w:hAnsi="Calibri" w:cs="Calibri"/>
                <w:sz w:val="22"/>
                <w:szCs w:val="22"/>
                <w:lang w:eastAsia="pt-BR"/>
              </w:rPr>
              <w:t>R$</w:t>
            </w:r>
            <w:r>
              <w:rPr>
                <w:rFonts w:hint="default" w:ascii="Calibri" w:hAnsi="Calibri" w:cs="Calibri"/>
                <w:sz w:val="22"/>
                <w:szCs w:val="22"/>
                <w:lang w:val="en-US" w:eastAsia="pt-BR"/>
              </w:rPr>
              <w:t xml:space="preserve"> 13.705,00</w:t>
            </w:r>
          </w:p>
        </w:tc>
      </w:tr>
      <w:tr>
        <w:tblPrEx>
          <w:tblCellMar>
            <w:top w:w="0" w:type="dxa"/>
            <w:left w:w="10" w:type="dxa"/>
            <w:bottom w:w="0" w:type="dxa"/>
            <w:right w:w="30" w:type="dxa"/>
          </w:tblCellMar>
        </w:tblPrEx>
        <w:trPr>
          <w:trHeight w:val="79" w:hRule="atLeast"/>
        </w:trPr>
        <w:tc>
          <w:tcPr>
            <w:tcW w:w="709" w:type="dxa"/>
            <w:tcBorders>
              <w:top w:val="single" w:color="000001" w:sz="4" w:space="0"/>
              <w:left w:val="single" w:color="000001" w:sz="4" w:space="0"/>
              <w:bottom w:val="single" w:color="000001" w:sz="4" w:space="0"/>
            </w:tcBorders>
            <w:shd w:val="clear" w:color="auto" w:fill="auto"/>
            <w:vAlign w:val="center"/>
          </w:tcPr>
          <w:p>
            <w:pPr>
              <w:widowControl w:val="0"/>
              <w:jc w:val="center"/>
              <w:rPr>
                <w:rFonts w:hint="default" w:ascii="Calibri" w:hAnsi="Calibri"/>
                <w:sz w:val="22"/>
                <w:szCs w:val="22"/>
                <w:lang w:val="pt-BR"/>
              </w:rPr>
            </w:pPr>
            <w:r>
              <w:rPr>
                <w:rFonts w:hint="default" w:ascii="Calibri" w:hAnsi="Calibri"/>
                <w:sz w:val="22"/>
                <w:szCs w:val="22"/>
                <w:lang w:val="pt-BR"/>
              </w:rPr>
              <w:t>5</w:t>
            </w:r>
          </w:p>
        </w:tc>
        <w:tc>
          <w:tcPr>
            <w:tcW w:w="4820" w:type="dxa"/>
            <w:tcBorders>
              <w:top w:val="single" w:color="000001" w:sz="4" w:space="0"/>
              <w:left w:val="single" w:color="000001" w:sz="4" w:space="0"/>
              <w:bottom w:val="single" w:color="000001" w:sz="4" w:space="0"/>
            </w:tcBorders>
            <w:shd w:val="clear" w:color="auto" w:fill="auto"/>
            <w:vAlign w:val="top"/>
          </w:tcPr>
          <w:p>
            <w:pPr>
              <w:widowControl w:val="0"/>
              <w:tabs>
                <w:tab w:val="left" w:pos="1134"/>
              </w:tabs>
              <w:suppressAutoHyphens w:val="0"/>
              <w:spacing w:before="60" w:after="60" w:line="240" w:lineRule="auto"/>
              <w:jc w:val="both"/>
              <w:rPr>
                <w:rFonts w:ascii="Calibri" w:hAnsi="Calibri" w:cs="Calibri"/>
                <w:bCs/>
                <w:sz w:val="22"/>
                <w:szCs w:val="22"/>
              </w:rPr>
            </w:pPr>
            <w:r>
              <w:rPr>
                <w:rFonts w:hint="default" w:ascii="Calibri" w:hAnsi="Calibri" w:cs="Calibri"/>
                <w:bCs/>
                <w:sz w:val="22"/>
                <w:szCs w:val="22"/>
                <w:lang w:val="pt-BR"/>
              </w:rPr>
              <w:t>Bromidrato de fenoterol 100mcg, aerosol 10ml.</w:t>
            </w:r>
          </w:p>
        </w:tc>
        <w:tc>
          <w:tcPr>
            <w:tcW w:w="1417" w:type="dxa"/>
            <w:tcBorders>
              <w:top w:val="single" w:color="000001" w:sz="4" w:space="0"/>
              <w:left w:val="single" w:color="000001" w:sz="4" w:space="0"/>
              <w:bottom w:val="single" w:color="000001" w:sz="4" w:space="0"/>
            </w:tcBorders>
            <w:shd w:val="clear" w:color="auto" w:fill="auto"/>
            <w:vAlign w:val="center"/>
          </w:tcPr>
          <w:p>
            <w:pPr>
              <w:widowControl w:val="0"/>
              <w:jc w:val="center"/>
              <w:rPr>
                <w:rFonts w:ascii="Calibri" w:hAnsi="Calibri" w:eastAsia="Calibri" w:cs="Calibri"/>
                <w:color w:val="00000A"/>
                <w:sz w:val="22"/>
                <w:szCs w:val="22"/>
              </w:rPr>
            </w:pPr>
            <w:r>
              <w:rPr>
                <w:rFonts w:hint="default" w:ascii="Calibri" w:hAnsi="Calibri" w:cs="Calibri"/>
                <w:sz w:val="22"/>
                <w:szCs w:val="22"/>
                <w:lang w:val="pt-BR"/>
              </w:rPr>
              <w:t>frasco</w:t>
            </w:r>
          </w:p>
        </w:tc>
        <w:tc>
          <w:tcPr>
            <w:tcW w:w="1418" w:type="dxa"/>
            <w:tcBorders>
              <w:top w:val="single" w:color="000001" w:sz="4" w:space="0"/>
              <w:left w:val="single" w:color="000001" w:sz="4" w:space="0"/>
              <w:bottom w:val="single" w:color="000001" w:sz="4" w:space="0"/>
            </w:tcBorders>
            <w:shd w:val="clear" w:color="auto" w:fill="auto"/>
            <w:vAlign w:val="center"/>
          </w:tcPr>
          <w:p>
            <w:pPr>
              <w:suppressAutoHyphens w:val="0"/>
              <w:spacing w:before="60" w:after="60"/>
              <w:jc w:val="center"/>
              <w:rPr>
                <w:rFonts w:ascii="Calibri" w:hAnsi="Calibri"/>
                <w:sz w:val="24"/>
                <w:szCs w:val="24"/>
                <w:lang w:eastAsia="pt-BR"/>
              </w:rPr>
            </w:pPr>
            <w:r>
              <w:rPr>
                <w:rFonts w:hint="default" w:ascii="Calibri" w:hAnsi="Calibri" w:cs="Calibri"/>
                <w:sz w:val="22"/>
                <w:szCs w:val="22"/>
                <w:lang w:eastAsia="pt-BR"/>
              </w:rPr>
              <w:t>R$</w:t>
            </w:r>
            <w:r>
              <w:rPr>
                <w:rFonts w:hint="default" w:ascii="Calibri" w:hAnsi="Calibri" w:cs="Calibri"/>
                <w:sz w:val="22"/>
                <w:szCs w:val="22"/>
                <w:lang w:val="en-US" w:eastAsia="pt-BR"/>
              </w:rPr>
              <w:t xml:space="preserve"> 24,48</w:t>
            </w:r>
          </w:p>
        </w:tc>
        <w:tc>
          <w:tcPr>
            <w:tcW w:w="1559" w:type="dxa"/>
            <w:tcBorders>
              <w:top w:val="single" w:color="000001" w:sz="4" w:space="0"/>
              <w:left w:val="single" w:color="000001" w:sz="4" w:space="0"/>
              <w:bottom w:val="single" w:color="000001" w:sz="4" w:space="0"/>
              <w:right w:val="single" w:color="000001" w:sz="4" w:space="0"/>
            </w:tcBorders>
            <w:shd w:val="clear" w:color="auto" w:fill="auto"/>
            <w:vAlign w:val="center"/>
          </w:tcPr>
          <w:p>
            <w:pPr>
              <w:suppressAutoHyphens w:val="0"/>
              <w:spacing w:before="60" w:after="60"/>
              <w:jc w:val="center"/>
              <w:rPr>
                <w:rFonts w:ascii="Calibri" w:hAnsi="Calibri"/>
                <w:sz w:val="24"/>
                <w:szCs w:val="24"/>
                <w:lang w:eastAsia="pt-BR"/>
              </w:rPr>
            </w:pPr>
            <w:r>
              <w:rPr>
                <w:rFonts w:hint="default" w:ascii="Calibri" w:hAnsi="Calibri" w:cs="Calibri"/>
                <w:sz w:val="22"/>
                <w:szCs w:val="22"/>
                <w:lang w:eastAsia="pt-BR"/>
              </w:rPr>
              <w:t>R$</w:t>
            </w:r>
            <w:r>
              <w:rPr>
                <w:rFonts w:hint="default" w:ascii="Calibri" w:hAnsi="Calibri" w:cs="Calibri"/>
                <w:sz w:val="22"/>
                <w:szCs w:val="22"/>
                <w:lang w:val="en-US" w:eastAsia="pt-BR"/>
              </w:rPr>
              <w:t xml:space="preserve"> 48,96</w:t>
            </w:r>
          </w:p>
        </w:tc>
      </w:tr>
      <w:tr>
        <w:tblPrEx>
          <w:tblCellMar>
            <w:top w:w="0" w:type="dxa"/>
            <w:left w:w="10" w:type="dxa"/>
            <w:bottom w:w="0" w:type="dxa"/>
            <w:right w:w="30" w:type="dxa"/>
          </w:tblCellMar>
        </w:tblPrEx>
        <w:trPr>
          <w:trHeight w:val="79" w:hRule="atLeast"/>
        </w:trPr>
        <w:tc>
          <w:tcPr>
            <w:tcW w:w="709" w:type="dxa"/>
            <w:tcBorders>
              <w:top w:val="single" w:color="000001" w:sz="4" w:space="0"/>
              <w:left w:val="single" w:color="000001" w:sz="4" w:space="0"/>
              <w:bottom w:val="single" w:color="000001" w:sz="4" w:space="0"/>
            </w:tcBorders>
            <w:shd w:val="clear" w:color="auto" w:fill="auto"/>
            <w:vAlign w:val="center"/>
          </w:tcPr>
          <w:p>
            <w:pPr>
              <w:widowControl w:val="0"/>
              <w:jc w:val="center"/>
              <w:rPr>
                <w:rFonts w:hint="default" w:ascii="Calibri" w:hAnsi="Calibri"/>
                <w:sz w:val="22"/>
                <w:szCs w:val="22"/>
                <w:lang w:val="pt-BR"/>
              </w:rPr>
            </w:pPr>
            <w:r>
              <w:rPr>
                <w:rFonts w:hint="default" w:ascii="Calibri" w:hAnsi="Calibri"/>
                <w:sz w:val="22"/>
                <w:szCs w:val="22"/>
                <w:lang w:val="pt-BR"/>
              </w:rPr>
              <w:t>6</w:t>
            </w:r>
          </w:p>
        </w:tc>
        <w:tc>
          <w:tcPr>
            <w:tcW w:w="4820" w:type="dxa"/>
            <w:tcBorders>
              <w:top w:val="single" w:color="000001" w:sz="4" w:space="0"/>
              <w:left w:val="single" w:color="000001" w:sz="4" w:space="0"/>
              <w:bottom w:val="single" w:color="000001" w:sz="4" w:space="0"/>
            </w:tcBorders>
            <w:shd w:val="clear" w:color="auto" w:fill="auto"/>
            <w:vAlign w:val="top"/>
          </w:tcPr>
          <w:p>
            <w:pPr>
              <w:widowControl w:val="0"/>
              <w:tabs>
                <w:tab w:val="left" w:pos="1134"/>
              </w:tabs>
              <w:suppressAutoHyphens w:val="0"/>
              <w:spacing w:before="60" w:after="60" w:line="240" w:lineRule="auto"/>
              <w:jc w:val="both"/>
              <w:rPr>
                <w:rFonts w:ascii="Calibri" w:hAnsi="Calibri" w:cs="Calibri"/>
                <w:bCs/>
                <w:sz w:val="22"/>
                <w:szCs w:val="22"/>
              </w:rPr>
            </w:pPr>
            <w:r>
              <w:rPr>
                <w:rFonts w:hint="default" w:ascii="Calibri" w:hAnsi="Calibri" w:cs="Calibri"/>
                <w:bCs/>
                <w:sz w:val="22"/>
                <w:szCs w:val="22"/>
                <w:lang w:val="pt-BR"/>
              </w:rPr>
              <w:t>S</w:t>
            </w:r>
            <w:r>
              <w:rPr>
                <w:rFonts w:hint="default" w:ascii="Calibri" w:hAnsi="Calibri" w:cs="Calibri"/>
                <w:bCs/>
                <w:sz w:val="22"/>
                <w:szCs w:val="22"/>
              </w:rPr>
              <w:t>ulfato de salbutamol 100mcg/ dose</w:t>
            </w:r>
            <w:r>
              <w:rPr>
                <w:rFonts w:hint="default" w:ascii="Calibri" w:hAnsi="Calibri" w:cs="Calibri"/>
                <w:bCs/>
                <w:sz w:val="22"/>
                <w:szCs w:val="22"/>
                <w:lang w:val="pt-BR"/>
              </w:rPr>
              <w:t>, aerossol.</w:t>
            </w:r>
          </w:p>
        </w:tc>
        <w:tc>
          <w:tcPr>
            <w:tcW w:w="1417" w:type="dxa"/>
            <w:tcBorders>
              <w:top w:val="single" w:color="000001" w:sz="4" w:space="0"/>
              <w:left w:val="single" w:color="000001" w:sz="4" w:space="0"/>
              <w:bottom w:val="single" w:color="000001" w:sz="4" w:space="0"/>
            </w:tcBorders>
            <w:shd w:val="clear" w:color="auto" w:fill="auto"/>
            <w:vAlign w:val="center"/>
          </w:tcPr>
          <w:p>
            <w:pPr>
              <w:widowControl w:val="0"/>
              <w:jc w:val="center"/>
              <w:rPr>
                <w:rFonts w:ascii="Calibri" w:hAnsi="Calibri" w:eastAsia="Calibri" w:cs="Calibri"/>
                <w:color w:val="00000A"/>
                <w:sz w:val="22"/>
                <w:szCs w:val="22"/>
              </w:rPr>
            </w:pPr>
            <w:r>
              <w:rPr>
                <w:rFonts w:hint="default" w:ascii="Calibri" w:hAnsi="Calibri" w:cs="Calibri"/>
                <w:sz w:val="22"/>
                <w:szCs w:val="22"/>
                <w:lang w:val="pt-BR"/>
              </w:rPr>
              <w:t>frasco</w:t>
            </w:r>
          </w:p>
        </w:tc>
        <w:tc>
          <w:tcPr>
            <w:tcW w:w="1418" w:type="dxa"/>
            <w:tcBorders>
              <w:top w:val="single" w:color="000001" w:sz="4" w:space="0"/>
              <w:left w:val="single" w:color="000001" w:sz="4" w:space="0"/>
              <w:bottom w:val="single" w:color="000001" w:sz="4" w:space="0"/>
            </w:tcBorders>
            <w:shd w:val="clear" w:color="auto" w:fill="auto"/>
            <w:vAlign w:val="center"/>
          </w:tcPr>
          <w:p>
            <w:pPr>
              <w:suppressAutoHyphens w:val="0"/>
              <w:spacing w:before="60" w:after="60"/>
              <w:jc w:val="center"/>
              <w:rPr>
                <w:rFonts w:ascii="Calibri" w:hAnsi="Calibri"/>
                <w:sz w:val="24"/>
                <w:szCs w:val="24"/>
                <w:lang w:eastAsia="pt-BR"/>
              </w:rPr>
            </w:pPr>
            <w:r>
              <w:rPr>
                <w:rFonts w:hint="default" w:ascii="Calibri" w:hAnsi="Calibri" w:cs="Calibri"/>
                <w:sz w:val="22"/>
                <w:szCs w:val="22"/>
                <w:lang w:eastAsia="pt-BR"/>
              </w:rPr>
              <w:t>R$</w:t>
            </w:r>
            <w:r>
              <w:rPr>
                <w:rFonts w:hint="default" w:ascii="Calibri" w:hAnsi="Calibri" w:cs="Calibri"/>
                <w:sz w:val="22"/>
                <w:szCs w:val="22"/>
                <w:lang w:val="en-US" w:eastAsia="pt-BR"/>
              </w:rPr>
              <w:t xml:space="preserve"> 11,19</w:t>
            </w:r>
          </w:p>
        </w:tc>
        <w:tc>
          <w:tcPr>
            <w:tcW w:w="1559" w:type="dxa"/>
            <w:tcBorders>
              <w:top w:val="single" w:color="000001" w:sz="4" w:space="0"/>
              <w:left w:val="single" w:color="000001" w:sz="4" w:space="0"/>
              <w:bottom w:val="single" w:color="000001" w:sz="4" w:space="0"/>
              <w:right w:val="single" w:color="000001" w:sz="4" w:space="0"/>
            </w:tcBorders>
            <w:shd w:val="clear" w:color="auto" w:fill="auto"/>
            <w:vAlign w:val="center"/>
          </w:tcPr>
          <w:p>
            <w:pPr>
              <w:suppressAutoHyphens w:val="0"/>
              <w:spacing w:before="60" w:after="60"/>
              <w:jc w:val="center"/>
              <w:rPr>
                <w:rFonts w:ascii="Calibri" w:hAnsi="Calibri"/>
                <w:sz w:val="24"/>
                <w:szCs w:val="24"/>
                <w:lang w:eastAsia="pt-BR"/>
              </w:rPr>
            </w:pPr>
            <w:r>
              <w:rPr>
                <w:rFonts w:hint="default" w:ascii="Calibri" w:hAnsi="Calibri" w:cs="Calibri"/>
                <w:sz w:val="22"/>
                <w:szCs w:val="22"/>
                <w:lang w:eastAsia="pt-BR"/>
              </w:rPr>
              <w:t>R$</w:t>
            </w:r>
            <w:r>
              <w:rPr>
                <w:rFonts w:hint="default" w:ascii="Calibri" w:hAnsi="Calibri" w:cs="Calibri"/>
                <w:sz w:val="22"/>
                <w:szCs w:val="22"/>
                <w:lang w:val="en-US" w:eastAsia="pt-BR"/>
              </w:rPr>
              <w:t xml:space="preserve"> 22,38</w:t>
            </w:r>
          </w:p>
        </w:tc>
      </w:tr>
      <w:tr>
        <w:tblPrEx>
          <w:tblCellMar>
            <w:top w:w="0" w:type="dxa"/>
            <w:left w:w="10" w:type="dxa"/>
            <w:bottom w:w="0" w:type="dxa"/>
            <w:right w:w="30" w:type="dxa"/>
          </w:tblCellMar>
        </w:tblPrEx>
        <w:trPr>
          <w:trHeight w:val="79" w:hRule="atLeast"/>
        </w:trPr>
        <w:tc>
          <w:tcPr>
            <w:tcW w:w="709" w:type="dxa"/>
            <w:tcBorders>
              <w:top w:val="single" w:color="000001" w:sz="4" w:space="0"/>
              <w:left w:val="single" w:color="000001" w:sz="4" w:space="0"/>
              <w:bottom w:val="single" w:color="000001" w:sz="4" w:space="0"/>
            </w:tcBorders>
            <w:shd w:val="clear" w:color="auto" w:fill="auto"/>
            <w:vAlign w:val="center"/>
          </w:tcPr>
          <w:p>
            <w:pPr>
              <w:widowControl w:val="0"/>
              <w:jc w:val="center"/>
              <w:rPr>
                <w:rFonts w:hint="default" w:ascii="Calibri" w:hAnsi="Calibri"/>
                <w:sz w:val="22"/>
                <w:szCs w:val="22"/>
                <w:lang w:val="pt-BR"/>
              </w:rPr>
            </w:pPr>
            <w:r>
              <w:rPr>
                <w:rFonts w:hint="default" w:ascii="Calibri" w:hAnsi="Calibri"/>
                <w:sz w:val="22"/>
                <w:szCs w:val="22"/>
                <w:lang w:val="pt-BR"/>
              </w:rPr>
              <w:t>7</w:t>
            </w:r>
          </w:p>
        </w:tc>
        <w:tc>
          <w:tcPr>
            <w:tcW w:w="4820" w:type="dxa"/>
            <w:tcBorders>
              <w:top w:val="single" w:color="000001" w:sz="4" w:space="0"/>
              <w:left w:val="single" w:color="000001" w:sz="4" w:space="0"/>
              <w:bottom w:val="single" w:color="000001" w:sz="4" w:space="0"/>
            </w:tcBorders>
            <w:shd w:val="clear" w:color="auto" w:fill="auto"/>
            <w:vAlign w:val="top"/>
          </w:tcPr>
          <w:p>
            <w:pPr>
              <w:widowControl w:val="0"/>
              <w:tabs>
                <w:tab w:val="left" w:pos="1134"/>
              </w:tabs>
              <w:suppressAutoHyphens w:val="0"/>
              <w:spacing w:before="60" w:after="60" w:line="240" w:lineRule="auto"/>
              <w:jc w:val="both"/>
              <w:rPr>
                <w:rFonts w:ascii="Calibri" w:hAnsi="Calibri" w:cs="Calibri"/>
                <w:bCs/>
                <w:sz w:val="22"/>
                <w:szCs w:val="22"/>
              </w:rPr>
            </w:pPr>
            <w:r>
              <w:rPr>
                <w:rFonts w:hint="default" w:ascii="Calibri" w:hAnsi="Calibri" w:eastAsia="SimSun" w:cs="Calibri"/>
                <w:i w:val="0"/>
                <w:iCs w:val="0"/>
                <w:caps w:val="0"/>
                <w:color w:val="000000"/>
                <w:spacing w:val="0"/>
                <w:sz w:val="22"/>
                <w:szCs w:val="22"/>
                <w:shd w:val="clear" w:color="auto" w:fill="auto"/>
              </w:rPr>
              <w:t>Brometo de Ipratrópio</w:t>
            </w:r>
            <w:r>
              <w:rPr>
                <w:rFonts w:hint="default" w:ascii="Calibri" w:hAnsi="Calibri" w:eastAsia="SimSun" w:cs="Calibri"/>
                <w:i w:val="0"/>
                <w:iCs w:val="0"/>
                <w:caps w:val="0"/>
                <w:color w:val="000000"/>
                <w:spacing w:val="0"/>
                <w:sz w:val="22"/>
                <w:szCs w:val="22"/>
                <w:shd w:val="clear" w:color="auto" w:fill="auto"/>
                <w:lang w:val="pt-BR"/>
              </w:rPr>
              <w:t xml:space="preserve">, solução a 0,025% para inalação: frasco com 20 ml. </w:t>
            </w:r>
          </w:p>
        </w:tc>
        <w:tc>
          <w:tcPr>
            <w:tcW w:w="1417" w:type="dxa"/>
            <w:tcBorders>
              <w:top w:val="single" w:color="000001" w:sz="4" w:space="0"/>
              <w:left w:val="single" w:color="000001" w:sz="4" w:space="0"/>
              <w:bottom w:val="single" w:color="000001" w:sz="4" w:space="0"/>
            </w:tcBorders>
            <w:shd w:val="clear" w:color="auto" w:fill="auto"/>
            <w:vAlign w:val="center"/>
          </w:tcPr>
          <w:p>
            <w:pPr>
              <w:widowControl w:val="0"/>
              <w:jc w:val="center"/>
              <w:rPr>
                <w:rFonts w:ascii="Calibri" w:hAnsi="Calibri" w:eastAsia="Calibri" w:cs="Calibri"/>
                <w:color w:val="00000A"/>
                <w:sz w:val="22"/>
                <w:szCs w:val="22"/>
              </w:rPr>
            </w:pPr>
            <w:r>
              <w:rPr>
                <w:rFonts w:hint="default" w:ascii="Calibri" w:hAnsi="Calibri" w:cs="Calibri"/>
                <w:sz w:val="22"/>
                <w:szCs w:val="22"/>
                <w:lang w:val="pt-BR"/>
              </w:rPr>
              <w:t>frasco</w:t>
            </w:r>
          </w:p>
        </w:tc>
        <w:tc>
          <w:tcPr>
            <w:tcW w:w="1418" w:type="dxa"/>
            <w:tcBorders>
              <w:top w:val="single" w:color="000001" w:sz="4" w:space="0"/>
              <w:left w:val="single" w:color="000001" w:sz="4" w:space="0"/>
              <w:bottom w:val="single" w:color="000001" w:sz="4" w:space="0"/>
            </w:tcBorders>
            <w:shd w:val="clear" w:color="auto" w:fill="auto"/>
            <w:vAlign w:val="center"/>
          </w:tcPr>
          <w:p>
            <w:pPr>
              <w:suppressAutoHyphens w:val="0"/>
              <w:spacing w:before="60" w:after="60"/>
              <w:jc w:val="center"/>
              <w:rPr>
                <w:rFonts w:ascii="Calibri" w:hAnsi="Calibri"/>
                <w:sz w:val="24"/>
                <w:szCs w:val="24"/>
                <w:lang w:eastAsia="pt-BR"/>
              </w:rPr>
            </w:pPr>
            <w:r>
              <w:rPr>
                <w:rFonts w:hint="default" w:ascii="Calibri" w:hAnsi="Calibri" w:cs="Calibri"/>
                <w:sz w:val="22"/>
                <w:szCs w:val="22"/>
                <w:lang w:eastAsia="pt-BR"/>
              </w:rPr>
              <w:t>R$</w:t>
            </w:r>
            <w:r>
              <w:rPr>
                <w:rFonts w:hint="default" w:ascii="Calibri" w:hAnsi="Calibri" w:cs="Calibri"/>
                <w:sz w:val="22"/>
                <w:szCs w:val="22"/>
                <w:lang w:val="en-US" w:eastAsia="pt-BR"/>
              </w:rPr>
              <w:t xml:space="preserve"> 22,40</w:t>
            </w:r>
          </w:p>
        </w:tc>
        <w:tc>
          <w:tcPr>
            <w:tcW w:w="1559" w:type="dxa"/>
            <w:tcBorders>
              <w:top w:val="single" w:color="000001" w:sz="4" w:space="0"/>
              <w:left w:val="single" w:color="000001" w:sz="4" w:space="0"/>
              <w:bottom w:val="single" w:color="000001" w:sz="4" w:space="0"/>
              <w:right w:val="single" w:color="000001" w:sz="4" w:space="0"/>
            </w:tcBorders>
            <w:shd w:val="clear" w:color="auto" w:fill="auto"/>
            <w:vAlign w:val="center"/>
          </w:tcPr>
          <w:p>
            <w:pPr>
              <w:suppressAutoHyphens w:val="0"/>
              <w:spacing w:before="60" w:after="60"/>
              <w:jc w:val="center"/>
              <w:rPr>
                <w:rFonts w:ascii="Calibri" w:hAnsi="Calibri"/>
                <w:sz w:val="24"/>
                <w:szCs w:val="24"/>
                <w:lang w:eastAsia="pt-BR"/>
              </w:rPr>
            </w:pPr>
            <w:r>
              <w:rPr>
                <w:rFonts w:hint="default" w:ascii="Calibri" w:hAnsi="Calibri" w:cs="Calibri"/>
                <w:sz w:val="22"/>
                <w:szCs w:val="22"/>
                <w:lang w:eastAsia="pt-BR"/>
              </w:rPr>
              <w:t>R$</w:t>
            </w:r>
            <w:r>
              <w:rPr>
                <w:rFonts w:hint="default" w:ascii="Calibri" w:hAnsi="Calibri" w:cs="Calibri"/>
                <w:sz w:val="22"/>
                <w:szCs w:val="22"/>
                <w:lang w:val="en-US" w:eastAsia="pt-BR"/>
              </w:rPr>
              <w:t xml:space="preserve"> 44,80</w:t>
            </w:r>
          </w:p>
        </w:tc>
      </w:tr>
    </w:tbl>
    <w:p>
      <w:pPr>
        <w:ind w:left="340" w:firstLine="0"/>
        <w:jc w:val="both"/>
        <w:rPr>
          <w:rFonts w:eastAsia="Times New Roman" w:asciiTheme="minorHAnsi" w:hAnsiTheme="minorHAnsi" w:cstheme="minorHAnsi"/>
          <w:color w:val="000000" w:themeColor="text1"/>
          <w:sz w:val="24"/>
          <w:szCs w:val="24"/>
          <w14:textFill>
            <w14:solidFill>
              <w14:schemeClr w14:val="tx1"/>
            </w14:solidFill>
          </w14:textFill>
        </w:rPr>
      </w:pPr>
    </w:p>
    <w:p>
      <w:pPr>
        <w:ind w:firstLine="283"/>
        <w:jc w:val="both"/>
        <w:rPr>
          <w:rFonts w:asciiTheme="minorHAnsi" w:hAnsiTheme="minorHAnsi" w:cstheme="minorHAnsi"/>
          <w:color w:val="000000" w:themeColor="text1"/>
          <w:sz w:val="24"/>
          <w:szCs w:val="24"/>
          <w14:textFill>
            <w14:solidFill>
              <w14:schemeClr w14:val="tx1"/>
            </w14:solidFill>
          </w14:textFill>
        </w:rPr>
      </w:pPr>
      <w:r>
        <w:rPr>
          <w:rFonts w:eastAsia="Times New Roman" w:asciiTheme="minorHAnsi" w:hAnsiTheme="minorHAnsi" w:cstheme="minorHAnsi"/>
          <w:color w:val="000000" w:themeColor="text1"/>
          <w:sz w:val="24"/>
          <w:szCs w:val="24"/>
          <w14:textFill>
            <w14:solidFill>
              <w14:schemeClr w14:val="tx1"/>
            </w14:solidFill>
          </w14:textFill>
        </w:rPr>
        <w:t>3.1 Os itens inseridos no Comprasnet contemplam a descrição do Catálogo de Materiais, podendo haver divergência com o especificado no quadro acima. Caso isso ocorra, será utilizada para fins de aceitação do objeto a descrição constante no quadro.</w:t>
      </w:r>
    </w:p>
    <w:p>
      <w:pPr>
        <w:ind w:left="340" w:firstLine="0"/>
        <w:jc w:val="both"/>
        <w:rPr>
          <w:rFonts w:asciiTheme="minorHAnsi" w:hAnsiTheme="minorHAnsi" w:cstheme="minorHAnsi"/>
          <w:color w:val="000000" w:themeColor="text1"/>
          <w:sz w:val="24"/>
          <w:szCs w:val="24"/>
          <w14:textFill>
            <w14:solidFill>
              <w14:schemeClr w14:val="tx1"/>
            </w14:solidFill>
          </w14:textFill>
        </w:rPr>
      </w:pPr>
    </w:p>
    <w:p>
      <w:pPr>
        <w:rPr>
          <w:rFonts w:asciiTheme="minorHAnsi" w:hAnsiTheme="minorHAnsi" w:cstheme="minorHAnsi"/>
          <w:color w:val="000000" w:themeColor="text1"/>
          <w:sz w:val="24"/>
          <w:szCs w:val="24"/>
          <w14:textFill>
            <w14:solidFill>
              <w14:schemeClr w14:val="tx1"/>
            </w14:solidFill>
          </w14:textFill>
        </w:rPr>
      </w:pPr>
      <w:r>
        <w:rPr>
          <w:rFonts w:eastAsia="Times New Roman" w:asciiTheme="minorHAnsi" w:hAnsiTheme="minorHAnsi" w:cstheme="minorHAnsi"/>
          <w:b/>
          <w:bCs/>
          <w:color w:val="000000" w:themeColor="text1"/>
          <w:sz w:val="24"/>
          <w:szCs w:val="24"/>
          <w14:textFill>
            <w14:solidFill>
              <w14:schemeClr w14:val="tx1"/>
            </w14:solidFill>
          </w14:textFill>
        </w:rPr>
        <w:t>4. PRAZO, LOCAL E CONDIÇÕES DE ENTREGA OU EXECUÇÃO</w:t>
      </w:r>
    </w:p>
    <w:p>
      <w:pPr>
        <w:ind w:firstLine="283"/>
        <w:rPr>
          <w:rFonts w:asciiTheme="minorHAnsi" w:hAnsiTheme="minorHAnsi" w:cstheme="minorHAnsi"/>
          <w:color w:val="000000" w:themeColor="text1"/>
          <w:sz w:val="24"/>
          <w:szCs w:val="24"/>
          <w14:textFill>
            <w14:solidFill>
              <w14:schemeClr w14:val="tx1"/>
            </w14:solidFill>
          </w14:textFill>
        </w:rPr>
      </w:pPr>
      <w:r>
        <w:rPr>
          <w:rFonts w:eastAsia="Times New Roman" w:asciiTheme="minorHAnsi" w:hAnsiTheme="minorHAnsi" w:cstheme="minorHAnsi"/>
          <w:color w:val="000000" w:themeColor="text1"/>
          <w:sz w:val="24"/>
          <w:szCs w:val="24"/>
          <w14:textFill>
            <w14:solidFill>
              <w14:schemeClr w14:val="tx1"/>
            </w14:solidFill>
          </w14:textFill>
        </w:rPr>
        <w:t>4.1 Prazo de entrega: 30 (trinta) dias corridos, a contar do recebimento da nota de empenho.</w:t>
      </w:r>
    </w:p>
    <w:p>
      <w:pPr>
        <w:spacing w:line="20" w:lineRule="exact"/>
        <w:rPr>
          <w:rFonts w:asciiTheme="minorHAnsi" w:hAnsiTheme="minorHAnsi" w:cstheme="minorHAnsi"/>
          <w:color w:val="000000" w:themeColor="text1"/>
          <w:sz w:val="24"/>
          <w:szCs w:val="24"/>
          <w14:textFill>
            <w14:solidFill>
              <w14:schemeClr w14:val="tx1"/>
            </w14:solidFill>
          </w14:textFill>
        </w:rPr>
      </w:pPr>
    </w:p>
    <w:p>
      <w:pPr>
        <w:ind w:firstLine="283"/>
        <w:jc w:val="both"/>
      </w:pPr>
      <w:r>
        <w:rPr>
          <w:rFonts w:eastAsia="Times New Roman" w:asciiTheme="minorHAnsi" w:hAnsiTheme="minorHAnsi" w:cstheme="minorHAnsi"/>
          <w:color w:val="000000" w:themeColor="text1"/>
          <w:sz w:val="24"/>
          <w:szCs w:val="24"/>
          <w14:textFill>
            <w14:solidFill>
              <w14:schemeClr w14:val="tx1"/>
            </w14:solidFill>
          </w14:textFill>
        </w:rPr>
        <w:t>4.2 Local de entrega: Farmácia do 38º Batalhão de Infantaria – Praia de Piratininga, s/nº, Prainha, Vila Velha – ES, CEP 29100-901.</w:t>
      </w:r>
    </w:p>
    <w:p>
      <w:pPr>
        <w:spacing w:line="316" w:lineRule="exact"/>
        <w:rPr>
          <w:rFonts w:asciiTheme="minorHAnsi" w:hAnsiTheme="minorHAnsi" w:cstheme="minorHAnsi"/>
          <w:color w:val="000000" w:themeColor="text1"/>
          <w:sz w:val="24"/>
          <w:szCs w:val="24"/>
          <w14:textFill>
            <w14:solidFill>
              <w14:schemeClr w14:val="tx1"/>
            </w14:solidFill>
          </w14:textFill>
        </w:rPr>
      </w:pPr>
    </w:p>
    <w:p>
      <w:pPr>
        <w:tabs>
          <w:tab w:val="left" w:pos="260"/>
        </w:tabs>
        <w:rPr>
          <w:rFonts w:asciiTheme="minorHAnsi" w:hAnsiTheme="minorHAnsi" w:cstheme="minorHAnsi"/>
          <w:b/>
          <w:bCs/>
          <w:color w:val="000000" w:themeColor="text1"/>
          <w:sz w:val="24"/>
          <w:szCs w:val="24"/>
          <w14:textFill>
            <w14:solidFill>
              <w14:schemeClr w14:val="tx1"/>
            </w14:solidFill>
          </w14:textFill>
        </w:rPr>
      </w:pPr>
      <w:r>
        <w:rPr>
          <w:rFonts w:eastAsia="Times New Roman" w:asciiTheme="minorHAnsi" w:hAnsiTheme="minorHAnsi" w:cstheme="minorHAnsi"/>
          <w:b/>
          <w:bCs/>
          <w:color w:val="000000" w:themeColor="text1"/>
          <w:sz w:val="24"/>
          <w:szCs w:val="24"/>
          <w14:textFill>
            <w14:solidFill>
              <w14:schemeClr w14:val="tx1"/>
            </w14:solidFill>
          </w14:textFill>
        </w:rPr>
        <w:t>5. RESPONSÁVEL PELO RECEBIMENTO, TELEFONE E E-MAIL</w:t>
      </w:r>
    </w:p>
    <w:p>
      <w:pPr>
        <w:ind w:firstLine="283"/>
      </w:pPr>
      <w:r>
        <w:rPr>
          <w:rFonts w:eastAsia="Times New Roman" w:asciiTheme="minorHAnsi" w:hAnsiTheme="minorHAnsi" w:cstheme="minorHAnsi"/>
          <w:color w:val="000000" w:themeColor="text1"/>
          <w:sz w:val="24"/>
          <w:szCs w:val="24"/>
          <w14:textFill>
            <w14:solidFill>
              <w14:schemeClr w14:val="tx1"/>
            </w14:solidFill>
          </w14:textFill>
        </w:rPr>
        <w:t>Setor: Farmácia</w:t>
      </w:r>
    </w:p>
    <w:p>
      <w:pPr>
        <w:spacing w:line="8" w:lineRule="exact"/>
        <w:ind w:firstLine="283"/>
        <w:rPr>
          <w:rFonts w:asciiTheme="minorHAnsi" w:hAnsiTheme="minorHAnsi" w:cstheme="minorHAnsi"/>
          <w:color w:val="000000" w:themeColor="text1"/>
          <w:sz w:val="24"/>
          <w:szCs w:val="24"/>
          <w14:textFill>
            <w14:solidFill>
              <w14:schemeClr w14:val="tx1"/>
            </w14:solidFill>
          </w14:textFill>
        </w:rPr>
      </w:pPr>
    </w:p>
    <w:p>
      <w:pPr>
        <w:ind w:firstLine="283"/>
      </w:pPr>
      <w:r>
        <w:rPr>
          <w:rFonts w:eastAsia="Times New Roman" w:asciiTheme="minorHAnsi" w:hAnsiTheme="minorHAnsi" w:cstheme="minorHAnsi"/>
          <w:color w:val="000000" w:themeColor="text1"/>
          <w:sz w:val="24"/>
          <w:szCs w:val="24"/>
          <w14:textFill>
            <w14:solidFill>
              <w14:schemeClr w14:val="tx1"/>
            </w14:solidFill>
          </w14:textFill>
        </w:rPr>
        <w:t>Telefone: (27) 3061-7333</w:t>
      </w:r>
    </w:p>
    <w:p>
      <w:pPr>
        <w:spacing w:line="8" w:lineRule="exact"/>
        <w:ind w:firstLine="283"/>
        <w:rPr>
          <w:rFonts w:asciiTheme="minorHAnsi" w:hAnsiTheme="minorHAnsi" w:cstheme="minorHAnsi"/>
          <w:color w:val="000000" w:themeColor="text1"/>
          <w:sz w:val="24"/>
          <w:szCs w:val="24"/>
          <w14:textFill>
            <w14:solidFill>
              <w14:schemeClr w14:val="tx1"/>
            </w14:solidFill>
          </w14:textFill>
        </w:rPr>
      </w:pPr>
    </w:p>
    <w:p>
      <w:pPr>
        <w:ind w:firstLine="283"/>
      </w:pPr>
      <w:r>
        <w:rPr>
          <w:rFonts w:eastAsia="Times New Roman" w:asciiTheme="minorHAnsi" w:hAnsiTheme="minorHAnsi" w:cstheme="minorHAnsi"/>
          <w:color w:val="000000" w:themeColor="text1"/>
          <w:sz w:val="24"/>
          <w:szCs w:val="24"/>
          <w14:textFill>
            <w14:solidFill>
              <w14:schemeClr w14:val="tx1"/>
            </w14:solidFill>
          </w14:textFill>
        </w:rPr>
        <w:t>E-mail: farmacia@38bi.eb.mil.br</w:t>
      </w:r>
    </w:p>
    <w:p>
      <w:pPr>
        <w:spacing w:line="304" w:lineRule="exact"/>
        <w:rPr>
          <w:rFonts w:asciiTheme="minorHAnsi" w:hAnsiTheme="minorHAnsi" w:cstheme="minorHAnsi"/>
          <w:color w:val="000000" w:themeColor="text1"/>
          <w:sz w:val="24"/>
          <w:szCs w:val="24"/>
          <w14:textFill>
            <w14:solidFill>
              <w14:schemeClr w14:val="tx1"/>
            </w14:solidFill>
          </w14:textFill>
        </w:rPr>
      </w:pPr>
    </w:p>
    <w:p>
      <w:pPr>
        <w:ind w:left="20" w:firstLine="0"/>
        <w:rPr>
          <w:rFonts w:asciiTheme="minorHAnsi" w:hAnsiTheme="minorHAnsi" w:cstheme="minorHAnsi"/>
          <w:b/>
          <w:bCs/>
          <w:color w:val="000000" w:themeColor="text1"/>
          <w:sz w:val="24"/>
          <w:szCs w:val="24"/>
          <w14:textFill>
            <w14:solidFill>
              <w14:schemeClr w14:val="tx1"/>
            </w14:solidFill>
          </w14:textFill>
        </w:rPr>
      </w:pPr>
      <w:r>
        <w:rPr>
          <w:rFonts w:eastAsia="Times New Roman" w:asciiTheme="minorHAnsi" w:hAnsiTheme="minorHAnsi" w:cstheme="minorHAnsi"/>
          <w:b/>
          <w:bCs/>
          <w:color w:val="000000" w:themeColor="text1"/>
          <w:sz w:val="24"/>
          <w:szCs w:val="24"/>
          <w14:textFill>
            <w14:solidFill>
              <w14:schemeClr w14:val="tx1"/>
            </w14:solidFill>
          </w14:textFill>
        </w:rPr>
        <w:t>6. PROCEDIMENTO DO CERTAME</w:t>
      </w:r>
    </w:p>
    <w:p>
      <w:pPr>
        <w:spacing w:line="235" w:lineRule="auto"/>
        <w:ind w:left="57" w:firstLine="227"/>
        <w:jc w:val="both"/>
        <w:rPr>
          <w:rFonts w:asciiTheme="minorHAnsi" w:hAnsiTheme="minorHAnsi" w:cstheme="minorHAnsi"/>
          <w:color w:val="000000" w:themeColor="text1"/>
          <w:sz w:val="24"/>
          <w:szCs w:val="24"/>
          <w14:textFill>
            <w14:solidFill>
              <w14:schemeClr w14:val="tx1"/>
            </w14:solidFill>
          </w14:textFill>
        </w:rPr>
      </w:pPr>
      <w:r>
        <w:rPr>
          <w:rFonts w:eastAsia="Times New Roman" w:asciiTheme="minorHAnsi" w:hAnsiTheme="minorHAnsi" w:cstheme="minorHAnsi"/>
          <w:color w:val="000000" w:themeColor="text1"/>
          <w:sz w:val="24"/>
          <w:szCs w:val="24"/>
          <w14:textFill>
            <w14:solidFill>
              <w14:schemeClr w14:val="tx1"/>
            </w14:solidFill>
          </w14:textFill>
        </w:rPr>
        <w:t xml:space="preserve">6.1 A dispensa eletrônica será inserida no sistema, sendo aberta automaticamente pelo portal de compras governamentais e finalizada conforme descrito na IN 67 – SEGES/ME, de 8 de julho de 2021. </w:t>
      </w:r>
    </w:p>
    <w:p>
      <w:pPr>
        <w:ind w:firstLine="283"/>
        <w:jc w:val="both"/>
        <w:rPr>
          <w:rFonts w:asciiTheme="minorHAnsi" w:hAnsiTheme="minorHAnsi" w:cstheme="minorHAnsi"/>
          <w:color w:val="000000" w:themeColor="text1"/>
          <w:sz w:val="24"/>
          <w:szCs w:val="24"/>
          <w14:textFill>
            <w14:solidFill>
              <w14:schemeClr w14:val="tx1"/>
            </w14:solidFill>
          </w14:textFill>
        </w:rPr>
      </w:pPr>
      <w:r>
        <w:rPr>
          <w:rFonts w:eastAsia="Times New Roman" w:asciiTheme="minorHAnsi" w:hAnsiTheme="minorHAnsi" w:cstheme="minorHAnsi"/>
          <w:color w:val="000000" w:themeColor="text1"/>
          <w:sz w:val="24"/>
          <w:szCs w:val="24"/>
          <w14:textFill>
            <w14:solidFill>
              <w14:schemeClr w14:val="tx1"/>
            </w14:solidFill>
          </w14:textFill>
        </w:rPr>
        <w:t>6.2 Encerrada a fase de lances, o operador do sistema aguardará o procedimento de envio da documentação da empresa, descrito no item 12 deste termo, solicitando maiores informações ou quaisquer outras necessidades verificadas pela administração.</w:t>
      </w:r>
    </w:p>
    <w:p>
      <w:pPr>
        <w:spacing w:line="240" w:lineRule="auto"/>
        <w:ind w:firstLine="283"/>
        <w:jc w:val="both"/>
        <w:rPr>
          <w:rFonts w:asciiTheme="minorHAnsi" w:hAnsiTheme="minorHAnsi" w:cstheme="minorHAnsi"/>
          <w:b/>
          <w:color w:val="000000" w:themeColor="text1"/>
          <w:sz w:val="24"/>
          <w:szCs w:val="24"/>
          <w14:textFill>
            <w14:solidFill>
              <w14:schemeClr w14:val="tx1"/>
            </w14:solidFill>
          </w14:textFill>
        </w:rPr>
      </w:pPr>
      <w:r>
        <w:rPr>
          <w:rFonts w:eastAsia="Times New Roman" w:asciiTheme="minorHAnsi" w:hAnsiTheme="minorHAnsi" w:cstheme="minorHAnsi"/>
          <w:color w:val="000000" w:themeColor="text1"/>
          <w:sz w:val="24"/>
          <w:szCs w:val="24"/>
          <w14:textFill>
            <w14:solidFill>
              <w14:schemeClr w14:val="tx1"/>
            </w14:solidFill>
          </w14:textFill>
        </w:rPr>
        <w:t xml:space="preserve">6.3 </w:t>
      </w:r>
      <w:r>
        <w:rPr>
          <w:rFonts w:eastAsia="Times New Roman" w:asciiTheme="minorHAnsi" w:hAnsiTheme="minorHAnsi" w:cstheme="minorHAnsi"/>
          <w:b/>
          <w:color w:val="000000" w:themeColor="text1"/>
          <w:sz w:val="24"/>
          <w:szCs w:val="24"/>
          <w14:textFill>
            <w14:solidFill>
              <w14:schemeClr w14:val="tx1"/>
            </w14:solidFill>
          </w14:textFill>
        </w:rPr>
        <w:t>A Administração poderá solicitar amostra, catálogo ou folder do produto</w:t>
      </w:r>
      <w:r>
        <w:rPr>
          <w:rFonts w:eastAsia="Times New Roman" w:asciiTheme="minorHAnsi" w:hAnsiTheme="minorHAnsi" w:cstheme="minorHAnsi"/>
          <w:color w:val="000000" w:themeColor="text1"/>
          <w:sz w:val="24"/>
          <w:szCs w:val="24"/>
          <w14:textFill>
            <w14:solidFill>
              <w14:schemeClr w14:val="tx1"/>
            </w14:solidFill>
          </w14:textFill>
        </w:rPr>
        <w:t xml:space="preserve">, </w:t>
      </w:r>
      <w:r>
        <w:rPr>
          <w:rFonts w:eastAsia="Times New Roman" w:asciiTheme="minorHAnsi" w:hAnsiTheme="minorHAnsi" w:cstheme="minorHAnsi"/>
          <w:b/>
          <w:color w:val="000000" w:themeColor="text1"/>
          <w:sz w:val="24"/>
          <w:szCs w:val="24"/>
          <w14:textFill>
            <w14:solidFill>
              <w14:schemeClr w14:val="tx1"/>
            </w14:solidFill>
          </w14:textFill>
        </w:rPr>
        <w:t>ou ainda o link do fabricante, para aferição da qualidade do produto, bem como do atendimento ao que consta da especificação, visando proteger o erário e garantindo à administração pública a aquisição de itens funcionais.</w:t>
      </w:r>
    </w:p>
    <w:p>
      <w:pPr>
        <w:spacing w:line="302" w:lineRule="exact"/>
        <w:rPr>
          <w:rFonts w:asciiTheme="minorHAnsi" w:hAnsiTheme="minorHAnsi" w:cstheme="minorHAnsi"/>
          <w:color w:val="000000" w:themeColor="text1"/>
          <w:sz w:val="24"/>
          <w:szCs w:val="24"/>
          <w14:textFill>
            <w14:solidFill>
              <w14:schemeClr w14:val="tx1"/>
            </w14:solidFill>
          </w14:textFill>
        </w:rPr>
      </w:pPr>
    </w:p>
    <w:p>
      <w:pPr>
        <w:ind w:left="20" w:firstLine="0"/>
        <w:rPr>
          <w:rFonts w:asciiTheme="minorHAnsi" w:hAnsiTheme="minorHAnsi" w:cstheme="minorHAnsi"/>
          <w:b/>
          <w:bCs/>
          <w:color w:val="000000" w:themeColor="text1"/>
          <w:sz w:val="24"/>
          <w:szCs w:val="24"/>
          <w14:textFill>
            <w14:solidFill>
              <w14:schemeClr w14:val="tx1"/>
            </w14:solidFill>
          </w14:textFill>
        </w:rPr>
      </w:pPr>
      <w:r>
        <w:rPr>
          <w:rFonts w:eastAsia="Times New Roman" w:asciiTheme="minorHAnsi" w:hAnsiTheme="minorHAnsi" w:cstheme="minorHAnsi"/>
          <w:b/>
          <w:bCs/>
          <w:color w:val="000000" w:themeColor="text1"/>
          <w:sz w:val="24"/>
          <w:szCs w:val="24"/>
          <w14:textFill>
            <w14:solidFill>
              <w14:schemeClr w14:val="tx1"/>
            </w14:solidFill>
          </w14:textFill>
        </w:rPr>
        <w:t>7. CONDIÇÕES E PRAZOS DE PAGAMENTO</w:t>
      </w:r>
    </w:p>
    <w:p>
      <w:pPr>
        <w:spacing w:line="240" w:lineRule="auto"/>
        <w:ind w:firstLine="283"/>
        <w:jc w:val="both"/>
        <w:rPr>
          <w:rFonts w:asciiTheme="minorHAnsi" w:hAnsiTheme="minorHAnsi" w:cstheme="minorHAnsi"/>
          <w:color w:val="000000" w:themeColor="text1"/>
          <w:sz w:val="24"/>
          <w:szCs w:val="24"/>
          <w14:textFill>
            <w14:solidFill>
              <w14:schemeClr w14:val="tx1"/>
            </w14:solidFill>
          </w14:textFill>
        </w:rPr>
      </w:pPr>
      <w:r>
        <w:rPr>
          <w:rFonts w:eastAsia="Times New Roman" w:asciiTheme="minorHAnsi" w:hAnsiTheme="minorHAnsi" w:cstheme="minorHAnsi"/>
          <w:color w:val="000000" w:themeColor="text1"/>
          <w:sz w:val="24"/>
          <w:szCs w:val="24"/>
          <w14:textFill>
            <w14:solidFill>
              <w14:schemeClr w14:val="tx1"/>
            </w14:solidFill>
          </w14:textFill>
        </w:rPr>
        <w:t>7.1 O pagamento será efetuado mediante a apresentação de nota fiscal do produto, acompanhada das informações quanto aos seus dados bancários e de cópia da nota de empenho, para atestação e posterior liquidação e pagamento da despesa pelo Contratante, mediante ordem bancária creditada em conta corrente, no prazo máximo de trinta dias, contados do recebimento definitivo do produto, pela atestação da respectiva nota fiscal, nos termos do artigo 25 da Lei nº 14.133/21.</w:t>
      </w:r>
    </w:p>
    <w:p>
      <w:pPr>
        <w:spacing w:line="235" w:lineRule="auto"/>
        <w:ind w:firstLine="680"/>
        <w:jc w:val="both"/>
        <w:rPr>
          <w:rFonts w:asciiTheme="minorHAnsi" w:hAnsiTheme="minorHAnsi" w:cstheme="minorHAnsi"/>
          <w:color w:val="000000" w:themeColor="text1"/>
          <w:sz w:val="24"/>
          <w:szCs w:val="24"/>
          <w14:textFill>
            <w14:solidFill>
              <w14:schemeClr w14:val="tx1"/>
            </w14:solidFill>
          </w14:textFill>
        </w:rPr>
      </w:pPr>
      <w:r>
        <w:rPr>
          <w:rFonts w:eastAsia="Times New Roman" w:asciiTheme="minorHAnsi" w:hAnsiTheme="minorHAnsi" w:cstheme="minorHAnsi"/>
          <w:color w:val="000000" w:themeColor="text1"/>
          <w:sz w:val="24"/>
          <w:szCs w:val="24"/>
          <w14:textFill>
            <w14:solidFill>
              <w14:schemeClr w14:val="tx1"/>
            </w14:solidFill>
          </w14:textFill>
        </w:rPr>
        <w:t>7.1.1 O pagamento será efetuado pela Administração em parcela única, quando do recebimento definitivo do produto.</w:t>
      </w:r>
    </w:p>
    <w:p>
      <w:pPr>
        <w:spacing w:line="235" w:lineRule="auto"/>
        <w:ind w:firstLine="283"/>
        <w:jc w:val="both"/>
        <w:rPr>
          <w:rFonts w:asciiTheme="minorHAnsi" w:hAnsiTheme="minorHAnsi" w:cstheme="minorHAnsi"/>
          <w:color w:val="000000" w:themeColor="text1"/>
          <w:sz w:val="24"/>
          <w:szCs w:val="24"/>
          <w14:textFill>
            <w14:solidFill>
              <w14:schemeClr w14:val="tx1"/>
            </w14:solidFill>
          </w14:textFill>
        </w:rPr>
      </w:pPr>
      <w:r>
        <w:rPr>
          <w:rFonts w:eastAsia="Times New Roman" w:asciiTheme="minorHAnsi" w:hAnsiTheme="minorHAnsi" w:cstheme="minorHAnsi"/>
          <w:color w:val="000000" w:themeColor="text1"/>
          <w:sz w:val="24"/>
          <w:szCs w:val="24"/>
          <w14:textFill>
            <w14:solidFill>
              <w14:schemeClr w14:val="tx1"/>
            </w14:solidFill>
          </w14:textFill>
        </w:rPr>
        <w:t>7.2 Informações sobre notas fiscais ou recibos encaminhados à Tesouraria para pagamento somente serão prestadas por intermédio do telefone (27) 3061-7310.</w:t>
      </w:r>
    </w:p>
    <w:p>
      <w:pPr>
        <w:spacing w:line="235" w:lineRule="auto"/>
        <w:ind w:firstLine="680"/>
        <w:jc w:val="both"/>
        <w:rPr>
          <w:rFonts w:asciiTheme="minorHAnsi" w:hAnsiTheme="minorHAnsi" w:cstheme="minorHAnsi"/>
          <w:color w:val="000000" w:themeColor="text1"/>
          <w:sz w:val="24"/>
          <w:szCs w:val="24"/>
          <w14:textFill>
            <w14:solidFill>
              <w14:schemeClr w14:val="tx1"/>
            </w14:solidFill>
          </w14:textFill>
        </w:rPr>
      </w:pPr>
      <w:r>
        <w:rPr>
          <w:rFonts w:eastAsia="Times New Roman" w:asciiTheme="minorHAnsi" w:hAnsiTheme="minorHAnsi" w:cstheme="minorHAnsi"/>
          <w:color w:val="000000" w:themeColor="text1"/>
          <w:sz w:val="24"/>
          <w:szCs w:val="24"/>
          <w14:textFill>
            <w14:solidFill>
              <w14:schemeClr w14:val="tx1"/>
            </w14:solidFill>
          </w14:textFill>
        </w:rPr>
        <w:t>7.2.1 Na consulta, deverão ser informados o nome do interessado, com CNPJ ou CPF, o número da nota fiscal e o objeto da cotação, com a respectiva data.</w:t>
      </w:r>
    </w:p>
    <w:p>
      <w:pPr>
        <w:spacing w:line="240" w:lineRule="auto"/>
        <w:ind w:firstLine="283"/>
        <w:jc w:val="both"/>
        <w:rPr>
          <w:rFonts w:asciiTheme="minorHAnsi" w:hAnsiTheme="minorHAnsi" w:cstheme="minorHAnsi"/>
          <w:color w:val="000000" w:themeColor="text1"/>
          <w:sz w:val="24"/>
          <w:szCs w:val="24"/>
          <w14:textFill>
            <w14:solidFill>
              <w14:schemeClr w14:val="tx1"/>
            </w14:solidFill>
          </w14:textFill>
        </w:rPr>
      </w:pPr>
      <w:r>
        <w:rPr>
          <w:rFonts w:eastAsia="Times New Roman" w:asciiTheme="minorHAnsi" w:hAnsiTheme="minorHAnsi" w:cstheme="minorHAnsi"/>
          <w:color w:val="000000" w:themeColor="text1"/>
          <w:sz w:val="24"/>
          <w:szCs w:val="24"/>
          <w14:textFill>
            <w14:solidFill>
              <w14:schemeClr w14:val="tx1"/>
            </w14:solidFill>
          </w14:textFill>
        </w:rPr>
        <w:t>7.3 No caso da Contratada ser optante pelo Sistema Integrado de Pagamento de Impostos e Contribuições das Microempresas e Empresas de Pequeno Porte (SIMPLES), ela deverá apresentar, juntamente com a nota fiscal, a devida comprovação, a fim de evitar a retenção na fonte dos tributos e contribuições.</w:t>
      </w:r>
    </w:p>
    <w:p>
      <w:pPr>
        <w:spacing w:line="235" w:lineRule="auto"/>
        <w:ind w:firstLine="283"/>
        <w:jc w:val="both"/>
        <w:rPr>
          <w:rFonts w:asciiTheme="minorHAnsi" w:hAnsiTheme="minorHAnsi" w:cstheme="minorHAnsi"/>
          <w:color w:val="000000" w:themeColor="text1"/>
          <w:sz w:val="24"/>
          <w:szCs w:val="24"/>
          <w14:textFill>
            <w14:solidFill>
              <w14:schemeClr w14:val="tx1"/>
            </w14:solidFill>
          </w14:textFill>
        </w:rPr>
      </w:pPr>
      <w:r>
        <w:rPr>
          <w:rFonts w:eastAsia="Times New Roman" w:asciiTheme="minorHAnsi" w:hAnsiTheme="minorHAnsi" w:cstheme="minorHAnsi"/>
          <w:color w:val="000000" w:themeColor="text1"/>
          <w:sz w:val="24"/>
          <w:szCs w:val="24"/>
          <w14:textFill>
            <w14:solidFill>
              <w14:schemeClr w14:val="tx1"/>
            </w14:solidFill>
          </w14:textFill>
        </w:rPr>
        <w:t>7.4 No ato da efetivação do pagamento será efetuada a retenção na fonte dos tributos e contribuições, de acordo com a legislação tributária vigente.</w:t>
      </w:r>
    </w:p>
    <w:p>
      <w:pPr>
        <w:ind w:firstLine="283"/>
        <w:jc w:val="both"/>
        <w:rPr>
          <w:rFonts w:asciiTheme="minorHAnsi" w:hAnsiTheme="minorHAnsi" w:cstheme="minorHAnsi"/>
          <w:color w:val="000000" w:themeColor="text1"/>
          <w:sz w:val="24"/>
          <w:szCs w:val="24"/>
          <w14:textFill>
            <w14:solidFill>
              <w14:schemeClr w14:val="tx1"/>
            </w14:solidFill>
          </w14:textFill>
        </w:rPr>
      </w:pPr>
      <w:r>
        <w:rPr>
          <w:rFonts w:eastAsia="Times New Roman" w:asciiTheme="minorHAnsi" w:hAnsiTheme="minorHAnsi" w:cstheme="minorHAnsi"/>
          <w:color w:val="000000" w:themeColor="text1"/>
          <w:sz w:val="24"/>
          <w:szCs w:val="24"/>
          <w14:textFill>
            <w14:solidFill>
              <w14:schemeClr w14:val="tx1"/>
            </w14:solidFill>
          </w14:textFill>
        </w:rPr>
        <w:t>7.5 Caso haja incorreção no faturamento, os documentos de cobrança serão devolvidos para regularização e pagos em até 72 horas, a contar da sua nova aceitação, não cabendo atualização financeira sob hipótese alguma.</w:t>
      </w:r>
    </w:p>
    <w:p>
      <w:pPr>
        <w:ind w:firstLine="283"/>
        <w:jc w:val="both"/>
        <w:rPr>
          <w:rFonts w:asciiTheme="minorHAnsi" w:hAnsiTheme="minorHAnsi" w:cstheme="minorHAnsi"/>
          <w:color w:val="000000" w:themeColor="text1"/>
          <w:sz w:val="24"/>
          <w:szCs w:val="24"/>
          <w14:textFill>
            <w14:solidFill>
              <w14:schemeClr w14:val="tx1"/>
            </w14:solidFill>
          </w14:textFill>
        </w:rPr>
      </w:pPr>
      <w:r>
        <w:rPr>
          <w:rFonts w:eastAsia="Times New Roman" w:asciiTheme="minorHAnsi" w:hAnsiTheme="minorHAnsi" w:cstheme="minorHAnsi"/>
          <w:color w:val="000000" w:themeColor="text1"/>
          <w:sz w:val="24"/>
          <w:szCs w:val="24"/>
          <w14:textFill>
            <w14:solidFill>
              <w14:schemeClr w14:val="tx1"/>
            </w14:solidFill>
          </w14:textFill>
        </w:rPr>
        <w:t>7.6 O 38º Batalhão de Infantaria reserva-se o direito de se recusar ao pagamento se, na ocasião prevista para a atestação, o objeto deste Termo de Referência não estiver de acordo com o licitado, proposto e contratado.</w:t>
      </w:r>
    </w:p>
    <w:p>
      <w:pPr>
        <w:ind w:firstLine="283"/>
        <w:jc w:val="both"/>
        <w:rPr>
          <w:rFonts w:asciiTheme="minorHAnsi" w:hAnsiTheme="minorHAnsi" w:cstheme="minorHAnsi"/>
          <w:color w:val="000000" w:themeColor="text1"/>
          <w:sz w:val="24"/>
          <w:szCs w:val="24"/>
          <w14:textFill>
            <w14:solidFill>
              <w14:schemeClr w14:val="tx1"/>
            </w14:solidFill>
          </w14:textFill>
        </w:rPr>
      </w:pPr>
      <w:r>
        <w:rPr>
          <w:rFonts w:eastAsia="Times New Roman" w:asciiTheme="minorHAnsi" w:hAnsiTheme="minorHAnsi" w:cstheme="minorHAnsi"/>
          <w:color w:val="000000" w:themeColor="text1"/>
          <w:sz w:val="24"/>
          <w:szCs w:val="24"/>
          <w14:textFill>
            <w14:solidFill>
              <w14:schemeClr w14:val="tx1"/>
            </w14:solidFill>
          </w14:textFill>
        </w:rPr>
        <w:t>7.7 É vedado ao Licitante vencedor, sob pena de rescisão contratual, negociar ou caucionar a nota de empenho recebida para fins de operação financeira, ainda que relacionada com o objeto deste edital.</w:t>
      </w:r>
    </w:p>
    <w:p>
      <w:pPr>
        <w:spacing w:line="304" w:lineRule="exact"/>
        <w:rPr>
          <w:rFonts w:asciiTheme="minorHAnsi" w:hAnsiTheme="minorHAnsi" w:cstheme="minorHAnsi"/>
          <w:color w:val="000000" w:themeColor="text1"/>
          <w:sz w:val="24"/>
          <w:szCs w:val="24"/>
          <w14:textFill>
            <w14:solidFill>
              <w14:schemeClr w14:val="tx1"/>
            </w14:solidFill>
          </w14:textFill>
        </w:rPr>
      </w:pPr>
    </w:p>
    <w:p>
      <w:pPr>
        <w:rPr>
          <w:rFonts w:asciiTheme="minorHAnsi" w:hAnsiTheme="minorHAnsi" w:cstheme="minorHAnsi"/>
          <w:b/>
          <w:bCs/>
          <w:color w:val="000000" w:themeColor="text1"/>
          <w:sz w:val="24"/>
          <w:szCs w:val="24"/>
          <w14:textFill>
            <w14:solidFill>
              <w14:schemeClr w14:val="tx1"/>
            </w14:solidFill>
          </w14:textFill>
        </w:rPr>
      </w:pPr>
      <w:r>
        <w:rPr>
          <w:rFonts w:eastAsia="Times New Roman" w:asciiTheme="minorHAnsi" w:hAnsiTheme="minorHAnsi" w:cstheme="minorHAnsi"/>
          <w:b/>
          <w:bCs/>
          <w:color w:val="000000" w:themeColor="text1"/>
          <w:sz w:val="24"/>
          <w:szCs w:val="24"/>
          <w14:textFill>
            <w14:solidFill>
              <w14:schemeClr w14:val="tx1"/>
            </w14:solidFill>
          </w14:textFill>
        </w:rPr>
        <w:t>8. RECEBIMENTO, FISCALIZAÇÃO E ATESTAÇÃO</w:t>
      </w:r>
    </w:p>
    <w:p>
      <w:pPr>
        <w:spacing w:line="240" w:lineRule="auto"/>
        <w:ind w:firstLine="283"/>
        <w:jc w:val="both"/>
      </w:pPr>
      <w:r>
        <w:rPr>
          <w:rFonts w:eastAsia="Times New Roman" w:asciiTheme="minorHAnsi" w:hAnsiTheme="minorHAnsi" w:cstheme="minorHAnsi"/>
          <w:color w:val="000000" w:themeColor="text1"/>
          <w:sz w:val="24"/>
          <w:szCs w:val="24"/>
          <w14:textFill>
            <w14:solidFill>
              <w14:schemeClr w14:val="tx1"/>
            </w14:solidFill>
          </w14:textFill>
        </w:rPr>
        <w:t>8.1 Os materiais serão recebidos provisoriamente, imediatamente após efetuada a entrega, para efeito de posterior verificação da sua conformidade com as especificações constantes da proposta, por servidor lotado na Seção de Farmácia localizada dentro do Batalhão, de segunda-feira a quinta-feira, no horário das 09:30 às 12:00 e das 13:30 à 15:00 horas, e na sexta feira de 8-12h.</w:t>
      </w:r>
    </w:p>
    <w:p>
      <w:pPr>
        <w:tabs>
          <w:tab w:val="left" w:pos="285"/>
        </w:tabs>
        <w:spacing w:line="235" w:lineRule="auto"/>
        <w:ind w:firstLine="283"/>
        <w:jc w:val="both"/>
        <w:rPr>
          <w:rFonts w:asciiTheme="minorHAnsi" w:hAnsiTheme="minorHAnsi" w:cstheme="minorHAnsi"/>
          <w:color w:val="000000" w:themeColor="text1"/>
          <w:sz w:val="24"/>
          <w:szCs w:val="24"/>
          <w14:textFill>
            <w14:solidFill>
              <w14:schemeClr w14:val="tx1"/>
            </w14:solidFill>
          </w14:textFill>
        </w:rPr>
      </w:pPr>
      <w:r>
        <w:rPr>
          <w:rFonts w:eastAsia="Times New Roman" w:asciiTheme="minorHAnsi" w:hAnsiTheme="minorHAnsi" w:cstheme="minorHAnsi"/>
          <w:color w:val="000000" w:themeColor="text1"/>
          <w:sz w:val="24"/>
          <w:szCs w:val="24"/>
          <w14:textFill>
            <w14:solidFill>
              <w14:schemeClr w14:val="tx1"/>
            </w14:solidFill>
          </w14:textFill>
        </w:rPr>
        <w:t>8.2 Os materiais serão recebidos, definitivamente, após a verificação da sua qualidade e quantidade, por comissão ou servidor lotado na unidade requisitante.</w:t>
      </w:r>
    </w:p>
    <w:p>
      <w:pPr>
        <w:spacing w:line="240" w:lineRule="auto"/>
        <w:ind w:firstLine="283"/>
        <w:jc w:val="both"/>
        <w:rPr>
          <w:rFonts w:asciiTheme="minorHAnsi" w:hAnsiTheme="minorHAnsi" w:cstheme="minorHAnsi"/>
          <w:color w:val="000000" w:themeColor="text1"/>
          <w:sz w:val="24"/>
          <w:szCs w:val="24"/>
          <w14:textFill>
            <w14:solidFill>
              <w14:schemeClr w14:val="tx1"/>
            </w14:solidFill>
          </w14:textFill>
        </w:rPr>
      </w:pPr>
      <w:r>
        <w:rPr>
          <w:rFonts w:eastAsia="Times New Roman" w:asciiTheme="minorHAnsi" w:hAnsiTheme="minorHAnsi" w:cstheme="minorHAnsi"/>
          <w:color w:val="000000" w:themeColor="text1"/>
          <w:sz w:val="24"/>
          <w:szCs w:val="24"/>
          <w14:textFill>
            <w14:solidFill>
              <w14:schemeClr w14:val="tx1"/>
            </w14:solidFill>
          </w14:textFill>
        </w:rPr>
        <w:t>8.3 Os materiais entregues em desacordo com as especificações contidas no edital e seus anexos serão rejeitados parcial ou totalmente, conforme o caso, estando a Contratada obrigada a substituí-los, as suas expensas, no prazo estipulado pela Administração, contado da data do recebimento da notificação, sob pena de responder pelas penalidades constantes do edital, em razão de atraso no prazo de execução.</w:t>
      </w:r>
    </w:p>
    <w:p>
      <w:pPr>
        <w:spacing w:line="235" w:lineRule="auto"/>
        <w:ind w:firstLine="283"/>
        <w:jc w:val="both"/>
        <w:rPr>
          <w:rFonts w:asciiTheme="minorHAnsi" w:hAnsiTheme="minorHAnsi" w:cstheme="minorHAnsi"/>
          <w:color w:val="000000" w:themeColor="text1"/>
          <w:sz w:val="24"/>
          <w:szCs w:val="24"/>
          <w14:textFill>
            <w14:solidFill>
              <w14:schemeClr w14:val="tx1"/>
            </w14:solidFill>
          </w14:textFill>
        </w:rPr>
      </w:pPr>
      <w:r>
        <w:rPr>
          <w:rFonts w:eastAsia="Times New Roman" w:asciiTheme="minorHAnsi" w:hAnsiTheme="minorHAnsi" w:cstheme="minorHAnsi"/>
          <w:color w:val="000000" w:themeColor="text1"/>
          <w:sz w:val="24"/>
          <w:szCs w:val="24"/>
          <w14:textFill>
            <w14:solidFill>
              <w14:schemeClr w14:val="tx1"/>
            </w14:solidFill>
          </w14:textFill>
        </w:rPr>
        <w:t>8.4 Essa notificação suspende os prazos de recebimento e de pagamento até que a irregularidade seja sanada.</w:t>
      </w:r>
    </w:p>
    <w:p>
      <w:pPr>
        <w:ind w:firstLine="340"/>
        <w:jc w:val="both"/>
        <w:rPr>
          <w:rFonts w:asciiTheme="minorHAnsi" w:hAnsiTheme="minorHAnsi" w:cstheme="minorHAnsi"/>
          <w:color w:val="000000" w:themeColor="text1"/>
          <w:sz w:val="24"/>
          <w:szCs w:val="24"/>
          <w14:textFill>
            <w14:solidFill>
              <w14:schemeClr w14:val="tx1"/>
            </w14:solidFill>
          </w14:textFill>
        </w:rPr>
      </w:pPr>
      <w:r>
        <w:rPr>
          <w:rFonts w:eastAsia="Times New Roman" w:asciiTheme="minorHAnsi" w:hAnsiTheme="minorHAnsi" w:cstheme="minorHAnsi"/>
          <w:color w:val="000000" w:themeColor="text1"/>
          <w:sz w:val="24"/>
          <w:szCs w:val="24"/>
          <w14:textFill>
            <w14:solidFill>
              <w14:schemeClr w14:val="tx1"/>
            </w14:solidFill>
          </w14:textFill>
        </w:rPr>
        <w:t>8.5 Quando a recusa for parcial, a Administração poderá solicitar a substituição da nota fiscal por outra contendo apenas os itens aprovados, que deverá ocorrer em até três dias úteis.</w:t>
      </w:r>
    </w:p>
    <w:p>
      <w:pPr>
        <w:ind w:firstLine="340"/>
        <w:jc w:val="both"/>
        <w:rPr>
          <w:rFonts w:asciiTheme="minorHAnsi" w:hAnsiTheme="minorHAnsi" w:cstheme="minorHAnsi"/>
          <w:color w:val="000000" w:themeColor="text1"/>
          <w:sz w:val="24"/>
          <w:szCs w:val="24"/>
          <w14:textFill>
            <w14:solidFill>
              <w14:schemeClr w14:val="tx1"/>
            </w14:solidFill>
          </w14:textFill>
        </w:rPr>
      </w:pPr>
      <w:r>
        <w:rPr>
          <w:rFonts w:eastAsia="Times New Roman" w:asciiTheme="minorHAnsi" w:hAnsiTheme="minorHAnsi" w:cstheme="minorHAnsi"/>
          <w:color w:val="000000" w:themeColor="text1"/>
          <w:sz w:val="24"/>
          <w:szCs w:val="24"/>
          <w14:textFill>
            <w14:solidFill>
              <w14:schemeClr w14:val="tx1"/>
            </w14:solidFill>
          </w14:textFill>
        </w:rPr>
        <w:t>8.6 Para o recebimento definitivo ou dependendo da natureza do material, poderão ser efetuados testes por amostragem para avaliação dos produtos, sendo o licitante convocado pela administração, com prazos a serem definidos para apresentação ou envio dos produtos.</w:t>
      </w:r>
    </w:p>
    <w:p>
      <w:pPr>
        <w:ind w:firstLine="737"/>
        <w:jc w:val="both"/>
        <w:rPr>
          <w:rFonts w:asciiTheme="minorHAnsi" w:hAnsiTheme="minorHAnsi" w:cstheme="minorHAnsi"/>
          <w:color w:val="000000" w:themeColor="text1"/>
          <w:sz w:val="24"/>
          <w:szCs w:val="24"/>
          <w14:textFill>
            <w14:solidFill>
              <w14:schemeClr w14:val="tx1"/>
            </w14:solidFill>
          </w14:textFill>
        </w:rPr>
      </w:pPr>
      <w:r>
        <w:rPr>
          <w:rFonts w:eastAsia="Times New Roman" w:asciiTheme="minorHAnsi" w:hAnsiTheme="minorHAnsi" w:cstheme="minorHAnsi"/>
          <w:color w:val="000000" w:themeColor="text1"/>
          <w:sz w:val="24"/>
          <w:szCs w:val="24"/>
          <w14:textFill>
            <w14:solidFill>
              <w14:schemeClr w14:val="tx1"/>
            </w14:solidFill>
          </w14:textFill>
        </w:rPr>
        <w:t>8.6.1 Um representante da Contratada poderá acompanhar a avaliação dos materiais, desde que assim se manifeste até o momento da entrega, sendo a conferência efetuada na presença de testemunhas, em caso do seu não comparecimento.</w:t>
      </w:r>
    </w:p>
    <w:p>
      <w:pPr>
        <w:spacing w:line="304" w:lineRule="exact"/>
        <w:rPr>
          <w:rFonts w:asciiTheme="minorHAnsi" w:hAnsiTheme="minorHAnsi" w:cstheme="minorHAnsi"/>
          <w:color w:val="000000" w:themeColor="text1"/>
          <w:sz w:val="24"/>
          <w:szCs w:val="24"/>
          <w14:textFill>
            <w14:solidFill>
              <w14:schemeClr w14:val="tx1"/>
            </w14:solidFill>
          </w14:textFill>
        </w:rPr>
      </w:pPr>
    </w:p>
    <w:p>
      <w:pPr>
        <w:rPr>
          <w:rFonts w:asciiTheme="minorHAnsi" w:hAnsiTheme="minorHAnsi" w:cstheme="minorHAnsi"/>
          <w:b/>
          <w:bCs/>
          <w:color w:val="000000" w:themeColor="text1"/>
          <w:sz w:val="24"/>
          <w:szCs w:val="24"/>
          <w14:textFill>
            <w14:solidFill>
              <w14:schemeClr w14:val="tx1"/>
            </w14:solidFill>
          </w14:textFill>
        </w:rPr>
      </w:pPr>
      <w:r>
        <w:rPr>
          <w:rFonts w:eastAsia="Times New Roman" w:asciiTheme="minorHAnsi" w:hAnsiTheme="minorHAnsi" w:cstheme="minorHAnsi"/>
          <w:b/>
          <w:bCs/>
          <w:color w:val="000000" w:themeColor="text1"/>
          <w:sz w:val="24"/>
          <w:szCs w:val="24"/>
          <w14:textFill>
            <w14:solidFill>
              <w14:schemeClr w14:val="tx1"/>
            </w14:solidFill>
          </w14:textFill>
        </w:rPr>
        <w:t>9. OBRIGAÇÕES DA CONTRATANTE</w:t>
      </w:r>
    </w:p>
    <w:p>
      <w:pPr>
        <w:ind w:firstLine="283"/>
        <w:rPr>
          <w:rFonts w:asciiTheme="minorHAnsi" w:hAnsiTheme="minorHAnsi" w:cstheme="minorHAnsi"/>
          <w:color w:val="000000" w:themeColor="text1"/>
          <w:sz w:val="24"/>
          <w:szCs w:val="24"/>
          <w14:textFill>
            <w14:solidFill>
              <w14:schemeClr w14:val="tx1"/>
            </w14:solidFill>
          </w14:textFill>
        </w:rPr>
      </w:pPr>
      <w:r>
        <w:rPr>
          <w:rFonts w:eastAsia="Times New Roman" w:asciiTheme="minorHAnsi" w:hAnsiTheme="minorHAnsi" w:cstheme="minorHAnsi"/>
          <w:color w:val="000000" w:themeColor="text1"/>
          <w:sz w:val="24"/>
          <w:szCs w:val="24"/>
          <w14:textFill>
            <w14:solidFill>
              <w14:schemeClr w14:val="tx1"/>
            </w14:solidFill>
          </w14:textFill>
        </w:rPr>
        <w:t>9.1 Receber e conferir os materiais.</w:t>
      </w:r>
    </w:p>
    <w:p>
      <w:pPr>
        <w:spacing w:line="8" w:lineRule="exact"/>
        <w:ind w:firstLine="283"/>
        <w:rPr>
          <w:rFonts w:asciiTheme="minorHAnsi" w:hAnsiTheme="minorHAnsi" w:cstheme="minorHAnsi"/>
          <w:color w:val="000000" w:themeColor="text1"/>
          <w:sz w:val="24"/>
          <w:szCs w:val="24"/>
          <w14:textFill>
            <w14:solidFill>
              <w14:schemeClr w14:val="tx1"/>
            </w14:solidFill>
          </w14:textFill>
        </w:rPr>
      </w:pPr>
    </w:p>
    <w:p>
      <w:pPr>
        <w:ind w:firstLine="283"/>
        <w:rPr>
          <w:rFonts w:asciiTheme="minorHAnsi" w:hAnsiTheme="minorHAnsi" w:cstheme="minorHAnsi"/>
          <w:color w:val="000000" w:themeColor="text1"/>
          <w:sz w:val="24"/>
          <w:szCs w:val="24"/>
          <w14:textFill>
            <w14:solidFill>
              <w14:schemeClr w14:val="tx1"/>
            </w14:solidFill>
          </w14:textFill>
        </w:rPr>
      </w:pPr>
      <w:r>
        <w:rPr>
          <w:rFonts w:eastAsia="Times New Roman" w:asciiTheme="minorHAnsi" w:hAnsiTheme="minorHAnsi" w:cstheme="minorHAnsi"/>
          <w:color w:val="000000" w:themeColor="text1"/>
          <w:sz w:val="24"/>
          <w:szCs w:val="24"/>
          <w14:textFill>
            <w14:solidFill>
              <w14:schemeClr w14:val="tx1"/>
            </w14:solidFill>
          </w14:textFill>
        </w:rPr>
        <w:t>9.2 Recusar o material que não estiver de acordo com as especificações.</w:t>
      </w:r>
    </w:p>
    <w:p>
      <w:pPr>
        <w:spacing w:line="8" w:lineRule="exact"/>
        <w:ind w:firstLine="283"/>
        <w:rPr>
          <w:rFonts w:asciiTheme="minorHAnsi" w:hAnsiTheme="minorHAnsi" w:cstheme="minorHAnsi"/>
          <w:color w:val="000000" w:themeColor="text1"/>
          <w:sz w:val="24"/>
          <w:szCs w:val="24"/>
          <w14:textFill>
            <w14:solidFill>
              <w14:schemeClr w14:val="tx1"/>
            </w14:solidFill>
          </w14:textFill>
        </w:rPr>
      </w:pPr>
    </w:p>
    <w:p>
      <w:pPr>
        <w:ind w:firstLine="283"/>
        <w:rPr>
          <w:rFonts w:asciiTheme="minorHAnsi" w:hAnsiTheme="minorHAnsi" w:cstheme="minorHAnsi"/>
          <w:color w:val="000000" w:themeColor="text1"/>
          <w:sz w:val="24"/>
          <w:szCs w:val="24"/>
          <w14:textFill>
            <w14:solidFill>
              <w14:schemeClr w14:val="tx1"/>
            </w14:solidFill>
          </w14:textFill>
        </w:rPr>
      </w:pPr>
      <w:r>
        <w:rPr>
          <w:rFonts w:eastAsia="Times New Roman" w:asciiTheme="minorHAnsi" w:hAnsiTheme="minorHAnsi" w:cstheme="minorHAnsi"/>
          <w:color w:val="000000" w:themeColor="text1"/>
          <w:sz w:val="24"/>
          <w:szCs w:val="24"/>
          <w14:textFill>
            <w14:solidFill>
              <w14:schemeClr w14:val="tx1"/>
            </w14:solidFill>
          </w14:textFill>
        </w:rPr>
        <w:t>9.3 Efetuar o pagamento dentro do prazo estipulado no item 7  deste Termo de Referência.</w:t>
      </w:r>
    </w:p>
    <w:p>
      <w:pPr>
        <w:spacing w:line="8" w:lineRule="exact"/>
        <w:ind w:firstLine="283"/>
        <w:rPr>
          <w:rFonts w:asciiTheme="minorHAnsi" w:hAnsiTheme="minorHAnsi" w:cstheme="minorHAnsi"/>
          <w:color w:val="000000" w:themeColor="text1"/>
          <w:sz w:val="24"/>
          <w:szCs w:val="24"/>
          <w14:textFill>
            <w14:solidFill>
              <w14:schemeClr w14:val="tx1"/>
            </w14:solidFill>
          </w14:textFill>
        </w:rPr>
      </w:pPr>
    </w:p>
    <w:p>
      <w:pPr>
        <w:ind w:firstLine="283"/>
        <w:rPr>
          <w:rFonts w:asciiTheme="minorHAnsi" w:hAnsiTheme="minorHAnsi" w:cstheme="minorHAnsi"/>
          <w:color w:val="000000" w:themeColor="text1"/>
          <w:sz w:val="24"/>
          <w:szCs w:val="24"/>
          <w14:textFill>
            <w14:solidFill>
              <w14:schemeClr w14:val="tx1"/>
            </w14:solidFill>
          </w14:textFill>
        </w:rPr>
      </w:pPr>
      <w:r>
        <w:rPr>
          <w:rFonts w:eastAsia="Times New Roman" w:asciiTheme="minorHAnsi" w:hAnsiTheme="minorHAnsi" w:cstheme="minorHAnsi"/>
          <w:color w:val="000000" w:themeColor="text1"/>
          <w:sz w:val="24"/>
          <w:szCs w:val="24"/>
          <w14:textFill>
            <w14:solidFill>
              <w14:schemeClr w14:val="tx1"/>
            </w14:solidFill>
          </w14:textFill>
        </w:rPr>
        <w:t>9.4 Prestar as informações e os esclarecimentos que venham a ser solicitados pela Contratada.</w:t>
      </w:r>
    </w:p>
    <w:p>
      <w:pPr>
        <w:spacing w:line="304" w:lineRule="exact"/>
        <w:rPr>
          <w:rFonts w:asciiTheme="minorHAnsi" w:hAnsiTheme="minorHAnsi" w:cstheme="minorHAnsi"/>
          <w:color w:val="000000" w:themeColor="text1"/>
          <w:sz w:val="24"/>
          <w:szCs w:val="24"/>
          <w14:textFill>
            <w14:solidFill>
              <w14:schemeClr w14:val="tx1"/>
            </w14:solidFill>
          </w14:textFill>
        </w:rPr>
      </w:pPr>
    </w:p>
    <w:p>
      <w:pPr>
        <w:rPr>
          <w:rFonts w:asciiTheme="minorHAnsi" w:hAnsiTheme="minorHAnsi" w:cstheme="minorHAnsi"/>
          <w:b/>
          <w:bCs/>
          <w:color w:val="000000" w:themeColor="text1"/>
          <w:sz w:val="24"/>
          <w:szCs w:val="24"/>
          <w14:textFill>
            <w14:solidFill>
              <w14:schemeClr w14:val="tx1"/>
            </w14:solidFill>
          </w14:textFill>
        </w:rPr>
      </w:pPr>
      <w:r>
        <w:rPr>
          <w:rFonts w:eastAsia="Times New Roman" w:asciiTheme="minorHAnsi" w:hAnsiTheme="minorHAnsi" w:cstheme="minorHAnsi"/>
          <w:b/>
          <w:bCs/>
          <w:color w:val="000000" w:themeColor="text1"/>
          <w:sz w:val="24"/>
          <w:szCs w:val="24"/>
          <w14:textFill>
            <w14:solidFill>
              <w14:schemeClr w14:val="tx1"/>
            </w14:solidFill>
          </w14:textFill>
        </w:rPr>
        <w:t>10. OBRIGAÇÕES DA CONTRATADA</w:t>
      </w:r>
    </w:p>
    <w:p>
      <w:pPr>
        <w:tabs>
          <w:tab w:val="left" w:pos="287"/>
        </w:tabs>
        <w:spacing w:line="235" w:lineRule="auto"/>
        <w:ind w:firstLine="283"/>
        <w:jc w:val="both"/>
        <w:rPr>
          <w:rFonts w:asciiTheme="minorHAnsi" w:hAnsiTheme="minorHAnsi" w:cstheme="minorHAnsi"/>
          <w:color w:val="000000" w:themeColor="text1"/>
          <w:sz w:val="24"/>
          <w:szCs w:val="24"/>
          <w14:textFill>
            <w14:solidFill>
              <w14:schemeClr w14:val="tx1"/>
            </w14:solidFill>
          </w14:textFill>
        </w:rPr>
      </w:pPr>
      <w:r>
        <w:rPr>
          <w:rFonts w:eastAsia="Times New Roman" w:asciiTheme="minorHAnsi" w:hAnsiTheme="minorHAnsi" w:cstheme="minorHAnsi"/>
          <w:color w:val="000000" w:themeColor="text1"/>
          <w:sz w:val="24"/>
          <w:szCs w:val="24"/>
          <w14:textFill>
            <w14:solidFill>
              <w14:schemeClr w14:val="tx1"/>
            </w14:solidFill>
          </w14:textFill>
        </w:rPr>
        <w:t>10.1 Entregar o produto no prazo máximo de 30 dias, a contar do recebimento da nota de empenho.</w:t>
      </w:r>
    </w:p>
    <w:p>
      <w:pPr>
        <w:ind w:firstLine="737"/>
        <w:jc w:val="both"/>
        <w:rPr>
          <w:rFonts w:asciiTheme="minorHAnsi" w:hAnsiTheme="minorHAnsi" w:cstheme="minorHAnsi"/>
          <w:color w:val="000000" w:themeColor="text1"/>
          <w:sz w:val="24"/>
          <w:szCs w:val="24"/>
          <w14:textFill>
            <w14:solidFill>
              <w14:schemeClr w14:val="tx1"/>
            </w14:solidFill>
          </w14:textFill>
        </w:rPr>
      </w:pPr>
      <w:r>
        <w:rPr>
          <w:rFonts w:eastAsia="Times New Roman" w:asciiTheme="minorHAnsi" w:hAnsiTheme="minorHAnsi" w:cstheme="minorHAnsi"/>
          <w:color w:val="000000" w:themeColor="text1"/>
          <w:sz w:val="24"/>
          <w:szCs w:val="24"/>
          <w14:textFill>
            <w14:solidFill>
              <w14:schemeClr w14:val="tx1"/>
            </w14:solidFill>
          </w14:textFill>
        </w:rPr>
        <w:t>10.1.1 Esse prazo poderá ser prorrogável por 10 (dez) dias, desde que solicitado tempestivamente, por escrito, com justificativa devidamente comprovada.</w:t>
      </w:r>
    </w:p>
    <w:p>
      <w:pPr>
        <w:spacing w:line="235" w:lineRule="auto"/>
        <w:ind w:firstLine="283"/>
        <w:jc w:val="both"/>
        <w:rPr>
          <w:rFonts w:asciiTheme="minorHAnsi" w:hAnsiTheme="minorHAnsi" w:cstheme="minorHAnsi"/>
          <w:color w:val="000000" w:themeColor="text1"/>
          <w:sz w:val="24"/>
          <w:szCs w:val="24"/>
          <w14:textFill>
            <w14:solidFill>
              <w14:schemeClr w14:val="tx1"/>
            </w14:solidFill>
          </w14:textFill>
        </w:rPr>
      </w:pPr>
      <w:r>
        <w:rPr>
          <w:rFonts w:eastAsia="Times New Roman" w:asciiTheme="minorHAnsi" w:hAnsiTheme="minorHAnsi" w:cstheme="minorHAnsi"/>
          <w:color w:val="000000" w:themeColor="text1"/>
          <w:sz w:val="24"/>
          <w:szCs w:val="24"/>
          <w14:textFill>
            <w14:solidFill>
              <w14:schemeClr w14:val="tx1"/>
            </w14:solidFill>
          </w14:textFill>
        </w:rPr>
        <w:t>10.2 Substituir, no prazo de até 10 dias, o produto entregue com defeito ou fora das especificações.</w:t>
      </w:r>
    </w:p>
    <w:p>
      <w:pPr>
        <w:spacing w:line="235" w:lineRule="auto"/>
        <w:ind w:firstLine="283"/>
        <w:jc w:val="both"/>
        <w:rPr>
          <w:rFonts w:asciiTheme="minorHAnsi" w:hAnsiTheme="minorHAnsi" w:cstheme="minorHAnsi"/>
          <w:color w:val="000000" w:themeColor="text1"/>
          <w:sz w:val="24"/>
          <w:szCs w:val="24"/>
          <w14:textFill>
            <w14:solidFill>
              <w14:schemeClr w14:val="tx1"/>
            </w14:solidFill>
          </w14:textFill>
        </w:rPr>
      </w:pPr>
      <w:r>
        <w:rPr>
          <w:rFonts w:eastAsia="Times New Roman" w:asciiTheme="minorHAnsi" w:hAnsiTheme="minorHAnsi" w:cstheme="minorHAnsi"/>
          <w:color w:val="000000" w:themeColor="text1"/>
          <w:sz w:val="24"/>
          <w:szCs w:val="24"/>
          <w14:textFill>
            <w14:solidFill>
              <w14:schemeClr w14:val="tx1"/>
            </w14:solidFill>
          </w14:textFill>
        </w:rPr>
        <w:t xml:space="preserve">10.3 Fornecer a garantia estipulada na especificação, a contar da data de aceitação do produto pelo Contratante. </w:t>
      </w:r>
    </w:p>
    <w:p>
      <w:pPr>
        <w:spacing w:line="235" w:lineRule="auto"/>
        <w:ind w:firstLine="737"/>
        <w:jc w:val="both"/>
        <w:rPr>
          <w:rFonts w:asciiTheme="minorHAnsi" w:hAnsiTheme="minorHAnsi" w:cstheme="minorHAnsi"/>
          <w:color w:val="000000" w:themeColor="text1"/>
          <w:sz w:val="24"/>
          <w:szCs w:val="24"/>
          <w14:textFill>
            <w14:solidFill>
              <w14:schemeClr w14:val="tx1"/>
            </w14:solidFill>
          </w14:textFill>
        </w:rPr>
      </w:pPr>
      <w:r>
        <w:rPr>
          <w:rFonts w:eastAsia="Times New Roman" w:asciiTheme="minorHAnsi" w:hAnsiTheme="minorHAnsi" w:cstheme="minorHAnsi"/>
          <w:color w:val="000000" w:themeColor="text1"/>
          <w:sz w:val="24"/>
          <w:szCs w:val="24"/>
          <w14:textFill>
            <w14:solidFill>
              <w14:schemeClr w14:val="tx1"/>
            </w14:solidFill>
          </w14:textFill>
        </w:rPr>
        <w:t>10.3.1 Se a garantia ofertada pelo fabricante for maior do que a ofertada pelo licitante, prevalecerá a primeira.</w:t>
      </w:r>
    </w:p>
    <w:p>
      <w:pPr>
        <w:spacing w:line="235" w:lineRule="auto"/>
        <w:ind w:firstLine="283"/>
        <w:jc w:val="both"/>
        <w:rPr>
          <w:rFonts w:asciiTheme="minorHAnsi" w:hAnsiTheme="minorHAnsi" w:cstheme="minorHAnsi"/>
          <w:color w:val="000000" w:themeColor="text1"/>
          <w:sz w:val="24"/>
          <w:szCs w:val="24"/>
          <w14:textFill>
            <w14:solidFill>
              <w14:schemeClr w14:val="tx1"/>
            </w14:solidFill>
          </w14:textFill>
        </w:rPr>
      </w:pPr>
      <w:r>
        <w:rPr>
          <w:rFonts w:eastAsia="Times New Roman" w:asciiTheme="minorHAnsi" w:hAnsiTheme="minorHAnsi" w:cstheme="minorHAnsi"/>
          <w:color w:val="000000" w:themeColor="text1"/>
          <w:sz w:val="24"/>
          <w:szCs w:val="24"/>
          <w14:textFill>
            <w14:solidFill>
              <w14:schemeClr w14:val="tx1"/>
            </w14:solidFill>
          </w14:textFill>
        </w:rPr>
        <w:t>10.4 Ofertar produtos que atendam às Normas da ABNT e/ou apresentem selo de aprovação de Órgão Regulamentador, quando for o caso.</w:t>
      </w:r>
    </w:p>
    <w:p>
      <w:pPr>
        <w:spacing w:line="235" w:lineRule="auto"/>
        <w:ind w:firstLine="283"/>
        <w:jc w:val="both"/>
        <w:rPr>
          <w:rFonts w:asciiTheme="minorHAnsi" w:hAnsiTheme="minorHAnsi" w:cstheme="minorHAnsi"/>
          <w:color w:val="000000" w:themeColor="text1"/>
          <w:sz w:val="24"/>
          <w:szCs w:val="24"/>
          <w14:textFill>
            <w14:solidFill>
              <w14:schemeClr w14:val="tx1"/>
            </w14:solidFill>
          </w14:textFill>
        </w:rPr>
      </w:pPr>
      <w:r>
        <w:rPr>
          <w:rFonts w:eastAsia="Times New Roman" w:asciiTheme="minorHAnsi" w:hAnsiTheme="minorHAnsi" w:cstheme="minorHAnsi"/>
          <w:color w:val="000000" w:themeColor="text1"/>
          <w:sz w:val="24"/>
          <w:szCs w:val="24"/>
          <w14:textFill>
            <w14:solidFill>
              <w14:schemeClr w14:val="tx1"/>
            </w14:solidFill>
          </w14:textFill>
        </w:rPr>
        <w:t>10.5 Prever e tomar todas as precauções e medidas para que se evite o dano a qualquer parte e/ou material do Contratante no transporte e/ou instalação do produto, quando for o caso.</w:t>
      </w:r>
    </w:p>
    <w:p>
      <w:pPr>
        <w:spacing w:line="235" w:lineRule="auto"/>
        <w:ind w:firstLine="283"/>
        <w:jc w:val="both"/>
        <w:rPr>
          <w:rFonts w:asciiTheme="minorHAnsi" w:hAnsiTheme="minorHAnsi" w:cstheme="minorHAnsi"/>
          <w:color w:val="000000" w:themeColor="text1"/>
          <w:sz w:val="24"/>
          <w:szCs w:val="24"/>
          <w14:textFill>
            <w14:solidFill>
              <w14:schemeClr w14:val="tx1"/>
            </w14:solidFill>
          </w14:textFill>
        </w:rPr>
      </w:pPr>
      <w:r>
        <w:rPr>
          <w:rFonts w:eastAsia="Times New Roman" w:asciiTheme="minorHAnsi" w:hAnsiTheme="minorHAnsi" w:cstheme="minorHAnsi"/>
          <w:color w:val="000000" w:themeColor="text1"/>
          <w:sz w:val="24"/>
          <w:szCs w:val="24"/>
          <w14:textFill>
            <w14:solidFill>
              <w14:schemeClr w14:val="tx1"/>
            </w14:solidFill>
          </w14:textFill>
        </w:rPr>
        <w:t>10.6 Atender prontamente às solicitações do Contratante durante o prazo de entrega e de garantia.</w:t>
      </w:r>
    </w:p>
    <w:p>
      <w:pPr>
        <w:spacing w:line="235" w:lineRule="auto"/>
        <w:ind w:firstLine="283"/>
        <w:jc w:val="both"/>
        <w:rPr>
          <w:rFonts w:asciiTheme="minorHAnsi" w:hAnsiTheme="minorHAnsi" w:cstheme="minorHAnsi"/>
          <w:color w:val="000000" w:themeColor="text1"/>
          <w:sz w:val="24"/>
          <w:szCs w:val="24"/>
          <w14:textFill>
            <w14:solidFill>
              <w14:schemeClr w14:val="tx1"/>
            </w14:solidFill>
          </w14:textFill>
        </w:rPr>
      </w:pPr>
      <w:r>
        <w:rPr>
          <w:rFonts w:eastAsia="Times New Roman" w:asciiTheme="minorHAnsi" w:hAnsiTheme="minorHAnsi" w:cstheme="minorHAnsi"/>
          <w:color w:val="000000" w:themeColor="text1"/>
          <w:sz w:val="24"/>
          <w:szCs w:val="24"/>
          <w14:textFill>
            <w14:solidFill>
              <w14:schemeClr w14:val="tx1"/>
            </w14:solidFill>
          </w14:textFill>
        </w:rPr>
        <w:t>10.7 Assumir a responsabilidade pelos encargos sociais, previdenciários, fiscais e comerciais resultantes da contratação.</w:t>
      </w:r>
    </w:p>
    <w:p>
      <w:pPr>
        <w:ind w:firstLine="283"/>
        <w:jc w:val="both"/>
        <w:rPr>
          <w:rFonts w:asciiTheme="minorHAnsi" w:hAnsiTheme="minorHAnsi" w:cstheme="minorHAnsi"/>
          <w:color w:val="000000" w:themeColor="text1"/>
          <w:sz w:val="24"/>
          <w:szCs w:val="24"/>
          <w14:textFill>
            <w14:solidFill>
              <w14:schemeClr w14:val="tx1"/>
            </w14:solidFill>
          </w14:textFill>
        </w:rPr>
      </w:pPr>
      <w:r>
        <w:rPr>
          <w:rFonts w:eastAsia="Times New Roman" w:asciiTheme="minorHAnsi" w:hAnsiTheme="minorHAnsi" w:cstheme="minorHAnsi"/>
          <w:color w:val="000000" w:themeColor="text1"/>
          <w:sz w:val="24"/>
          <w:szCs w:val="24"/>
          <w14:textFill>
            <w14:solidFill>
              <w14:schemeClr w14:val="tx1"/>
            </w14:solidFill>
          </w14:textFill>
        </w:rPr>
        <w:t>10.8 Manter os seus dados cadastrais atualizados junto ao Contratante e ao SICAF, devendo solicitar, imediatamente, a correção ou alteração dos registros tão logo identifique incorreção ou se tornem desatualizados.</w:t>
      </w:r>
    </w:p>
    <w:p>
      <w:pPr>
        <w:ind w:firstLine="283"/>
        <w:jc w:val="both"/>
        <w:rPr>
          <w:rFonts w:asciiTheme="minorHAnsi" w:hAnsiTheme="minorHAnsi" w:cstheme="minorHAnsi"/>
          <w:color w:val="000000" w:themeColor="text1"/>
          <w:sz w:val="24"/>
          <w:szCs w:val="24"/>
          <w14:textFill>
            <w14:solidFill>
              <w14:schemeClr w14:val="tx1"/>
            </w14:solidFill>
          </w14:textFill>
        </w:rPr>
      </w:pPr>
      <w:r>
        <w:rPr>
          <w:rFonts w:eastAsia="Times New Roman" w:asciiTheme="minorHAnsi" w:hAnsiTheme="minorHAnsi" w:cstheme="minorHAnsi"/>
          <w:color w:val="000000" w:themeColor="text1"/>
          <w:sz w:val="24"/>
          <w:szCs w:val="24"/>
          <w14:textFill>
            <w14:solidFill>
              <w14:schemeClr w14:val="tx1"/>
            </w14:solidFill>
          </w14:textFill>
        </w:rPr>
        <w:t>10.9 Manter, durante toda a execução do contrato, em compatibilidade com as obrigações por ele assumidas, todas as condições de habilitação e qualificação exigidas na licitação, podendo o Contratante, a qualquer tempo, exigir as respectivas comprovações.</w:t>
      </w:r>
    </w:p>
    <w:p>
      <w:pPr>
        <w:spacing w:line="235" w:lineRule="auto"/>
        <w:ind w:firstLine="737"/>
        <w:jc w:val="both"/>
        <w:rPr>
          <w:rFonts w:asciiTheme="minorHAnsi" w:hAnsiTheme="minorHAnsi" w:cstheme="minorHAnsi"/>
          <w:color w:val="000000" w:themeColor="text1"/>
          <w:sz w:val="24"/>
          <w:szCs w:val="24"/>
          <w14:textFill>
            <w14:solidFill>
              <w14:schemeClr w14:val="tx1"/>
            </w14:solidFill>
          </w14:textFill>
        </w:rPr>
      </w:pPr>
      <w:r>
        <w:rPr>
          <w:rFonts w:eastAsia="Times New Roman" w:asciiTheme="minorHAnsi" w:hAnsiTheme="minorHAnsi" w:cstheme="minorHAnsi"/>
          <w:color w:val="000000" w:themeColor="text1"/>
          <w:sz w:val="24"/>
          <w:szCs w:val="24"/>
          <w14:textFill>
            <w14:solidFill>
              <w14:schemeClr w14:val="tx1"/>
            </w14:solidFill>
          </w14:textFill>
        </w:rPr>
        <w:t>10.9.1 Constatada qualquer irregularidade, os pagamentos serão sobrestados e a Contratada será intimada a providenciar sua regularização.</w:t>
      </w:r>
    </w:p>
    <w:p>
      <w:pPr>
        <w:spacing w:line="240" w:lineRule="auto"/>
        <w:ind w:firstLine="737"/>
        <w:jc w:val="both"/>
        <w:rPr>
          <w:rFonts w:asciiTheme="minorHAnsi" w:hAnsiTheme="minorHAnsi" w:cstheme="minorHAnsi"/>
          <w:color w:val="000000" w:themeColor="text1"/>
          <w:sz w:val="24"/>
          <w:szCs w:val="24"/>
          <w14:textFill>
            <w14:solidFill>
              <w14:schemeClr w14:val="tx1"/>
            </w14:solidFill>
          </w14:textFill>
        </w:rPr>
      </w:pPr>
      <w:r>
        <w:rPr>
          <w:rFonts w:eastAsia="Times New Roman" w:asciiTheme="minorHAnsi" w:hAnsiTheme="minorHAnsi" w:cstheme="minorHAnsi"/>
          <w:color w:val="000000" w:themeColor="text1"/>
          <w:sz w:val="24"/>
          <w:szCs w:val="24"/>
          <w14:textFill>
            <w14:solidFill>
              <w14:schemeClr w14:val="tx1"/>
            </w14:solidFill>
          </w14:textFill>
        </w:rPr>
        <w:t>10.9.2 Caso a situação não seja regularizada, o Contratante efetuará os pagamentos devidos, uma vez iniciado o procedimento de rescisão contratual unilateral, em face da configuração de inexecução contratual, com fundamento no art. 78, inciso I, c/c o art. 55, inciso XIII, ambos da Lei no 8.666/1993, sem prejuízo da aplicação das sanções cabíveis e da comunicação do fato aos órgãos pertinentes.</w:t>
      </w:r>
    </w:p>
    <w:p>
      <w:pPr>
        <w:ind w:left="368" w:firstLine="0"/>
        <w:rPr>
          <w:rFonts w:eastAsia="Times New Roman" w:asciiTheme="minorHAnsi" w:hAnsiTheme="minorHAnsi" w:cstheme="minorHAnsi"/>
          <w:color w:val="000000" w:themeColor="text1"/>
          <w:sz w:val="24"/>
          <w:szCs w:val="24"/>
          <w14:textFill>
            <w14:solidFill>
              <w14:schemeClr w14:val="tx1"/>
            </w14:solidFill>
          </w14:textFill>
        </w:rPr>
      </w:pPr>
    </w:p>
    <w:p>
      <w:pPr>
        <w:rPr>
          <w:rFonts w:asciiTheme="minorHAnsi" w:hAnsiTheme="minorHAnsi" w:cstheme="minorHAnsi"/>
          <w:b/>
          <w:bCs/>
          <w:color w:val="000000" w:themeColor="text1"/>
          <w:sz w:val="24"/>
          <w:szCs w:val="24"/>
          <w14:textFill>
            <w14:solidFill>
              <w14:schemeClr w14:val="tx1"/>
            </w14:solidFill>
          </w14:textFill>
        </w:rPr>
      </w:pPr>
      <w:r>
        <w:rPr>
          <w:rFonts w:eastAsia="Times New Roman" w:asciiTheme="minorHAnsi" w:hAnsiTheme="minorHAnsi" w:cstheme="minorHAnsi"/>
          <w:b/>
          <w:bCs/>
          <w:color w:val="000000" w:themeColor="text1"/>
          <w:sz w:val="24"/>
          <w:szCs w:val="24"/>
          <w14:textFill>
            <w14:solidFill>
              <w14:schemeClr w14:val="tx1"/>
            </w14:solidFill>
          </w14:textFill>
        </w:rPr>
        <w:t>11. CRITÉRIO DE AVALIAÇÃO DAS PROPOSTAS</w:t>
      </w:r>
    </w:p>
    <w:p>
      <w:pPr>
        <w:ind w:firstLine="283"/>
        <w:jc w:val="both"/>
        <w:rPr>
          <w:rFonts w:asciiTheme="minorHAnsi" w:hAnsiTheme="minorHAnsi" w:cstheme="minorHAnsi"/>
          <w:b/>
          <w:color w:val="000000" w:themeColor="text1"/>
          <w:sz w:val="24"/>
          <w:szCs w:val="24"/>
          <w14:textFill>
            <w14:solidFill>
              <w14:schemeClr w14:val="tx1"/>
            </w14:solidFill>
          </w14:textFill>
        </w:rPr>
      </w:pPr>
      <w:r>
        <w:rPr>
          <w:rFonts w:eastAsia="Times New Roman" w:asciiTheme="minorHAnsi" w:hAnsiTheme="minorHAnsi" w:cstheme="minorHAnsi"/>
          <w:color w:val="000000" w:themeColor="text1"/>
          <w:sz w:val="24"/>
          <w:szCs w:val="24"/>
          <w14:textFill>
            <w14:solidFill>
              <w14:schemeClr w14:val="tx1"/>
            </w14:solidFill>
          </w14:textFill>
        </w:rPr>
        <w:t xml:space="preserve">11.1 </w:t>
      </w:r>
      <w:r>
        <w:rPr>
          <w:rFonts w:cs="Arial" w:asciiTheme="minorHAnsi" w:hAnsiTheme="minorHAnsi"/>
          <w:sz w:val="24"/>
          <w:szCs w:val="24"/>
        </w:rPr>
        <w:t>O fornecedor interessado, após a divulgação do aviso de contratação direta, encaminhará, exclusivamente por meio do Sistema de Dispensa Eletrônica, a proposta com a descrição do objeto ofertado, a marca do produto,</w:t>
      </w:r>
      <w:r>
        <w:rPr>
          <w:rFonts w:asciiTheme="minorHAnsi" w:hAnsiTheme="minorHAnsi"/>
          <w:sz w:val="24"/>
          <w:szCs w:val="24"/>
        </w:rPr>
        <w:t xml:space="preserve"> </w:t>
      </w:r>
      <w:r>
        <w:rPr>
          <w:rFonts w:cs="Arial" w:asciiTheme="minorHAnsi" w:hAnsiTheme="minorHAnsi"/>
          <w:sz w:val="24"/>
          <w:szCs w:val="24"/>
        </w:rPr>
        <w:t>quando for o caso, e o preço, até a data e o horário estabelecidos para abertura do procedimento, devendo, ainda, declarar em campo próprio do sistema, as informações previstas no art. 8º, incisos I ao VI, da IN nº 67, de 8 de julho de 2021.</w:t>
      </w:r>
    </w:p>
    <w:p>
      <w:pPr>
        <w:tabs>
          <w:tab w:val="left" w:pos="56"/>
          <w:tab w:val="left" w:pos="736"/>
          <w:tab w:val="left" w:pos="960"/>
        </w:tabs>
        <w:spacing w:line="235" w:lineRule="auto"/>
        <w:ind w:firstLine="737"/>
        <w:jc w:val="both"/>
        <w:rPr>
          <w:rFonts w:asciiTheme="minorHAnsi" w:hAnsiTheme="minorHAnsi" w:cstheme="minorHAnsi"/>
          <w:color w:val="000000" w:themeColor="text1"/>
          <w:sz w:val="24"/>
          <w:szCs w:val="24"/>
          <w14:textFill>
            <w14:solidFill>
              <w14:schemeClr w14:val="tx1"/>
            </w14:solidFill>
          </w14:textFill>
        </w:rPr>
      </w:pPr>
      <w:r>
        <w:rPr>
          <w:rFonts w:eastAsia="Times New Roman" w:asciiTheme="minorHAnsi" w:hAnsiTheme="minorHAnsi" w:cstheme="minorHAnsi"/>
          <w:color w:val="000000" w:themeColor="text1"/>
          <w:sz w:val="24"/>
          <w:szCs w:val="24"/>
          <w14:textFill>
            <w14:solidFill>
              <w14:schemeClr w14:val="tx1"/>
            </w14:solidFill>
          </w14:textFill>
        </w:rPr>
        <w:t>11.1.1 Deverá conter informação clara da marca e modelo do produto ofertado, do preço unitário e do preço total, do prazo de entrega, do prazo de garantia, bem como da validade que não deverá ser inferior a 60 (sessenta) dias.</w:t>
      </w:r>
    </w:p>
    <w:p>
      <w:pPr>
        <w:tabs>
          <w:tab w:val="left" w:pos="56"/>
          <w:tab w:val="left" w:pos="736"/>
          <w:tab w:val="left" w:pos="960"/>
        </w:tabs>
        <w:spacing w:line="235" w:lineRule="auto"/>
        <w:ind w:firstLine="283"/>
        <w:jc w:val="both"/>
        <w:rPr>
          <w:rFonts w:asciiTheme="minorHAnsi" w:hAnsiTheme="minorHAnsi" w:cstheme="minorHAnsi"/>
          <w:color w:val="000000" w:themeColor="text1"/>
          <w:sz w:val="24"/>
          <w:szCs w:val="24"/>
          <w14:textFill>
            <w14:solidFill>
              <w14:schemeClr w14:val="tx1"/>
            </w14:solidFill>
          </w14:textFill>
        </w:rPr>
      </w:pPr>
      <w:r>
        <w:rPr>
          <w:rFonts w:eastAsia="Times New Roman" w:asciiTheme="minorHAnsi" w:hAnsiTheme="minorHAnsi" w:cstheme="minorHAnsi"/>
          <w:color w:val="000000" w:themeColor="text1"/>
          <w:sz w:val="24"/>
          <w:szCs w:val="24"/>
          <w14:textFill>
            <w14:solidFill>
              <w14:schemeClr w14:val="tx1"/>
            </w14:solidFill>
          </w14:textFill>
        </w:rPr>
        <w:t>11.2 Juntamente com a proposta de preços, poderá ser solicitado amostra, o catálogo do produto ou informado o link do fabricante para seja possível a conferência das especificações.</w:t>
      </w:r>
    </w:p>
    <w:p>
      <w:pPr>
        <w:tabs>
          <w:tab w:val="left" w:pos="56"/>
          <w:tab w:val="left" w:pos="736"/>
          <w:tab w:val="left" w:pos="960"/>
        </w:tabs>
        <w:spacing w:line="235" w:lineRule="auto"/>
        <w:ind w:firstLine="283"/>
        <w:jc w:val="both"/>
        <w:rPr>
          <w:rFonts w:asciiTheme="minorHAnsi" w:hAnsiTheme="minorHAnsi" w:cstheme="minorHAnsi"/>
          <w:color w:val="000000" w:themeColor="text1"/>
          <w:sz w:val="24"/>
          <w:szCs w:val="24"/>
          <w14:textFill>
            <w14:solidFill>
              <w14:schemeClr w14:val="tx1"/>
            </w14:solidFill>
          </w14:textFill>
        </w:rPr>
      </w:pPr>
      <w:r>
        <w:rPr>
          <w:rFonts w:eastAsia="Times New Roman" w:asciiTheme="minorHAnsi" w:hAnsiTheme="minorHAnsi" w:cstheme="minorHAnsi"/>
          <w:color w:val="000000" w:themeColor="text1"/>
          <w:sz w:val="24"/>
          <w:szCs w:val="24"/>
          <w14:textFill>
            <w14:solidFill>
              <w14:schemeClr w14:val="tx1"/>
            </w14:solidFill>
          </w14:textFill>
        </w:rPr>
        <w:t>11.3 A habilitação dos licitantes será verificada por meio do SICAF (habilitação parcial).</w:t>
      </w:r>
    </w:p>
    <w:p>
      <w:pPr>
        <w:tabs>
          <w:tab w:val="left" w:pos="56"/>
          <w:tab w:val="left" w:pos="343"/>
          <w:tab w:val="left" w:pos="736"/>
          <w:tab w:val="left" w:pos="960"/>
        </w:tabs>
        <w:spacing w:line="235" w:lineRule="auto"/>
        <w:ind w:firstLine="737"/>
        <w:jc w:val="both"/>
        <w:rPr>
          <w:rFonts w:asciiTheme="minorHAnsi" w:hAnsiTheme="minorHAnsi" w:cstheme="minorHAnsi"/>
          <w:color w:val="000000" w:themeColor="text1"/>
          <w:sz w:val="24"/>
          <w:szCs w:val="24"/>
          <w14:textFill>
            <w14:solidFill>
              <w14:schemeClr w14:val="tx1"/>
            </w14:solidFill>
          </w14:textFill>
        </w:rPr>
      </w:pPr>
      <w:r>
        <w:rPr>
          <w:rFonts w:eastAsia="Times New Roman" w:asciiTheme="minorHAnsi" w:hAnsiTheme="minorHAnsi" w:cstheme="minorHAnsi"/>
          <w:color w:val="000000" w:themeColor="text1"/>
          <w:sz w:val="24"/>
          <w:szCs w:val="24"/>
          <w14:textFill>
            <w14:solidFill>
              <w14:schemeClr w14:val="tx1"/>
            </w14:solidFill>
          </w14:textFill>
        </w:rPr>
        <w:t>11.3.1 O licitante que não atender às exigências de habilitação parcial no SICAF deverá apresentar documentos que supram tais exigências.</w:t>
      </w:r>
    </w:p>
    <w:p>
      <w:pPr>
        <w:tabs>
          <w:tab w:val="left" w:pos="56"/>
          <w:tab w:val="left" w:pos="343"/>
          <w:tab w:val="left" w:pos="736"/>
          <w:tab w:val="left" w:pos="960"/>
        </w:tabs>
        <w:spacing w:line="235" w:lineRule="auto"/>
        <w:ind w:firstLine="737"/>
        <w:jc w:val="both"/>
        <w:rPr>
          <w:rFonts w:asciiTheme="minorHAnsi" w:hAnsiTheme="minorHAnsi" w:cstheme="minorHAnsi"/>
          <w:color w:val="000000" w:themeColor="text1"/>
          <w:sz w:val="24"/>
          <w:szCs w:val="24"/>
          <w14:textFill>
            <w14:solidFill>
              <w14:schemeClr w14:val="tx1"/>
            </w14:solidFill>
          </w14:textFill>
        </w:rPr>
      </w:pPr>
      <w:r>
        <w:rPr>
          <w:rFonts w:eastAsia="Times New Roman" w:asciiTheme="minorHAnsi" w:hAnsiTheme="minorHAnsi" w:cstheme="minorHAnsi"/>
          <w:color w:val="000000" w:themeColor="text1"/>
          <w:sz w:val="24"/>
          <w:szCs w:val="24"/>
          <w14:textFill>
            <w14:solidFill>
              <w14:schemeClr w14:val="tx1"/>
            </w14:solidFill>
          </w14:textFill>
        </w:rPr>
        <w:t>11.3.2 Os documentos que não estejam contemplados no SICAF, ou que nele constem como vencidos, deverão ser remetidos em conjunto com a proposta de preços, em prazo idêntico ao estipulado para a entrega da proposta.</w:t>
      </w:r>
    </w:p>
    <w:p>
      <w:pPr>
        <w:tabs>
          <w:tab w:val="left" w:pos="56"/>
          <w:tab w:val="left" w:pos="343"/>
          <w:tab w:val="left" w:pos="736"/>
          <w:tab w:val="left" w:pos="960"/>
        </w:tabs>
        <w:spacing w:line="235" w:lineRule="auto"/>
        <w:ind w:firstLine="737"/>
        <w:jc w:val="both"/>
        <w:rPr>
          <w:rFonts w:asciiTheme="minorHAnsi" w:hAnsiTheme="minorHAnsi" w:cstheme="minorHAnsi"/>
          <w:color w:val="000000" w:themeColor="text1"/>
          <w:sz w:val="24"/>
          <w:szCs w:val="24"/>
          <w14:textFill>
            <w14:solidFill>
              <w14:schemeClr w14:val="tx1"/>
            </w14:solidFill>
          </w14:textFill>
        </w:rPr>
      </w:pPr>
      <w:r>
        <w:rPr>
          <w:rFonts w:eastAsia="Times New Roman" w:asciiTheme="minorHAnsi" w:hAnsiTheme="minorHAnsi" w:cstheme="minorHAnsi"/>
          <w:color w:val="000000" w:themeColor="text1"/>
          <w:sz w:val="24"/>
          <w:szCs w:val="24"/>
          <w14:textFill>
            <w14:solidFill>
              <w14:schemeClr w14:val="tx1"/>
            </w14:solidFill>
          </w14:textFill>
        </w:rPr>
        <w:t>11.3.3 Em caráter de diligência, poderão ser solicitados, a qualquer momento, em original ou por cópia autenticada, os documentos remetidos por e-mail, bem como correções ou omissões na proposta e documentação remetidas.</w:t>
      </w:r>
    </w:p>
    <w:p>
      <w:pPr>
        <w:tabs>
          <w:tab w:val="left" w:pos="56"/>
          <w:tab w:val="left" w:pos="343"/>
          <w:tab w:val="left" w:pos="736"/>
          <w:tab w:val="left" w:pos="960"/>
        </w:tabs>
        <w:spacing w:line="235" w:lineRule="auto"/>
        <w:ind w:firstLine="737"/>
        <w:jc w:val="both"/>
        <w:rPr>
          <w:rFonts w:eastAsia="Times New Roman" w:asciiTheme="minorHAnsi" w:hAnsiTheme="minorHAnsi" w:cstheme="minorHAnsi"/>
          <w:color w:val="000000" w:themeColor="text1"/>
          <w:sz w:val="24"/>
          <w:szCs w:val="24"/>
          <w14:textFill>
            <w14:solidFill>
              <w14:schemeClr w14:val="tx1"/>
            </w14:solidFill>
          </w14:textFill>
        </w:rPr>
      </w:pPr>
      <w:r>
        <w:rPr>
          <w:rFonts w:eastAsia="Times New Roman" w:asciiTheme="minorHAnsi" w:hAnsiTheme="minorHAnsi" w:cstheme="minorHAnsi"/>
          <w:color w:val="000000" w:themeColor="text1"/>
          <w:sz w:val="24"/>
          <w:szCs w:val="24"/>
          <w14:textFill>
            <w14:solidFill>
              <w14:schemeClr w14:val="tx1"/>
            </w14:solidFill>
          </w14:textFill>
        </w:rPr>
        <w:t>11.3.4 Os documentos encaminhados deverão estar em nome do licitante, com indicação do número de inscrição no CNPJ.</w:t>
      </w:r>
    </w:p>
    <w:p>
      <w:pPr>
        <w:tabs>
          <w:tab w:val="left" w:pos="56"/>
          <w:tab w:val="left" w:pos="343"/>
          <w:tab w:val="left" w:pos="736"/>
          <w:tab w:val="left" w:pos="960"/>
        </w:tabs>
        <w:spacing w:line="235" w:lineRule="auto"/>
        <w:jc w:val="both"/>
        <w:rPr>
          <w:rFonts w:asciiTheme="minorHAnsi" w:hAnsiTheme="minorHAnsi" w:cstheme="minorHAnsi"/>
          <w:color w:val="000000" w:themeColor="text1"/>
          <w:sz w:val="24"/>
          <w:szCs w:val="24"/>
          <w14:textFill>
            <w14:solidFill>
              <w14:schemeClr w14:val="tx1"/>
            </w14:solidFill>
          </w14:textFill>
        </w:rPr>
      </w:pPr>
      <w:r>
        <w:rPr>
          <w:rFonts w:eastAsia="Times New Roman" w:asciiTheme="minorHAnsi" w:hAnsiTheme="minorHAnsi" w:cstheme="minorHAnsi"/>
          <w:color w:val="000000" w:themeColor="text1"/>
          <w:sz w:val="24"/>
          <w:szCs w:val="24"/>
          <w14:textFill>
            <w14:solidFill>
              <w14:schemeClr w14:val="tx1"/>
            </w14:solidFill>
          </w14:textFill>
        </w:rPr>
        <w:t xml:space="preserve">      11.4 </w:t>
      </w:r>
      <w:r>
        <w:rPr>
          <w:rFonts w:asciiTheme="minorHAnsi" w:hAnsiTheme="minorHAnsi"/>
          <w:sz w:val="24"/>
          <w:szCs w:val="24"/>
        </w:rPr>
        <w:t>Os preços deverão ser expressos em reais e conter todos os tributos e encargos</w:t>
      </w:r>
      <w:r>
        <w:rPr>
          <w:rFonts w:asciiTheme="minorHAnsi" w:hAnsiTheme="minorHAnsi"/>
          <w:sz w:val="24"/>
          <w:szCs w:val="24"/>
        </w:rPr>
        <w:br w:type="textWrapping"/>
      </w:r>
      <w:r>
        <w:rPr>
          <w:rFonts w:asciiTheme="minorHAnsi" w:hAnsiTheme="minorHAnsi"/>
          <w:sz w:val="24"/>
          <w:szCs w:val="24"/>
        </w:rPr>
        <w:t>decorrentes da prestação do serviço relativo a esta contratação.</w:t>
      </w:r>
      <w:r>
        <w:rPr>
          <w:rFonts w:asciiTheme="minorHAnsi" w:hAnsiTheme="minorHAnsi"/>
          <w:sz w:val="24"/>
          <w:szCs w:val="24"/>
        </w:rPr>
        <w:br w:type="textWrapping"/>
      </w:r>
      <w:r>
        <w:rPr>
          <w:rFonts w:asciiTheme="minorHAnsi" w:hAnsiTheme="minorHAnsi"/>
          <w:sz w:val="24"/>
          <w:szCs w:val="24"/>
        </w:rPr>
        <w:t xml:space="preserve">              11.4.1 Os preços deverão ser cotados com até 2 (duas) casas decimais, com intervalos mínimos de diferença de R$ 0,01 (um centavo).</w:t>
      </w:r>
    </w:p>
    <w:p>
      <w:pPr>
        <w:ind w:left="380" w:firstLine="0"/>
        <w:rPr>
          <w:rFonts w:eastAsia="Times New Roman" w:asciiTheme="minorHAnsi" w:hAnsiTheme="minorHAnsi" w:cstheme="minorHAnsi"/>
          <w:color w:val="000000" w:themeColor="text1"/>
          <w:sz w:val="24"/>
          <w:szCs w:val="24"/>
          <w14:textFill>
            <w14:solidFill>
              <w14:schemeClr w14:val="tx1"/>
            </w14:solidFill>
          </w14:textFill>
        </w:rPr>
      </w:pPr>
    </w:p>
    <w:p>
      <w:pPr>
        <w:rPr>
          <w:rFonts w:asciiTheme="minorHAnsi" w:hAnsiTheme="minorHAnsi" w:cstheme="minorHAnsi"/>
          <w:b/>
          <w:bCs/>
          <w:color w:val="000000" w:themeColor="text1"/>
          <w:sz w:val="24"/>
          <w:szCs w:val="24"/>
          <w14:textFill>
            <w14:solidFill>
              <w14:schemeClr w14:val="tx1"/>
            </w14:solidFill>
          </w14:textFill>
        </w:rPr>
      </w:pPr>
      <w:r>
        <w:rPr>
          <w:rFonts w:eastAsia="Times New Roman" w:asciiTheme="minorHAnsi" w:hAnsiTheme="minorHAnsi" w:cstheme="minorHAnsi"/>
          <w:b/>
          <w:bCs/>
          <w:color w:val="000000" w:themeColor="text1"/>
          <w:sz w:val="24"/>
          <w:szCs w:val="24"/>
          <w14:textFill>
            <w14:solidFill>
              <w14:schemeClr w14:val="tx1"/>
            </w14:solidFill>
          </w14:textFill>
        </w:rPr>
        <w:t>12. SANÇÕES</w:t>
      </w:r>
    </w:p>
    <w:p>
      <w:pPr>
        <w:spacing w:line="240" w:lineRule="auto"/>
        <w:ind w:firstLine="283"/>
        <w:jc w:val="both"/>
        <w:rPr>
          <w:rFonts w:asciiTheme="minorHAnsi" w:hAnsiTheme="minorHAnsi" w:cstheme="minorHAnsi"/>
          <w:color w:val="000000" w:themeColor="text1"/>
          <w:sz w:val="24"/>
          <w:szCs w:val="24"/>
          <w14:textFill>
            <w14:solidFill>
              <w14:schemeClr w14:val="tx1"/>
            </w14:solidFill>
          </w14:textFill>
        </w:rPr>
      </w:pPr>
      <w:r>
        <w:rPr>
          <w:rFonts w:eastAsia="Times New Roman" w:asciiTheme="minorHAnsi" w:hAnsiTheme="minorHAnsi" w:cstheme="minorHAnsi"/>
          <w:color w:val="000000" w:themeColor="text1"/>
          <w:sz w:val="24"/>
          <w:szCs w:val="24"/>
          <w14:textFill>
            <w14:solidFill>
              <w14:schemeClr w14:val="tx1"/>
            </w14:solidFill>
          </w14:textFill>
        </w:rPr>
        <w:t>12.1 Além das penalidades previstas no artigo 156 da Lei no 14.133/21, a Contratada se sujeitará, em caso de atraso injustificado na execução do contrato, a multa moratória no percentual de 1% ao dia sobre o valor da totalidade dos itens em atraso, até o limite de 30 dias, a partir do qual poderá caracterizar, a critério da Administração, a inexecução do contrato, punível com multa compensatória de 30% sobre o valor da nota de empenho, em caso de inexecução total, ou sobre o valor da totalidade dos itens não entregues, em caso de inexecução parcial da obrigação assumida, cumulada com a suspensão temporária de participar de licitação e impedimento de contratar com a Administração por até dois anos.</w:t>
      </w:r>
    </w:p>
    <w:p>
      <w:pPr>
        <w:ind w:firstLine="283"/>
        <w:jc w:val="both"/>
        <w:rPr>
          <w:rFonts w:asciiTheme="minorHAnsi" w:hAnsiTheme="minorHAnsi" w:cstheme="minorHAnsi"/>
          <w:color w:val="000000" w:themeColor="text1"/>
          <w:sz w:val="24"/>
          <w:szCs w:val="24"/>
          <w14:textFill>
            <w14:solidFill>
              <w14:schemeClr w14:val="tx1"/>
            </w14:solidFill>
          </w14:textFill>
        </w:rPr>
      </w:pPr>
      <w:r>
        <w:rPr>
          <w:rFonts w:eastAsia="Times New Roman" w:asciiTheme="minorHAnsi" w:hAnsiTheme="minorHAnsi" w:cstheme="minorHAnsi"/>
          <w:color w:val="000000" w:themeColor="text1"/>
          <w:sz w:val="24"/>
          <w:szCs w:val="24"/>
          <w14:textFill>
            <w14:solidFill>
              <w14:schemeClr w14:val="tx1"/>
            </w14:solidFill>
          </w14:textFill>
        </w:rPr>
        <w:t>12.2 A omissão na prestação da garantia e do suporte técnico caracterizará inexecução parcial, punível com a citada multa compensatória, cumulada com as sanções previstas nos incisos III e IV do art. 156 da Lei no 14.133/21.</w:t>
      </w:r>
    </w:p>
    <w:p>
      <w:pPr>
        <w:ind w:firstLine="283"/>
        <w:jc w:val="both"/>
        <w:rPr>
          <w:rFonts w:eastAsia="Times New Roman" w:asciiTheme="minorHAnsi" w:hAnsiTheme="minorHAnsi" w:cstheme="minorHAnsi"/>
          <w:color w:val="000000" w:themeColor="text1"/>
          <w:sz w:val="24"/>
          <w:szCs w:val="24"/>
          <w14:textFill>
            <w14:solidFill>
              <w14:schemeClr w14:val="tx1"/>
            </w14:solidFill>
          </w14:textFill>
        </w:rPr>
      </w:pPr>
      <w:r>
        <w:rPr>
          <w:rFonts w:eastAsia="Times New Roman" w:asciiTheme="minorHAnsi" w:hAnsiTheme="minorHAnsi" w:cstheme="minorHAnsi"/>
          <w:color w:val="000000" w:themeColor="text1"/>
          <w:sz w:val="24"/>
          <w:szCs w:val="24"/>
          <w14:textFill>
            <w14:solidFill>
              <w14:schemeClr w14:val="tx1"/>
            </w14:solidFill>
          </w14:textFill>
        </w:rPr>
        <w:t>12.3 A multa, aplicada após regular processo administrativo, será descontada dos pagamentos eventualmente devidos pela Administração. Em caso de inexistência ou insuficiência de crédito da Contratada, o valor devido será cobrado administrativamente e/ou judicialmente.</w:t>
      </w:r>
    </w:p>
    <w:p>
      <w:pPr>
        <w:ind w:firstLine="283"/>
        <w:jc w:val="both"/>
        <w:rPr>
          <w:rFonts w:eastAsia="Times New Roman" w:asciiTheme="minorHAnsi" w:hAnsiTheme="minorHAnsi" w:cstheme="minorHAnsi"/>
          <w:color w:val="000000" w:themeColor="text1"/>
          <w:sz w:val="24"/>
          <w:szCs w:val="24"/>
          <w14:textFill>
            <w14:solidFill>
              <w14:schemeClr w14:val="tx1"/>
            </w14:solidFill>
          </w14:textFill>
        </w:rPr>
      </w:pPr>
    </w:p>
    <w:p>
      <w:pPr>
        <w:rPr>
          <w:rFonts w:asciiTheme="minorHAnsi" w:hAnsiTheme="minorHAnsi" w:cstheme="minorHAnsi"/>
          <w:b/>
          <w:color w:val="000000" w:themeColor="text1"/>
          <w14:textFill>
            <w14:solidFill>
              <w14:schemeClr w14:val="tx1"/>
            </w14:solidFill>
          </w14:textFill>
        </w:rPr>
      </w:pPr>
      <w:r>
        <w:rPr>
          <w:rFonts w:eastAsia="Times New Roman" w:asciiTheme="minorHAnsi" w:hAnsiTheme="minorHAnsi" w:cstheme="minorHAnsi"/>
          <w:b/>
          <w:color w:val="000000" w:themeColor="text1"/>
          <w:sz w:val="24"/>
          <w:szCs w:val="24"/>
          <w14:textFill>
            <w14:solidFill>
              <w14:schemeClr w14:val="tx1"/>
            </w14:solidFill>
          </w14:textFill>
        </w:rPr>
        <w:t>13.</w:t>
      </w:r>
      <w:r>
        <w:rPr>
          <w:rFonts w:eastAsia="Times New Roman" w:asciiTheme="minorHAnsi" w:hAnsiTheme="minorHAnsi" w:cstheme="minorHAnsi"/>
          <w:color w:val="000000" w:themeColor="text1"/>
          <w:sz w:val="24"/>
          <w:szCs w:val="24"/>
          <w14:textFill>
            <w14:solidFill>
              <w14:schemeClr w14:val="tx1"/>
            </w14:solidFill>
          </w14:textFill>
        </w:rPr>
        <w:t xml:space="preserve"> </w:t>
      </w:r>
      <w:r>
        <w:rPr>
          <w:rFonts w:asciiTheme="minorHAnsi" w:hAnsiTheme="minorHAnsi" w:cstheme="minorHAnsi"/>
          <w:b/>
          <w:color w:val="000000" w:themeColor="text1"/>
          <w14:textFill>
            <w14:solidFill>
              <w14:schemeClr w14:val="tx1"/>
            </w14:solidFill>
          </w14:textFill>
        </w:rPr>
        <w:t>CRITÉRIOS DE SUSTENTABILIDADE AMBIENTAL</w:t>
      </w:r>
    </w:p>
    <w:p>
      <w:pPr>
        <w:pStyle w:val="15"/>
        <w:numPr>
          <w:ilvl w:val="1"/>
          <w:numId w:val="1"/>
        </w:numPr>
        <w:tabs>
          <w:tab w:val="left" w:pos="284"/>
          <w:tab w:val="left" w:pos="851"/>
        </w:tabs>
        <w:ind w:left="0" w:firstLine="284"/>
        <w:jc w:val="both"/>
        <w:rPr>
          <w:rFonts w:asciiTheme="minorHAnsi" w:hAnsiTheme="minorHAnsi" w:cstheme="minorHAnsi"/>
          <w:color w:val="000000" w:themeColor="text1"/>
          <w14:textFill>
            <w14:solidFill>
              <w14:schemeClr w14:val="tx1"/>
            </w14:solidFill>
          </w14:textFill>
        </w:rPr>
      </w:pPr>
      <w:r>
        <w:rPr>
          <w:rFonts w:asciiTheme="minorHAnsi" w:hAnsiTheme="minorHAnsi" w:cstheme="minorHAnsi"/>
          <w:color w:val="000000" w:themeColor="text1"/>
          <w14:textFill>
            <w14:solidFill>
              <w14:schemeClr w14:val="tx1"/>
            </w14:solidFill>
          </w14:textFill>
        </w:rPr>
        <w:t xml:space="preserve">O licitante vencedor deverá observar os critérios de sustentabilidade ambiental, tendo por fundamento, a Constituição Federal, a Lei nº 14.133/01, compromissos internacionais assumidos pelo Estado Brasileiro, e outras legislações pertinentes, particularmente a Lei Federal nº 12.187, de 29 de dezembro de 2009, que instituiu a Política Nacional sobre Mudança do Clima, e a Lei Federal nº 12.305, de 02 de agosto de 2010, que instituiu a Política Nacional de Resíduos Sólidos. </w:t>
      </w:r>
    </w:p>
    <w:p>
      <w:pPr>
        <w:pStyle w:val="15"/>
        <w:numPr>
          <w:ilvl w:val="1"/>
          <w:numId w:val="1"/>
        </w:numPr>
        <w:tabs>
          <w:tab w:val="left" w:pos="284"/>
          <w:tab w:val="left" w:pos="851"/>
        </w:tabs>
        <w:ind w:left="0" w:firstLine="284"/>
        <w:jc w:val="both"/>
        <w:rPr>
          <w:rFonts w:asciiTheme="minorHAnsi" w:hAnsiTheme="minorHAnsi" w:cstheme="minorHAnsi"/>
          <w:color w:val="000000" w:themeColor="text1"/>
          <w14:textFill>
            <w14:solidFill>
              <w14:schemeClr w14:val="tx1"/>
            </w14:solidFill>
          </w14:textFill>
        </w:rPr>
      </w:pPr>
      <w:r>
        <w:rPr>
          <w:rFonts w:asciiTheme="minorHAnsi" w:hAnsiTheme="minorHAnsi" w:cstheme="minorHAnsi"/>
          <w:color w:val="000000" w:themeColor="text1"/>
          <w14:textFill>
            <w14:solidFill>
              <w14:schemeClr w14:val="tx1"/>
            </w14:solidFill>
          </w14:textFill>
        </w:rPr>
        <w:t>Os serviços serão prestados de acordo com os critérios de sustentabilidade ambiental contidos no Art. 5º da Instrução Normativa nº 01, de 19 de janeiro de 2010, da Secretaria de Logística e Tecnologia da Informação do Ministério do Planejamento, Orçamento e Gestão – SLTI/MPOG e no Decreto nº 7.746/2012, da Casa Civil, da Presidência da República, no que couber.</w:t>
      </w:r>
    </w:p>
    <w:p>
      <w:pPr>
        <w:numPr>
          <w:ilvl w:val="1"/>
          <w:numId w:val="1"/>
        </w:numPr>
        <w:tabs>
          <w:tab w:val="left" w:pos="284"/>
          <w:tab w:val="left" w:pos="851"/>
        </w:tabs>
        <w:ind w:left="0" w:firstLine="284"/>
        <w:jc w:val="both"/>
        <w:rPr>
          <w:rFonts w:eastAsia="Times New Roman" w:asciiTheme="minorHAnsi" w:hAnsiTheme="minorHAnsi" w:cstheme="minorHAnsi"/>
          <w:color w:val="000000" w:themeColor="text1"/>
          <w:sz w:val="24"/>
          <w:szCs w:val="24"/>
          <w14:textFill>
            <w14:solidFill>
              <w14:schemeClr w14:val="tx1"/>
            </w14:solidFill>
          </w14:textFill>
        </w:rPr>
      </w:pPr>
      <w:r>
        <w:rPr>
          <w:rFonts w:eastAsia="Times New Roman" w:asciiTheme="minorHAnsi" w:hAnsiTheme="minorHAnsi" w:cstheme="minorHAnsi"/>
          <w:color w:val="000000" w:themeColor="text1"/>
          <w:sz w:val="24"/>
          <w:szCs w:val="24"/>
          <w14:textFill>
            <w14:solidFill>
              <w14:schemeClr w14:val="tx1"/>
            </w14:solidFill>
          </w14:textFill>
        </w:rPr>
        <w:t>Cumprir, no que couber, as exigências do inciso XI, art. 7° da Lei 12.305, de 02 de agosto de 2010, que institui a Política Nacional de Resíduos Sólidos – PNRS;</w:t>
      </w:r>
    </w:p>
    <w:p>
      <w:pPr>
        <w:numPr>
          <w:ilvl w:val="1"/>
          <w:numId w:val="1"/>
        </w:numPr>
        <w:tabs>
          <w:tab w:val="left" w:pos="284"/>
          <w:tab w:val="left" w:pos="851"/>
        </w:tabs>
        <w:ind w:left="0" w:firstLine="284"/>
        <w:jc w:val="both"/>
        <w:rPr>
          <w:rFonts w:eastAsia="Times New Roman" w:asciiTheme="minorHAnsi" w:hAnsiTheme="minorHAnsi" w:cstheme="minorHAnsi"/>
          <w:color w:val="000000" w:themeColor="text1"/>
          <w:sz w:val="24"/>
          <w:szCs w:val="24"/>
          <w14:textFill>
            <w14:solidFill>
              <w14:schemeClr w14:val="tx1"/>
            </w14:solidFill>
          </w14:textFill>
        </w:rPr>
      </w:pPr>
      <w:r>
        <w:rPr>
          <w:rFonts w:eastAsia="Times New Roman" w:asciiTheme="minorHAnsi" w:hAnsiTheme="minorHAnsi" w:cstheme="minorHAnsi"/>
          <w:color w:val="000000" w:themeColor="text1"/>
          <w:sz w:val="24"/>
          <w:szCs w:val="24"/>
          <w14:textFill>
            <w14:solidFill>
              <w14:schemeClr w14:val="tx1"/>
            </w14:solidFill>
          </w14:textFill>
        </w:rPr>
        <w:t>Cumprir, no que couber, as exigências do art. 6° da Instrução Normativa MPOG n°01, de 19 de janeiro de 2010, que estabelece as práticas de sustentabilidade na execução dos serviços.</w:t>
      </w:r>
    </w:p>
    <w:p>
      <w:pPr>
        <w:jc w:val="both"/>
        <w:rPr>
          <w:rFonts w:asciiTheme="minorHAnsi" w:hAnsiTheme="minorHAnsi" w:cstheme="minorHAnsi"/>
          <w:color w:val="000000" w:themeColor="text1"/>
          <w:sz w:val="24"/>
          <w:szCs w:val="24"/>
          <w14:textFill>
            <w14:solidFill>
              <w14:schemeClr w14:val="tx1"/>
            </w14:solidFill>
          </w14:textFill>
        </w:rPr>
      </w:pPr>
    </w:p>
    <w:p>
      <w:pPr>
        <w:rPr>
          <w:rFonts w:asciiTheme="minorHAnsi" w:hAnsiTheme="minorHAnsi" w:cstheme="minorHAnsi"/>
          <w:b/>
          <w:bCs/>
          <w:color w:val="000000" w:themeColor="text1"/>
          <w:sz w:val="24"/>
          <w:szCs w:val="24"/>
          <w14:textFill>
            <w14:solidFill>
              <w14:schemeClr w14:val="tx1"/>
            </w14:solidFill>
          </w14:textFill>
        </w:rPr>
      </w:pPr>
      <w:r>
        <w:rPr>
          <w:rFonts w:eastAsia="Times New Roman" w:asciiTheme="minorHAnsi" w:hAnsiTheme="minorHAnsi" w:cstheme="minorHAnsi"/>
          <w:b/>
          <w:bCs/>
          <w:color w:val="000000" w:themeColor="text1"/>
          <w:sz w:val="24"/>
          <w:szCs w:val="24"/>
          <w14:textFill>
            <w14:solidFill>
              <w14:schemeClr w14:val="tx1"/>
            </w14:solidFill>
          </w14:textFill>
        </w:rPr>
        <w:t>14. CONDIÇÕES GERAIS</w:t>
      </w:r>
    </w:p>
    <w:p>
      <w:pPr>
        <w:spacing w:line="235" w:lineRule="auto"/>
        <w:ind w:firstLine="283"/>
        <w:jc w:val="both"/>
        <w:rPr>
          <w:rFonts w:asciiTheme="minorHAnsi" w:hAnsiTheme="minorHAnsi" w:cstheme="minorHAnsi"/>
          <w:color w:val="000000" w:themeColor="text1"/>
          <w:sz w:val="24"/>
          <w:szCs w:val="24"/>
          <w14:textFill>
            <w14:solidFill>
              <w14:schemeClr w14:val="tx1"/>
            </w14:solidFill>
          </w14:textFill>
        </w:rPr>
      </w:pPr>
      <w:r>
        <w:rPr>
          <w:rFonts w:eastAsia="Times New Roman" w:asciiTheme="minorHAnsi" w:hAnsiTheme="minorHAnsi" w:cstheme="minorHAnsi"/>
          <w:color w:val="000000" w:themeColor="text1"/>
          <w:sz w:val="24"/>
          <w:szCs w:val="24"/>
          <w14:textFill>
            <w14:solidFill>
              <w14:schemeClr w14:val="tx1"/>
            </w14:solidFill>
          </w14:textFill>
        </w:rPr>
        <w:t>14.1 As condições e especificações previstas neste Termo de Referência prevalecem sobre quaisquer outras e o participante não poderá alegar desconhecimento destas previsões.</w:t>
      </w:r>
    </w:p>
    <w:p>
      <w:pPr>
        <w:spacing w:line="235" w:lineRule="auto"/>
        <w:ind w:firstLine="283"/>
        <w:jc w:val="both"/>
        <w:rPr>
          <w:rFonts w:asciiTheme="minorHAnsi" w:hAnsiTheme="minorHAnsi" w:cstheme="minorHAnsi"/>
          <w:color w:val="000000" w:themeColor="text1"/>
          <w:sz w:val="24"/>
          <w:szCs w:val="24"/>
          <w14:textFill>
            <w14:solidFill>
              <w14:schemeClr w14:val="tx1"/>
            </w14:solidFill>
          </w14:textFill>
        </w:rPr>
      </w:pPr>
      <w:r>
        <w:rPr>
          <w:rFonts w:eastAsia="Times New Roman" w:asciiTheme="minorHAnsi" w:hAnsiTheme="minorHAnsi" w:cstheme="minorHAnsi"/>
          <w:color w:val="000000" w:themeColor="text1"/>
          <w:sz w:val="24"/>
          <w:szCs w:val="24"/>
          <w14:textFill>
            <w14:solidFill>
              <w14:schemeClr w14:val="tx1"/>
            </w14:solidFill>
          </w14:textFill>
        </w:rPr>
        <w:t>14.2 É de responsabilidade do preponente o conhecimento das características dos materiais relacionados no objeto desta licitação.</w:t>
      </w:r>
    </w:p>
    <w:p>
      <w:pPr>
        <w:spacing w:line="235" w:lineRule="auto"/>
        <w:ind w:firstLine="283"/>
        <w:jc w:val="both"/>
        <w:rPr>
          <w:rFonts w:asciiTheme="minorHAnsi" w:hAnsiTheme="minorHAnsi" w:cstheme="minorHAnsi"/>
          <w:color w:val="000000" w:themeColor="text1"/>
          <w:sz w:val="24"/>
          <w:szCs w:val="24"/>
          <w14:textFill>
            <w14:solidFill>
              <w14:schemeClr w14:val="tx1"/>
            </w14:solidFill>
          </w14:textFill>
        </w:rPr>
      </w:pPr>
      <w:r>
        <w:rPr>
          <w:rFonts w:eastAsia="Times New Roman" w:asciiTheme="minorHAnsi" w:hAnsiTheme="minorHAnsi" w:cstheme="minorHAnsi"/>
          <w:color w:val="000000" w:themeColor="text1"/>
          <w:sz w:val="24"/>
          <w:szCs w:val="24"/>
          <w14:textFill>
            <w14:solidFill>
              <w14:schemeClr w14:val="tx1"/>
            </w14:solidFill>
          </w14:textFill>
        </w:rPr>
        <w:t>14.3 As comunicações entre o Contratante e a Contratada serão feitas por escrito e juntadas aos autos pela fiscalização.</w:t>
      </w:r>
    </w:p>
    <w:p>
      <w:pPr>
        <w:ind w:firstLine="283"/>
        <w:rPr>
          <w:rFonts w:asciiTheme="minorHAnsi" w:hAnsiTheme="minorHAnsi" w:cstheme="minorHAnsi"/>
          <w:color w:val="000000" w:themeColor="text1"/>
          <w:sz w:val="24"/>
          <w:szCs w:val="24"/>
          <w14:textFill>
            <w14:solidFill>
              <w14:schemeClr w14:val="tx1"/>
            </w14:solidFill>
          </w14:textFill>
        </w:rPr>
      </w:pPr>
      <w:r>
        <w:rPr>
          <w:rFonts w:eastAsia="Times New Roman" w:asciiTheme="minorHAnsi" w:hAnsiTheme="minorHAnsi" w:cstheme="minorHAnsi"/>
          <w:color w:val="000000" w:themeColor="text1"/>
          <w:sz w:val="24"/>
          <w:szCs w:val="24"/>
          <w14:textFill>
            <w14:solidFill>
              <w14:schemeClr w14:val="tx1"/>
            </w14:solidFill>
          </w14:textFill>
        </w:rPr>
        <w:t>14.4 É expressamente proibido à Contratada:</w:t>
      </w:r>
    </w:p>
    <w:p>
      <w:pPr>
        <w:ind w:firstLine="283"/>
        <w:jc w:val="both"/>
        <w:rPr>
          <w:rFonts w:asciiTheme="minorHAnsi" w:hAnsiTheme="minorHAnsi" w:cstheme="minorHAnsi"/>
          <w:color w:val="000000" w:themeColor="text1"/>
          <w:sz w:val="24"/>
          <w:szCs w:val="24"/>
          <w14:textFill>
            <w14:solidFill>
              <w14:schemeClr w14:val="tx1"/>
            </w14:solidFill>
          </w14:textFill>
        </w:rPr>
      </w:pPr>
      <w:r>
        <w:rPr>
          <w:rFonts w:eastAsia="Times New Roman" w:asciiTheme="minorHAnsi" w:hAnsiTheme="minorHAnsi" w:cstheme="minorHAnsi"/>
          <w:color w:val="000000" w:themeColor="text1"/>
          <w:sz w:val="24"/>
          <w:szCs w:val="24"/>
          <w14:textFill>
            <w14:solidFill>
              <w14:schemeClr w14:val="tx1"/>
            </w14:solidFill>
          </w14:textFill>
        </w:rPr>
        <w:t>14.4.1 subcontratar o objeto desta licitação, exceto a subcontratação parcial devidamente justificada e autorizada pelo Contratante, sem prejuízo das suas responsabilidades contratuais e legais;</w:t>
      </w:r>
    </w:p>
    <w:p>
      <w:pPr>
        <w:spacing w:line="235" w:lineRule="auto"/>
        <w:ind w:firstLine="283"/>
        <w:jc w:val="both"/>
        <w:rPr>
          <w:rFonts w:asciiTheme="minorHAnsi" w:hAnsiTheme="minorHAnsi" w:cstheme="minorHAnsi"/>
          <w:color w:val="000000" w:themeColor="text1"/>
          <w:sz w:val="24"/>
          <w:szCs w:val="24"/>
          <w14:textFill>
            <w14:solidFill>
              <w14:schemeClr w14:val="tx1"/>
            </w14:solidFill>
          </w14:textFill>
        </w:rPr>
      </w:pPr>
      <w:r>
        <w:rPr>
          <w:rFonts w:eastAsia="Times New Roman" w:asciiTheme="minorHAnsi" w:hAnsiTheme="minorHAnsi" w:cstheme="minorHAnsi"/>
          <w:color w:val="000000" w:themeColor="text1"/>
          <w:sz w:val="24"/>
          <w:szCs w:val="24"/>
          <w14:textFill>
            <w14:solidFill>
              <w14:schemeClr w14:val="tx1"/>
            </w14:solidFill>
          </w14:textFill>
        </w:rPr>
        <w:t>14.4.2 veicular publicidade comercial acerca do objeto desta contratação, salvo se houver prévia autorização da Administração do 38º Batalhão de Infantaria.</w:t>
      </w:r>
    </w:p>
    <w:p>
      <w:pPr>
        <w:spacing w:line="235" w:lineRule="auto"/>
        <w:ind w:firstLine="283"/>
        <w:jc w:val="both"/>
        <w:rPr>
          <w:rFonts w:asciiTheme="minorHAnsi" w:hAnsiTheme="minorHAnsi" w:cstheme="minorHAnsi"/>
          <w:color w:val="000000" w:themeColor="text1"/>
          <w:sz w:val="24"/>
          <w:szCs w:val="24"/>
          <w14:textFill>
            <w14:solidFill>
              <w14:schemeClr w14:val="tx1"/>
            </w14:solidFill>
          </w14:textFill>
        </w:rPr>
      </w:pPr>
    </w:p>
    <w:p>
      <w:pPr>
        <w:spacing w:line="200" w:lineRule="exact"/>
        <w:rPr>
          <w:rFonts w:asciiTheme="minorHAnsi" w:hAnsiTheme="minorHAnsi" w:cstheme="minorHAnsi"/>
          <w:color w:val="000000" w:themeColor="text1"/>
          <w:sz w:val="24"/>
          <w:szCs w:val="24"/>
          <w14:textFill>
            <w14:solidFill>
              <w14:schemeClr w14:val="tx1"/>
            </w14:solidFill>
          </w14:textFill>
        </w:rPr>
      </w:pPr>
    </w:p>
    <w:p>
      <w:pPr>
        <w:ind w:right="-2" w:firstLine="0"/>
        <w:jc w:val="center"/>
      </w:pPr>
      <w:r>
        <w:rPr>
          <w:rFonts w:eastAsia="Times New Roman" w:asciiTheme="minorHAnsi" w:hAnsiTheme="minorHAnsi" w:cstheme="minorHAnsi"/>
          <w:color w:val="000000" w:themeColor="text1"/>
          <w:sz w:val="24"/>
          <w:szCs w:val="24"/>
          <w14:textFill>
            <w14:solidFill>
              <w14:schemeClr w14:val="tx1"/>
            </w14:solidFill>
          </w14:textFill>
        </w:rPr>
        <w:t xml:space="preserve">Vila Velha - ES, </w:t>
      </w:r>
      <w:r>
        <w:rPr>
          <w:rFonts w:hint="default" w:eastAsia="Times New Roman" w:asciiTheme="minorHAnsi" w:hAnsiTheme="minorHAnsi" w:cstheme="minorHAnsi"/>
          <w:color w:val="000000" w:themeColor="text1"/>
          <w:sz w:val="24"/>
          <w:szCs w:val="24"/>
          <w:lang w:val="pt-BR"/>
          <w14:textFill>
            <w14:solidFill>
              <w14:schemeClr w14:val="tx1"/>
            </w14:solidFill>
          </w14:textFill>
        </w:rPr>
        <w:t>28</w:t>
      </w:r>
      <w:r>
        <w:rPr>
          <w:rFonts w:eastAsia="Times New Roman" w:asciiTheme="minorHAnsi" w:hAnsiTheme="minorHAnsi" w:cstheme="minorHAnsi"/>
          <w:color w:val="000000" w:themeColor="text1"/>
          <w:sz w:val="24"/>
          <w:szCs w:val="24"/>
          <w14:textFill>
            <w14:solidFill>
              <w14:schemeClr w14:val="tx1"/>
            </w14:solidFill>
          </w14:textFill>
        </w:rPr>
        <w:t xml:space="preserve"> de </w:t>
      </w:r>
      <w:r>
        <w:rPr>
          <w:rFonts w:hint="default" w:eastAsia="Times New Roman" w:asciiTheme="minorHAnsi" w:hAnsiTheme="minorHAnsi" w:cstheme="minorHAnsi"/>
          <w:color w:val="000000" w:themeColor="text1"/>
          <w:sz w:val="24"/>
          <w:szCs w:val="24"/>
          <w:lang w:val="pt-BR"/>
          <w14:textFill>
            <w14:solidFill>
              <w14:schemeClr w14:val="tx1"/>
            </w14:solidFill>
          </w14:textFill>
        </w:rPr>
        <w:t>março</w:t>
      </w:r>
      <w:r>
        <w:rPr>
          <w:rFonts w:eastAsia="Times New Roman" w:asciiTheme="minorHAnsi" w:hAnsiTheme="minorHAnsi" w:cstheme="minorHAnsi"/>
          <w:color w:val="000000" w:themeColor="text1"/>
          <w:sz w:val="24"/>
          <w:szCs w:val="24"/>
          <w14:textFill>
            <w14:solidFill>
              <w14:schemeClr w14:val="tx1"/>
            </w14:solidFill>
          </w14:textFill>
        </w:rPr>
        <w:t xml:space="preserve"> de 202</w:t>
      </w:r>
      <w:r>
        <w:rPr>
          <w:rFonts w:hint="default" w:eastAsia="Times New Roman" w:asciiTheme="minorHAnsi" w:hAnsiTheme="minorHAnsi" w:cstheme="minorHAnsi"/>
          <w:color w:val="000000" w:themeColor="text1"/>
          <w:sz w:val="24"/>
          <w:szCs w:val="24"/>
          <w:lang w:val="pt-BR"/>
          <w14:textFill>
            <w14:solidFill>
              <w14:schemeClr w14:val="tx1"/>
            </w14:solidFill>
          </w14:textFill>
        </w:rPr>
        <w:t>3</w:t>
      </w:r>
      <w:bookmarkStart w:id="2" w:name="_GoBack"/>
      <w:bookmarkEnd w:id="2"/>
      <w:r>
        <w:rPr>
          <w:rFonts w:eastAsia="Times New Roman" w:asciiTheme="minorHAnsi" w:hAnsiTheme="minorHAnsi" w:cstheme="minorHAnsi"/>
          <w:color w:val="000000" w:themeColor="text1"/>
          <w:sz w:val="24"/>
          <w:szCs w:val="24"/>
          <w14:textFill>
            <w14:solidFill>
              <w14:schemeClr w14:val="tx1"/>
            </w14:solidFill>
          </w14:textFill>
        </w:rPr>
        <w:t>.</w:t>
      </w:r>
    </w:p>
    <w:p>
      <w:pPr>
        <w:spacing w:line="200" w:lineRule="exact"/>
        <w:rPr>
          <w:rFonts w:asciiTheme="minorHAnsi" w:hAnsiTheme="minorHAnsi" w:cstheme="minorHAnsi"/>
          <w:color w:val="000000" w:themeColor="text1"/>
          <w:sz w:val="12"/>
          <w:szCs w:val="12"/>
          <w14:textFill>
            <w14:solidFill>
              <w14:schemeClr w14:val="tx1"/>
            </w14:solidFill>
          </w14:textFill>
        </w:rPr>
      </w:pPr>
    </w:p>
    <w:p>
      <w:pPr>
        <w:spacing w:line="200" w:lineRule="exact"/>
        <w:rPr>
          <w:rFonts w:asciiTheme="minorHAnsi" w:hAnsiTheme="minorHAnsi" w:cstheme="minorHAnsi"/>
          <w:color w:val="000000" w:themeColor="text1"/>
          <w:sz w:val="12"/>
          <w:szCs w:val="12"/>
          <w14:textFill>
            <w14:solidFill>
              <w14:schemeClr w14:val="tx1"/>
            </w14:solidFill>
          </w14:textFill>
        </w:rPr>
      </w:pPr>
    </w:p>
    <w:p>
      <w:pPr>
        <w:jc w:val="center"/>
        <w:rPr>
          <w:rFonts w:eastAsia="Times New Roman" w:asciiTheme="minorHAnsi" w:hAnsiTheme="minorHAnsi" w:cstheme="minorHAnsi"/>
          <w:b/>
          <w:color w:val="000000" w:themeColor="text1"/>
          <w:sz w:val="24"/>
          <w:szCs w:val="24"/>
          <w14:textFill>
            <w14:solidFill>
              <w14:schemeClr w14:val="tx1"/>
            </w14:solidFill>
          </w14:textFill>
        </w:rPr>
      </w:pPr>
      <w:r>
        <w:rPr>
          <w:rFonts w:eastAsia="Times New Roman" w:asciiTheme="minorHAnsi" w:hAnsiTheme="minorHAnsi" w:cstheme="minorHAnsi"/>
          <w:b/>
          <w:color w:val="000000" w:themeColor="text1"/>
          <w:sz w:val="24"/>
          <w:szCs w:val="24"/>
          <w14:textFill>
            <w14:solidFill>
              <w14:schemeClr w14:val="tx1"/>
            </w14:solidFill>
          </w14:textFill>
        </w:rPr>
        <w:t>________________________________________</w:t>
      </w:r>
    </w:p>
    <w:p>
      <w:pPr>
        <w:jc w:val="center"/>
      </w:pPr>
      <w:r>
        <w:rPr>
          <w:rFonts w:eastAsia="Times New Roman" w:asciiTheme="minorHAnsi" w:hAnsiTheme="minorHAnsi" w:cstheme="minorHAnsi"/>
          <w:b/>
          <w:bCs/>
          <w:color w:val="000000" w:themeColor="text1"/>
          <w:sz w:val="24"/>
          <w:szCs w:val="24"/>
          <w14:textFill>
            <w14:solidFill>
              <w14:schemeClr w14:val="tx1"/>
            </w14:solidFill>
          </w14:textFill>
        </w:rPr>
        <w:t>KAINÁ KIFFER PAIVA – 2º Ten</w:t>
      </w:r>
    </w:p>
    <w:p>
      <w:pPr>
        <w:jc w:val="center"/>
      </w:pPr>
      <w:r>
        <w:rPr>
          <w:rFonts w:eastAsia="Times New Roman" w:asciiTheme="minorHAnsi" w:hAnsiTheme="minorHAnsi" w:cstheme="minorHAnsi"/>
          <w:bCs/>
          <w:iCs/>
          <w:color w:val="000000" w:themeColor="text1"/>
          <w:sz w:val="24"/>
          <w:szCs w:val="24"/>
          <w14:textFill>
            <w14:solidFill>
              <w14:schemeClr w14:val="tx1"/>
            </w14:solidFill>
          </w14:textFill>
        </w:rPr>
        <w:t>Encarregado da Farmácia</w:t>
      </w:r>
    </w:p>
    <w:sectPr>
      <w:pgSz w:w="11906" w:h="16838"/>
      <w:pgMar w:top="992" w:right="851" w:bottom="992" w:left="1134" w:header="0" w:footer="0" w:gutter="0"/>
      <w:pgNumType w:fmt="decimal"/>
      <w:cols w:space="720" w:num="1"/>
      <w:formProt w:val="0"/>
      <w:docGrid w:linePitch="24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1"/>
    <w:family w:val="roman"/>
    <w:pitch w:val="default"/>
    <w:sig w:usb0="E1002EFF" w:usb1="C000605B" w:usb2="00000029" w:usb3="00000000" w:csb0="200101FF" w:csb1="20280000"/>
  </w:font>
  <w:font w:name="Liberation Sans">
    <w:panose1 w:val="020B0604020202020204"/>
    <w:charset w:val="01"/>
    <w:family w:val="roman"/>
    <w:pitch w:val="default"/>
    <w:sig w:usb0="E0000AFF" w:usb1="500078FF" w:usb2="00000021" w:usb3="00000000" w:csb0="600001BF" w:csb1="DFF70000"/>
  </w:font>
  <w:font w:name="WenQuanYi Micro Hei">
    <w:altName w:val="Liberation Mono"/>
    <w:panose1 w:val="00000000000000000000"/>
    <w:charset w:val="00"/>
    <w:family w:val="auto"/>
    <w:pitch w:val="default"/>
    <w:sig w:usb0="00000000" w:usb1="00000000" w:usb2="00000000" w:usb3="00000000" w:csb0="00000000" w:csb1="00000000"/>
  </w:font>
  <w:font w:name="Liberation Mono">
    <w:panose1 w:val="02070409020205020404"/>
    <w:charset w:val="00"/>
    <w:family w:val="auto"/>
    <w:pitch w:val="default"/>
    <w:sig w:usb0="E0000AFF" w:usb1="400078FF" w:usb2="00000001" w:usb3="00000000" w:csb0="600001BF" w:csb1="DFF70000"/>
  </w:font>
  <w:font w:name="FreeSans">
    <w:altName w:val="Liberation Mono"/>
    <w:panose1 w:val="00000000000000000000"/>
    <w:charset w:val="00"/>
    <w:family w:val="auto"/>
    <w:pitch w:val="default"/>
    <w:sig w:usb0="00000000" w:usb1="00000000" w:usb2="00000000" w:usb3="00000000" w:csb0="00000000" w:csb1="00000000"/>
  </w:font>
  <w:font w:name="Lohit Hindi">
    <w:altName w:val="Liberation Mono"/>
    <w:panose1 w:val="00000000000000000000"/>
    <w:charset w:val="00"/>
    <w:family w:val="auto"/>
    <w:pitch w:val="default"/>
    <w:sig w:usb0="00000000" w:usb1="00000000" w:usb2="00000000" w:usb3="00000000" w:csb0="00000000" w:csb1="00000000"/>
  </w:font>
  <w:font w:name="Ecofont_Spranq_eco_Sans">
    <w:altName w:val="Liberation Mono"/>
    <w:panose1 w:val="00000000000000000000"/>
    <w:charset w:val="01"/>
    <w:family w:val="roman"/>
    <w:pitch w:val="default"/>
    <w:sig w:usb0="00000000" w:usb1="00000000" w:usb2="00000000" w:usb3="00000000" w:csb0="00000000" w:csb1="00000000"/>
  </w:font>
  <w:font w:name="DejaVu Sans">
    <w:panose1 w:val="020B0603030804020204"/>
    <w:charset w:val="00"/>
    <w:family w:val="auto"/>
    <w:pitch w:val="default"/>
    <w:sig w:usb0="E7006EFF" w:usb1="D200FDFF" w:usb2="0A246029" w:usb3="0400200C" w:csb0="600001FF" w:csb1="DFFF0000"/>
  </w:font>
  <w:font w:name="Calibri">
    <w:panose1 w:val="020F0502020204030204"/>
    <w:charset w:val="01"/>
    <w:family w:val="roman"/>
    <w:pitch w:val="default"/>
    <w:sig w:usb0="E4002EFF" w:usb1="C200247B" w:usb2="00000009" w:usb3="00000000" w:csb0="200001FF" w:csb1="00000000"/>
  </w:font>
  <w:font w:name="Arial Unicode MS">
    <w:altName w:val="SimSun"/>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200247B" w:usb2="00000009" w:usb3="00000000" w:csb0="200001FF" w:csb1="00000000"/>
  </w:font>
  <w:font w:name="Tahoma">
    <w:panose1 w:val="020B0604030504040204"/>
    <w:charset w:val="00"/>
    <w:family w:val="auto"/>
    <w:pitch w:val="default"/>
    <w:sig w:usb0="E1002EFF" w:usb1="C000605B" w:usb2="00000029" w:usb3="00000000" w:csb0="200101FF" w:csb1="20280000"/>
  </w:font>
  <w:font w:name="monospace">
    <w:altName w:val="Liberation Mono"/>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3"/>
      <w:numFmt w:val="decimal"/>
      <w:lvlText w:val="%1"/>
      <w:lvlJc w:val="left"/>
      <w:pPr>
        <w:tabs>
          <w:tab w:val="left" w:pos="0"/>
        </w:tabs>
        <w:ind w:left="390" w:hanging="390"/>
      </w:pPr>
    </w:lvl>
    <w:lvl w:ilvl="1" w:tentative="0">
      <w:start w:val="1"/>
      <w:numFmt w:val="decimal"/>
      <w:lvlText w:val="%1.%2"/>
      <w:lvlJc w:val="left"/>
      <w:pPr>
        <w:tabs>
          <w:tab w:val="left" w:pos="0"/>
        </w:tabs>
        <w:ind w:left="390" w:hanging="390"/>
      </w:pPr>
    </w:lvl>
    <w:lvl w:ilvl="2" w:tentative="0">
      <w:start w:val="1"/>
      <w:numFmt w:val="decimal"/>
      <w:lvlText w:val="%1.%2.%3"/>
      <w:lvlJc w:val="left"/>
      <w:pPr>
        <w:tabs>
          <w:tab w:val="left" w:pos="0"/>
        </w:tabs>
        <w:ind w:left="720" w:hanging="720"/>
      </w:pPr>
    </w:lvl>
    <w:lvl w:ilvl="3" w:tentative="0">
      <w:start w:val="1"/>
      <w:numFmt w:val="decimal"/>
      <w:lvlText w:val="%1.%2.%3.%4"/>
      <w:lvlJc w:val="left"/>
      <w:pPr>
        <w:tabs>
          <w:tab w:val="left" w:pos="0"/>
        </w:tabs>
        <w:ind w:left="720" w:hanging="720"/>
      </w:pPr>
    </w:lvl>
    <w:lvl w:ilvl="4" w:tentative="0">
      <w:start w:val="1"/>
      <w:numFmt w:val="decimal"/>
      <w:lvlText w:val="%1.%2.%3.%4.%5"/>
      <w:lvlJc w:val="left"/>
      <w:pPr>
        <w:tabs>
          <w:tab w:val="left" w:pos="0"/>
        </w:tabs>
        <w:ind w:left="1080" w:hanging="1080"/>
      </w:pPr>
    </w:lvl>
    <w:lvl w:ilvl="5" w:tentative="0">
      <w:start w:val="1"/>
      <w:numFmt w:val="decimal"/>
      <w:lvlText w:val="%1.%2.%3.%4.%5.%6"/>
      <w:lvlJc w:val="left"/>
      <w:pPr>
        <w:tabs>
          <w:tab w:val="left" w:pos="0"/>
        </w:tabs>
        <w:ind w:left="1080" w:hanging="1080"/>
      </w:pPr>
    </w:lvl>
    <w:lvl w:ilvl="6" w:tentative="0">
      <w:start w:val="1"/>
      <w:numFmt w:val="decimal"/>
      <w:lvlText w:val="%1.%2.%3.%4.%5.%6.%7"/>
      <w:lvlJc w:val="left"/>
      <w:pPr>
        <w:tabs>
          <w:tab w:val="left" w:pos="0"/>
        </w:tabs>
        <w:ind w:left="1440" w:hanging="1440"/>
      </w:pPr>
    </w:lvl>
    <w:lvl w:ilvl="7" w:tentative="0">
      <w:start w:val="1"/>
      <w:numFmt w:val="decimal"/>
      <w:lvlText w:val="%1.%2.%3.%4.%5.%6.%7.%8"/>
      <w:lvlJc w:val="left"/>
      <w:pPr>
        <w:tabs>
          <w:tab w:val="left" w:pos="0"/>
        </w:tabs>
        <w:ind w:left="1440" w:hanging="1440"/>
      </w:pPr>
    </w:lvl>
    <w:lvl w:ilvl="8" w:tentative="0">
      <w:start w:val="1"/>
      <w:numFmt w:val="decimal"/>
      <w:lvlText w:val="%1.%2.%3.%4.%5.%6.%7.%8.%9"/>
      <w:lvlJc w:val="left"/>
      <w:pPr>
        <w:tabs>
          <w:tab w:val="left" w:pos="0"/>
        </w:tabs>
        <w:ind w:left="144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20"/>
  <w:autoHyphenation/>
  <w:footnotePr>
    <w:footnote w:id="0"/>
    <w:footnote w:id="1"/>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B716201"/>
    <w:rsid w:val="3DFA125A"/>
  </w:rsids>
  <m:mathPr>
    <m:brkBin m:val="before"/>
    <m:brkBinSub m:val="--"/>
    <m:smallFrac m:val="0"/>
    <m:dispDef/>
    <m:lMargin m:val="0"/>
    <m:rMargin m:val="0"/>
    <m:defJc m:val="centerGroup"/>
    <m:wrapIndent m:val="1440"/>
    <m:intLim m:val="subSup"/>
    <m:naryLim m:val="undOvr"/>
  </m:mathPr>
  <w:themeFontLang w:val="en-US" w:eastAsia="zh-CN" w:bidi="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widowControl/>
      <w:suppressAutoHyphens/>
      <w:bidi w:val="0"/>
      <w:spacing w:before="0" w:after="0"/>
      <w:jc w:val="left"/>
    </w:pPr>
    <w:rPr>
      <w:rFonts w:ascii="Times New Roman" w:hAnsi="Times New Roman" w:cs="Times New Roman" w:eastAsiaTheme="minorEastAsia"/>
      <w:color w:val="00000A"/>
      <w:kern w:val="0"/>
      <w:sz w:val="22"/>
      <w:szCs w:val="22"/>
      <w:lang w:val="pt-BR" w:eastAsia="pt-BR"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List"/>
    <w:basedOn w:val="5"/>
    <w:uiPriority w:val="0"/>
    <w:rPr>
      <w:rFonts w:cs="FreeSans"/>
    </w:rPr>
  </w:style>
  <w:style w:type="paragraph" w:styleId="5">
    <w:name w:val="Body Text"/>
    <w:basedOn w:val="1"/>
    <w:uiPriority w:val="0"/>
    <w:pPr>
      <w:spacing w:before="0" w:after="140" w:line="288" w:lineRule="auto"/>
    </w:pPr>
  </w:style>
  <w:style w:type="paragraph" w:styleId="6">
    <w:name w:val="Title"/>
    <w:basedOn w:val="1"/>
    <w:link w:val="10"/>
    <w:qFormat/>
    <w:uiPriority w:val="0"/>
  </w:style>
  <w:style w:type="paragraph" w:styleId="7">
    <w:name w:val="caption"/>
    <w:basedOn w:val="1"/>
    <w:next w:val="1"/>
    <w:qFormat/>
    <w:uiPriority w:val="0"/>
    <w:pPr>
      <w:suppressLineNumbers/>
      <w:suppressAutoHyphens/>
      <w:spacing w:before="120" w:after="120"/>
    </w:pPr>
    <w:rPr>
      <w:rFonts w:eastAsia="Times New Roman" w:cs="Lohit Hindi"/>
      <w:i/>
      <w:iCs/>
      <w:sz w:val="24"/>
      <w:szCs w:val="24"/>
      <w:lang w:eastAsia="zh-CN"/>
    </w:rPr>
  </w:style>
  <w:style w:type="paragraph" w:styleId="8">
    <w:name w:val="Balloon Text"/>
    <w:basedOn w:val="1"/>
    <w:link w:val="11"/>
    <w:semiHidden/>
    <w:unhideWhenUsed/>
    <w:qFormat/>
    <w:uiPriority w:val="99"/>
    <w:rPr>
      <w:rFonts w:ascii="Tahoma" w:hAnsi="Tahoma" w:cs="Tahoma"/>
      <w:sz w:val="16"/>
      <w:szCs w:val="16"/>
    </w:rPr>
  </w:style>
  <w:style w:type="character" w:customStyle="1" w:styleId="9">
    <w:name w:val="Link da Internet"/>
    <w:basedOn w:val="2"/>
    <w:unhideWhenUsed/>
    <w:qFormat/>
    <w:uiPriority w:val="99"/>
    <w:rPr>
      <w:color w:val="0000FF"/>
      <w:u w:val="single"/>
    </w:rPr>
  </w:style>
  <w:style w:type="character" w:customStyle="1" w:styleId="10">
    <w:name w:val="Título Char"/>
    <w:basedOn w:val="2"/>
    <w:link w:val="6"/>
    <w:qFormat/>
    <w:uiPriority w:val="0"/>
    <w:rPr>
      <w:rFonts w:eastAsia="Times New Roman"/>
      <w:b/>
      <w:bCs/>
      <w:sz w:val="24"/>
      <w:szCs w:val="24"/>
      <w:u w:val="single"/>
      <w:lang w:val="zh-CN"/>
    </w:rPr>
  </w:style>
  <w:style w:type="character" w:customStyle="1" w:styleId="11">
    <w:name w:val="Texto de balão Char"/>
    <w:basedOn w:val="2"/>
    <w:link w:val="8"/>
    <w:semiHidden/>
    <w:qFormat/>
    <w:uiPriority w:val="99"/>
    <w:rPr>
      <w:rFonts w:ascii="Tahoma" w:hAnsi="Tahoma" w:cs="Tahoma"/>
      <w:sz w:val="16"/>
      <w:szCs w:val="16"/>
    </w:rPr>
  </w:style>
  <w:style w:type="paragraph" w:customStyle="1" w:styleId="12">
    <w:name w:val="Título1"/>
    <w:basedOn w:val="1"/>
    <w:next w:val="5"/>
    <w:qFormat/>
    <w:uiPriority w:val="0"/>
    <w:pPr>
      <w:keepNext/>
      <w:spacing w:before="240" w:after="120"/>
    </w:pPr>
    <w:rPr>
      <w:rFonts w:ascii="Liberation Sans" w:hAnsi="Liberation Sans" w:eastAsia="WenQuanYi Micro Hei" w:cs="FreeSans"/>
      <w:sz w:val="28"/>
      <w:szCs w:val="28"/>
    </w:rPr>
  </w:style>
  <w:style w:type="paragraph" w:customStyle="1" w:styleId="13">
    <w:name w:val="Índice"/>
    <w:basedOn w:val="1"/>
    <w:qFormat/>
    <w:uiPriority w:val="0"/>
    <w:pPr>
      <w:suppressLineNumbers/>
    </w:pPr>
    <w:rPr>
      <w:rFonts w:cs="FreeSans"/>
    </w:rPr>
  </w:style>
  <w:style w:type="paragraph" w:styleId="14">
    <w:name w:val="No Spacing"/>
    <w:qFormat/>
    <w:uiPriority w:val="1"/>
    <w:pPr>
      <w:widowControl/>
      <w:suppressAutoHyphens/>
      <w:bidi w:val="0"/>
      <w:spacing w:before="0" w:after="0"/>
      <w:jc w:val="left"/>
    </w:pPr>
    <w:rPr>
      <w:rFonts w:ascii="Times New Roman" w:hAnsi="Times New Roman" w:eastAsia="Times New Roman" w:cs="Times New Roman"/>
      <w:color w:val="00000A"/>
      <w:kern w:val="0"/>
      <w:sz w:val="24"/>
      <w:szCs w:val="24"/>
      <w:lang w:val="pt-BR" w:eastAsia="pt-BR" w:bidi="ar-SA"/>
    </w:rPr>
  </w:style>
  <w:style w:type="paragraph" w:styleId="15">
    <w:name w:val="List Paragraph"/>
    <w:basedOn w:val="1"/>
    <w:qFormat/>
    <w:uiPriority w:val="34"/>
    <w:pPr>
      <w:spacing w:before="0" w:after="0"/>
      <w:ind w:left="720" w:firstLine="0"/>
      <w:contextualSpacing/>
    </w:pPr>
    <w:rPr>
      <w:rFonts w:ascii="Ecofont_Spranq_eco_Sans" w:hAnsi="Ecofont_Spranq_eco_Sans" w:eastAsia="Times New Roman" w:cs="Tahoma"/>
      <w:sz w:val="24"/>
      <w:szCs w:val="24"/>
    </w:rPr>
  </w:style>
  <w:style w:type="paragraph" w:customStyle="1" w:styleId="16">
    <w:name w:val="LO-normal"/>
    <w:qFormat/>
    <w:uiPriority w:val="0"/>
    <w:pPr>
      <w:widowControl/>
      <w:suppressAutoHyphens/>
      <w:bidi w:val="0"/>
      <w:spacing w:before="0" w:after="0"/>
      <w:ind w:left="0" w:right="0" w:hanging="1"/>
      <w:jc w:val="left"/>
    </w:pPr>
    <w:rPr>
      <w:rFonts w:ascii="Times New Roman" w:hAnsi="Times New Roman" w:eastAsia="DejaVu Sans" w:cs="DejaVu Sans"/>
      <w:color w:val="auto"/>
      <w:kern w:val="0"/>
      <w:sz w:val="20"/>
      <w:szCs w:val="20"/>
      <w:lang w:val="pt-BR" w:eastAsia="zh-CN" w:bidi="hi-I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oleObject" Target="embeddings/oleObject1.bin"/><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2181</Words>
  <Characters>12177</Characters>
  <Paragraphs>116</Paragraphs>
  <TotalTime>1</TotalTime>
  <ScaleCrop>false</ScaleCrop>
  <LinksUpToDate>false</LinksUpToDate>
  <CharactersWithSpaces>14278</CharactersWithSpaces>
  <Application>WPS Office_11.2.0.11513_F1E327BC-269C-435d-A152-05C5408002CA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2022-05-03T17:07:00Z</dcterms:created>
  <dc:creator>Windows User</dc:creator>
  <cp:lastModifiedBy>user</cp:lastModifiedBy>
  <cp:lastPrinted>2022-05-16T12:08:00Z</cp:lastPrinted>
  <dcterms:modified xsi:type="dcterms:W3CDTF">2023-03-28T12:49:24Z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y fmtid="{D5CDD505-2E9C-101B-9397-08002B2CF9AE}" pid="6" name="KSOProductBuildVer">
    <vt:lpwstr>1046-11.2.0.11513</vt:lpwstr>
  </property>
  <property fmtid="{D5CDD505-2E9C-101B-9397-08002B2CF9AE}" pid="7" name="ICV">
    <vt:lpwstr>E8F24B39A3E342A08CA3F282DB2F55A0</vt:lpwstr>
  </property>
</Properties>
</file>