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media/image1.png" ContentType="image/pn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bidi w:val="0"/>
        <w:spacing w:lineRule="auto" w:line="36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drawing>
          <wp:inline distT="0" distB="0" distL="0" distR="0">
            <wp:extent cx="586105" cy="617855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pPr>
      <w:r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  <w:t>EXÉRCITO BRASILEIRO</w:t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pPr>
      <w:r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  <w:t>COMANDO MILITAR DA AMAZÔNIA</w:t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pPr>
      <w:r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  <w:t>CENTRO DE INSTRUÇÃO DE GUERRA NA SELVA</w:t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eastAsia="Times New Roman" w:cs="Times New Roman" w:ascii="Times New Roman" w:hAnsi="Times New Roman"/>
          <w:b/>
          <w:color w:val="000000"/>
          <w:sz w:val="20"/>
          <w:szCs w:val="20"/>
          <w:lang w:val="pt-BR" w:eastAsia="zh-CN" w:bidi="ar-SA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  <w:lang w:val="pt-BR" w:eastAsia="zh-CN" w:bidi="ar-SA"/>
        </w:rPr>
        <w:t>(CIGS/1964)</w:t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pPr>
      <w:r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  <w:t>CENTRO CORONEL JORGE TEIXEIRA</w:t>
      </w:r>
    </w:p>
    <w:p>
      <w:pPr>
        <w:pStyle w:val="Normal"/>
        <w:widowControl w:val="false"/>
        <w:bidi w:val="0"/>
        <w:spacing w:lineRule="auto" w:line="360" w:before="0" w:after="0"/>
        <w:jc w:val="center"/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pPr>
      <w:r>
        <w:rPr>
          <w:rFonts w:cs="Times New Roman" w:ascii="Times New Roman" w:hAnsi="Times New Roman"/>
          <w:b/>
          <w:color w:val="000000"/>
          <w:sz w:val="20"/>
          <w:szCs w:val="20"/>
          <w:lang w:eastAsia="zh-CN"/>
        </w:rPr>
      </w:r>
    </w:p>
    <w:p>
      <w:pPr>
        <w:pStyle w:val="Normal"/>
        <w:widowControl w:val="false"/>
        <w:bidi w:val="0"/>
        <w:spacing w:lineRule="auto" w:line="360" w:before="57" w:after="57"/>
        <w:jc w:val="center"/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</w:r>
    </w:p>
    <w:p>
      <w:pPr>
        <w:pStyle w:val="Normal"/>
        <w:widowControl w:val="false"/>
        <w:bidi w:val="0"/>
        <w:spacing w:lineRule="auto" w:line="360" w:before="57" w:after="57"/>
        <w:jc w:val="center"/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  <w:t>PREGÃO ELETRÔNICO SRP 001/2023</w:t>
      </w:r>
    </w:p>
    <w:p>
      <w:pPr>
        <w:pStyle w:val="Normal"/>
        <w:widowControl w:val="false"/>
        <w:bidi w:val="0"/>
        <w:spacing w:lineRule="auto" w:line="360" w:before="57" w:after="57"/>
        <w:ind w:left="0" w:right="-30" w:hanging="0"/>
        <w:jc w:val="center"/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BR" w:eastAsia="zh-CN" w:bidi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val="pt-BR" w:eastAsia="zh-CN" w:bidi="ar-SA"/>
        </w:rPr>
        <w:t xml:space="preserve">ATA DE REGISTRO DE PREÇOS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BR" w:eastAsia="zh-CN" w:bidi="ar-SA"/>
        </w:rPr>
        <w:t>N.º .........</w:t>
      </w:r>
    </w:p>
    <w:p>
      <w:pPr>
        <w:pStyle w:val="Normal"/>
        <w:widowControl w:val="false"/>
        <w:bidi w:val="0"/>
        <w:spacing w:lineRule="auto" w:line="360" w:before="57" w:after="57"/>
        <w:ind w:left="0" w:right="-30" w:hanging="0"/>
        <w:jc w:val="both"/>
        <w:rPr>
          <w:rFonts w:cs="Arial" w:ascii="Arial" w:hAnsi="Arial"/>
          <w:b/>
          <w:bCs/>
          <w:iCs/>
          <w:color w:val="000000"/>
          <w:sz w:val="24"/>
          <w:szCs w:val="24"/>
        </w:rPr>
      </w:pPr>
      <w:r>
        <w:rPr>
          <w:rFonts w:cs="Arial" w:ascii="Arial" w:hAnsi="Arial"/>
          <w:b/>
          <w:bCs/>
          <w:iCs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spacing w:lineRule="auto" w:line="276" w:before="120" w:after="120"/>
        <w:ind w:left="0" w:right="-28" w:firstLine="1418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4"/>
          <w:szCs w:val="24"/>
        </w:rPr>
        <w:t>O Centro de Instrução de Guerra na Selva (CIGS), com sede na Avenida São Jorge, 750, Bairro São Jorge, na cidade de Manaus-AM, CEP 69.033-000, inscrito no CNPJ/MF sob o nº 09.651.520/0001-39, neste ato representado pelo Senhor Coronel GLAUCO CORBARI CORREA, Ordenador de Despesas, nomeado pela Portaria nº 165, de 3 de fevereiro de 2022, publicada no DOU n° 43, de 4 de março de 2022, portador da carteira de identidade nº 03X.XXX.XX4-9,</w:t>
      </w:r>
      <w:r>
        <w:rPr>
          <w:rFonts w:cs="Arial" w:ascii="Arial" w:hAnsi="Arial"/>
          <w:sz w:val="20"/>
          <w:szCs w:val="20"/>
        </w:rPr>
        <w:t xml:space="preserve"> considerando o julgamento da licitação na modalidade de pregão, na forma eletrônica, para REGISTRO DE PREÇOS </w:t>
      </w:r>
      <w:r>
        <w:rPr>
          <w:rFonts w:cs="Arial" w:ascii="Arial" w:hAnsi="Arial"/>
          <w:sz w:val="24"/>
          <w:szCs w:val="24"/>
        </w:rPr>
        <w:t>nº 001/2023, publicada no DOU de ...../...../2023, processo administrativo n.º 64207.003613/2023-60</w:t>
      </w:r>
      <w:r>
        <w:rPr>
          <w:rFonts w:cs="Arial" w:ascii="Arial" w:hAnsi="Arial"/>
          <w:sz w:val="20"/>
          <w:szCs w:val="20"/>
        </w:rPr>
        <w:t xml:space="preserve">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cs="Arial" w:ascii="Arial" w:hAnsi="Arial"/>
          <w:color w:val="FF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rPr/>
      </w:pPr>
      <w:r>
        <w:rPr/>
        <w:t>DO OBJETO</w:t>
      </w:r>
    </w:p>
    <w:p>
      <w:pPr>
        <w:pStyle w:val="Normal"/>
        <w:widowControl/>
        <w:numPr>
          <w:ilvl w:val="1"/>
          <w:numId w:val="1"/>
        </w:numPr>
        <w:suppressAutoHyphens w:val="true"/>
        <w:bidi w:val="0"/>
        <w:spacing w:lineRule="auto" w:line="360" w:before="57" w:after="57"/>
        <w:ind w:left="624" w:right="0" w:hanging="567"/>
        <w:jc w:val="both"/>
        <w:rPr>
          <w:rFonts w:cs="Arial"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presente Ata tem por objeto o registro de preços </w:t>
      </w:r>
      <w:r>
        <w:rPr>
          <w:rFonts w:eastAsia="Times New Roman" w:cs="Arial" w:ascii="Arial" w:hAnsi="Arial"/>
          <w:color w:val="auto"/>
          <w:sz w:val="24"/>
          <w:szCs w:val="24"/>
          <w:lang w:val="pt-BR" w:eastAsia="pt-BR" w:bidi="ar-SA"/>
        </w:rPr>
        <w:t xml:space="preserve">para a eventual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pt-BR" w:eastAsia="pt-BR" w:bidi="ar-SA"/>
        </w:rPr>
        <w:t>aquisição de material para as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pt-BR" w:eastAsia="pt-BR" w:bidi="ar-SA"/>
        </w:rPr>
        <w:t xml:space="preserve"> instruções dos Cursos de Operações na Selva (COS) ministrados pelo Centro de Instrução de Guerra na Selva – CIGS e UASG participantes</w:t>
      </w:r>
      <w:r>
        <w:rPr>
          <w:rFonts w:eastAsia="Times New Roman" w:cs="Arial" w:ascii="Arial" w:hAnsi="Arial"/>
          <w:color w:val="auto"/>
          <w:sz w:val="24"/>
          <w:szCs w:val="24"/>
          <w:lang w:val="pt-BR" w:eastAsia="pt-BR" w:bidi="ar-SA"/>
        </w:rPr>
        <w:t xml:space="preserve">, especificados no Termo de Referência, anexo I do edital de </w:t>
      </w:r>
      <w:r>
        <w:rPr>
          <w:rFonts w:eastAsia="Times New Roman" w:cs="Arial" w:ascii="Arial" w:hAnsi="Arial"/>
          <w:i w:val="false"/>
          <w:iCs w:val="false"/>
          <w:color w:val="auto"/>
          <w:sz w:val="24"/>
          <w:szCs w:val="24"/>
          <w:lang w:val="pt-BR" w:eastAsia="pt-BR" w:bidi="ar-SA"/>
        </w:rPr>
        <w:t>Pregão</w:t>
      </w:r>
      <w:r>
        <w:rPr>
          <w:rFonts w:eastAsia="Times New Roman" w:cs="Arial" w:ascii="Arial" w:hAnsi="Arial"/>
          <w:color w:val="auto"/>
          <w:sz w:val="24"/>
          <w:szCs w:val="24"/>
          <w:lang w:val="pt-BR" w:eastAsia="pt-BR" w:bidi="ar-SA"/>
        </w:rPr>
        <w:t xml:space="preserve"> nº 001/2023, que é parte integrante desta Ata, assim c</w:t>
      </w:r>
      <w:r>
        <w:rPr>
          <w:rFonts w:cs="Arial" w:ascii="Arial" w:hAnsi="Arial"/>
          <w:sz w:val="24"/>
          <w:szCs w:val="24"/>
        </w:rPr>
        <w:t>omo a proposta vencedora, independentemente de transcrição.</w:t>
      </w:r>
    </w:p>
    <w:p>
      <w:pPr>
        <w:pStyle w:val="Nivel01"/>
        <w:numPr>
          <w:ilvl w:val="0"/>
          <w:numId w:val="1"/>
        </w:numPr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rPr/>
      </w:pPr>
      <w:commentRangeStart w:id="0"/>
      <w:r>
        <w:rPr/>
        <w:t>O preço registrado</w:t>
      </w:r>
      <w:commentRangeEnd w:id="0"/>
      <w:r>
        <w:rPr/>
      </w:r>
      <w:r>
        <w:rPr/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commentRangeEnd w:id="1"/>
      <w:r>
        <w:rPr/>
      </w:r>
      <w:r>
        <w:rPr/>
        <w:commentReference w:id="1"/>
      </w:r>
      <w:r>
        <w:rPr/>
        <w:t xml:space="preserve">, fornecedor(es) e as demais condições ofertadas na(s) proposta(s) são as que seguem: </w:t>
      </w:r>
    </w:p>
    <w:tbl>
      <w:tblPr>
        <w:jc w:val="left"/>
        <w:tblInd w:w="1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0" w:type="dxa"/>
          <w:left w:w="7" w:type="dxa"/>
          <w:bottom w:w="0" w:type="dxa"/>
          <w:right w:w="10" w:type="dxa"/>
        </w:tblCellMar>
      </w:tblPr>
      <w:tblGrid>
        <w:gridCol w:w="496"/>
        <w:gridCol w:w="1333"/>
        <w:gridCol w:w="1253"/>
        <w:gridCol w:w="1540"/>
        <w:gridCol w:w="1121"/>
        <w:gridCol w:w="1120"/>
        <w:gridCol w:w="841"/>
        <w:gridCol w:w="840"/>
        <w:gridCol w:w="847"/>
      </w:tblGrid>
      <w:tr>
        <w:trPr>
          <w:trHeight w:val="511" w:hRule="atLeast"/>
          <w:cantSplit w:val="false"/>
        </w:trPr>
        <w:tc>
          <w:tcPr>
            <w:tcW w:w="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  <w:cantSplit w:val="false"/>
        </w:trPr>
        <w:tc>
          <w:tcPr>
            <w:tcW w:w="496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  <w:cantSplit w:val="false"/>
        </w:trPr>
        <w:tc>
          <w:tcPr>
            <w:tcW w:w="496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cs="Arial" w:ascii="Arial" w:hAnsi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rPr>
          <w:lang w:eastAsia="en-US"/>
        </w:rPr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rPr>
          <w:lang w:eastAsia="en-US"/>
        </w:rPr>
      </w:r>
      <w:r>
        <w:rPr>
          <w:lang w:eastAsia="en-US"/>
        </w:rPr>
        <w:commentReference w:id="2"/>
      </w:r>
    </w:p>
    <w:p>
      <w:pPr>
        <w:pStyle w:val="Nivel01"/>
        <w:numPr>
          <w:ilvl w:val="0"/>
          <w:numId w:val="1"/>
        </w:numPr>
        <w:rPr/>
      </w:pPr>
      <w:commentRangeStart w:id="3"/>
      <w:r>
        <w:rPr/>
        <w:t>ÓRGÃO(S) GERENCIADOR E  PARTICIPANTE(S)</w:t>
      </w:r>
      <w:commentRangeEnd w:id="3"/>
      <w:r>
        <w:rPr/>
      </w:r>
      <w:r>
        <w:rPr/>
        <w:commentReference w:id="3"/>
      </w:r>
      <w:r>
        <w:rPr/>
        <w:commentReference w:id="4"/>
      </w:r>
    </w:p>
    <w:p>
      <w:pPr>
        <w:pStyle w:val="Normal"/>
        <w:numPr>
          <w:ilvl w:val="1"/>
          <w:numId w:val="1"/>
        </w:numPr>
        <w:bidi w:val="0"/>
        <w:spacing w:lineRule="auto" w:line="360" w:before="57" w:after="57"/>
        <w:jc w:val="both"/>
        <w:rPr>
          <w:rFonts w:cs="Arial" w:ascii="Arial" w:hAnsi="Arial"/>
          <w:i w:val="false"/>
          <w:iCs w:val="false"/>
          <w:color w:val="auto"/>
          <w:sz w:val="24"/>
          <w:szCs w:val="24"/>
        </w:rPr>
      </w:pPr>
      <w:r>
        <w:rPr>
          <w:rFonts w:cs="Arial" w:ascii="Arial" w:hAnsi="Arial"/>
          <w:i w:val="false"/>
          <w:iCs w:val="false"/>
          <w:color w:val="auto"/>
          <w:sz w:val="24"/>
          <w:szCs w:val="24"/>
        </w:rPr>
        <w:t>O órgão gerenciador será o Centro de Instrução de Guerra na Selva (CIGS)</w:t>
      </w:r>
    </w:p>
    <w:p>
      <w:pPr>
        <w:pStyle w:val="Normal"/>
        <w:numPr>
          <w:ilvl w:val="1"/>
          <w:numId w:val="1"/>
        </w:numPr>
        <w:bidi w:val="0"/>
        <w:spacing w:lineRule="auto" w:line="360" w:before="57" w:after="57"/>
        <w:jc w:val="both"/>
        <w:rPr>
          <w:rFonts w:cs="Arial" w:ascii="Arial" w:hAnsi="Arial"/>
          <w:i w:val="false"/>
          <w:iCs w:val="false"/>
          <w:color w:val="auto"/>
          <w:sz w:val="24"/>
          <w:szCs w:val="24"/>
        </w:rPr>
      </w:pPr>
      <w:r>
        <w:rPr>
          <w:rFonts w:cs="Arial" w:ascii="Arial" w:hAnsi="Arial"/>
          <w:i w:val="false"/>
          <w:iCs w:val="false"/>
          <w:color w:val="auto"/>
          <w:sz w:val="24"/>
          <w:szCs w:val="24"/>
        </w:rPr>
        <w:t>São órgãos e entidades públicas participantes do registro de preços:</w:t>
      </w:r>
    </w:p>
    <w:p>
      <w:pPr>
        <w:pStyle w:val="Normal"/>
        <w:numPr>
          <w:ilvl w:val="2"/>
          <w:numId w:val="1"/>
        </w:numPr>
        <w:bidi w:val="0"/>
        <w:spacing w:lineRule="auto" w:line="360" w:before="57" w:after="57"/>
        <w:jc w:val="both"/>
        <w:rPr>
          <w:rFonts w:cs="Times New Roman" w:ascii="Times New Roman" w:hAnsi="Times New Roman"/>
          <w:b/>
          <w:i w:val="false"/>
          <w:iCs w:val="false"/>
          <w:color w:val="auto"/>
          <w:sz w:val="24"/>
          <w:szCs w:val="24"/>
        </w:rPr>
      </w:pPr>
      <w:r>
        <w:rPr>
          <w:rFonts w:eastAsia="Arial" w:cs="Arial" w:ascii="Arial" w:hAnsi="Arial"/>
          <w:i w:val="false"/>
          <w:iCs w:val="false"/>
          <w:color w:val="auto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 w:val="false"/>
          <w:iCs w:val="false"/>
          <w:color w:val="auto"/>
          <w:sz w:val="24"/>
          <w:szCs w:val="24"/>
        </w:rPr>
        <w:t>12ª Região Militar (160014)</w:t>
      </w:r>
    </w:p>
    <w:p>
      <w:pPr>
        <w:pStyle w:val="Normal"/>
        <w:numPr>
          <w:ilvl w:val="2"/>
          <w:numId w:val="1"/>
        </w:numPr>
        <w:bidi w:val="0"/>
        <w:spacing w:lineRule="auto" w:line="360" w:before="57" w:after="57"/>
        <w:jc w:val="both"/>
        <w:rPr>
          <w:rFonts w:cs="Times New Roman" w:ascii="Times New Roman" w:hAnsi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 w:val="false"/>
          <w:iCs w:val="false"/>
          <w:color w:val="auto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1º Batalhão de Infantaria de Selva (160006)</w:t>
      </w:r>
    </w:p>
    <w:p>
      <w:pPr>
        <w:pStyle w:val="Normal"/>
        <w:numPr>
          <w:ilvl w:val="2"/>
          <w:numId w:val="1"/>
        </w:numPr>
        <w:bidi w:val="0"/>
        <w:spacing w:lineRule="auto" w:line="360" w:before="57" w:after="57"/>
        <w:jc w:val="both"/>
        <w:rPr>
          <w:rFonts w:cs="Times New Roman" w:ascii="Times New Roman" w:hAnsi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4º Centro de Geoinformação (160011)</w:t>
      </w:r>
    </w:p>
    <w:p>
      <w:pPr>
        <w:pStyle w:val="Normal"/>
        <w:numPr>
          <w:ilvl w:val="2"/>
          <w:numId w:val="1"/>
        </w:numPr>
        <w:bidi w:val="0"/>
        <w:spacing w:lineRule="auto" w:line="360" w:before="57" w:after="57"/>
        <w:jc w:val="both"/>
        <w:rPr>
          <w:rFonts w:cs="Arial" w:ascii="Arial" w:hAnsi="Arial"/>
          <w:i w:val="false"/>
          <w:iCs w:val="false"/>
          <w:color w:val="auto"/>
          <w:sz w:val="24"/>
          <w:szCs w:val="24"/>
        </w:rPr>
      </w:pPr>
      <w:r>
        <w:rPr>
          <w:rFonts w:eastAsia="Droid Sans Fallback" w:cs="Times New Roman" w:ascii="Times New Roman" w:hAnsi="Times New Roman"/>
          <w:b/>
          <w:i w:val="false"/>
          <w:iCs w:val="false"/>
          <w:color w:val="auto"/>
          <w:sz w:val="24"/>
          <w:szCs w:val="24"/>
          <w:lang w:val="pt-BR" w:eastAsia="zh-CN" w:bidi="hi-IN"/>
        </w:rPr>
        <w:t>8º Batalhão de Infantaria de Selva (160024)</w:t>
      </w:r>
      <w:r>
        <w:rPr>
          <w:rFonts w:cs="Arial" w:ascii="Arial" w:hAnsi="Arial"/>
          <w:i w:val="false"/>
          <w:iCs w:val="false"/>
          <w:color w:val="auto"/>
          <w:sz w:val="24"/>
          <w:szCs w:val="24"/>
        </w:rPr>
        <w:t xml:space="preserve"> </w:t>
      </w:r>
    </w:p>
    <w:p>
      <w:pPr>
        <w:pStyle w:val="Normal"/>
        <w:numPr>
          <w:ilvl w:val="2"/>
          <w:numId w:val="1"/>
        </w:numPr>
        <w:bidi w:val="0"/>
        <w:spacing w:lineRule="auto" w:line="360" w:before="57" w:after="57"/>
        <w:jc w:val="both"/>
        <w:rPr>
          <w:rFonts w:cs="Arial" w:ascii="Arial" w:hAnsi="Arial"/>
          <w:i w:val="false"/>
          <w:iCs w:val="false"/>
          <w:color w:val="auto"/>
          <w:sz w:val="24"/>
          <w:szCs w:val="24"/>
        </w:rPr>
      </w:pPr>
      <w:r>
        <w:rPr>
          <w:rFonts w:eastAsia="Droid Sans Fallback" w:cs="Times New Roman" w:ascii="Times New Roman" w:hAnsi="Times New Roman"/>
          <w:b/>
          <w:i w:val="false"/>
          <w:iCs w:val="false"/>
          <w:color w:val="auto"/>
          <w:sz w:val="24"/>
          <w:szCs w:val="24"/>
          <w:lang w:val="pt-BR" w:eastAsia="zh-CN" w:bidi="hi-IN"/>
        </w:rPr>
        <w:t>3º Batalhão de Infantaria de Selva (160137)</w:t>
      </w:r>
      <w:r>
        <w:rPr>
          <w:rFonts w:cs="Arial" w:ascii="Arial" w:hAnsi="Arial"/>
          <w:i w:val="false"/>
          <w:iCs w:val="false"/>
          <w:color w:val="auto"/>
          <w:sz w:val="24"/>
          <w:szCs w:val="24"/>
        </w:rPr>
        <w:t xml:space="preserve"> </w:t>
      </w:r>
    </w:p>
    <w:p>
      <w:pPr>
        <w:pStyle w:val="Nivel01"/>
        <w:numPr>
          <w:ilvl w:val="0"/>
          <w:numId w:val="1"/>
        </w:numPr>
        <w:rPr>
          <w:i/>
          <w:color w:val="FF0000"/>
        </w:rPr>
      </w:pPr>
      <w:r>
        <w:rPr/>
        <w:t xml:space="preserve">DA ADESÃO À ATA DE REGISTRO DE PREÇOS </w:t>
      </w:r>
      <w:r>
        <w:rPr>
          <w:i/>
          <w:color w:val="FF0000"/>
        </w:rPr>
        <w:t>(item obrigatório)</w:t>
      </w:r>
    </w:p>
    <w:p>
      <w:pPr>
        <w:pStyle w:val="Nvel2Red"/>
        <w:rPr>
          <w:lang w:eastAsia="en-US"/>
        </w:rPr>
      </w:pPr>
      <w:r>
        <w:rPr>
          <w:rFonts w:cs="Arial" w:ascii="Arial" w:hAnsi="Arial"/>
          <w:i w:val="false"/>
          <w:iCs w:val="false"/>
          <w:color w:val="auto"/>
          <w:sz w:val="24"/>
          <w:szCs w:val="24"/>
          <w:lang w:eastAsia="en-US"/>
        </w:rPr>
        <w:t xml:space="preserve">4.1  </w:t>
      </w:r>
      <w:r>
        <w:rPr>
          <w:lang w:eastAsia="en-US"/>
        </w:rPr>
        <w:t xml:space="preserve">Não será admitida a adesão à ata de registro de preços </w:t>
      </w:r>
      <w:commentRangeEnd w:id="5"/>
      <w:r>
        <w:rPr>
          <w:lang w:eastAsia="en-US"/>
        </w:rPr>
      </w:r>
      <w:r>
        <w:rPr>
          <w:lang w:eastAsia="en-US"/>
        </w:rPr>
        <w:commentReference w:id="5"/>
      </w:r>
      <w:r>
        <w:rPr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Ou"/>
        <w:rPr/>
      </w:pPr>
      <w:r>
        <w:rPr/>
      </w:r>
    </w:p>
    <w:p>
      <w:pPr>
        <w:pStyle w:val="Nivel01"/>
        <w:numPr>
          <w:ilvl w:val="0"/>
          <w:numId w:val="1"/>
        </w:numPr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A validade da Ata de Registro de Preços será de 1 (um) ano, contado a </w:t>
      </w:r>
      <w:commentRangeStart w:id="6"/>
      <w:r>
        <w:rPr/>
        <w:t>partir</w:t>
      </w:r>
      <w:commentRangeEnd w:id="6"/>
      <w:r>
        <w:rPr/>
      </w:r>
      <w:r>
        <w:rPr/>
        <w:commentReference w:id="6"/>
      </w:r>
      <w:r>
        <w:rPr/>
        <w:t xml:space="preserve"> do primeiro dia útil subsequente à data de divulgação no PNCP, </w:t>
      </w:r>
      <w:r>
        <w:rPr>
          <w:color w:val="FF0000"/>
        </w:rPr>
        <w:t>podendo ser prorrogada por igual período, mediante a anuência do fornecedor, desde que comprovado o preço vantajoso</w:t>
      </w:r>
      <w:r>
        <w:rPr/>
        <w:t>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/>
          <w:iCs/>
          <w:color w:val="FF0000"/>
        </w:rPr>
        <w:t xml:space="preserve">no edital </w:t>
      </w:r>
      <w:r>
        <w:rPr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right="0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right="0" w:hanging="0"/>
        <w:rPr/>
      </w:pPr>
      <w:bookmarkStart w:id="0" w:name="cadastro_reserva"/>
      <w:bookmarkEnd w:id="0"/>
      <w:r>
        <w:rPr/>
        <w:t xml:space="preserve">Mantiverem sua proposta original. 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instrText> REF cadastro_reserva \r \h </w:instrText>
      </w:r>
      <w:r>
        <w:fldChar w:fldCharType="separate"/>
      </w:r>
      <w:r>
        <w:t>11.1.1.2</w:t>
      </w:r>
      <w:r>
        <w:fldChar w:fldCharType="end"/>
      </w:r>
      <w:bookmarkStart w:id="1" w:name="habilitacao_reserva"/>
      <w:bookmarkEnd w:id="1"/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Quando o licitante vencedor não assinar a ata de registro de preços, no prazo e nas condições estabelecidos </w:t>
      </w:r>
      <w:r>
        <w:rPr>
          <w:i/>
          <w:iCs/>
          <w:color w:val="FF0000"/>
        </w:rPr>
        <w:t>no edital;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instrText> REF cancelamento \r \h </w:instrText>
      </w:r>
      <w:r>
        <w:fldChar w:fldCharType="separate"/>
      </w:r>
      <w:r>
        <w:t>36</w:t>
      </w:r>
      <w:r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instrText> REF habilitacao_reserva \r \h </w:instrText>
      </w:r>
      <w:r>
        <w:fldChar w:fldCharType="separate"/>
      </w:r>
      <w:r>
        <w:t>12.3</w:t>
      </w:r>
      <w:r>
        <w:fldChar w:fldCharType="end"/>
      </w:r>
      <w:bookmarkStart w:id="2" w:name="recusa_dos_que_baixaram_preco"/>
      <w:bookmarkEnd w:id="2"/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/>
          <w:iCs/>
          <w:color w:val="FF0000"/>
        </w:rPr>
        <w:t>do edital,</w:t>
      </w:r>
      <w:r>
        <w:rPr/>
        <w:t xml:space="preserve"> poderá: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0"/>
          <w:numId w:val="1"/>
        </w:numPr>
        <w:ind w:left="284" w:right="0" w:hanging="0"/>
        <w:rPr>
          <w:color w:val="0000EF"/>
        </w:rPr>
      </w:pPr>
      <w:r>
        <w:rPr/>
        <w:t>E</w:t>
      </w:r>
      <w:commentRangeStart w:id="7"/>
      <w:r>
        <w:rPr/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</w:t>
      </w:r>
      <w:commentRangeEnd w:id="7"/>
      <w:r>
        <w:rPr>
          <w:color w:val="0000EF"/>
        </w:rPr>
      </w:r>
      <w:r>
        <w:rPr>
          <w:color w:val="0000EF"/>
        </w:rPr>
        <w:commentReference w:id="7"/>
      </w:r>
      <w:r>
        <w:rPr>
          <w:color w:val="0000EF"/>
        </w:rPr>
        <w:t>;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right="0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right="0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/>
        <w:t>s licitantes ou fornecedores que tiveram seu registro cancelado.</w:t>
      </w:r>
      <w:commentRangeEnd w:id="8"/>
      <w:r>
        <w:rPr/>
      </w:r>
      <w:r>
        <w:rPr/>
        <w:commentReference w:id="8"/>
      </w:r>
      <w:r>
        <w:rPr/>
        <w:t xml:space="preserve"> 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bookmarkStart w:id="3" w:name="reducao_preco_mercado_negociacao_frustra"/>
      <w:bookmarkEnd w:id="3"/>
      <w:r>
        <w:rPr/>
        <w:t>ade gerenciadora procederá ao cancelamento da ata de registro de preços, adotando as medidas cabíveis para obtenção de contratação mais vantajosa.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rPr/>
      </w:pPr>
      <w:bookmarkStart w:id="4" w:name="hipotese_preco_mercado_maior"/>
      <w:bookmarkEnd w:id="4"/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bookmarkStart w:id="5" w:name="prova_preco_mercado_maior"/>
      <w:bookmarkEnd w:id="5"/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instrText> REF cancelamento_do_fornecedor \r \h </w:instrText>
      </w:r>
      <w:r>
        <w:fldChar w:fldCharType="separate"/>
      </w:r>
      <w:r>
        <w:t>36.1</w:t>
      </w:r>
      <w:r>
        <w:fldChar w:fldCharType="end"/>
      </w:r>
      <w:bookmarkStart w:id="6" w:name="nao_comprovacao_majoracao_mercado"/>
      <w:bookmarkEnd w:id="6"/>
      <w:r>
        <w:rPr/>
        <w:t>, sem prejuízo das sanções previstas na Lei nº 14.133, de 2021, e na legislação aplicável.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instrText> REF cancelamento_da_ata \r \h </w:instrText>
      </w:r>
      <w:r>
        <w:fldChar w:fldCharType="separate"/>
      </w:r>
      <w:r>
        <w:t>40.4</w:t>
      </w:r>
      <w:r>
        <w:fldChar w:fldCharType="end"/>
      </w:r>
      <w:bookmarkStart w:id="7" w:name="majora_preco_mercado_negociacao_frustra"/>
      <w:bookmarkEnd w:id="7"/>
      <w:r>
        <w:rPr/>
        <w:t>, e adotará as medidas cabíveis para a obtenção da contratação mais vantajosa.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instrText> REF hipotese_preco_mercado_maior \r \h </w:instrText>
      </w:r>
      <w:r>
        <w:fldChar w:fldCharType="separate"/>
      </w:r>
      <w:r>
        <w:t>26.1</w:t>
      </w:r>
      <w:r>
        <w:fldChar w:fldCharType="end"/>
      </w:r>
      <w:r>
        <w:rPr/>
        <w:t xml:space="preserve"> e no item </w:t>
      </w:r>
      <w:r>
        <w:rPr/>
        <w:fldChar w:fldCharType="begin"/>
      </w:r>
      <w:r>
        <w:instrText> REF prova_preco_mercado_maior \r \h </w:instrText>
      </w:r>
      <w:r>
        <w:fldChar w:fldCharType="separate"/>
      </w:r>
      <w:r>
        <w:t>27</w:t>
      </w:r>
      <w:r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rPr/>
      </w:pPr>
      <w:commentRangeStart w:id="9"/>
      <w:r>
        <w:rPr/>
        <w:t>REMANEJAMENTO DAS QUANTIDADES REGISTRADAS NA ATA DE REGISTRO DE PREÇOS</w:t>
      </w:r>
      <w:commentRangeEnd w:id="9"/>
      <w:r>
        <w:rPr/>
      </w:r>
      <w:r>
        <w:rPr/>
        <w:commentReference w:id="9"/>
      </w:r>
    </w:p>
    <w:p>
      <w:pPr>
        <w:pStyle w:val="Nivel2"/>
        <w:numPr>
          <w:ilvl w:val="1"/>
          <w:numId w:val="1"/>
        </w:numPr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bookmarkStart w:id="8" w:name="gerenciador_estimador_é_partic_em_remane"/>
      <w:bookmarkEnd w:id="8"/>
      <w:r>
        <w:rPr/>
        <w:t>dades que pretende contratar será considerado participante para efeito do remanejamento.</w:t>
      </w:r>
    </w:p>
    <w:p>
      <w:pPr>
        <w:pStyle w:val="Nivel2"/>
        <w:numPr>
          <w:ilvl w:val="1"/>
          <w:numId w:val="1"/>
        </w:numPr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10"/>
      <w:r>
        <w:rPr/>
        <w:t>art. 32 do Decreto nº 11.462, de 2023</w:t>
      </w:r>
      <w:commentRangeEnd w:id="10"/>
      <w:r>
        <w:rPr/>
      </w:r>
      <w:r>
        <w:rPr/>
        <w:commentReference w:id="10"/>
      </w:r>
      <w:r>
        <w:rPr/>
        <w:t>.</w:t>
      </w:r>
    </w:p>
    <w:p>
      <w:pPr>
        <w:pStyle w:val="Nivel2"/>
        <w:numPr>
          <w:ilvl w:val="1"/>
          <w:numId w:val="1"/>
        </w:numPr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instrText> REF gerenciador_estimador_%C3%A9_partic_em_r \r \h </w:instrText>
      </w:r>
      <w:r>
        <w:fldChar w:fldCharType="separate"/>
      </w:r>
      <w:r>
        <w:t>35.1</w:t>
      </w:r>
      <w:r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rPr/>
      </w:pPr>
      <w:bookmarkStart w:id="9" w:name="cancelamento"/>
      <w:bookmarkEnd w:id="9"/>
      <w:r>
        <w:rPr/>
        <w:t>CANCELAMENTO DO REGISTRO DO LICITANTE VENCEDOR E DOS PREÇOS REGISTRADOS</w:t>
      </w:r>
    </w:p>
    <w:p>
      <w:pPr>
        <w:pStyle w:val="Nivel2"/>
        <w:numPr>
          <w:ilvl w:val="1"/>
          <w:numId w:val="1"/>
        </w:numPr>
        <w:rPr/>
      </w:pPr>
      <w:bookmarkStart w:id="10" w:name="cancelamento_do_fornecedor"/>
      <w:bookmarkEnd w:id="10"/>
      <w:r>
        <w:rPr/>
        <w:t>O registro do fornecedor será cancelado pelo gerenciador, quando o fornecedor: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right="0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instrText> REF cancelamento_do_fornecedor \r \h </w:instrText>
      </w:r>
      <w:r>
        <w:fldChar w:fldCharType="separate"/>
      </w:r>
      <w:r>
        <w:t>36.1</w:t>
      </w:r>
      <w:r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>
        <w:rPr/>
        <w:t xml:space="preserve"> 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Por razão de interesse público;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O descumprimento da Ata de Registro de Preços ensejará aplicação das penalidades estabelecidas </w:t>
      </w:r>
      <w:r>
        <w:rPr>
          <w:i/>
          <w:color w:val="FF0000"/>
        </w:rPr>
        <w:t>no edital</w:t>
      </w:r>
      <w:r>
        <w:rPr/>
        <w:t>.</w:t>
      </w:r>
    </w:p>
    <w:p>
      <w:pPr>
        <w:pStyle w:val="Nvel3"/>
        <w:numPr>
          <w:ilvl w:val="0"/>
          <w:numId w:val="1"/>
        </w:numPr>
        <w:ind w:left="284" w:right="0" w:hanging="0"/>
        <w:rPr/>
      </w:pPr>
      <w:r>
        <w:rPr/>
        <w:t xml:space="preserve">As sanções também se aplicam aos integrantes do cadastro de reserva no registro de preços que, convocados, não honrarem o compromisso assumido </w:t>
      </w:r>
      <w:commentRangeStart w:id="11"/>
      <w:r>
        <w:rPr/>
        <w:t>injustificadamente</w:t>
      </w:r>
      <w:commentRangeEnd w:id="11"/>
      <w:r>
        <w:rPr/>
      </w:r>
      <w:r>
        <w:rPr/>
        <w:commentReference w:id="11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/>
          <w:color w:val="FF0000"/>
        </w:rPr>
        <w:t>AO EDITAL</w:t>
      </w:r>
      <w:r>
        <w:rPr/>
        <w:t>.</w:t>
      </w:r>
    </w:p>
    <w:p>
      <w:pPr>
        <w:pStyle w:val="Nvel2Red"/>
        <w:numPr>
          <w:ilvl w:val="0"/>
          <w:numId w:val="1"/>
        </w:numPr>
        <w:ind w:left="0" w:right="0" w:hanging="0"/>
        <w:rPr/>
      </w:pPr>
      <w:r>
        <w:rPr/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cs="Arial" w:ascii="Arial" w:hAnsi="Arial"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sz w:val="20"/>
          <w:szCs w:val="20"/>
        </w:rPr>
        <w:t>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duas</w:t>
      </w:r>
      <w:r>
        <w:rPr>
          <w:rFonts w:cs="Arial" w:ascii="Arial" w:hAnsi="Arial"/>
          <w:sz w:val="20"/>
          <w:szCs w:val="20"/>
        </w:rPr>
        <w:t xml:space="preserve">) vias de igual teor, que, depois de lida e achada em ordem, vai assinada pelas partes 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commentRangeStart w:id="12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2"/>
      <w:r>
        <w:rPr>
          <w:rFonts w:cs="Arial" w:ascii="Arial" w:hAnsi="Arial"/>
          <w:color w:val="000000"/>
          <w:sz w:val="20"/>
          <w:szCs w:val="20"/>
        </w:rPr>
      </w:r>
      <w:r>
        <w:rPr>
          <w:rFonts w:cs="Arial" w:ascii="Arial" w:hAnsi="Arial"/>
          <w:color w:val="000000"/>
          <w:sz w:val="20"/>
          <w:szCs w:val="20"/>
        </w:rPr>
        <w:commentReference w:id="12"/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jc w:val="left"/>
        <w:tblInd w:w="1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0" w:type="dxa"/>
          <w:left w:w="7" w:type="dxa"/>
          <w:bottom w:w="0" w:type="dxa"/>
          <w:right w:w="10" w:type="dxa"/>
        </w:tblCellMar>
      </w:tblPr>
      <w:tblGrid>
        <w:gridCol w:w="496"/>
        <w:gridCol w:w="1333"/>
        <w:gridCol w:w="1253"/>
        <w:gridCol w:w="1540"/>
        <w:gridCol w:w="1121"/>
        <w:gridCol w:w="1120"/>
        <w:gridCol w:w="841"/>
        <w:gridCol w:w="840"/>
        <w:gridCol w:w="847"/>
      </w:tblGrid>
      <w:tr>
        <w:trPr>
          <w:trHeight w:val="511" w:hRule="atLeast"/>
          <w:cantSplit w:val="false"/>
        </w:trPr>
        <w:tc>
          <w:tcPr>
            <w:tcW w:w="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  <w:cantSplit w:val="false"/>
        </w:trPr>
        <w:tc>
          <w:tcPr>
            <w:tcW w:w="496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  <w:cantSplit w:val="false"/>
        </w:trPr>
        <w:tc>
          <w:tcPr>
            <w:tcW w:w="496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jc w:val="left"/>
        <w:tblInd w:w="1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0" w:type="dxa"/>
          <w:left w:w="7" w:type="dxa"/>
          <w:bottom w:w="0" w:type="dxa"/>
          <w:right w:w="10" w:type="dxa"/>
        </w:tblCellMar>
      </w:tblPr>
      <w:tblGrid>
        <w:gridCol w:w="695"/>
        <w:gridCol w:w="1134"/>
        <w:gridCol w:w="1253"/>
        <w:gridCol w:w="1540"/>
        <w:gridCol w:w="1121"/>
        <w:gridCol w:w="1120"/>
        <w:gridCol w:w="841"/>
        <w:gridCol w:w="840"/>
        <w:gridCol w:w="847"/>
      </w:tblGrid>
      <w:tr>
        <w:trPr>
          <w:trHeight w:val="511" w:hRule="atLeast"/>
          <w:cantSplit w:val="false"/>
        </w:trPr>
        <w:tc>
          <w:tcPr>
            <w:tcW w:w="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  <w:cantSplit w:val="false"/>
        </w:trPr>
        <w:tc>
          <w:tcPr>
            <w:tcW w:w="69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  <w:cantSplit w:val="false"/>
        </w:trPr>
        <w:tc>
          <w:tcPr>
            <w:tcW w:w="69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7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left="0" w:right="-30" w:hanging="0"/>
        <w:jc w:val="center"/>
        <w:rPr/>
      </w:pPr>
      <w:r>
        <w:rPr/>
      </w:r>
    </w:p>
    <w:sectPr>
      <w:footerReference w:type="default" r:id="rId3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4294961151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comment w:id="0" w:author="Autor" w:date="0-00-00T00:00:00Z" w:initials="A">
    <w:p>
      <w:r>
        <w:rPr>
          <w:b/>
          <w:color w:val="000000"/>
        </w:rPr>
        <w:t>Nota Explicativa: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O preço registrado, com a indicação dos fornecedores, será divulgado no PNCP e disponibilizado durante a vigência da ata de registro de preços</w:t>
      </w:r>
      <w:r>
        <w:rPr>
          <w:color w:val="000000"/>
        </w:rPr>
        <w:t>. (§ 4º, art. 18 do Decreto Nº11.462, de 2023.)</w:t>
      </w:r>
    </w:p>
    <w:p>
      <w:r>
        <w:rPr/>
      </w:r>
    </w:p>
  </w:comment>
  <w:comment w:id="1" w:author="Autor" w:date="0-00-00T00:00:00Z" w:initials="A">
    <w:p>
      <w:r>
        <w:rPr>
          <w:b/>
        </w:rPr>
        <w:t>Nota Explicativa</w:t>
      </w:r>
      <w:r>
        <w:rPr/>
        <w:t>. No artigo 82, § 3º, da Lei 14.133, permite-se o registro de preços com indicação limitada a unidades de contratação,</w:t>
      </w:r>
      <w:r>
        <w:rPr>
          <w:b/>
          <w:bCs/>
        </w:rPr>
        <w:t xml:space="preserve"> sem indicação do total a ser adquirido</w:t>
      </w:r>
      <w:r>
        <w:rPr/>
        <w:t>, apenas nas seguintes situações:</w:t>
      </w:r>
    </w:p>
    <w:p>
      <w:r>
        <w:rPr/>
        <w:t>I - quando for a primeira licitação para o objeto e o órgão ou entidade não tiver registro de demandas anteriores;</w:t>
      </w:r>
    </w:p>
    <w:p>
      <w:r>
        <w:rPr/>
        <w:t>II - no caso de alimento perecível;</w:t>
      </w:r>
    </w:p>
    <w:p>
      <w:r>
        <w:rPr/>
        <w:t>III - no caso em que o serviço estiver integrado ao fornecimento de bens.</w:t>
      </w:r>
    </w:p>
    <w:p>
      <w:r>
        <w:rPr/>
        <w:t>Nessas situações, é obrigatória a indicação do valor máximo da despesa e é vedada a participação de outro órgão ou entidade na ata.</w:t>
      </w:r>
    </w:p>
    <w:p>
      <w:r>
        <w:rPr/>
        <w:t>O artigo 4º do Decreto 11.462, de 31/3/2023, possui a mesma redação da lei.</w:t>
      </w:r>
    </w:p>
    <w:p>
      <w:r>
        <w:rPr/>
      </w:r>
    </w:p>
  </w:comment>
  <w:comment w:id="2" w:author="Autor" w:date="0-00-00T00:00:00Z" w:initials="A">
    <w:p>
      <w:r>
        <w:rPr>
          <w:b/>
          <w:color w:val="000000"/>
        </w:rPr>
        <w:t>Nota Explicativa</w:t>
      </w:r>
      <w:r>
        <w:rPr>
          <w:color w:val="000000"/>
        </w:rPr>
        <w:t>: A listagem deve obedecer a ordem prevista no inciso II e § 2º do art. 18 do Decreto nº 11.462, de 2023.</w:t>
      </w:r>
    </w:p>
    <w:p>
      <w:r>
        <w:rPr/>
      </w:r>
    </w:p>
  </w:comment>
  <w:comment w:id="3" w:author="Autor" w:date="0-00-00T00:00:00Z" w:initials="A">
    <w:p>
      <w:r>
        <w:rPr>
          <w:b/>
        </w:rPr>
        <w:t>Nota Explicativa:</w:t>
      </w:r>
      <w:r>
        <w:rPr/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  <w:p>
      <w:r>
        <w:rPr/>
      </w:r>
    </w:p>
  </w:comment>
  <w:comment w:id="4" w:author="Autor" w:date="0-00-00T00:00:00Z" w:initials="A">
    <w:p>
      <w:r>
        <w:rPr>
          <w:b/>
        </w:rPr>
        <w:t>Nota Explicativa:</w:t>
      </w:r>
      <w:r>
        <w:rPr/>
        <w:t xml:space="preserve"> Não será permitida participação de outro órgão ou entidade quando não houver indicação dos quantitativos totais a ser contratados, na forma do art. 4º e parágrafo único do Decreto nº 11.462/2023.</w:t>
      </w:r>
    </w:p>
    <w:p>
      <w:r>
        <w:rPr/>
      </w:r>
    </w:p>
  </w:comment>
  <w:comment w:id="5" w:author="Autor" w:date="0-00-00T00:00:00Z" w:initials="A">
    <w:p>
      <w:r>
        <w:rPr>
          <w:b/>
        </w:rPr>
        <w:t>Nota Explicativa</w:t>
      </w:r>
      <w:r>
        <w:rPr/>
        <w:t xml:space="preserve">: A possibilidade de vedação de adesão existe, por exemplo, na hipótese do parágrafo único do art. 4º do Decreto: </w:t>
      </w:r>
    </w:p>
    <w:p>
      <w:r>
        <w:rPr/>
        <w:t>"Art. 4º  É permitido o registro de preços com indicação limitada a unidades de contratação, sem indicação do total a ser adquirido, apenas nas seguintes situações:</w:t>
      </w:r>
    </w:p>
    <w:p>
      <w:r>
        <w:rPr/>
        <w:t>I - quando for a primeira licitação ou contratação direta para o objeto e o órgão ou a entidade não tiver registro de demandas anteriores;</w:t>
      </w:r>
    </w:p>
    <w:p>
      <w:r>
        <w:rPr/>
        <w:t>II - no caso de alimento perecível; ou</w:t>
      </w:r>
    </w:p>
    <w:p>
      <w:r>
        <w:rPr/>
        <w:t>III - no caso em que o serviço estiver integrado ao fornecimento de bens.</w:t>
      </w:r>
    </w:p>
    <w:p>
      <w:r>
        <w:rPr/>
        <w:t>Parágrafo único.  Nas situações referidas no caput, é obrigatória a indicação do valor máximo da despesa e é vedada a participação de outro órgão ou entidade na ata."</w:t>
      </w:r>
    </w:p>
    <w:p>
      <w:r>
        <w:rPr/>
      </w:r>
    </w:p>
    <w:p>
      <w:r>
        <w:rPr/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/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/>
        <w:t>[...]</w:t>
      </w:r>
    </w:p>
    <w:p>
      <w:r>
        <w:rPr/>
        <w:t>XI - deliberar quanto à adesão posterior de órgãos e entidades que não tenham manifestado interesse durante o período de divulgação da IRP;"</w:t>
      </w:r>
    </w:p>
    <w:p>
      <w:r>
        <w:rPr/>
      </w:r>
    </w:p>
    <w:p>
      <w:r>
        <w:rPr/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r>
        <w:rPr/>
      </w:r>
    </w:p>
    <w:p>
      <w:r>
        <w:rPr>
          <w:b/>
        </w:rPr>
        <w:t>Nota Explicativa</w:t>
      </w:r>
      <w:r>
        <w:rPr/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r>
        <w:rPr/>
      </w:r>
    </w:p>
    <w:p>
      <w:r>
        <w:rPr>
          <w:b/>
        </w:rPr>
        <w:t>Nota Explicativa:</w:t>
      </w:r>
      <w:r>
        <w:rPr/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r>
        <w:rPr/>
      </w:r>
    </w:p>
    <w:p>
      <w:r>
        <w:rPr>
          <w:b/>
        </w:rPr>
        <w:t>Nota Explicativa:</w:t>
      </w:r>
      <w:r>
        <w:rPr/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r>
        <w:rPr/>
      </w:r>
    </w:p>
    <w:p>
      <w:r>
        <w:rPr>
          <w:b/>
        </w:rPr>
        <w:t>Nota Explicativa:</w:t>
      </w:r>
      <w:r>
        <w:rPr/>
        <w:t xml:space="preserve"> A possibilidade de remanejamento está prevista no art. 30 do Decreto nº 11.462/2023</w:t>
      </w:r>
    </w:p>
  </w:comment>
  <w:comment w:id="10" w:author="Autor" w:date="0-00-00T00:00:00Z" w:initials="A">
    <w:p>
      <w:r>
        <w:rPr/>
      </w:r>
    </w:p>
    <w:p>
      <w:r>
        <w:rPr>
          <w:b/>
        </w:rPr>
        <w:t>Nota Explicativa:</w:t>
      </w:r>
      <w:r>
        <w:rPr/>
        <w:t xml:space="preserve"> 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r>
        <w:rPr/>
      </w:r>
    </w:p>
    <w:p>
      <w:r>
        <w:rPr>
          <w:b/>
        </w:rPr>
        <w:t xml:space="preserve">Nota Explicativa: </w:t>
      </w:r>
      <w:r>
        <w:rPr/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/>
        <w:t>§ 5º A regra do § 4º não se aplicará aos licitantes remanescentes convocados na forma do inciso I do § 3º."</w:t>
      </w:r>
    </w:p>
  </w:comment>
  <w:comment w:id="12" w:author="Autor" w:date="0-00-00T00:00:00Z" w:initials="A">
    <w:p>
      <w:r>
        <w:rPr/>
      </w:r>
    </w:p>
    <w:p>
      <w:r>
        <w:rPr>
          <w:b/>
        </w:rPr>
        <w:t>Nota Explicativa:</w:t>
      </w:r>
      <w:r>
        <w:rPr/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/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rPr>
        <w:rFonts w:cs="Times New Roman" w:ascii="Times New Roman" w:hAnsi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cs="Arial" w:ascii="Arial" w:hAnsi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color w:val="00000A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count="376" w:defQFormat="0" w:defUnhideWhenUsed="0" w:defSemiHidden="0" w:defUIPriority="0" w:defLockedState="0"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name="toc 1"/>
    <w:lsdException w:unhideWhenUsed="1" w:semiHidden="1" w:name="toc 2"/>
    <w:lsdException w:unhideWhenUsed="1" w:semiHidden="1" w:name="toc 3"/>
    <w:lsdException w:unhideWhenUsed="1" w:semiHidden="1" w:name="toc 4"/>
    <w:lsdException w:unhideWhenUsed="1" w:semiHidden="1" w:name="toc 5"/>
    <w:lsdException w:unhideWhenUsed="1" w:semiHidden="1" w:name="toc 6"/>
    <w:lsdException w:unhideWhenUsed="1" w:semiHidden="1" w:name="toc 7"/>
    <w:lsdException w:unhideWhenUsed="1" w:semiHidden="1" w:name="toc 8"/>
    <w:lsdException w:unhideWhenUsed="1" w:semiHidden="1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uiPriority="99" w:name="footer"/>
    <w:lsdException w:unhideWhenUsed="1" w:semiHidden="1" w:name="index heading"/>
    <w:lsdException w:qFormat="1" w:unhideWhenUsed="1" w:semiHidden="1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2"/>
    <w:lsdException w:unhideWhenUsed="1" w:semiHidden="1" w:name="List 3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unhideWhenUsed="1" w:semiHidden="1" w:name="Closing"/>
    <w:lsdException w:unhideWhenUsed="1" w:semiHidden="1" w:name="Signature"/>
    <w:lsdException w:unhideWhenUsed="1" w:semiHidden="1" w:name="Default Paragraph Font"/>
    <w:lsdException w:unhideWhenUsed="1" w:semiHidden="1" w:uiPriority="99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uiPriority="99" w:name="Hyperlink"/>
    <w:lsdException w:unhideWhenUsed="1" w:semiHidden="1" w:name="FollowedHyperlink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nhideWhenUsed="1" w:semiHidden="1" w:name="Table Theme"/>
    <w:lsdException w:semiHidden="1" w:uiPriority="99" w:name="Placeholder Text"/>
    <w:lsdException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uiPriority="34" w:name="List Paragraph"/>
    <w:lsdException w:uiPriority="29" w:name="Quote"/>
    <w:lsdException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uiPriority="19" w:name="Subtle Emphasis"/>
    <w:lsdException w:uiPriority="21" w:name="Intense Emphasis"/>
    <w:lsdException w:uiPriority="31" w:name="Subtle Reference"/>
    <w:lsdException w:uiPriority="32" w:name="Intense Reference"/>
    <w:lsdException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  <w:lsdException w:unhideWhenUsed="1" w:semiHidden="1" w:uiPriority="99" w:name="Smart Link"/>
  </w:latentStyles>
  <w:style w:type="paragraph" w:styleId="Normal" w:default="1">
    <w:name w:val="Normal"/>
    <w:rsid w:val="00cb46fc"/>
    <w:pPr>
      <w:widowControl/>
      <w:suppressAutoHyphens w:val="true"/>
      <w:bidi w:val="0"/>
      <w:jc w:val="left"/>
    </w:pPr>
    <w:rPr>
      <w:rFonts w:ascii="Ecofont_Spranq_eco_Sans" w:hAnsi="Ecofont_Spranq_eco_Sans" w:cs="Tahoma" w:eastAsia="Times New Roman"/>
      <w:color w:val="auto"/>
      <w:sz w:val="24"/>
      <w:szCs w:val="24"/>
      <w:lang w:val="pt-BR" w:eastAsia="pt-BR" w:bidi="ar-SA"/>
    </w:rPr>
  </w:style>
  <w:style w:type="paragraph" w:styleId="Ttulo1">
    <w:name w:val="Título 1"/>
    <w:link w:val="Ttulo1Char"/>
    <w:rsid w:val="006362ae"/>
    <w:basedOn w:val="Normal"/>
    <w:next w:val="Normal"/>
    <w:pPr>
      <w:keepNext/>
      <w:keepLines/>
      <w:spacing w:before="480" w:after="0"/>
      <w:outlineLvl w:val="0"/>
    </w:pPr>
    <w:rPr>
      <w:rFonts w:ascii="Cambria" w:hAnsi="Cambria" w:cs="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GradeColoridanfase1Char" w:customStyle="1">
    <w:name w:val="Grade Colorida - Ênfase 1 Char"/>
    <w:link w:val="GradeColorida-nfase11"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link w:val="Corpodetexto"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  <w:lang w:val="zxx" w:eastAsia="zxx" w:bidi="zxx"/>
    </w:rPr>
  </w:style>
  <w:style w:type="character" w:styleId="CabealhoChar" w:customStyle="1">
    <w:name w:val="Cabeçalho Char"/>
    <w:link w:val="Cabealho"/>
    <w:rsid w:val="00bb5309"/>
    <w:basedOn w:val="DefaultParagraphFont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link w:val="Rodap"/>
    <w:rsid w:val="00bb5309"/>
    <w:basedOn w:val="DefaultParagraphFont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link w:val="citao2"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uiPriority w:val="29"/>
    <w:link w:val="Citao"/>
    <w:rsid w:val="002038c8"/>
    <w:basedOn w:val="DefaultParagraphFont"/>
    <w:rPr>
      <w:rFonts w:ascii="Ecofont_Spranq_eco_Sans" w:hAnsi="Ecofont_Spranq_eco_Sans" w:cs="Tahoma"/>
      <w:i/>
      <w:iCs/>
      <w:color w:val="000000"/>
      <w:sz w:val="24"/>
      <w:szCs w:val="24"/>
    </w:rPr>
  </w:style>
  <w:style w:type="character" w:styleId="Ttulo1Char" w:customStyle="1">
    <w:name w:val="Título 1 Char"/>
    <w:link w:val="Ttulo1"/>
    <w:rsid w:val="006362ae"/>
    <w:basedOn w:val="DefaultParagraphFont"/>
    <w:rPr>
      <w:rFonts w:ascii="Cambria" w:hAnsi="Cambria" w:cs=""/>
      <w:b/>
      <w:bCs/>
      <w:color w:val="365F91"/>
      <w:sz w:val="28"/>
      <w:szCs w:val="28"/>
    </w:rPr>
  </w:style>
  <w:style w:type="character" w:styleId="Nivel1Char" w:customStyle="1">
    <w:name w:val="Nivel1 Char"/>
    <w:link w:val="Nivel1"/>
    <w:rsid w:val="006362ae"/>
    <w:basedOn w:val="Ttulo1Char"/>
    <w:rPr>
      <w:rFonts w:ascii="Arial" w:hAnsi="Arial" w:cs="Arial"/>
      <w:b/>
      <w:bCs/>
      <w:color w:val="365F91"/>
      <w:sz w:val="28"/>
      <w:szCs w:val="28"/>
    </w:rPr>
  </w:style>
  <w:style w:type="character" w:styleId="Annotationreference">
    <w:name w:val="annotation reference"/>
    <w:semiHidden/>
    <w:unhideWhenUsed/>
    <w:rsid w:val="006a7a1a"/>
    <w:basedOn w:val="DefaultParagraphFont"/>
    <w:rPr>
      <w:sz w:val="16"/>
      <w:szCs w:val="16"/>
    </w:rPr>
  </w:style>
  <w:style w:type="character" w:styleId="TextodecomentrioChar" w:customStyle="1">
    <w:name w:val="Texto de comentário Char"/>
    <w:link w:val="Textodecomentrio"/>
    <w:rsid w:val="006a7a1a"/>
    <w:basedOn w:val="DefaultParagraphFont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semiHidden/>
    <w:link w:val="Assuntodocomentrio"/>
    <w:rsid w:val="006a7a1a"/>
    <w:basedOn w:val="TextodecomentrioChar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semiHidden/>
    <w:link w:val="Textodebalo"/>
    <w:rsid w:val="006a7a1a"/>
    <w:basedOn w:val="DefaultParagraphFont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link w:val="Nivel01"/>
    <w:rsid w:val="00636001"/>
    <w:basedOn w:val="DefaultParagraphFont"/>
    <w:rPr>
      <w:rFonts w:ascii="Arial" w:hAnsi="Arial" w:cs="Arial"/>
      <w:b/>
      <w:bCs/>
      <w:lang w:eastAsia="en-US"/>
    </w:rPr>
  </w:style>
  <w:style w:type="character" w:styleId="Nivel2Char" w:customStyle="1">
    <w:name w:val="Nivel 2 Char"/>
    <w:link w:val="Nivel2"/>
    <w:locked/>
    <w:rsid w:val="00d8054f"/>
    <w:basedOn w:val="DefaultParagraphFont"/>
    <w:rPr>
      <w:rFonts w:ascii="Arial" w:hAnsi="Arial" w:cs="Arial"/>
    </w:rPr>
  </w:style>
  <w:style w:type="character" w:styleId="Nvel2RedChar" w:customStyle="1">
    <w:name w:val="Nível 2 -Red Char"/>
    <w:link w:val="Nvel2-Red"/>
    <w:rsid w:val="00be6ea8"/>
    <w:basedOn w:val="Nivel2Char"/>
    <w:rPr>
      <w:rFonts w:ascii="Arial" w:hAnsi="Arial" w:cs="Arial"/>
      <w:i/>
      <w:iCs/>
      <w:color w:val="FF0000"/>
    </w:rPr>
  </w:style>
  <w:style w:type="character" w:styleId="OuChar" w:customStyle="1">
    <w:name w:val="ou Char"/>
    <w:link w:val="ou"/>
    <w:rsid w:val="009d6ccc"/>
    <w:basedOn w:val="DefaultParagraphFont"/>
    <w:rPr>
      <w:rFonts w:ascii="Arial" w:hAnsi="Arial" w:cs="Arial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link w:val="Nvel3-R"/>
    <w:rsid w:val="00b73e47"/>
    <w:basedOn w:val="DefaultParagraphFont"/>
    <w:rPr>
      <w:rFonts w:ascii="Arial" w:hAnsi="Arial" w:cs="Arial"/>
      <w:i/>
      <w:iCs/>
      <w:color w:val="FF0000"/>
    </w:rPr>
  </w:style>
  <w:style w:type="character" w:styleId="Nvel3Char" w:customStyle="1">
    <w:name w:val="Nível 3 Char"/>
    <w:link w:val="Nvel3"/>
    <w:rsid w:val="009d6ccc"/>
    <w:basedOn w:val="Nvel3RChar"/>
    <w:rPr>
      <w:rFonts w:ascii="Arial" w:hAnsi="Arial" w:cs="Arial"/>
      <w:i w:val="false"/>
      <w:iCs w:val="false"/>
      <w:color w:val="FF0000"/>
    </w:rPr>
  </w:style>
  <w:style w:type="character" w:styleId="Nvel4Char" w:customStyle="1">
    <w:name w:val="Nível 4 Char"/>
    <w:link w:val="Nvel4"/>
    <w:rsid w:val="009d6ccc"/>
    <w:basedOn w:val="Nvel3Char"/>
    <w:rPr>
      <w:rFonts w:ascii="Arial" w:hAnsi="Arial" w:cs="Arial"/>
      <w:i w:val="false"/>
      <w:iCs w:val="false"/>
      <w:color w:val="FF0000"/>
    </w:rPr>
  </w:style>
  <w:style w:type="character" w:styleId="SubTitNNChar" w:customStyle="1">
    <w:name w:val="SubTitNN Char"/>
    <w:link w:val="SubTitNN"/>
    <w:rsid w:val="009d6ccc"/>
    <w:basedOn w:val="DefaultParagraphFont"/>
    <w:rPr>
      <w:rFonts w:ascii="Arial" w:hAnsi="Arial" w:cs="Arial"/>
      <w:b/>
      <w:bCs/>
      <w:iCs/>
    </w:rPr>
  </w:style>
  <w:style w:type="character" w:styleId="ListLabel1">
    <w:name w:val="ListLabel 1"/>
    <w:rPr>
      <w:b/>
      <w:color w:val="00000A"/>
    </w:rPr>
  </w:style>
  <w:style w:type="character" w:styleId="ListLabel2">
    <w:name w:val="ListLabel 2"/>
    <w:rPr>
      <w:sz w:val="20"/>
      <w:szCs w:val="20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b/>
    </w:rPr>
  </w:style>
  <w:style w:type="character" w:styleId="ListLabel5">
    <w:name w:val="ListLabel 5"/>
    <w:rPr>
      <w:rFonts w:cs="Arial"/>
      <w:b w:val="false"/>
      <w:i w:val="false"/>
      <w:strike w:val="false"/>
      <w:dstrike w:val="false"/>
      <w:color w:val="00000A"/>
      <w:sz w:val="20"/>
      <w:szCs w:val="20"/>
      <w:u w:val="none"/>
      <w:effect w:val="none"/>
    </w:rPr>
  </w:style>
  <w:style w:type="character" w:styleId="ListLabel6">
    <w:name w:val="ListLabel 6"/>
    <w:rPr>
      <w:i w:val="false"/>
      <w:iCs/>
      <w:color w:val="00000A"/>
    </w:rPr>
  </w:style>
  <w:style w:type="character" w:styleId="Fontepargpadro">
    <w:name w:val="Fonte parág. padrão"/>
    <w:rPr/>
  </w:style>
  <w:style w:type="character" w:styleId="WW8Num3z0">
    <w:name w:val="WW8Num3z0"/>
    <w:rPr>
      <w:rFonts w:ascii="Arial" w:hAnsi="Arial" w:cs="Arial"/>
      <w:b/>
      <w:bCs/>
      <w:i w:val="false"/>
      <w:iCs w:val="false"/>
      <w:color w:val="00000A"/>
      <w:sz w:val="24"/>
      <w:szCs w:val="24"/>
    </w:rPr>
  </w:style>
  <w:style w:type="character" w:styleId="WW8Num3z1">
    <w:name w:val="WW8Num3z1"/>
    <w:rPr>
      <w:rFonts w:ascii="Arial" w:hAnsi="Arial" w:cs="Arial"/>
      <w:b/>
      <w:bCs/>
      <w:i w:val="false"/>
      <w:iCs w:val="false"/>
      <w:color w:val="auto"/>
      <w:sz w:val="24"/>
      <w:szCs w:val="24"/>
    </w:rPr>
  </w:style>
  <w:style w:type="character" w:styleId="WW8Num3z2">
    <w:name w:val="WW8Num3z2"/>
    <w:rPr>
      <w:rFonts w:cs="Arial"/>
      <w:iCs/>
    </w:rPr>
  </w:style>
  <w:style w:type="character" w:styleId="WW8Num3z3">
    <w:name w:val="WW8Num3z3"/>
    <w:rPr/>
  </w:style>
  <w:style w:type="character" w:styleId="WW8Num3z4">
    <w:name w:val="WW8Num3z4"/>
    <w:rPr/>
  </w:style>
  <w:style w:type="character" w:styleId="WW8Num3z5">
    <w:name w:val="WW8Num3z5"/>
    <w:rPr/>
  </w:style>
  <w:style w:type="character" w:styleId="WW8Num3z6">
    <w:name w:val="WW8Num3z6"/>
    <w:rPr/>
  </w:style>
  <w:style w:type="character" w:styleId="WW8Num3z7">
    <w:name w:val="WW8Num3z7"/>
    <w:rPr/>
  </w:style>
  <w:style w:type="character" w:styleId="WW8Num3z8">
    <w:name w:val="WW8Num3z8"/>
    <w:rPr/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Corpo do texto"/>
    <w:uiPriority w:val="99"/>
    <w:unhideWhenUsed/>
    <w:link w:val="CorpodetextoChar"/>
    <w:rsid w:val="002f4c05"/>
    <w:basedOn w:val="Normal"/>
    <w:pPr>
      <w:spacing w:lineRule="auto" w:line="288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GradeColoridanfase11" w:customStyle="1">
    <w:name w:val="Grade Colorida - Ênfase 11"/>
    <w:link w:val="GradeColorida-nfase1Char"/>
    <w:rsid w:val="00cb46fc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 w:val="clear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uiPriority w:val="34"/>
    <w:rsid w:val="003f48df"/>
    <w:basedOn w:val="Normal"/>
    <w:pPr>
      <w:spacing w:before="0" w:after="0"/>
      <w:ind w:left="720" w:right="0" w:hanging="0"/>
      <w:contextualSpacing/>
    </w:pPr>
    <w:rPr/>
  </w:style>
  <w:style w:type="paragraph" w:styleId="Cabealho">
    <w:name w:val="Cabeçalho"/>
    <w:unhideWhenUsed/>
    <w:link w:val="CabealhoChar"/>
    <w:rsid w:val="00bb5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Rodap">
    <w:name w:val="Rodapé"/>
    <w:uiPriority w:val="99"/>
    <w:unhideWhenUsed/>
    <w:link w:val="RodapChar"/>
    <w:rsid w:val="00bb5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link w:val="citao2Char"/>
    <w:rsid w:val="002038c8"/>
    <w:pPr>
      <w:widowControl w:val="false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 w:val="clear"/>
      <w:suppressAutoHyphens w:val="true"/>
      <w:spacing w:before="120" w:after="0"/>
      <w:jc w:val="both"/>
    </w:pPr>
    <w:rPr>
      <w:rFonts w:eastAsia="Calibri" w:ascii="Times New Roman" w:hAnsi="Times New Roman" w:cs="Times New Roman"/>
      <w:color w:val="000000"/>
      <w:sz w:val="20"/>
      <w:szCs w:val="20"/>
      <w:lang w:eastAsia="en-US" w:val="pt-BR" w:bidi="ar-SA"/>
    </w:rPr>
  </w:style>
  <w:style w:type="paragraph" w:styleId="Quote">
    <w:name w:val="Quote"/>
    <w:uiPriority w:val="29"/>
    <w:link w:val="CitaoChar"/>
    <w:rsid w:val="002038c8"/>
    <w:basedOn w:val="Normal"/>
    <w:next w:val="Normal"/>
    <w:pPr/>
    <w:rPr>
      <w:i/>
      <w:iCs/>
      <w:color w:val="000000"/>
    </w:rPr>
  </w:style>
  <w:style w:type="paragraph" w:styleId="Nivel1" w:customStyle="1">
    <w:name w:val="Nivel1"/>
    <w:link w:val="Nivel1Char"/>
    <w:rsid w:val="006362ae"/>
    <w:basedOn w:val="Ttulo1"/>
    <w:next w:val="Normal"/>
    <w:pPr>
      <w:widowControl w:val="false"/>
      <w:spacing w:lineRule="auto" w:line="276" w:before="480" w:after="120"/>
      <w:ind w:left="360" w:right="0" w:hanging="360"/>
      <w:jc w:val="both"/>
    </w:pPr>
    <w:rPr>
      <w:rFonts w:ascii="Arial" w:hAnsi="Arial" w:cs="Arial"/>
      <w:color w:val="00000A"/>
      <w:sz w:val="20"/>
      <w:szCs w:val="20"/>
    </w:rPr>
  </w:style>
  <w:style w:type="paragraph" w:styleId="Nivel01" w:customStyle="1">
    <w:name w:val="Nivel 01"/>
    <w:qFormat/>
    <w:link w:val="Nivel01Char"/>
    <w:rsid w:val="00636001"/>
    <w:basedOn w:val="Ttulo1"/>
    <w:next w:val="Normal"/>
    <w:pPr>
      <w:numPr>
        <w:ilvl w:val="0"/>
        <w:numId w:val="1"/>
      </w:numPr>
      <w:tabs>
        <w:tab w:val="left" w:pos="567" w:leader="none"/>
      </w:tabs>
      <w:spacing w:lineRule="auto" w:line="276" w:before="120" w:after="120"/>
      <w:ind w:left="0" w:right="0" w:hanging="0"/>
      <w:jc w:val="both"/>
    </w:pPr>
    <w:rPr>
      <w:rFonts w:ascii="Arial" w:hAnsi="Arial" w:cs="Arial"/>
      <w:color w:val="00000A"/>
      <w:sz w:val="20"/>
      <w:szCs w:val="20"/>
      <w:lang w:eastAsia="en-US"/>
    </w:rPr>
  </w:style>
  <w:style w:type="paragraph" w:styleId="Annotationtext">
    <w:name w:val="annotation text"/>
    <w:unhideWhenUsed/>
    <w:link w:val="TextodecomentrioChar"/>
    <w:rsid w:val="006a7a1a"/>
    <w:basedOn w:val="Normal"/>
    <w:pPr/>
    <w:rPr>
      <w:sz w:val="20"/>
      <w:szCs w:val="20"/>
    </w:rPr>
  </w:style>
  <w:style w:type="paragraph" w:styleId="Annotationsubject">
    <w:name w:val="annotation subject"/>
    <w:semiHidden/>
    <w:unhideWhenUsed/>
    <w:link w:val="AssuntodocomentrioChar"/>
    <w:rsid w:val="006a7a1a"/>
    <w:basedOn w:val="Annotationtext"/>
    <w:pPr/>
    <w:rPr>
      <w:b/>
      <w:bCs/>
    </w:rPr>
  </w:style>
  <w:style w:type="paragraph" w:styleId="BalloonText">
    <w:name w:val="Balloon Text"/>
    <w:semiHidden/>
    <w:unhideWhenUsed/>
    <w:link w:val="TextodebaloChar"/>
    <w:rsid w:val="006a7a1a"/>
    <w:basedOn w:val="Normal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rsid w:val="00586901"/>
    <w:pPr>
      <w:widowControl/>
      <w:suppressAutoHyphens w:val="true"/>
      <w:bidi w:val="0"/>
      <w:jc w:val="left"/>
    </w:pPr>
    <w:rPr>
      <w:rFonts w:ascii="Ecofont_Spranq_eco_Sans" w:hAnsi="Ecofont_Spranq_eco_Sans" w:cs="Tahoma" w:eastAsia="Times New Roman"/>
      <w:color w:val="auto"/>
      <w:sz w:val="24"/>
      <w:szCs w:val="24"/>
      <w:lang w:val="pt-BR" w:eastAsia="pt-BR" w:bidi="ar-SA"/>
    </w:rPr>
  </w:style>
  <w:style w:type="paragraph" w:styleId="Nivel2" w:customStyle="1">
    <w:name w:val="Nivel 2"/>
    <w:qFormat/>
    <w:link w:val="Nivel2Char"/>
    <w:rsid w:val="00d8054f"/>
    <w:basedOn w:val="Normal"/>
    <w:pPr>
      <w:numPr>
        <w:ilvl w:val="0"/>
        <w:numId w:val="1"/>
      </w:numPr>
      <w:spacing w:lineRule="auto" w:line="276" w:before="120" w:after="120"/>
      <w:ind w:left="0" w:righ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qFormat/>
    <w:link w:val="Nvel2-RedChar"/>
    <w:rsid w:val="00be6ea8"/>
    <w:basedOn w:val="Nivel2"/>
    <w:pPr/>
    <w:rPr>
      <w:i/>
      <w:iCs/>
      <w:color w:val="FF0000"/>
    </w:rPr>
  </w:style>
  <w:style w:type="paragraph" w:styleId="Ou" w:customStyle="1">
    <w:name w:val="ou"/>
    <w:qFormat/>
    <w:link w:val="ouChar"/>
    <w:rsid w:val="009d6ccc"/>
    <w:basedOn w:val="ListParagraph"/>
    <w:pPr>
      <w:spacing w:lineRule="auto" w:line="259" w:before="60" w:after="60"/>
      <w:ind w:left="0" w:right="0" w:hanging="0"/>
      <w:jc w:val="center"/>
    </w:pPr>
    <w:rPr>
      <w:rFonts w:ascii="Arial" w:hAnsi="Arial" w:cs="Arial"/>
      <w:b/>
      <w:bCs/>
      <w:i/>
      <w:iCs/>
      <w:color w:val="FF0000"/>
      <w:sz w:val="20"/>
      <w:u w:val="single"/>
    </w:rPr>
  </w:style>
  <w:style w:type="paragraph" w:styleId="Nvel3R" w:customStyle="1">
    <w:name w:val="Nível 3-R"/>
    <w:qFormat/>
    <w:link w:val="Nvel3-RChar"/>
    <w:rsid w:val="00b73e47"/>
    <w:basedOn w:val="Normal"/>
    <w:pPr>
      <w:numPr>
        <w:ilvl w:val="0"/>
        <w:numId w:val="1"/>
      </w:numPr>
      <w:spacing w:lineRule="auto" w:line="276" w:before="120" w:after="120"/>
      <w:ind w:left="284" w:right="0" w:hanging="0"/>
      <w:jc w:val="both"/>
    </w:pPr>
    <w:rPr>
      <w:rFonts w:ascii="Arial" w:hAnsi="Arial" w:cs="Arial"/>
      <w:i/>
      <w:iCs/>
      <w:color w:val="FF0000"/>
      <w:sz w:val="20"/>
      <w:szCs w:val="20"/>
    </w:rPr>
  </w:style>
  <w:style w:type="paragraph" w:styleId="Nvel3" w:customStyle="1">
    <w:name w:val="Nível 3"/>
    <w:qFormat/>
    <w:link w:val="Nvel3Char"/>
    <w:rsid w:val="009d6ccc"/>
    <w:basedOn w:val="Nvel3R"/>
    <w:pPr/>
    <w:rPr>
      <w:rFonts w:eastAsia="Times New Roman"/>
      <w:i w:val="false"/>
      <w:iCs w:val="false"/>
      <w:color w:val="00000A"/>
    </w:rPr>
  </w:style>
  <w:style w:type="paragraph" w:styleId="Nvel4" w:customStyle="1">
    <w:name w:val="Nível 4"/>
    <w:qFormat/>
    <w:link w:val="Nvel4Char"/>
    <w:rsid w:val="009d6ccc"/>
    <w:basedOn w:val="Nvel3"/>
    <w:pPr>
      <w:numPr>
        <w:ilvl w:val="0"/>
        <w:numId w:val="1"/>
      </w:numPr>
      <w:ind w:left="567" w:right="0" w:hanging="0"/>
    </w:pPr>
    <w:rPr/>
  </w:style>
  <w:style w:type="paragraph" w:styleId="SubTitNN" w:customStyle="1">
    <w:name w:val="SubTitNN"/>
    <w:qFormat/>
    <w:link w:val="SubTitNNChar"/>
    <w:rsid w:val="009d6ccc"/>
    <w:basedOn w:val="Normal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numbering" w:styleId="WW8Num3">
    <w:name w:val="WW8Num3"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comments" Target="comment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language>pt-BR</dc:language>
  <dcterms:modified xsi:type="dcterms:W3CDTF">2023-05-20T12:28:00Z</dcterms:modified>
  <cp:revision>1</cp:revision>
</cp:coreProperties>
</file>