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color w:val="000000"/>
          <w:sz w:val="20"/>
          <w:szCs w:val="20"/>
        </w:rPr>
      </w:pPr>
      <w:bookmarkStart w:id="0" w:name="_Hlk82473550"/>
      <w:bookmarkEnd w:id="0"/>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4"/>
          <w:szCs w:val="24"/>
        </w:rPr>
        <w:br/>
      </w:r>
      <w:r>
        <w:rPr>
          <w:rFonts w:cs="Arial" w:ascii="Arial" w:hAnsi="Arial"/>
          <w:b/>
          <w:bCs/>
          <w:color w:val="000000"/>
          <w:sz w:val="24"/>
          <w:szCs w:val="24"/>
          <w:u w:val="none"/>
        </w:rPr>
        <w:t>MINISTÉRIO DA DEFESA</w:t>
      </w:r>
    </w:p>
    <w:p>
      <w:pPr>
        <w:pStyle w:val="Ttulo11"/>
        <w:numPr>
          <w:ilvl w:val="0"/>
          <w:numId w:val="0"/>
        </w:numPr>
        <w:spacing w:before="0" w:after="0"/>
        <w:ind w:left="0" w:right="0" w:hanging="0"/>
        <w:jc w:val="center"/>
        <w:rPr>
          <w:rFonts w:ascii="Arial" w:hAnsi="Arial" w:cs="Arial"/>
          <w:b/>
          <w:b/>
          <w:bCs/>
          <w:sz w:val="20"/>
          <w:szCs w:val="20"/>
          <w:u w:val="none"/>
        </w:rPr>
      </w:pPr>
      <w:r>
        <w:rPr>
          <w:rFonts w:cs="Arial" w:ascii="Arial" w:hAnsi="Arial"/>
          <w:b/>
          <w:bCs/>
          <w:sz w:val="24"/>
          <w:szCs w:val="24"/>
          <w:u w:val="none"/>
        </w:rPr>
        <w:t>EXÉRCITO BRASILEIRO</w:t>
      </w:r>
    </w:p>
    <w:p>
      <w:pPr>
        <w:pStyle w:val="Normal"/>
        <w:spacing w:before="0" w:after="0"/>
        <w:ind w:left="0" w:right="0" w:hanging="0"/>
        <w:jc w:val="center"/>
        <w:rPr>
          <w:rFonts w:ascii="Arial" w:hAnsi="Arial" w:cs="Arial"/>
          <w:b/>
          <w:b/>
          <w:bCs/>
          <w:sz w:val="20"/>
          <w:szCs w:val="20"/>
          <w:u w:val="none"/>
        </w:rPr>
      </w:pPr>
      <w:r>
        <w:rPr>
          <w:rFonts w:cs="Arial" w:ascii="Arial" w:hAnsi="Arial"/>
          <w:b/>
          <w:bCs/>
          <w:sz w:val="24"/>
          <w:szCs w:val="24"/>
          <w:u w:val="none"/>
        </w:rPr>
        <w:t>DECEx - DETMil</w:t>
      </w:r>
    </w:p>
    <w:p>
      <w:pPr>
        <w:pStyle w:val="Normal"/>
        <w:spacing w:before="0" w:after="0"/>
        <w:ind w:left="0" w:right="0" w:hanging="0"/>
        <w:jc w:val="center"/>
        <w:rPr>
          <w:rFonts w:ascii="Arial" w:hAnsi="Arial" w:cs="Arial"/>
          <w:b/>
          <w:b/>
          <w:bCs/>
          <w:sz w:val="20"/>
          <w:szCs w:val="20"/>
          <w:u w:val="none"/>
        </w:rPr>
      </w:pPr>
      <w:r>
        <w:rPr>
          <w:rFonts w:cs="Arial" w:ascii="Arial" w:hAnsi="Arial"/>
          <w:b/>
          <w:bCs/>
          <w:sz w:val="24"/>
          <w:szCs w:val="24"/>
          <w:u w:val="none"/>
        </w:rPr>
        <w:t>ESCOLA DE ARTILHARIA DE COSTA E ANTIAÉREA</w:t>
      </w:r>
    </w:p>
    <w:p>
      <w:pPr>
        <w:pStyle w:val="Normal"/>
        <w:spacing w:lineRule="auto" w:line="276" w:before="0" w:after="0"/>
        <w:jc w:val="center"/>
        <w:rPr>
          <w:rFonts w:ascii="Arial" w:hAnsi="Arial" w:cs="Arial"/>
          <w:b/>
          <w:b/>
          <w:bCs/>
          <w:color w:val="000000"/>
          <w:sz w:val="20"/>
          <w:szCs w:val="20"/>
        </w:rPr>
      </w:pPr>
      <w:r>
        <w:rPr>
          <w:rFonts w:cs="Arial" w:ascii="Arial" w:hAnsi="Arial"/>
          <w:b/>
          <w:bCs/>
          <w:color w:val="000000"/>
          <w:sz w:val="24"/>
          <w:szCs w:val="24"/>
          <w:u w:val="none"/>
          <w:lang w:eastAsia="ar-SA"/>
        </w:rPr>
        <w:t>(C Instr de A Cos/1934)</w:t>
      </w:r>
    </w:p>
    <w:p>
      <w:pPr>
        <w:pStyle w:val="Normal"/>
        <w:spacing w:lineRule="auto" w:line="276" w:before="0" w:after="0"/>
        <w:jc w:val="center"/>
        <w:rPr>
          <w:rFonts w:ascii="Arial" w:hAnsi="Arial" w:cs="Arial"/>
          <w:b/>
          <w:b/>
          <w:bCs/>
          <w:color w:val="000000"/>
          <w:sz w:val="24"/>
          <w:szCs w:val="24"/>
        </w:rPr>
      </w:pPr>
      <w:r>
        <w:rPr>
          <w:rFonts w:cs="Arial" w:ascii="Arial" w:hAnsi="Arial"/>
          <w:b/>
          <w:bCs/>
          <w:color w:val="000000"/>
          <w:sz w:val="24"/>
          <w:szCs w:val="24"/>
        </w:rPr>
      </w:r>
    </w:p>
    <w:p>
      <w:pPr>
        <w:pStyle w:val="Normal"/>
        <w:spacing w:lineRule="auto" w:line="276" w:before="0" w:after="0"/>
        <w:jc w:val="center"/>
        <w:rPr>
          <w:rFonts w:ascii="Arial" w:hAnsi="Arial" w:cs="Arial"/>
          <w:b/>
          <w:b/>
          <w:bCs/>
          <w:color w:val="000000"/>
          <w:sz w:val="24"/>
          <w:szCs w:val="24"/>
        </w:rPr>
      </w:pPr>
      <w:r>
        <w:rPr>
          <w:rFonts w:cs="Arial" w:ascii="Arial" w:hAnsi="Arial"/>
          <w:b/>
          <w:bCs/>
          <w:color w:val="000000"/>
          <w:sz w:val="24"/>
          <w:szCs w:val="24"/>
        </w:rPr>
        <w:t>ANEXO II</w:t>
      </w:r>
    </w:p>
    <w:p>
      <w:pPr>
        <w:pStyle w:val="Normal"/>
        <w:spacing w:lineRule="auto" w:line="276" w:before="0" w:after="0"/>
        <w:jc w:val="center"/>
        <w:rPr>
          <w:rFonts w:ascii="Arial" w:hAnsi="Arial" w:cs="Arial"/>
          <w:b/>
          <w:b/>
          <w:bCs/>
          <w:color w:val="000000"/>
          <w:sz w:val="24"/>
          <w:szCs w:val="24"/>
        </w:rPr>
      </w:pPr>
      <w:r>
        <w:rPr>
          <w:rFonts w:cs="Arial" w:ascii="Arial" w:hAnsi="Arial"/>
          <w:b/>
          <w:bCs/>
          <w:color w:val="000000"/>
          <w:sz w:val="24"/>
          <w:szCs w:val="24"/>
        </w:rPr>
      </w:r>
    </w:p>
    <w:p>
      <w:pPr>
        <w:pStyle w:val="Normal"/>
        <w:spacing w:lineRule="auto" w:line="276" w:before="0" w:after="0"/>
        <w:jc w:val="center"/>
        <w:rPr>
          <w:rFonts w:ascii="Arial" w:hAnsi="Arial"/>
          <w:sz w:val="24"/>
          <w:szCs w:val="24"/>
        </w:rPr>
      </w:pPr>
      <w:r>
        <w:rPr>
          <w:rFonts w:cs="Arial" w:ascii="Arial" w:hAnsi="Arial"/>
          <w:b/>
          <w:bCs/>
          <w:color w:val="000000"/>
          <w:sz w:val="24"/>
          <w:szCs w:val="24"/>
        </w:rPr>
        <w:t>TERMO DE REFERÊNCIA – LEI 14.133/21</w:t>
      </w:r>
    </w:p>
    <w:p>
      <w:pPr>
        <w:pStyle w:val="Normal"/>
        <w:spacing w:lineRule="auto" w:line="276" w:before="0" w:after="0"/>
        <w:jc w:val="center"/>
        <w:rPr>
          <w:rFonts w:ascii="Arial" w:hAnsi="Arial"/>
          <w:sz w:val="24"/>
          <w:szCs w:val="24"/>
        </w:rPr>
      </w:pPr>
      <w:r>
        <w:rPr>
          <w:rFonts w:cs="Arial" w:ascii="Arial" w:hAnsi="Arial"/>
          <w:b/>
          <w:bCs/>
          <w:iCs/>
          <w:color w:val="000000"/>
          <w:sz w:val="24"/>
          <w:szCs w:val="24"/>
        </w:rPr>
        <w:t>COMPRAS – CONTRATAÇÃO DIRETA</w:t>
      </w:r>
    </w:p>
    <w:p>
      <w:pPr>
        <w:pStyle w:val="Normal"/>
        <w:spacing w:lineRule="auto" w:line="276" w:before="0" w:after="0"/>
        <w:jc w:val="center"/>
        <w:rPr>
          <w:rFonts w:ascii="Arial" w:hAnsi="Arial"/>
          <w:sz w:val="24"/>
          <w:szCs w:val="24"/>
        </w:rPr>
      </w:pPr>
      <w:r>
        <w:rPr>
          <w:rFonts w:cs="Arial" w:ascii="Arial" w:hAnsi="Arial"/>
          <w:b/>
          <w:bCs/>
          <w:iCs/>
          <w:color w:val="000000"/>
          <w:sz w:val="24"/>
          <w:szCs w:val="24"/>
        </w:rPr>
        <w:t xml:space="preserve">Processo Administrativo n. </w:t>
      </w:r>
      <w:r>
        <w:rPr>
          <w:rFonts w:eastAsia="Calibri" w:cs="Times New Roman" w:ascii="Arial" w:hAnsi="Arial"/>
          <w:b/>
          <w:bCs/>
          <w:i w:val="false"/>
          <w:iCs w:val="false"/>
          <w:color w:val="000000"/>
          <w:sz w:val="24"/>
          <w:szCs w:val="24"/>
          <w:shd w:fill="FFFFFF" w:val="clear"/>
          <w:lang w:val="pt-BR" w:eastAsia="en-US" w:bidi="ar-SA"/>
        </w:rPr>
        <w:t>64497.002027/2023-80</w:t>
      </w:r>
    </w:p>
    <w:p>
      <w:pPr>
        <w:pStyle w:val="Normal"/>
        <w:spacing w:lineRule="auto" w:line="276" w:before="0" w:after="0"/>
        <w:jc w:val="center"/>
        <w:rPr>
          <w:rFonts w:ascii="Arial" w:hAnsi="Arial" w:cs="Arial"/>
          <w:b/>
          <w:b/>
          <w:bCs/>
          <w:i/>
          <w:i/>
          <w:color w:val="FF0000"/>
          <w:sz w:val="24"/>
          <w:szCs w:val="24"/>
        </w:rPr>
      </w:pPr>
      <w:r>
        <w:rPr>
          <w:rFonts w:cs="Arial" w:ascii="Arial" w:hAnsi="Arial"/>
          <w:b/>
          <w:bCs/>
          <w:i/>
          <w:color w:val="FF0000"/>
          <w:sz w:val="24"/>
          <w:szCs w:val="24"/>
        </w:rPr>
      </w:r>
    </w:p>
    <w:p>
      <w:pPr>
        <w:pStyle w:val="Normal"/>
        <w:rPr>
          <w:rFonts w:ascii="Arial" w:hAnsi="Arial"/>
          <w:sz w:val="24"/>
          <w:szCs w:val="24"/>
        </w:rPr>
      </w:pPr>
      <w:r>
        <w:rPr>
          <w:rFonts w:ascii="Arial" w:hAnsi="Arial"/>
          <w:sz w:val="24"/>
          <w:szCs w:val="24"/>
        </w:rPr>
      </w:r>
    </w:p>
    <w:p>
      <w:pPr>
        <w:pStyle w:val="Nivel1"/>
        <w:numPr>
          <w:ilvl w:val="0"/>
          <w:numId w:val="1"/>
        </w:numPr>
        <w:spacing w:lineRule="auto" w:line="360" w:before="0" w:after="0"/>
        <w:ind w:left="0" w:right="0" w:hanging="0"/>
        <w:rPr/>
      </w:pPr>
      <w:r>
        <w:rPr>
          <w:bCs/>
          <w:sz w:val="24"/>
          <w:szCs w:val="24"/>
        </w:rPr>
        <w:t>DAS CONDIÇÕES GERAIS DA CONTRATAÇÃO (art. 6º, XXIII, “a” e “i”</w:t>
      </w:r>
      <w:r>
        <w:rPr>
          <w:sz w:val="24"/>
          <w:szCs w:val="24"/>
        </w:rPr>
        <w:t xml:space="preserve"> da Lei n. 14.133/2021).</w:t>
      </w:r>
    </w:p>
    <w:p>
      <w:pPr>
        <w:pStyle w:val="ListParagraph"/>
        <w:numPr>
          <w:ilvl w:val="1"/>
          <w:numId w:val="2"/>
        </w:numPr>
        <w:spacing w:lineRule="auto" w:line="360" w:before="0" w:after="0"/>
        <w:ind w:left="0" w:right="0" w:hanging="0"/>
        <w:jc w:val="both"/>
        <w:rPr>
          <w:rFonts w:ascii="Arial" w:hAnsi="Arial"/>
          <w:sz w:val="24"/>
          <w:szCs w:val="24"/>
        </w:rPr>
      </w:pPr>
      <w:r>
        <w:rPr>
          <w:rFonts w:cs="Arial" w:ascii="Arial" w:hAnsi="Arial"/>
          <w:iCs/>
          <w:color w:val="00000A"/>
          <w:sz w:val="24"/>
          <w:szCs w:val="24"/>
        </w:rPr>
        <w:t>Aquisição de peças de viaturas em proveito da Escola de Artilharia de Costa e Antiaérea</w:t>
      </w:r>
      <w:r>
        <w:rPr>
          <w:rFonts w:cs="Arial" w:ascii="Arial" w:hAnsi="Arial"/>
          <w:b/>
          <w:iCs/>
          <w:color w:val="00000A"/>
          <w:sz w:val="24"/>
          <w:szCs w:val="24"/>
        </w:rPr>
        <w:t>,</w:t>
      </w:r>
      <w:r>
        <w:rPr>
          <w:rFonts w:cs="Arial" w:ascii="Arial" w:hAnsi="Arial"/>
          <w:iCs/>
          <w:color w:val="00000A"/>
          <w:sz w:val="24"/>
          <w:szCs w:val="24"/>
        </w:rPr>
        <w:t xml:space="preserve"> nos termos d</w:t>
      </w:r>
      <w:r>
        <w:rPr>
          <w:rFonts w:cs="Arial" w:ascii="Arial" w:hAnsi="Arial"/>
          <w:iCs/>
          <w:sz w:val="24"/>
          <w:szCs w:val="24"/>
        </w:rPr>
        <w:t>a tabela abaixo, conforme condições e exigências estabelecidas neste instrumento.</w:t>
      </w:r>
    </w:p>
    <w:p>
      <w:pPr>
        <w:pStyle w:val="ListParagraph"/>
        <w:numPr>
          <w:ilvl w:val="1"/>
          <w:numId w:val="2"/>
        </w:numPr>
        <w:spacing w:lineRule="auto" w:line="360" w:before="0" w:after="0"/>
        <w:ind w:left="0" w:right="0" w:hanging="0"/>
        <w:jc w:val="both"/>
        <w:rPr>
          <w:rFonts w:ascii="Arial" w:hAnsi="Arial"/>
          <w:b/>
          <w:b/>
          <w:bCs/>
          <w:sz w:val="24"/>
          <w:szCs w:val="24"/>
        </w:rPr>
      </w:pPr>
      <w:r>
        <w:rPr>
          <w:rFonts w:cs="Arial" w:ascii="Arial" w:hAnsi="Arial"/>
          <w:b/>
          <w:bCs/>
          <w:iCs/>
          <w:color w:val="00000A"/>
          <w:sz w:val="24"/>
          <w:szCs w:val="24"/>
        </w:rPr>
        <w:t>Caso haja divergência entre a descrição do sistema e a do Termo de Referência, prevalece a descrição prevista neste Termo.</w:t>
      </w:r>
    </w:p>
    <w:p>
      <w:pPr>
        <w:pStyle w:val="ListParagraph"/>
        <w:numPr>
          <w:ilvl w:val="1"/>
          <w:numId w:val="2"/>
        </w:numPr>
        <w:spacing w:lineRule="auto" w:line="360" w:before="0" w:after="0"/>
        <w:ind w:left="0" w:right="0" w:hanging="0"/>
        <w:jc w:val="both"/>
        <w:rPr>
          <w:rFonts w:ascii="Arial" w:hAnsi="Arial"/>
          <w:b/>
          <w:b/>
          <w:bCs/>
          <w:sz w:val="24"/>
          <w:szCs w:val="24"/>
        </w:rPr>
      </w:pPr>
      <w:r>
        <w:rPr>
          <w:rFonts w:cs="Arial" w:ascii="Arial" w:hAnsi="Arial"/>
          <w:b/>
          <w:bCs/>
          <w:iCs/>
          <w:color w:val="00000A"/>
          <w:sz w:val="24"/>
          <w:szCs w:val="24"/>
        </w:rPr>
        <w:t>O licitante deve formular suas propostas de acordo com a descrição previstas neste Termo de Referência.</w:t>
      </w:r>
    </w:p>
    <w:tbl>
      <w:tblPr>
        <w:tblW w:w="9285" w:type="dxa"/>
        <w:jc w:val="left"/>
        <w:tblInd w:w="5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3" w:type="dxa"/>
          <w:bottom w:w="0" w:type="dxa"/>
          <w:right w:w="108" w:type="dxa"/>
        </w:tblCellMar>
        <w:tblLook w:firstRow="1" w:noVBand="1" w:lastRow="0" w:firstColumn="1" w:lastColumn="0" w:noHBand="0" w:val="04a0"/>
      </w:tblPr>
      <w:tblGrid>
        <w:gridCol w:w="805"/>
        <w:gridCol w:w="3067"/>
        <w:gridCol w:w="1010"/>
        <w:gridCol w:w="1131"/>
        <w:gridCol w:w="627"/>
        <w:gridCol w:w="1364"/>
        <w:gridCol w:w="1280"/>
      </w:tblGrid>
      <w:tr>
        <w:trPr>
          <w:tblHeader w:val="true"/>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ITEM</w:t>
            </w:r>
          </w:p>
          <w:p>
            <w:pPr>
              <w:pStyle w:val="Normal"/>
              <w:widowControl w:val="false"/>
              <w:suppressAutoHyphens w:val="true"/>
              <w:spacing w:lineRule="auto" w:line="360" w:before="0" w:after="0"/>
              <w:ind w:left="0" w:right="0" w:hanging="0"/>
              <w:jc w:val="center"/>
              <w:rPr>
                <w:rFonts w:ascii="Arial" w:hAnsi="Arial" w:cs="Arial"/>
                <w:b/>
                <w:b/>
                <w:bCs/>
                <w:i w:val="false"/>
                <w:i w:val="false"/>
                <w:iCs w:val="false"/>
                <w:color w:val="00000A"/>
                <w:sz w:val="20"/>
                <w:szCs w:val="20"/>
              </w:rPr>
            </w:pPr>
            <w:r>
              <w:rPr>
                <w:rFonts w:cs="Arial" w:ascii="Arial" w:hAnsi="Arial"/>
                <w:b/>
                <w:bCs/>
                <w:i w:val="false"/>
                <w:iCs w:val="false"/>
                <w:color w:val="00000A"/>
                <w:sz w:val="20"/>
                <w:szCs w:val="20"/>
              </w:rPr>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ESPECIFICAÇÃO</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CAT/</w:t>
            </w:r>
          </w:p>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MAT</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UND MED</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QTD</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VALOR UNITÁRIO</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i w:val="false"/>
                <w:i w:val="false"/>
                <w:iCs w:val="false"/>
                <w:color w:val="00000A"/>
                <w:sz w:val="20"/>
                <w:szCs w:val="20"/>
              </w:rPr>
            </w:pPr>
            <w:r>
              <w:rPr>
                <w:rFonts w:cs="Arial" w:ascii="Arial" w:hAnsi="Arial"/>
                <w:b/>
                <w:bCs/>
                <w:i w:val="false"/>
                <w:iCs w:val="false"/>
                <w:color w:val="00000A"/>
                <w:sz w:val="20"/>
                <w:szCs w:val="20"/>
              </w:rPr>
              <w:t>VALOR TOTAL</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Filtro de ar, Tipo: WEGA, Referência: FAP9121</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bCs/>
                <w:i w:val="false"/>
                <w:iCs w:val="false"/>
                <w:color w:val="00000A"/>
                <w:sz w:val="20"/>
                <w:szCs w:val="20"/>
                <w:lang w:val="pt-BR" w:eastAsia="en-US" w:bidi="ar-SA"/>
              </w:rPr>
              <w:t>602327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R$ 32,15</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R$ 64,30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MAHLE, Referência: KL582</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455754</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R$ 22,26</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R$ 44,52</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03</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Bateria automotiva 60 à 65 AH, Sem prata, CCA: 400A à 440A, RC: 90 à 100 min, Tipo de Terminal: A, Positivo no lado direito, 18 à 24 meses de garantia</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240109</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03</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R$ 367,00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R$ 1.101,00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04</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Jogo de palhetas do limpador de pára-brisas, Tipo: BOSCH, Referência: 3397.010.410-HSG</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470767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Par</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06</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 xml:space="preserve"> </w:t>
            </w:r>
            <w:r>
              <w:rPr>
                <w:rFonts w:ascii="Arial" w:hAnsi="Arial"/>
                <w:b w:val="false"/>
                <w:bCs w:val="false"/>
                <w:i w:val="false"/>
                <w:iCs w:val="false"/>
                <w:color w:val="000000"/>
                <w:sz w:val="20"/>
                <w:szCs w:val="20"/>
                <w:shd w:fill="FFFFFF" w:val="clear"/>
              </w:rPr>
              <w:t>R$ 360,00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05</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WEGA, Modelo padrão, Referência: WOE912</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368025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R$ 26,14</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 xml:space="preserve"> </w:t>
            </w:r>
            <w:r>
              <w:rPr>
                <w:rFonts w:ascii="Arial" w:hAnsi="Arial"/>
                <w:b w:val="false"/>
                <w:bCs w:val="false"/>
                <w:i w:val="false"/>
                <w:iCs w:val="false"/>
                <w:color w:val="000000"/>
                <w:sz w:val="20"/>
                <w:szCs w:val="20"/>
                <w:shd w:fill="FFFFFF" w:val="clear"/>
              </w:rPr>
              <w:t>R$ 52,28</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06</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Válvula termostática, Tipo: WAHLER, Especificação: 411708.90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479285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R$ 241,51</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R$ 241,51</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07</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Sensor de temperatura do motor, Tipo: MTE THOMSON, Referência: LC5583241</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264642</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R$ 149,94</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R$ 149,94</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08</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do ar condicionado, Tipo: WEGA, Referência: AKX35293</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601374</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R$ 20,82</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R$ 41,64</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09</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Cabo de velas, Tipo: NGK, Referência: SCT67 + KR8B10D</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470159</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Jogo</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R$ 90,00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R$ 90,00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10</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Vela de ignição, Tipo: NGK, Referência: BKR7E</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359097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04</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R$ 35,00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R$ 140,00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11</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(RACOR), Tipo: PARKER, Modelo: R120LJ-10M-AQII, Referência: VW2RK127177A / CUMMINS FF5052</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460153</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R$ 45,00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R$ 90,00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12</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TECFIL, Referência: PSL909</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248639</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R$ 166,00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R$ 332,00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13</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FLEETGUARD, Modelo: Original, Referência: 2R0129620D</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R$ 133,85</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R$ 267,70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14</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Barra de direção, Tipo: DANA SPICER, Referência: 2W0422803J / SP794, Barra lateral 769,0 mm</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465728</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R$ 609,84</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R$ 609,84</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15</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Bateria 150 AH, Sem prata, CCA: 900A à 950A, RC: 280à290 min, Positivo no lado direito, Garantia acima de 13 meses</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390053</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R$ 820,00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R$ 820,00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16</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MAHLE, Modelo: LA144</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R$ 21,76</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R$ 43,52</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17</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MAHLE, Modelo: KL582, Referência: KL582</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455754</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R$ 22,26</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R$ 44,52</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18</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WEGA, Modelo: WOE912, Referência: WOE912</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368025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19</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do ar condicionado, Tipo: METAL LEVE, Referência: LX3355</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601374</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R$ 38,67</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R$ 77,34</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20</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Válvula termostática, Tipo: Original, Modelo: 55242321, Referência: 55242321</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479285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R$ 132,04</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R$ 132,04</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21</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Sensor de temperatura do motor, Modelo: 7085083, referência: 7085083</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264642</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R$ 77,89</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R$ 77,89</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22</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Cabos de vela, Tipo: NGK, Modelo: MPI Adventure Cargo 16v ETORQ, Referência: SCT67 Ignição</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470159</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Jogo</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R$ 90,00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R$ 90,00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23</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Velas de ignição, Tipo: NGK, Modelo: MPI Adventure Cargo Essence 2021, Referência: 130969</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359097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04</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R$ 14,00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R$ 56,00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24</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WEGA, Modelo: FAP9003, Referência: FAP9003</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R$ 29,90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bookmarkStart w:id="1" w:name="_GoBack"/>
            <w:bookmarkEnd w:id="1"/>
            <w:r>
              <w:rPr>
                <w:rFonts w:ascii="Arial" w:hAnsi="Arial"/>
                <w:b w:val="false"/>
                <w:bCs w:val="false"/>
                <w:i w:val="false"/>
                <w:iCs w:val="false"/>
                <w:color w:val="000000"/>
                <w:sz w:val="20"/>
                <w:szCs w:val="20"/>
                <w:shd w:fill="FFFFFF" w:val="clear"/>
              </w:rPr>
              <w:t>R$ 59,80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25</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MAHLE, Modelo: 2S659155AA, 5S659155AA, Referência: KL420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450170</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R$ 23,99</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R$ 47,98</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26</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WEGA, Modelo: NOVO, Referência: WO153 ou WO156</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449242</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R$ 24,90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R$ 49,80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27</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0"/>
                <w:sz w:val="20"/>
                <w:szCs w:val="20"/>
                <w:shd w:fill="FFFFFF" w:val="clear"/>
                <w:lang w:eastAsia="en-US" w:bidi="ar-SA"/>
              </w:rPr>
              <w:t>Comando de setas modelo tipo: BS6513335BA Ford</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466605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rPr>
            </w:pPr>
            <w:r>
              <w:rPr>
                <w:rFonts w:ascii="Arial" w:hAnsi="Arial"/>
                <w:b w:val="false"/>
                <w:bCs w:val="false"/>
                <w:i w:val="false"/>
                <w:iCs w:val="false"/>
                <w:color w:val="000000"/>
                <w:sz w:val="20"/>
                <w:szCs w:val="20"/>
                <w:shd w:fill="FFFFFF" w:val="clear"/>
              </w:rPr>
              <w:t>R$</w:t>
            </w:r>
            <w:r>
              <w:rPr>
                <w:rFonts w:ascii="Arial" w:hAnsi="Arial"/>
                <w:b w:val="false"/>
                <w:bCs w:val="false"/>
                <w:i w:val="false"/>
                <w:iCs w:val="false"/>
                <w:color w:val="00000A"/>
                <w:sz w:val="20"/>
                <w:szCs w:val="20"/>
                <w:highlight w:val="white"/>
              </w:rPr>
              <w:t xml:space="preserve"> 577,95</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rPr>
            </w:pPr>
            <w:r>
              <w:rPr>
                <w:rFonts w:ascii="Arial" w:hAnsi="Arial"/>
                <w:b w:val="false"/>
                <w:bCs w:val="false"/>
                <w:i w:val="false"/>
                <w:iCs w:val="false"/>
                <w:color w:val="000000"/>
                <w:sz w:val="20"/>
                <w:szCs w:val="20"/>
                <w:highlight w:val="white"/>
                <w:shd w:fill="FFFFFF" w:val="clear"/>
              </w:rPr>
              <w:t>R$</w:t>
            </w:r>
            <w:r>
              <w:rPr>
                <w:rFonts w:ascii="Arial" w:hAnsi="Arial"/>
                <w:b w:val="false"/>
                <w:bCs w:val="false"/>
                <w:i w:val="false"/>
                <w:iCs w:val="false"/>
                <w:color w:val="00000A"/>
                <w:sz w:val="20"/>
                <w:szCs w:val="20"/>
                <w:highlight w:val="white"/>
              </w:rPr>
              <w:t xml:space="preserve"> 577,95</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28</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Amortecedor dianteiro (par), Tipo: COFAP, Referência: GP30542 + GP30543</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427850</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R$ 840,00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R$ 1.680,00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29</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Coxim dos amortecedores dianteiros (par), Tipo: TRIAUTO, Referência2S613K099AC</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604493</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R$ 168,05</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R$ 336,10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30</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Batente dos amortecedores dianteiros (par), Tipo: AXIOS, Modelo: 0441648, Referência: 0441648</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397066</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R$ 215,20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R$ 430,40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31</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Válvula termostática, Tipo: COLUMBIA, Referência: 422100 / 422.100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479285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R$ 278,00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R$ 278,00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32</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Sensor de temperatura do motor, Tipo: FORD, Referência: XS6F12A648BA</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264642</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R$ 67,86</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R$ 67,86</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33</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Cabos de vela, Tipo: FORD, Referência: BH1A12280AA</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465732</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Jogo</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R$ 83,61</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R$ 83,61</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34</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Velas de ignição, Tipo: BOSCH, Modelo: 040851, Referência: F000KE0P45=LTR7A10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359097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04</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35</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Rolamento do alternador, Modelo: Land Rover Defender 90/110/130, 1989 a 2010/Discovery 1, Referência: LM603049/LM603011</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476685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R$ 127,85</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R$ 127,85</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36</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Correia do alternador, Tipo: DAYCO, Referência: 7PK1515</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463523</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R$ 214,80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R$ 429,60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37</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TOYOTA, Modelo: HILUX, Referência: ARS7065</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R$ 82,00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R$ 164,00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38</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TOYOTA, Modelo: HILUX, Referência: 233000D100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248639</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R$ 35,20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R$ 70,40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39</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Palhetas do limpador de pára-brisas, Tipo: TOYOTA, Modelo: HILUX, Referência: 8521453080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465715</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Jogo</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R$ 54,00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R$ 108,00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40</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Pára-brisa, Tipo: TOYOTA, Modelo: HILUX, Referência: 16160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256621</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R$ 709,80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R$ 709,80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41</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Correia do alternador, Tipo: AGRALE MASCARELLO, Referência: 7PK2060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475620</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04</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R$ 162,00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R$ 648,00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42</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combustivel, Tipo: FRAM, Modelo: AGRALE MASCARELLO, Referência: P10503</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457393</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R$ 39,00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R$ 78,00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43</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(RACOR), Tipo: WEGA, Modelo: carroceria VOLARE - Série W8, Referência: FCD2209</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460153</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R$ 62,52</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R$ 125,04</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44</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TECFIL, Modelo: MARCOPOLO VOLARE W8, Referência: 2053003</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R$ 80,00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R$ 160,00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45</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FLEETGUARD, Modelo: 2010PM-OR, Referência: FS20103</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460153</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R$ 159,90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R$ 319,80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46</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Bateria 100 à105 AH, Sem prata, CCA: 700A à 750A, RC: 150 a 180 min, Positivo no lado direito, 18 à 24 meses de garantia</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397967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R$ 779,00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R$ 779,00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47</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TECFIL, Modelo: MARCOPOLO VOLARE W8, Referência: PSL962</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486742</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R$ 38,00</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R$ 76,00</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48</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ar, Tipo: MANN, Modelo: C4312/1 MERCEDES BENZ (A00009037510000903751), Referência: C4312/1</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602327</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R$ 82,34</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R$ 164,68</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49</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combustível, Tipo: WEGA, Modelo: MERCEDES BENZ SPRNTER (2009 à 2019), Referência: LC5508681</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460152</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R$ 514,29</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R$ 1.028,58</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50</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i w:val="false"/>
                <w:iCs w:val="false"/>
                <w:color w:val="00000A"/>
                <w:sz w:val="20"/>
                <w:szCs w:val="20"/>
                <w:lang w:eastAsia="en-US" w:bidi="ar-SA"/>
              </w:rPr>
              <w:t>Filtro de óleo do motor, Tipo: MAHLE, Modelo: MERCEDES BENZ SPRINTER (2009 à 2019), Referência: OX1167D</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464810</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Unidade</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02</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R$ 40,61</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rPr>
            </w:pPr>
            <w:r>
              <w:rPr>
                <w:rFonts w:ascii="Arial" w:hAnsi="Arial"/>
                <w:b w:val="false"/>
                <w:bCs w:val="false"/>
                <w:i w:val="false"/>
                <w:iCs w:val="false"/>
                <w:color w:val="000000"/>
                <w:sz w:val="20"/>
                <w:szCs w:val="20"/>
                <w:shd w:fill="FFFFFF" w:val="clear"/>
              </w:rPr>
              <w:t>R$</w:t>
            </w:r>
            <w:r>
              <w:rPr>
                <w:rFonts w:ascii="Arial" w:hAnsi="Arial"/>
                <w:b w:val="false"/>
                <w:bCs w:val="false"/>
                <w:i w:val="false"/>
                <w:iCs w:val="false"/>
                <w:color w:val="00000A"/>
                <w:sz w:val="20"/>
                <w:szCs w:val="20"/>
                <w:highlight w:val="white"/>
              </w:rPr>
              <w:t>81,22</w:t>
            </w:r>
          </w:p>
        </w:tc>
      </w:tr>
      <w:tr>
        <w:trPr/>
        <w:tc>
          <w:tcPr>
            <w:tcW w:w="8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51</w:t>
            </w:r>
          </w:p>
        </w:tc>
        <w:tc>
          <w:tcPr>
            <w:tcW w:w="3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pPr>
            <w:r>
              <w:rPr>
                <w:rFonts w:cs="Times New Roman" w:ascii="Arial" w:hAnsi="Arial"/>
                <w:b w:val="false"/>
                <w:i w:val="false"/>
                <w:iCs w:val="false"/>
                <w:color w:val="00000A"/>
                <w:sz w:val="20"/>
                <w:szCs w:val="20"/>
                <w:lang w:eastAsia="en-US" w:bidi="ar-SA"/>
              </w:rPr>
              <w:t xml:space="preserve">Pastilha de freio (par), Tipo: APEX, Modelo: MERCEDES BENZ SPRINTER, Referência: </w:t>
            </w:r>
            <w:r>
              <w:rPr>
                <w:rStyle w:val="Andestablecolumnvalue"/>
                <w:rFonts w:cs="Times New Roman" w:ascii="Arial" w:hAnsi="Arial"/>
                <w:b w:val="false"/>
                <w:i w:val="false"/>
                <w:iCs w:val="false"/>
                <w:color w:val="00000A"/>
                <w:sz w:val="20"/>
                <w:szCs w:val="20"/>
                <w:lang w:eastAsia="en-US" w:bidi="ar-SA"/>
              </w:rPr>
              <w:t>APX.0044206920</w:t>
            </w:r>
          </w:p>
        </w:tc>
        <w:tc>
          <w:tcPr>
            <w:tcW w:w="101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Ttulo1"/>
              <w:widowControl w:val="false"/>
              <w:spacing w:lineRule="auto" w:line="360" w:before="0" w:after="0"/>
              <w:ind w:left="0" w:right="0" w:hanging="0"/>
              <w:jc w:val="both"/>
              <w:rPr>
                <w:rFonts w:ascii="Arial" w:hAnsi="Arial"/>
                <w:i w:val="false"/>
                <w:i w:val="false"/>
                <w:iCs w:val="false"/>
                <w:color w:val="00000A"/>
                <w:sz w:val="20"/>
                <w:szCs w:val="20"/>
                <w:lang w:eastAsia="en-US" w:bidi="ar-SA"/>
              </w:rPr>
            </w:pPr>
            <w:r>
              <w:rPr>
                <w:rFonts w:cs="Times New Roman" w:ascii="Arial" w:hAnsi="Arial"/>
                <w:b w:val="false"/>
                <w:bCs w:val="false"/>
                <w:i w:val="false"/>
                <w:iCs w:val="false"/>
                <w:color w:val="00000A"/>
                <w:sz w:val="20"/>
                <w:szCs w:val="20"/>
                <w:lang w:val="pt-BR" w:eastAsia="en-US" w:bidi="ar-SA"/>
              </w:rPr>
              <w:t>460230</w:t>
            </w:r>
          </w:p>
        </w:tc>
        <w:tc>
          <w:tcPr>
            <w:tcW w:w="113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Jogo</w:t>
            </w:r>
          </w:p>
        </w:tc>
        <w:tc>
          <w:tcPr>
            <w:tcW w:w="62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spacing w:lineRule="auto" w:line="360" w:before="0" w:after="0"/>
              <w:ind w:left="0" w:right="0" w:hanging="0"/>
              <w:jc w:val="both"/>
              <w:rPr>
                <w:rFonts w:ascii="Arial" w:hAnsi="Arial" w:eastAsia="Calibri"/>
                <w:i w:val="false"/>
                <w:i w:val="false"/>
                <w:iCs w:val="false"/>
                <w:color w:val="00000A"/>
                <w:sz w:val="20"/>
                <w:szCs w:val="20"/>
                <w:lang w:val="pt-BR" w:eastAsia="en-US" w:bidi="ar-SA"/>
              </w:rPr>
            </w:pPr>
            <w:r>
              <w:rPr>
                <w:rFonts w:eastAsia="Calibri" w:cs="Times New Roman" w:ascii="Arial" w:hAnsi="Arial"/>
                <w:i w:val="false"/>
                <w:iCs w:val="false"/>
                <w:color w:val="00000A"/>
                <w:sz w:val="20"/>
                <w:szCs w:val="20"/>
                <w:lang w:val="pt-BR" w:eastAsia="en-US" w:bidi="ar-SA"/>
              </w:rPr>
              <w:t>01</w:t>
            </w:r>
          </w:p>
        </w:tc>
        <w:tc>
          <w:tcPr>
            <w:tcW w:w="13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R$ 152,68</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b w:val="false"/>
                <w:b w:val="false"/>
                <w:bCs w:val="false"/>
                <w:i w:val="false"/>
                <w:i w:val="false"/>
                <w:iCs w:val="false"/>
                <w:color w:val="00000A"/>
                <w:sz w:val="20"/>
                <w:szCs w:val="20"/>
                <w:highlight w:val="white"/>
              </w:rPr>
            </w:pPr>
            <w:r>
              <w:rPr>
                <w:rFonts w:ascii="Arial" w:hAnsi="Arial"/>
                <w:b w:val="false"/>
                <w:bCs w:val="false"/>
                <w:i w:val="false"/>
                <w:iCs w:val="false"/>
                <w:color w:val="000000"/>
                <w:sz w:val="20"/>
                <w:szCs w:val="20"/>
                <w:shd w:fill="FFFFFF" w:val="clear"/>
              </w:rPr>
              <w:t>R$ 152,68</w:t>
            </w:r>
          </w:p>
        </w:tc>
      </w:tr>
      <w:tr>
        <w:trPr/>
        <w:tc>
          <w:tcPr>
            <w:tcW w:w="8004"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uppressAutoHyphens w:val="true"/>
              <w:spacing w:lineRule="auto" w:line="360" w:before="0" w:after="0"/>
              <w:ind w:left="0" w:right="0" w:hanging="0"/>
              <w:jc w:val="center"/>
              <w:rPr>
                <w:rFonts w:ascii="Arial" w:hAnsi="Arial"/>
                <w:sz w:val="24"/>
                <w:szCs w:val="24"/>
              </w:rPr>
            </w:pPr>
            <w:r>
              <w:rPr>
                <w:rFonts w:cs="Arial" w:ascii="Arial" w:hAnsi="Arial"/>
                <w:b/>
                <w:color w:val="000000"/>
                <w:sz w:val="20"/>
                <w:szCs w:val="20"/>
              </w:rPr>
              <w:t>VALOR TOTAL</w:t>
            </w:r>
          </w:p>
        </w:tc>
        <w:tc>
          <w:tcPr>
            <w:tcW w:w="12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spacing w:lineRule="auto" w:line="360" w:before="0" w:after="0"/>
              <w:ind w:left="0" w:right="0" w:hanging="0"/>
              <w:jc w:val="both"/>
              <w:rPr>
                <w:rFonts w:ascii="Arial" w:hAnsi="Arial"/>
              </w:rPr>
            </w:pPr>
            <w:r>
              <w:rPr>
                <w:rFonts w:cs="Times New Roman" w:ascii="Arial" w:hAnsi="Arial"/>
                <w:b w:val="false"/>
                <w:bCs w:val="false"/>
                <w:i w:val="false"/>
                <w:iCs w:val="false"/>
                <w:color w:val="000000"/>
                <w:sz w:val="20"/>
                <w:szCs w:val="20"/>
                <w:shd w:fill="FFFFFF" w:val="clear"/>
              </w:rPr>
              <w:t>R$ 13.900,19</w:t>
            </w:r>
          </w:p>
        </w:tc>
      </w:tr>
    </w:tbl>
    <w:p>
      <w:pPr>
        <w:pStyle w:val="ListParagraph"/>
        <w:numPr>
          <w:ilvl w:val="0"/>
          <w:numId w:val="0"/>
        </w:numPr>
        <w:spacing w:lineRule="auto" w:line="360" w:before="0" w:after="0"/>
        <w:ind w:left="0" w:right="0" w:hanging="0"/>
        <w:jc w:val="both"/>
        <w:rPr>
          <w:rFonts w:ascii="Arial" w:hAnsi="Arial" w:cs="Arial"/>
          <w:iCs/>
          <w:sz w:val="24"/>
          <w:szCs w:val="24"/>
        </w:rPr>
      </w:pPr>
      <w:r>
        <w:rPr>
          <w:rFonts w:cs="Arial" w:ascii="Arial" w:hAnsi="Arial"/>
          <w:iCs/>
          <w:sz w:val="24"/>
          <w:szCs w:val="24"/>
        </w:rPr>
      </w:r>
    </w:p>
    <w:p>
      <w:pPr>
        <w:pStyle w:val="ListParagraph"/>
        <w:numPr>
          <w:ilvl w:val="1"/>
          <w:numId w:val="2"/>
        </w:numPr>
        <w:spacing w:lineRule="auto" w:line="360" w:before="0" w:after="0"/>
        <w:ind w:left="0" w:right="0" w:hanging="0"/>
        <w:jc w:val="both"/>
        <w:rPr>
          <w:rFonts w:ascii="Arial" w:hAnsi="Arial"/>
          <w:sz w:val="24"/>
          <w:szCs w:val="24"/>
        </w:rPr>
      </w:pPr>
      <w:r>
        <w:rPr>
          <w:rFonts w:cs="Arial" w:ascii="Arial" w:hAnsi="Arial"/>
          <w:iCs/>
          <w:sz w:val="24"/>
          <w:szCs w:val="24"/>
        </w:rPr>
        <w:t>O objeto desta contratação não se enquadra como sendo de bem de luxo, conforme Decreto nº 10.818, de 2021.</w:t>
      </w:r>
    </w:p>
    <w:p>
      <w:pPr>
        <w:pStyle w:val="ListParagraph"/>
        <w:numPr>
          <w:ilvl w:val="1"/>
          <w:numId w:val="2"/>
        </w:numPr>
        <w:spacing w:lineRule="auto" w:line="360" w:before="0" w:after="0"/>
        <w:ind w:left="0" w:right="0" w:hanging="0"/>
        <w:jc w:val="both"/>
        <w:rPr>
          <w:rFonts w:ascii="Arial" w:hAnsi="Arial"/>
          <w:sz w:val="24"/>
          <w:szCs w:val="24"/>
        </w:rPr>
      </w:pPr>
      <w:r>
        <w:rPr>
          <w:rFonts w:cs="Arial" w:ascii="Arial" w:hAnsi="Arial"/>
          <w:bCs/>
          <w:i w:val="false"/>
          <w:iCs w:val="false"/>
          <w:color w:val="00000A"/>
          <w:sz w:val="24"/>
          <w:szCs w:val="24"/>
        </w:rPr>
        <w:t>O prazo de vigência da contratação é de 70 (setenta) dias corridos, contados do recebimento da nota de empenho pelo fornecedor, na forma do artigo 105 da Lei n° 14.133/2021.</w:t>
      </w:r>
    </w:p>
    <w:p>
      <w:pPr>
        <w:pStyle w:val="ListParagraph"/>
        <w:numPr>
          <w:ilvl w:val="1"/>
          <w:numId w:val="2"/>
        </w:numPr>
        <w:spacing w:lineRule="auto" w:line="360" w:before="0" w:after="0"/>
        <w:ind w:left="0" w:right="0" w:hanging="0"/>
        <w:jc w:val="both"/>
        <w:rPr>
          <w:rFonts w:ascii="Arial" w:hAnsi="Arial"/>
          <w:sz w:val="24"/>
          <w:szCs w:val="24"/>
        </w:rPr>
      </w:pPr>
      <w:r>
        <w:rPr>
          <w:rFonts w:cs="Arial" w:ascii="Arial" w:hAnsi="Arial"/>
          <w:i w:val="false"/>
          <w:iCs w:val="false"/>
          <w:color w:val="00000A"/>
          <w:sz w:val="24"/>
          <w:szCs w:val="24"/>
        </w:rPr>
        <w:t>O custo estimado total da contratação é de R$</w:t>
      </w:r>
      <w:r>
        <w:rPr>
          <w:rFonts w:cs="Times New Roman" w:ascii="Arial" w:hAnsi="Arial"/>
          <w:b w:val="false"/>
          <w:bCs w:val="false"/>
          <w:i w:val="false"/>
          <w:iCs w:val="false"/>
          <w:color w:val="000000"/>
          <w:sz w:val="24"/>
          <w:szCs w:val="24"/>
          <w:highlight w:val="white"/>
          <w:shd w:fill="FFFFFF" w:val="clear"/>
        </w:rPr>
        <w:t xml:space="preserve"> 13.900,19 </w:t>
      </w:r>
      <w:r>
        <w:rPr>
          <w:rFonts w:cs="Times New Roman" w:ascii="Arial" w:hAnsi="Arial"/>
          <w:b w:val="false"/>
          <w:bCs w:val="false"/>
          <w:i w:val="false"/>
          <w:iCs w:val="false"/>
          <w:color w:val="000000"/>
          <w:sz w:val="24"/>
          <w:szCs w:val="24"/>
          <w:shd w:fill="FFFFFF" w:val="clear"/>
        </w:rPr>
        <w:t>(treze mil, novecentos reais e dezenove centavos</w:t>
      </w:r>
      <w:r>
        <w:rPr>
          <w:rFonts w:cs="Arial" w:ascii="Arial" w:hAnsi="Arial"/>
          <w:i w:val="false"/>
          <w:iCs w:val="false"/>
          <w:color w:val="00000A"/>
          <w:sz w:val="24"/>
          <w:szCs w:val="24"/>
        </w:rPr>
        <w:t>), conforme custos unitários apostos na tabela acima.</w:t>
      </w:r>
    </w:p>
    <w:p>
      <w:pPr>
        <w:pStyle w:val="Nivel1"/>
        <w:numPr>
          <w:ilvl w:val="0"/>
          <w:numId w:val="1"/>
        </w:numPr>
        <w:spacing w:lineRule="auto" w:line="360" w:before="0" w:after="0"/>
        <w:ind w:left="0" w:right="0" w:hanging="0"/>
        <w:rPr>
          <w:rFonts w:ascii="Arial" w:hAnsi="Arial"/>
        </w:rPr>
      </w:pPr>
      <w:r>
        <w:rPr>
          <w:bCs/>
          <w:sz w:val="24"/>
          <w:szCs w:val="24"/>
        </w:rPr>
        <w:t xml:space="preserve">FUNDAMENTAÇÃO E DESCRIÇÃO DA NECESSIDADE DA CONTRATAÇÃO (art. 6º, inciso XXIII, alínea ‘b’, da Lei nº 14.133/2021). </w:t>
      </w:r>
    </w:p>
    <w:p>
      <w:pPr>
        <w:pStyle w:val="Nivel1"/>
        <w:numPr>
          <w:ilvl w:val="1"/>
          <w:numId w:val="1"/>
        </w:numPr>
        <w:spacing w:lineRule="auto" w:line="360" w:before="0" w:after="0"/>
        <w:ind w:left="0" w:right="0" w:hanging="0"/>
        <w:rPr>
          <w:b w:val="false"/>
          <w:b w:val="false"/>
          <w:bCs w:val="false"/>
        </w:rPr>
      </w:pPr>
      <w:r>
        <w:rPr>
          <w:rFonts w:cs="Arial"/>
          <w:b w:val="false"/>
          <w:bCs w:val="false"/>
          <w:sz w:val="24"/>
          <w:szCs w:val="24"/>
        </w:rPr>
        <w:t>A Fundamentação da Contratação e de seus quantitativos encontra-se pormenorizada em Tópico específico dos Estudos Técnicos Preliminares, apêndice deste Termo de Referência.</w:t>
      </w:r>
    </w:p>
    <w:p>
      <w:pPr>
        <w:pStyle w:val="Nivel1"/>
        <w:numPr>
          <w:ilvl w:val="0"/>
          <w:numId w:val="0"/>
        </w:numPr>
        <w:spacing w:lineRule="auto" w:line="360" w:before="0" w:after="0"/>
        <w:ind w:left="0" w:right="0" w:hanging="0"/>
        <w:rPr>
          <w:rFonts w:ascii="Arial" w:hAnsi="Arial"/>
          <w:bCs/>
          <w:sz w:val="24"/>
          <w:szCs w:val="24"/>
        </w:rPr>
      </w:pPr>
      <w:r>
        <w:rPr>
          <w:bCs/>
          <w:sz w:val="24"/>
          <w:szCs w:val="24"/>
        </w:rPr>
      </w:r>
    </w:p>
    <w:p>
      <w:pPr>
        <w:pStyle w:val="Nivel1"/>
        <w:numPr>
          <w:ilvl w:val="0"/>
          <w:numId w:val="1"/>
        </w:numPr>
        <w:spacing w:lineRule="auto" w:line="360" w:before="0" w:after="0"/>
        <w:ind w:left="0" w:right="0" w:hanging="0"/>
        <w:rPr>
          <w:rFonts w:ascii="Arial" w:hAnsi="Arial"/>
          <w:sz w:val="24"/>
          <w:szCs w:val="24"/>
        </w:rPr>
      </w:pPr>
      <w:r>
        <w:rPr>
          <w:bCs/>
          <w:sz w:val="24"/>
          <w:szCs w:val="24"/>
        </w:rPr>
        <w:t>DESCRIÇÃO DA SOLUÇÃO COMO UM TODO CONSIDERADO O CICLO DE VIDA DO OBJETO E ESPECIFICAÇÃO DO PRODUTO (art. 6º, inciso XXIII, alínea ‘c’, e art. 40, §1º, inciso I, da Lei nº 14.133/2021)</w:t>
      </w:r>
    </w:p>
    <w:p>
      <w:pPr>
        <w:pStyle w:val="Nivel1"/>
        <w:numPr>
          <w:ilvl w:val="1"/>
          <w:numId w:val="1"/>
        </w:numPr>
        <w:spacing w:lineRule="auto" w:line="360" w:before="0" w:after="0"/>
        <w:ind w:left="0" w:right="0" w:hanging="0"/>
        <w:rPr>
          <w:rFonts w:ascii="Arial" w:hAnsi="Arial"/>
          <w:b w:val="false"/>
          <w:b w:val="false"/>
          <w:bCs w:val="false"/>
          <w:sz w:val="24"/>
          <w:szCs w:val="24"/>
        </w:rPr>
      </w:pPr>
      <w:r>
        <w:rPr>
          <w:rFonts w:cs="Arial"/>
          <w:b w:val="false"/>
          <w:bCs w:val="false"/>
          <w:i w:val="false"/>
          <w:iCs w:val="false"/>
          <w:color w:val="00000A"/>
          <w:sz w:val="24"/>
          <w:szCs w:val="24"/>
        </w:rPr>
        <w:t>A descrição da solução como um todo, encontra-se pormenorizada em tópico específico dos Estudos Técnicos Preliminares, apêndice deste Termo de Referência.</w:t>
      </w:r>
    </w:p>
    <w:p>
      <w:pPr>
        <w:pStyle w:val="Nivel1"/>
        <w:numPr>
          <w:ilvl w:val="0"/>
          <w:numId w:val="0"/>
        </w:numPr>
        <w:spacing w:lineRule="auto" w:line="360" w:before="0" w:after="0"/>
        <w:ind w:left="0" w:right="0" w:hanging="0"/>
        <w:rPr>
          <w:rFonts w:ascii="Arial" w:hAnsi="Arial"/>
          <w:sz w:val="24"/>
          <w:szCs w:val="24"/>
        </w:rPr>
      </w:pPr>
      <w:r>
        <w:rPr>
          <w:sz w:val="24"/>
          <w:szCs w:val="24"/>
        </w:rPr>
      </w:r>
    </w:p>
    <w:p>
      <w:pPr>
        <w:pStyle w:val="Nivel1"/>
        <w:numPr>
          <w:ilvl w:val="0"/>
          <w:numId w:val="1"/>
        </w:numPr>
        <w:spacing w:lineRule="auto" w:line="360" w:before="0" w:after="0"/>
        <w:ind w:left="0" w:right="0" w:hanging="0"/>
        <w:rPr>
          <w:rFonts w:ascii="Arial" w:hAnsi="Arial"/>
          <w:sz w:val="24"/>
          <w:szCs w:val="24"/>
        </w:rPr>
      </w:pPr>
      <w:r>
        <w:rPr>
          <w:bCs/>
          <w:sz w:val="24"/>
          <w:szCs w:val="24"/>
        </w:rPr>
        <w:t>REQUISITOS DA CONTRATAÇÃO (art. 6º, XXIII, alínea ‘d’, da Lei nº 14.133/21</w:t>
      </w:r>
    </w:p>
    <w:p>
      <w:pPr>
        <w:pStyle w:val="Nivel1"/>
        <w:numPr>
          <w:ilvl w:val="1"/>
          <w:numId w:val="1"/>
        </w:numPr>
        <w:spacing w:lineRule="auto" w:line="360" w:before="0" w:after="0"/>
        <w:ind w:left="0" w:right="0" w:hanging="0"/>
        <w:rPr>
          <w:rFonts w:ascii="Arial" w:hAnsi="Arial"/>
          <w:b w:val="false"/>
          <w:b w:val="false"/>
          <w:bCs w:val="false"/>
          <w:sz w:val="24"/>
          <w:szCs w:val="24"/>
        </w:rPr>
      </w:pPr>
      <w:r>
        <w:rPr>
          <w:rFonts w:cs="Arial"/>
          <w:b w:val="false"/>
          <w:bCs w:val="false"/>
          <w:sz w:val="24"/>
          <w:szCs w:val="24"/>
        </w:rPr>
        <w:t>A contratação deverá observar os seguintes requisitos:</w:t>
      </w:r>
    </w:p>
    <w:p>
      <w:pPr>
        <w:pStyle w:val="ListParagraph"/>
        <w:numPr>
          <w:ilvl w:val="2"/>
          <w:numId w:val="1"/>
        </w:numPr>
        <w:spacing w:lineRule="auto" w:line="360" w:before="0" w:after="0"/>
        <w:ind w:left="0" w:right="0" w:hanging="0"/>
        <w:jc w:val="both"/>
        <w:rPr>
          <w:rFonts w:ascii="Arial" w:hAnsi="Arial"/>
          <w:sz w:val="24"/>
          <w:szCs w:val="24"/>
        </w:rPr>
      </w:pPr>
      <w:r>
        <w:rPr>
          <w:rFonts w:cs="Arial" w:ascii="Arial" w:hAnsi="Arial"/>
          <w:i w:val="false"/>
          <w:iCs w:val="false"/>
          <w:color w:val="00000A"/>
          <w:sz w:val="24"/>
          <w:szCs w:val="24"/>
        </w:rPr>
        <w:t xml:space="preserve"> </w:t>
      </w:r>
      <w:r>
        <w:rPr>
          <w:rFonts w:cs="Arial" w:ascii="Arial" w:hAnsi="Arial"/>
          <w:i w:val="false"/>
          <w:iCs w:val="false"/>
          <w:color w:val="00000A"/>
          <w:sz w:val="24"/>
          <w:szCs w:val="24"/>
        </w:rPr>
        <w:t>Sustentabilidade:</w:t>
      </w:r>
    </w:p>
    <w:p>
      <w:pPr>
        <w:pStyle w:val="ListParagraph"/>
        <w:numPr>
          <w:ilvl w:val="3"/>
          <w:numId w:val="1"/>
        </w:numPr>
        <w:shd w:val="clear" w:color="auto" w:fill="FFFFFF"/>
        <w:spacing w:lineRule="auto" w:line="360" w:before="0" w:after="0"/>
        <w:ind w:left="0" w:right="0" w:hanging="0"/>
        <w:jc w:val="both"/>
        <w:rPr>
          <w:rFonts w:ascii="Arial" w:hAnsi="Arial"/>
          <w:sz w:val="24"/>
          <w:szCs w:val="24"/>
        </w:rPr>
      </w:pPr>
      <w:r>
        <w:rPr>
          <w:rFonts w:cs="Arial" w:ascii="Arial" w:hAnsi="Arial"/>
          <w:i w:val="false"/>
          <w:iCs w:val="false"/>
          <w:color w:val="00000A"/>
          <w:sz w:val="24"/>
          <w:szCs w:val="24"/>
        </w:rPr>
        <w:t>Além dos critérios de sustentabilidade eventualmente inseridos na descrição do objeto, devem ser atendidos os seguintes requisitos, que se baseiam no Guia Nacional de Contratações Sustentáveis:</w:t>
      </w:r>
    </w:p>
    <w:p>
      <w:pPr>
        <w:pStyle w:val="ListParagraph"/>
        <w:numPr>
          <w:ilvl w:val="4"/>
          <w:numId w:val="1"/>
        </w:numPr>
        <w:shd w:val="clear" w:color="auto" w:fill="FFFFFF"/>
        <w:spacing w:lineRule="auto" w:line="360" w:before="0" w:after="0"/>
        <w:ind w:left="0" w:right="0" w:hanging="0"/>
        <w:jc w:val="both"/>
        <w:rPr>
          <w:rFonts w:ascii="Arial" w:hAnsi="Arial"/>
          <w:sz w:val="24"/>
          <w:szCs w:val="24"/>
        </w:rPr>
      </w:pPr>
      <w:r>
        <w:rPr>
          <w:rFonts w:cs="Arial" w:ascii="Arial" w:hAnsi="Arial"/>
          <w:i w:val="false"/>
          <w:iCs w:val="false"/>
          <w:color w:val="00000A"/>
          <w:sz w:val="24"/>
          <w:szCs w:val="24"/>
        </w:rPr>
        <w:t>Bens constituídos, no todo ou em parte, por material reciclado, atóxico, biodegradável, conforme ABNT NBR – 15448-1 e 15448-2;</w:t>
      </w:r>
    </w:p>
    <w:p>
      <w:pPr>
        <w:pStyle w:val="ListParagraph"/>
        <w:numPr>
          <w:ilvl w:val="4"/>
          <w:numId w:val="1"/>
        </w:numPr>
        <w:shd w:val="clear" w:color="auto" w:fill="FFFFFF"/>
        <w:spacing w:lineRule="auto" w:line="360" w:before="0" w:after="0"/>
        <w:ind w:left="0" w:right="0" w:hanging="0"/>
        <w:jc w:val="both"/>
        <w:rPr>
          <w:rFonts w:ascii="Arial" w:hAnsi="Arial"/>
          <w:sz w:val="24"/>
          <w:szCs w:val="24"/>
        </w:rPr>
      </w:pPr>
      <w:r>
        <w:rPr>
          <w:rFonts w:cs="Arial" w:ascii="Arial" w:hAnsi="Arial"/>
          <w:i w:val="false"/>
          <w:iCs w:val="false"/>
          <w:color w:val="00000A"/>
          <w:sz w:val="24"/>
          <w:szCs w:val="24"/>
        </w:rPr>
        <w:t>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ListParagraph"/>
        <w:numPr>
          <w:ilvl w:val="4"/>
          <w:numId w:val="1"/>
        </w:numPr>
        <w:shd w:val="clear" w:color="auto" w:fill="FFFFFF"/>
        <w:spacing w:lineRule="auto" w:line="360" w:before="0" w:after="0"/>
        <w:ind w:left="0" w:right="0" w:hanging="0"/>
        <w:jc w:val="both"/>
        <w:rPr>
          <w:rFonts w:ascii="Arial" w:hAnsi="Arial"/>
          <w:sz w:val="24"/>
          <w:szCs w:val="24"/>
        </w:rPr>
      </w:pPr>
      <w:r>
        <w:rPr>
          <w:rFonts w:cs="Arial" w:ascii="Arial" w:hAnsi="Arial"/>
          <w:i w:val="false"/>
          <w:iCs w:val="false"/>
          <w:color w:val="00000A"/>
          <w:sz w:val="24"/>
          <w:szCs w:val="24"/>
        </w:rPr>
        <w:t>Que os bens devam ser, preferencialmente, acondicionados em embalagem individual adequada, com o menor volume possível, que utilize materiais recicláveis, de forma a garantir a máxima proteção durante o transporte e o armazenamento; e</w:t>
      </w:r>
    </w:p>
    <w:p>
      <w:pPr>
        <w:pStyle w:val="ListParagraph"/>
        <w:numPr>
          <w:ilvl w:val="4"/>
          <w:numId w:val="1"/>
        </w:numPr>
        <w:shd w:val="clear" w:color="auto" w:fill="FFFFFF"/>
        <w:spacing w:lineRule="auto" w:line="360" w:before="0" w:after="0"/>
        <w:ind w:left="0" w:right="0" w:hanging="0"/>
        <w:jc w:val="both"/>
        <w:rPr>
          <w:rFonts w:ascii="Arial" w:hAnsi="Arial"/>
          <w:sz w:val="24"/>
          <w:szCs w:val="24"/>
        </w:rPr>
      </w:pPr>
      <w:r>
        <w:rPr>
          <w:rFonts w:cs="Arial" w:ascii="Arial" w:hAnsi="Arial"/>
          <w:i w:val="false"/>
          <w:iCs w:val="false"/>
          <w:color w:val="00000A"/>
          <w:sz w:val="24"/>
          <w:szCs w:val="24"/>
        </w:rPr>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r>
        <w:rPr>
          <w:rFonts w:eastAsia="MyriadPro-Regular" w:cs="Arial" w:ascii="Arial" w:hAnsi="Arial"/>
          <w:bCs/>
          <w:i w:val="false"/>
          <w:iCs w:val="false"/>
          <w:color w:val="00000A"/>
          <w:sz w:val="24"/>
          <w:szCs w:val="24"/>
        </w:rPr>
        <w:t>.</w:t>
      </w:r>
    </w:p>
    <w:p>
      <w:pPr>
        <w:pStyle w:val="ListParagraph"/>
        <w:numPr>
          <w:ilvl w:val="1"/>
          <w:numId w:val="1"/>
        </w:numPr>
        <w:spacing w:lineRule="auto" w:line="360" w:before="0" w:after="0"/>
        <w:ind w:left="0" w:right="0" w:hanging="0"/>
        <w:jc w:val="both"/>
        <w:rPr>
          <w:rFonts w:ascii="Arial" w:hAnsi="Arial"/>
        </w:rPr>
      </w:pPr>
      <w:r>
        <w:rPr>
          <w:rFonts w:cs="Arial" w:ascii="Arial" w:hAnsi="Arial"/>
          <w:i w:val="false"/>
          <w:iCs w:val="false"/>
          <w:color w:val="00000A"/>
          <w:sz w:val="24"/>
          <w:szCs w:val="24"/>
        </w:rPr>
        <w:t>Não será admitida a subcontratação do objeto contratual.</w:t>
      </w:r>
    </w:p>
    <w:p>
      <w:pPr>
        <w:pStyle w:val="ListParagraph"/>
        <w:numPr>
          <w:ilvl w:val="1"/>
          <w:numId w:val="1"/>
        </w:numPr>
        <w:spacing w:lineRule="auto" w:line="360" w:before="0" w:after="0"/>
        <w:ind w:left="0" w:right="0" w:hanging="0"/>
        <w:jc w:val="both"/>
        <w:rPr>
          <w:rFonts w:ascii="Arial" w:hAnsi="Arial"/>
        </w:rPr>
      </w:pPr>
      <w:r>
        <w:rPr>
          <w:rFonts w:cs="Arial" w:ascii="Arial" w:hAnsi="Arial"/>
          <w:i w:val="false"/>
          <w:iCs w:val="false"/>
          <w:color w:val="00000A"/>
          <w:sz w:val="24"/>
          <w:szCs w:val="24"/>
        </w:rPr>
        <w:t>Não haverá exigência da garantia da contratação dos arts. 96 e seguintes da Lei nº 14.133/21, pelas razões abaixo justificadas:</w:t>
      </w:r>
    </w:p>
    <w:p>
      <w:pPr>
        <w:pStyle w:val="ListParagraph"/>
        <w:numPr>
          <w:ilvl w:val="2"/>
          <w:numId w:val="1"/>
        </w:numPr>
        <w:spacing w:lineRule="auto" w:line="360" w:before="0" w:after="0"/>
        <w:ind w:left="0" w:right="0" w:hanging="0"/>
        <w:jc w:val="both"/>
        <w:rPr>
          <w:rFonts w:ascii="Arial" w:hAnsi="Arial"/>
          <w:sz w:val="24"/>
          <w:szCs w:val="24"/>
        </w:rPr>
      </w:pPr>
      <w:r>
        <w:rPr>
          <w:rFonts w:ascii="Arial" w:hAnsi="Arial"/>
          <w:b w:val="false"/>
          <w:bCs w:val="false"/>
          <w:i w:val="false"/>
          <w:iCs w:val="false"/>
          <w:sz w:val="24"/>
          <w:szCs w:val="24"/>
          <w:u w:val="none"/>
        </w:rPr>
        <w:t>Aquisição de pequeno valor e de entrega imediata.</w:t>
      </w:r>
    </w:p>
    <w:p>
      <w:pPr>
        <w:pStyle w:val="ListParagraph"/>
        <w:numPr>
          <w:ilvl w:val="0"/>
          <w:numId w:val="0"/>
        </w:numPr>
        <w:spacing w:lineRule="auto" w:line="360" w:before="0" w:after="0"/>
        <w:ind w:left="0" w:right="0" w:hanging="0"/>
        <w:jc w:val="both"/>
        <w:rPr>
          <w:rFonts w:ascii="Arial" w:hAnsi="Arial"/>
          <w:sz w:val="24"/>
          <w:szCs w:val="24"/>
        </w:rPr>
      </w:pPr>
      <w:r>
        <w:rPr>
          <w:rFonts w:ascii="Arial" w:hAnsi="Arial"/>
          <w:b w:val="false"/>
          <w:bCs w:val="false"/>
          <w:i w:val="false"/>
          <w:iCs w:val="false"/>
          <w:sz w:val="24"/>
          <w:szCs w:val="24"/>
          <w:u w:val="none"/>
        </w:rPr>
        <w:t xml:space="preserve"> </w:t>
      </w:r>
    </w:p>
    <w:p>
      <w:pPr>
        <w:pStyle w:val="Nivel1"/>
        <w:numPr>
          <w:ilvl w:val="0"/>
          <w:numId w:val="1"/>
        </w:numPr>
        <w:spacing w:lineRule="auto" w:line="360" w:before="0" w:after="0"/>
        <w:ind w:left="0" w:right="0" w:hanging="0"/>
        <w:rPr>
          <w:rFonts w:ascii="Arial" w:hAnsi="Arial"/>
          <w:sz w:val="24"/>
          <w:szCs w:val="24"/>
        </w:rPr>
      </w:pPr>
      <w:r>
        <w:rPr>
          <w:sz w:val="24"/>
          <w:szCs w:val="24"/>
        </w:rPr>
        <w:t>MODELO DE EXECUÇÃO CONTRATUAL (arts. 6º, XXIII, alínea “e” e 40, §1º, inciso II, da Lei nº 14.133/2021).</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i w:val="false"/>
          <w:iCs w:val="false"/>
          <w:color w:val="00000A"/>
          <w:sz w:val="24"/>
          <w:szCs w:val="24"/>
        </w:rPr>
        <w:t xml:space="preserve">O prazo de entrega dos bens é de 30 dias corridos, contados do recebimento da nota de empenho pelo fornecedor, em remessa única. </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i w:val="false"/>
          <w:iCs w:val="false"/>
          <w:color w:val="00000A"/>
          <w:sz w:val="24"/>
          <w:szCs w:val="24"/>
        </w:rPr>
        <w:t xml:space="preserve">Os bens deverão ser entregues no seguinte endereço: </w:t>
      </w:r>
      <w:r>
        <w:rPr>
          <w:b w:val="false"/>
          <w:bCs w:val="false"/>
          <w:i w:val="false"/>
          <w:iCs w:val="false"/>
          <w:caps w:val="false"/>
          <w:smallCaps w:val="false"/>
          <w:color w:val="00000A"/>
          <w:spacing w:val="0"/>
          <w:sz w:val="24"/>
          <w:szCs w:val="24"/>
        </w:rPr>
        <w:t>Av. Gen. Benedito da Silveira, 701 - Vila Militar, Rio de Janeiro - RJ, 21615-000</w:t>
      </w:r>
      <w:r>
        <w:rPr>
          <w:b w:val="false"/>
          <w:bCs w:val="false"/>
          <w:i w:val="false"/>
          <w:iCs w:val="false"/>
          <w:color w:val="00000A"/>
          <w:sz w:val="24"/>
          <w:szCs w:val="24"/>
        </w:rPr>
        <w:t xml:space="preserve"> </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color w:val="00000A"/>
          <w:sz w:val="24"/>
          <w:szCs w:val="24"/>
        </w:rPr>
        <w:t>Os bens serão recebidos provisoriamente, de forma sumária, no prazo de 5 (cinco)</w:t>
      </w:r>
      <w:r>
        <w:rPr>
          <w:b w:val="false"/>
          <w:bCs w:val="false"/>
          <w:color w:val="FF0000"/>
          <w:sz w:val="24"/>
          <w:szCs w:val="24"/>
        </w:rPr>
        <w:t xml:space="preserve"> </w:t>
      </w:r>
      <w:r>
        <w:rPr>
          <w:b w:val="false"/>
          <w:bCs w:val="false"/>
          <w:color w:val="00000A"/>
          <w:sz w:val="24"/>
          <w:szCs w:val="24"/>
        </w:rPr>
        <w:t>dias, pelo(a) responsável pelo acompanhamento e fiscalização do contrato, para efeito de posterior verificação de sua conformidade com as especificações constantes neste Termo de Referência e na proposta.</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color w:val="00000A"/>
          <w:sz w:val="24"/>
          <w:szCs w:val="24"/>
        </w:rPr>
        <w:t>Os bens poderão ser rejeitados, no todo ou em parte, quando em desacordo com as especificações constantes neste Termo de Referência e na proposta, devendo ser substituídos no prazo de 5 (cinco)</w:t>
      </w:r>
      <w:r>
        <w:rPr>
          <w:b w:val="false"/>
          <w:bCs w:val="false"/>
          <w:color w:val="FF0000"/>
          <w:sz w:val="24"/>
          <w:szCs w:val="24"/>
        </w:rPr>
        <w:t xml:space="preserve"> </w:t>
      </w:r>
      <w:r>
        <w:rPr>
          <w:b w:val="false"/>
          <w:bCs w:val="false"/>
          <w:color w:val="00000A"/>
          <w:sz w:val="24"/>
          <w:szCs w:val="24"/>
        </w:rPr>
        <w:t>dias, a contar da notificação da contratada, às suas custas, sem prejuízo da aplicação das penalidades.</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color w:val="00000A"/>
          <w:sz w:val="24"/>
          <w:szCs w:val="24"/>
        </w:rPr>
        <w:t>Os bens serão recebidos definitivamente no prazo de 5 (cinco) dias, contados do recebimento provisório, após a verificação da qualidade e quantidade do material e consequente aceitação mediante termo detalhado.</w:t>
      </w:r>
    </w:p>
    <w:p>
      <w:pPr>
        <w:pStyle w:val="Nivel1"/>
        <w:numPr>
          <w:ilvl w:val="2"/>
          <w:numId w:val="1"/>
        </w:numPr>
        <w:spacing w:lineRule="auto" w:line="360" w:before="0" w:after="0"/>
        <w:ind w:left="0" w:right="0" w:hanging="0"/>
        <w:rPr>
          <w:rFonts w:ascii="Arial" w:hAnsi="Arial"/>
          <w:b w:val="false"/>
          <w:b w:val="false"/>
          <w:bCs w:val="false"/>
          <w:sz w:val="24"/>
          <w:szCs w:val="24"/>
        </w:rPr>
      </w:pPr>
      <w:r>
        <w:rPr>
          <w:b w:val="false"/>
          <w:bCs w:val="false"/>
          <w:color w:val="00000A"/>
          <w:sz w:val="24"/>
          <w:szCs w:val="24"/>
        </w:rPr>
        <w:t>Na hipótese de a verificação a que se refere o subitem anterior não ser procedida dentro do prazo fixado, reputar-se-á como realizada, consumando-se o recebimento definitivo no dia do esgotamento do prazo.</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color w:val="00000A"/>
          <w:sz w:val="24"/>
          <w:szCs w:val="24"/>
        </w:rPr>
        <w:t>O recebimento provisório ou definitivo não excluirá a responsabilidade civil pela solidez e pela segurança do serviço nem a responsabilidade ético-profissional pela perfeita execução do contrato.</w:t>
      </w:r>
    </w:p>
    <w:p>
      <w:pPr>
        <w:pStyle w:val="Nivel2"/>
        <w:numPr>
          <w:ilvl w:val="0"/>
          <w:numId w:val="0"/>
        </w:numPr>
        <w:spacing w:lineRule="auto" w:line="360" w:before="0" w:after="0"/>
        <w:ind w:left="0" w:right="0" w:hanging="0"/>
        <w:rPr>
          <w:rFonts w:ascii="Arial" w:hAnsi="Arial"/>
          <w:bCs/>
          <w:color w:val="00000A"/>
          <w:sz w:val="24"/>
          <w:szCs w:val="24"/>
        </w:rPr>
      </w:pPr>
      <w:r>
        <w:rPr>
          <w:bCs/>
          <w:color w:val="00000A"/>
          <w:sz w:val="24"/>
          <w:szCs w:val="24"/>
        </w:rPr>
      </w:r>
    </w:p>
    <w:p>
      <w:pPr>
        <w:pStyle w:val="Nivel1"/>
        <w:numPr>
          <w:ilvl w:val="0"/>
          <w:numId w:val="1"/>
        </w:numPr>
        <w:spacing w:lineRule="auto" w:line="360" w:before="0" w:after="0"/>
        <w:ind w:left="0" w:right="0" w:hanging="0"/>
        <w:rPr>
          <w:rFonts w:ascii="Arial" w:hAnsi="Arial"/>
          <w:sz w:val="24"/>
          <w:szCs w:val="24"/>
        </w:rPr>
      </w:pPr>
      <w:r>
        <w:rPr>
          <w:sz w:val="24"/>
          <w:szCs w:val="24"/>
        </w:rPr>
        <w:t>MODELO DE GESTÃO DO CONTRATO (art. 6º, XXIII, alínea “f”, da Lei nº 14.133/21)</w:t>
      </w:r>
    </w:p>
    <w:p>
      <w:pPr>
        <w:pStyle w:val="Nivel1"/>
        <w:numPr>
          <w:ilvl w:val="1"/>
          <w:numId w:val="1"/>
        </w:numPr>
        <w:spacing w:lineRule="auto" w:line="360" w:before="0" w:after="0"/>
        <w:ind w:left="0" w:right="0" w:hanging="0"/>
        <w:rPr>
          <w:rFonts w:ascii="Arial" w:hAnsi="Arial"/>
          <w:sz w:val="24"/>
          <w:szCs w:val="24"/>
        </w:rPr>
      </w:pPr>
      <w:r>
        <w:rPr>
          <w:b w:val="false"/>
          <w:bCs w:val="false"/>
          <w:color w:val="00000A"/>
          <w:sz w:val="24"/>
          <w:szCs w:val="24"/>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b w:val="false"/>
          <w:bCs w:val="false"/>
          <w:i/>
          <w:iCs/>
          <w:color w:val="00000A"/>
          <w:sz w:val="24"/>
          <w:szCs w:val="24"/>
        </w:rPr>
        <w:t>caput</w:t>
      </w:r>
      <w:r>
        <w:rPr>
          <w:b w:val="false"/>
          <w:bCs w:val="false"/>
          <w:color w:val="00000A"/>
          <w:sz w:val="24"/>
          <w:szCs w:val="24"/>
        </w:rPr>
        <w:t>).</w:t>
      </w:r>
    </w:p>
    <w:p>
      <w:pPr>
        <w:pStyle w:val="Nivel1"/>
        <w:numPr>
          <w:ilvl w:val="1"/>
          <w:numId w:val="1"/>
        </w:numPr>
        <w:spacing w:lineRule="auto" w:line="360" w:before="0" w:after="0"/>
        <w:ind w:left="0" w:right="0" w:hanging="0"/>
        <w:rPr>
          <w:rFonts w:ascii="Arial" w:hAnsi="Arial"/>
          <w:b w:val="false"/>
          <w:b w:val="false"/>
          <w:bCs w:val="false"/>
          <w:sz w:val="24"/>
          <w:szCs w:val="24"/>
        </w:rPr>
      </w:pPr>
      <w:bookmarkStart w:id="2" w:name="art115§1"/>
      <w:bookmarkStart w:id="3" w:name="art115§5"/>
      <w:bookmarkEnd w:id="2"/>
      <w:bookmarkEnd w:id="3"/>
      <w:r>
        <w:rPr>
          <w:b w:val="false"/>
          <w:bCs w:val="false"/>
          <w:color w:val="00000A"/>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1"/>
        <w:numPr>
          <w:ilvl w:val="1"/>
          <w:numId w:val="1"/>
        </w:numPr>
        <w:spacing w:lineRule="auto" w:line="360" w:before="0" w:after="0"/>
        <w:ind w:left="0" w:right="0" w:hanging="0"/>
        <w:rPr>
          <w:rFonts w:ascii="Arial" w:hAnsi="Arial"/>
          <w:b w:val="false"/>
          <w:b w:val="false"/>
          <w:bCs w:val="false"/>
          <w:sz w:val="24"/>
          <w:szCs w:val="24"/>
        </w:rPr>
      </w:pPr>
      <w:bookmarkStart w:id="4" w:name="art116"/>
      <w:bookmarkEnd w:id="4"/>
      <w:r>
        <w:rPr>
          <w:b w:val="false"/>
          <w:bCs w:val="false"/>
          <w:color w:val="00000A"/>
          <w:sz w:val="24"/>
          <w:szCs w:val="24"/>
        </w:rPr>
        <w:t xml:space="preserve">A execução do contrato deverá ser acompanhada e fiscalizada pelo(s) fiscal(is) do contrato, ou pelos respectivos substitutos (Lei nº 14.133/2021, art. 117, </w:t>
      </w:r>
      <w:r>
        <w:rPr>
          <w:b w:val="false"/>
          <w:bCs w:val="false"/>
          <w:i/>
          <w:iCs/>
          <w:color w:val="00000A"/>
          <w:sz w:val="24"/>
          <w:szCs w:val="24"/>
        </w:rPr>
        <w:t>caput</w:t>
      </w:r>
      <w:bookmarkStart w:id="5" w:name="art117§1"/>
      <w:bookmarkEnd w:id="5"/>
      <w:r>
        <w:rPr>
          <w:b w:val="false"/>
          <w:bCs w:val="false"/>
          <w:color w:val="00000A"/>
          <w:sz w:val="24"/>
          <w:szCs w:val="24"/>
        </w:rPr>
        <w:t>).</w:t>
      </w:r>
    </w:p>
    <w:p>
      <w:pPr>
        <w:pStyle w:val="Nivel1"/>
        <w:numPr>
          <w:ilvl w:val="2"/>
          <w:numId w:val="1"/>
        </w:numPr>
        <w:spacing w:lineRule="auto" w:line="360" w:before="0" w:after="0"/>
        <w:ind w:left="0" w:right="0" w:hanging="0"/>
        <w:rPr>
          <w:rFonts w:ascii="Arial" w:hAnsi="Arial"/>
          <w:b w:val="false"/>
          <w:b w:val="false"/>
          <w:bCs w:val="false"/>
          <w:sz w:val="24"/>
          <w:szCs w:val="24"/>
        </w:rPr>
      </w:pPr>
      <w:r>
        <w:rPr>
          <w:b w:val="false"/>
          <w:bCs w:val="false"/>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pPr>
        <w:pStyle w:val="Nivel1"/>
        <w:numPr>
          <w:ilvl w:val="2"/>
          <w:numId w:val="1"/>
        </w:numPr>
        <w:spacing w:lineRule="auto" w:line="360" w:before="0" w:after="0"/>
        <w:ind w:left="0" w:right="0" w:hanging="0"/>
        <w:rPr>
          <w:rFonts w:ascii="Arial" w:hAnsi="Arial"/>
          <w:b w:val="false"/>
          <w:b w:val="false"/>
          <w:bCs w:val="false"/>
          <w:sz w:val="24"/>
          <w:szCs w:val="24"/>
        </w:rPr>
      </w:pPr>
      <w:bookmarkStart w:id="6" w:name="art117§2"/>
      <w:bookmarkEnd w:id="6"/>
      <w:r>
        <w:rPr>
          <w:b w:val="false"/>
          <w:bCs w:val="false"/>
          <w:sz w:val="24"/>
          <w:szCs w:val="24"/>
        </w:rPr>
        <w:t>O fiscal do contrato informará a seus superiores, em tempo hábil para a adoção das medidas convenientes, a situação que demandar decisão ou providência que ultrapasse sua competência (Lei nº 14.133/2021, art. 117, §2º).</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color w:val="00000A"/>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1"/>
        <w:numPr>
          <w:ilvl w:val="1"/>
          <w:numId w:val="1"/>
        </w:numPr>
        <w:spacing w:lineRule="auto" w:line="360" w:before="0" w:after="0"/>
        <w:ind w:left="0" w:right="0" w:hanging="0"/>
        <w:rPr>
          <w:rFonts w:ascii="Arial" w:hAnsi="Arial"/>
          <w:b w:val="false"/>
          <w:b w:val="false"/>
          <w:bCs w:val="false"/>
          <w:sz w:val="24"/>
          <w:szCs w:val="24"/>
        </w:rPr>
      </w:pPr>
      <w:bookmarkStart w:id="7" w:name="art120"/>
      <w:bookmarkEnd w:id="7"/>
      <w:r>
        <w:rPr>
          <w:b w:val="false"/>
          <w:bCs w:val="false"/>
          <w:color w:val="00000A"/>
          <w:sz w:val="24"/>
          <w:szCs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1"/>
        <w:numPr>
          <w:ilvl w:val="1"/>
          <w:numId w:val="1"/>
        </w:numPr>
        <w:spacing w:lineRule="auto" w:line="360" w:before="0" w:after="0"/>
        <w:ind w:left="0" w:right="0" w:hanging="0"/>
        <w:rPr>
          <w:rFonts w:ascii="Arial" w:hAnsi="Arial"/>
          <w:b w:val="false"/>
          <w:b w:val="false"/>
          <w:bCs w:val="false"/>
          <w:sz w:val="24"/>
          <w:szCs w:val="24"/>
        </w:rPr>
      </w:pPr>
      <w:bookmarkStart w:id="8" w:name="art121"/>
      <w:bookmarkEnd w:id="8"/>
      <w:r>
        <w:rPr>
          <w:b w:val="false"/>
          <w:bCs w:val="false"/>
          <w:color w:val="00000A"/>
          <w:sz w:val="24"/>
          <w:szCs w:val="24"/>
        </w:rPr>
        <w:t xml:space="preserve">Somente o contratado será responsável pelos encargos trabalhistas, previdenciários, fiscais e comerciais resultantes da execução do contrato (Lei nº 14.133/2021, art. 121, </w:t>
      </w:r>
      <w:r>
        <w:rPr>
          <w:b w:val="false"/>
          <w:bCs w:val="false"/>
          <w:i/>
          <w:iCs/>
          <w:color w:val="00000A"/>
          <w:sz w:val="24"/>
          <w:szCs w:val="24"/>
        </w:rPr>
        <w:t>caput</w:t>
      </w:r>
      <w:r>
        <w:rPr>
          <w:b w:val="false"/>
          <w:bCs w:val="false"/>
          <w:color w:val="00000A"/>
          <w:sz w:val="24"/>
          <w:szCs w:val="24"/>
        </w:rPr>
        <w:t>).</w:t>
      </w:r>
    </w:p>
    <w:p>
      <w:pPr>
        <w:pStyle w:val="Nivel1"/>
        <w:numPr>
          <w:ilvl w:val="2"/>
          <w:numId w:val="1"/>
        </w:numPr>
        <w:spacing w:lineRule="auto" w:line="360" w:before="0" w:after="0"/>
        <w:ind w:left="0" w:right="0" w:hanging="0"/>
        <w:rPr>
          <w:rFonts w:ascii="Arial" w:hAnsi="Arial"/>
          <w:b w:val="false"/>
          <w:b w:val="false"/>
          <w:bCs w:val="false"/>
          <w:sz w:val="24"/>
          <w:szCs w:val="24"/>
        </w:rPr>
      </w:pPr>
      <w:bookmarkStart w:id="9" w:name="art121§1"/>
      <w:bookmarkEnd w:id="9"/>
      <w:r>
        <w:rPr>
          <w:b w:val="false"/>
          <w:bCs w:val="false"/>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pPr>
        <w:pStyle w:val="Nivel1"/>
        <w:numPr>
          <w:ilvl w:val="1"/>
          <w:numId w:val="1"/>
        </w:numPr>
        <w:spacing w:lineRule="auto" w:line="360" w:before="0" w:after="0"/>
        <w:ind w:left="0" w:right="0" w:hanging="0"/>
        <w:rPr>
          <w:rFonts w:ascii="Arial" w:hAnsi="Arial"/>
          <w:b w:val="false"/>
          <w:b w:val="false"/>
          <w:bCs w:val="false"/>
          <w:sz w:val="24"/>
          <w:szCs w:val="24"/>
        </w:rPr>
      </w:pPr>
      <w:bookmarkStart w:id="10" w:name="art122"/>
      <w:bookmarkStart w:id="11" w:name="art122§1"/>
      <w:bookmarkStart w:id="12" w:name="art122§2"/>
      <w:bookmarkStart w:id="13" w:name="art122§3"/>
      <w:bookmarkStart w:id="14" w:name="art123"/>
      <w:bookmarkEnd w:id="10"/>
      <w:bookmarkEnd w:id="11"/>
      <w:bookmarkEnd w:id="12"/>
      <w:bookmarkEnd w:id="13"/>
      <w:bookmarkEnd w:id="14"/>
      <w:r>
        <w:rPr>
          <w:b w:val="false"/>
          <w:bCs w:val="false"/>
          <w:sz w:val="24"/>
          <w:szCs w:val="24"/>
        </w:rPr>
        <w:t>As comunicações entre o órgão ou entidade e a contratada devem ser realizadas por escrito sempre que o ato exigir tal formalidade, admitindo-se, excepcionalmente, o uso de mensagem eletrônica para esse fim (IN 5/2017, art. 44, §2º).</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sz w:val="24"/>
          <w:szCs w:val="24"/>
        </w:rPr>
        <w:t>O órgão ou entidade poderá convocar representante da empresa para adoção de providências que devam ser cumpridas de imediato (IN 5/2017, art. 44, 31º)</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sz w:val="24"/>
          <w:szCs w:val="24"/>
        </w:rPr>
        <w:t>Antes do pagamento da nota fiscal ou da fatura, deverá ser consultada a situação da empresa junto ao SICAF.</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sz w:val="24"/>
          <w:szCs w:val="24"/>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1"/>
        <w:numPr>
          <w:ilvl w:val="0"/>
          <w:numId w:val="0"/>
        </w:numPr>
        <w:spacing w:lineRule="auto" w:line="360" w:before="0" w:after="0"/>
        <w:ind w:left="0" w:right="0" w:hanging="0"/>
        <w:rPr>
          <w:rFonts w:ascii="Arial" w:hAnsi="Arial"/>
          <w:i w:val="false"/>
          <w:i w:val="false"/>
          <w:iCs w:val="false"/>
          <w:color w:val="00000A"/>
          <w:sz w:val="24"/>
          <w:szCs w:val="24"/>
        </w:rPr>
      </w:pPr>
      <w:r>
        <w:rPr>
          <w:i w:val="false"/>
          <w:iCs w:val="false"/>
          <w:color w:val="00000A"/>
          <w:sz w:val="24"/>
          <w:szCs w:val="24"/>
        </w:rPr>
      </w:r>
    </w:p>
    <w:p>
      <w:pPr>
        <w:pStyle w:val="Nivel1"/>
        <w:numPr>
          <w:ilvl w:val="0"/>
          <w:numId w:val="1"/>
        </w:numPr>
        <w:spacing w:lineRule="auto" w:line="360" w:before="0" w:after="0"/>
        <w:ind w:left="0" w:right="0" w:hanging="0"/>
        <w:rPr>
          <w:rFonts w:ascii="Arial" w:hAnsi="Arial"/>
          <w:sz w:val="24"/>
          <w:szCs w:val="24"/>
        </w:rPr>
      </w:pPr>
      <w:r>
        <w:rPr>
          <w:i w:val="false"/>
          <w:iCs w:val="false"/>
          <w:color w:val="00000A"/>
          <w:sz w:val="24"/>
          <w:szCs w:val="24"/>
        </w:rPr>
        <w:t xml:space="preserve">FORMA E CRITÉRIOS DE SELEÇÃO DO FORNECEDOR MEDIANTE O USO DO SISTEMA DE DISPENSA ELETRÔNICA (art. 6º, inciso XXIII, alínea ‘h’, da Lei nº 14.133/2021) </w:t>
      </w:r>
    </w:p>
    <w:p>
      <w:pPr>
        <w:pStyle w:val="Nivel1"/>
        <w:numPr>
          <w:ilvl w:val="1"/>
          <w:numId w:val="1"/>
        </w:numPr>
        <w:spacing w:lineRule="auto" w:line="360" w:before="0" w:after="0"/>
        <w:ind w:left="0" w:right="0" w:hanging="0"/>
        <w:rPr>
          <w:rFonts w:ascii="Arial" w:hAnsi="Arial"/>
          <w:b w:val="false"/>
          <w:b w:val="false"/>
          <w:bCs w:val="false"/>
          <w:sz w:val="24"/>
          <w:szCs w:val="24"/>
        </w:rPr>
      </w:pPr>
      <w:r>
        <w:rPr>
          <w:b w:val="false"/>
          <w:bCs w:val="false"/>
          <w:i w:val="false"/>
          <w:iCs w:val="false"/>
          <w:color w:val="00000A"/>
          <w:sz w:val="24"/>
          <w:szCs w:val="24"/>
        </w:rPr>
        <w:t>O fornecedor será selecionado por meio da realização de procedimento de dispensa de licitação, na forma eletrônica, com fundamento na hipótese do art. 75, inciso II da Lei n.º 14.133/2021, que culminará com a seleção da proposta de menor preço por item.</w:t>
      </w:r>
    </w:p>
    <w:p>
      <w:pPr>
        <w:pStyle w:val="Nivel2"/>
        <w:numPr>
          <w:ilvl w:val="1"/>
          <w:numId w:val="1"/>
        </w:numPr>
        <w:spacing w:lineRule="auto" w:line="360" w:before="0" w:after="0"/>
        <w:ind w:left="0" w:right="0" w:hanging="0"/>
        <w:rPr>
          <w:rFonts w:ascii="Arial" w:hAnsi="Arial"/>
          <w:sz w:val="24"/>
          <w:szCs w:val="24"/>
        </w:rPr>
      </w:pPr>
      <w:r>
        <w:rPr>
          <w:rFonts w:eastAsia="Times New Roman"/>
          <w:i w:val="false"/>
          <w:iCs w:val="false"/>
          <w:color w:val="00000A"/>
          <w:sz w:val="24"/>
          <w:szCs w:val="24"/>
          <w:lang w:eastAsia="pt-BR"/>
        </w:rPr>
        <w:t xml:space="preserve">As exigências de habilitação jurídica, </w:t>
      </w:r>
      <w:r>
        <w:rPr>
          <w:rFonts w:eastAsia="WenQuanYi Micro Hei"/>
          <w:i w:val="false"/>
          <w:iCs w:val="false"/>
          <w:color w:val="00000A"/>
          <w:sz w:val="24"/>
          <w:szCs w:val="24"/>
          <w:lang w:eastAsia="zh-CN" w:bidi="hi-IN"/>
        </w:rPr>
        <w:t xml:space="preserve">fiscal, social e trabalhista </w:t>
      </w:r>
      <w:r>
        <w:rPr>
          <w:rFonts w:eastAsia="Times New Roman"/>
          <w:i w:val="false"/>
          <w:iCs w:val="false"/>
          <w:color w:val="00000A"/>
          <w:sz w:val="24"/>
          <w:szCs w:val="24"/>
          <w:lang w:eastAsia="pt-BR"/>
        </w:rPr>
        <w:t xml:space="preserve">são as usuais para a generalidade dos objetos, conforme disciplinado no Anexo I do Aviso de </w:t>
      </w:r>
      <w:r>
        <w:rPr>
          <w:i w:val="false"/>
          <w:iCs w:val="false"/>
          <w:color w:val="00000A"/>
          <w:sz w:val="24"/>
          <w:szCs w:val="24"/>
        </w:rPr>
        <w:t>Contratação</w:t>
      </w:r>
      <w:r>
        <w:rPr>
          <w:rFonts w:eastAsia="Times New Roman"/>
          <w:i w:val="false"/>
          <w:iCs w:val="false"/>
          <w:color w:val="00000A"/>
          <w:sz w:val="24"/>
          <w:szCs w:val="24"/>
          <w:lang w:eastAsia="pt-BR"/>
        </w:rPr>
        <w:t xml:space="preserve"> Direta.</w:t>
      </w:r>
    </w:p>
    <w:p>
      <w:pPr>
        <w:pStyle w:val="Nivel2"/>
        <w:numPr>
          <w:ilvl w:val="1"/>
          <w:numId w:val="1"/>
        </w:numPr>
        <w:spacing w:lineRule="auto" w:line="360" w:before="0" w:after="0"/>
        <w:ind w:left="0" w:right="0" w:hanging="0"/>
        <w:rPr>
          <w:rFonts w:ascii="Arial" w:hAnsi="Arial"/>
          <w:sz w:val="24"/>
          <w:szCs w:val="24"/>
        </w:rPr>
      </w:pPr>
      <w:r>
        <w:rPr>
          <w:rFonts w:eastAsia="Times New Roman"/>
          <w:i w:val="false"/>
          <w:iCs w:val="false"/>
          <w:color w:val="00000A"/>
          <w:sz w:val="24"/>
          <w:szCs w:val="24"/>
          <w:lang w:eastAsia="pt-BR"/>
        </w:rPr>
        <w:t>Os critérios de habilitação econômico-financeira a serem atendidos pelo fornecedor estão previstos no Anexo I do Aviso de Contratação Direta</w:t>
      </w:r>
      <w:r>
        <w:rPr>
          <w:rFonts w:eastAsia="Times New Roman" w:cs="Arial"/>
          <w:bCs/>
          <w:i w:val="false"/>
          <w:iCs w:val="false"/>
          <w:color w:val="00000A"/>
          <w:sz w:val="24"/>
          <w:szCs w:val="24"/>
          <w:lang w:eastAsia="pt-BR"/>
        </w:rPr>
        <w:t>.</w:t>
      </w:r>
    </w:p>
    <w:p>
      <w:pPr>
        <w:pStyle w:val="Nivel2"/>
        <w:numPr>
          <w:ilvl w:val="0"/>
          <w:numId w:val="0"/>
        </w:numPr>
        <w:spacing w:lineRule="auto" w:line="360" w:before="0" w:after="0"/>
        <w:ind w:left="0" w:right="0" w:hanging="0"/>
        <w:rPr>
          <w:rFonts w:ascii="Arial" w:hAnsi="Arial"/>
          <w:i w:val="false"/>
          <w:i w:val="false"/>
          <w:iCs w:val="false"/>
          <w:color w:val="00000A"/>
          <w:sz w:val="24"/>
          <w:szCs w:val="24"/>
        </w:rPr>
      </w:pPr>
      <w:r>
        <w:rPr>
          <w:i w:val="false"/>
          <w:iCs w:val="false"/>
          <w:color w:val="00000A"/>
          <w:sz w:val="24"/>
          <w:szCs w:val="24"/>
        </w:rPr>
      </w:r>
    </w:p>
    <w:p>
      <w:pPr>
        <w:pStyle w:val="Nivel1"/>
        <w:numPr>
          <w:ilvl w:val="0"/>
          <w:numId w:val="1"/>
        </w:numPr>
        <w:spacing w:lineRule="auto" w:line="360" w:before="0" w:after="0"/>
        <w:ind w:left="0" w:right="0" w:hanging="0"/>
        <w:rPr>
          <w:rFonts w:ascii="Arial" w:hAnsi="Arial"/>
          <w:sz w:val="24"/>
          <w:szCs w:val="24"/>
        </w:rPr>
      </w:pPr>
      <w:r>
        <w:rPr>
          <w:sz w:val="24"/>
          <w:szCs w:val="24"/>
        </w:rPr>
        <w:t xml:space="preserve">ADEQUAÇÃO ORÇAMENTÁRIA </w:t>
      </w:r>
    </w:p>
    <w:p>
      <w:pPr>
        <w:pStyle w:val="Nivel1"/>
        <w:numPr>
          <w:ilvl w:val="1"/>
          <w:numId w:val="1"/>
        </w:numPr>
        <w:spacing w:lineRule="auto" w:line="360" w:before="0" w:after="0"/>
        <w:ind w:left="0" w:right="0" w:hanging="0"/>
        <w:rPr>
          <w:rFonts w:ascii="Arial" w:hAnsi="Arial"/>
          <w:sz w:val="24"/>
          <w:szCs w:val="24"/>
        </w:rPr>
      </w:pPr>
      <w:r>
        <w:rPr>
          <w:rFonts w:cs="Arial"/>
          <w:b w:val="false"/>
          <w:bCs w:val="false"/>
          <w:sz w:val="24"/>
          <w:szCs w:val="24"/>
        </w:rPr>
        <w:t>As despesas decorrentes da presente contratação correrão à conta de recursos específicos consignados no Orçamento Geral da União.</w:t>
      </w:r>
    </w:p>
    <w:p>
      <w:pPr>
        <w:pStyle w:val="ListParagraph"/>
        <w:numPr>
          <w:ilvl w:val="2"/>
          <w:numId w:val="1"/>
        </w:numPr>
        <w:spacing w:lineRule="auto" w:line="360" w:before="0" w:after="0"/>
        <w:ind w:left="0" w:right="0" w:hanging="0"/>
        <w:jc w:val="both"/>
        <w:rPr>
          <w:rFonts w:ascii="Arial" w:hAnsi="Arial"/>
          <w:sz w:val="24"/>
          <w:szCs w:val="24"/>
        </w:rPr>
      </w:pPr>
      <w:r>
        <w:rPr>
          <w:rFonts w:cs="Arial" w:ascii="Arial" w:hAnsi="Arial"/>
          <w:iCs/>
          <w:sz w:val="24"/>
          <w:szCs w:val="24"/>
        </w:rPr>
        <w:t>A contratação será atendida pela seguinte dotação:</w:t>
      </w:r>
    </w:p>
    <w:p>
      <w:pPr>
        <w:pStyle w:val="Normal"/>
        <w:spacing w:lineRule="auto" w:line="360" w:before="0" w:after="0"/>
        <w:ind w:left="0" w:right="0" w:hanging="0"/>
        <w:jc w:val="both"/>
        <w:rPr>
          <w:rFonts w:ascii="Arial" w:hAnsi="Arial" w:cs="Arial"/>
          <w:iCs/>
          <w:sz w:val="24"/>
          <w:szCs w:val="24"/>
        </w:rPr>
      </w:pPr>
      <w:r>
        <w:rPr>
          <w:rFonts w:cs="Arial" w:ascii="Arial" w:hAnsi="Arial"/>
          <w:iCs/>
          <w:sz w:val="24"/>
          <w:szCs w:val="24"/>
        </w:rPr>
      </w:r>
    </w:p>
    <w:p>
      <w:pPr>
        <w:pStyle w:val="Normal"/>
        <w:spacing w:lineRule="auto" w:line="360" w:before="0" w:after="0"/>
        <w:ind w:left="0" w:right="0" w:hanging="0"/>
        <w:jc w:val="both"/>
        <w:rPr>
          <w:sz w:val="24"/>
          <w:szCs w:val="24"/>
        </w:rPr>
      </w:pPr>
      <w:r>
        <w:rPr>
          <w:rFonts w:cs="Arial" w:ascii="Arial" w:hAnsi="Arial"/>
          <w:b/>
          <w:bCs/>
          <w:sz w:val="24"/>
          <w:szCs w:val="24"/>
        </w:rPr>
        <w:t>Gestão/UG:</w:t>
      </w:r>
      <w:r>
        <w:rPr>
          <w:rFonts w:cs="Arial" w:ascii="Arial" w:hAnsi="Arial"/>
          <w:b/>
          <w:bCs/>
          <w:color w:val="FF3333"/>
          <w:sz w:val="24"/>
          <w:szCs w:val="24"/>
        </w:rPr>
        <w:t xml:space="preserve"> </w:t>
      </w:r>
      <w:r>
        <w:rPr>
          <w:rFonts w:cs="Arial" w:ascii="Arial" w:hAnsi="Arial"/>
          <w:b w:val="false"/>
          <w:bCs w:val="false"/>
          <w:sz w:val="24"/>
          <w:szCs w:val="24"/>
        </w:rPr>
        <w:t>0001</w:t>
      </w:r>
      <w:r>
        <w:rPr>
          <w:rFonts w:cs="Arial" w:ascii="Arial" w:hAnsi="Arial"/>
          <w:sz w:val="24"/>
          <w:szCs w:val="24"/>
        </w:rPr>
        <w:t>/160312</w:t>
      </w:r>
    </w:p>
    <w:p>
      <w:pPr>
        <w:pStyle w:val="Normal"/>
        <w:spacing w:lineRule="auto" w:line="360" w:before="0" w:after="0"/>
        <w:ind w:left="0" w:right="0" w:hanging="0"/>
        <w:jc w:val="both"/>
        <w:rPr>
          <w:sz w:val="24"/>
          <w:szCs w:val="24"/>
        </w:rPr>
      </w:pPr>
      <w:r>
        <w:rPr>
          <w:rFonts w:cs="Arial" w:ascii="Arial" w:hAnsi="Arial"/>
          <w:b/>
          <w:bCs/>
          <w:sz w:val="24"/>
          <w:szCs w:val="24"/>
        </w:rPr>
        <w:t>PTRes:</w:t>
      </w:r>
      <w:r>
        <w:rPr>
          <w:rFonts w:cs="Arial" w:ascii="Arial" w:hAnsi="Arial"/>
          <w:bCs/>
          <w:color w:val="FF3333"/>
          <w:sz w:val="24"/>
          <w:szCs w:val="24"/>
        </w:rPr>
        <w:t xml:space="preserve"> </w:t>
      </w:r>
      <w:r>
        <w:rPr>
          <w:rFonts w:cs="Arial" w:ascii="Arial" w:hAnsi="Arial"/>
          <w:bCs/>
          <w:sz w:val="24"/>
          <w:szCs w:val="24"/>
        </w:rPr>
        <w:t>171470</w:t>
      </w:r>
    </w:p>
    <w:p>
      <w:pPr>
        <w:pStyle w:val="Normal"/>
        <w:spacing w:lineRule="auto" w:line="360" w:before="0" w:after="0"/>
        <w:ind w:left="0" w:right="0" w:hanging="0"/>
        <w:jc w:val="both"/>
        <w:rPr>
          <w:sz w:val="24"/>
          <w:szCs w:val="24"/>
        </w:rPr>
      </w:pPr>
      <w:r>
        <w:rPr>
          <w:rFonts w:cs="Arial" w:ascii="Arial" w:hAnsi="Arial"/>
          <w:b/>
          <w:bCs/>
          <w:sz w:val="24"/>
          <w:szCs w:val="24"/>
        </w:rPr>
        <w:t>Fonte:</w:t>
      </w:r>
      <w:r>
        <w:rPr>
          <w:rFonts w:cs="Arial" w:ascii="Arial" w:hAnsi="Arial"/>
          <w:bCs/>
          <w:sz w:val="24"/>
          <w:szCs w:val="24"/>
        </w:rPr>
        <w:t xml:space="preserve"> 1000000000</w:t>
      </w:r>
    </w:p>
    <w:p>
      <w:pPr>
        <w:pStyle w:val="Normal"/>
        <w:spacing w:lineRule="auto" w:line="360" w:before="0" w:after="0"/>
        <w:ind w:left="0" w:right="0" w:hanging="0"/>
        <w:jc w:val="both"/>
        <w:rPr>
          <w:sz w:val="24"/>
          <w:szCs w:val="24"/>
        </w:rPr>
      </w:pPr>
      <w:r>
        <w:rPr>
          <w:rFonts w:cs="Arial" w:ascii="Arial" w:hAnsi="Arial"/>
          <w:b/>
          <w:bCs/>
          <w:sz w:val="24"/>
          <w:szCs w:val="24"/>
        </w:rPr>
        <w:t>Natureza da Despesa:</w:t>
      </w:r>
      <w:r>
        <w:rPr>
          <w:rFonts w:cs="Arial" w:ascii="Arial" w:hAnsi="Arial"/>
          <w:bCs/>
          <w:sz w:val="24"/>
          <w:szCs w:val="24"/>
        </w:rPr>
        <w:t xml:space="preserve"> 339030</w:t>
      </w:r>
    </w:p>
    <w:p>
      <w:pPr>
        <w:pStyle w:val="Normal"/>
        <w:spacing w:lineRule="auto" w:line="360" w:before="0" w:after="0"/>
        <w:ind w:left="0" w:right="0" w:hanging="0"/>
        <w:jc w:val="both"/>
        <w:rPr>
          <w:sz w:val="24"/>
          <w:szCs w:val="24"/>
        </w:rPr>
      </w:pPr>
      <w:r>
        <w:rPr>
          <w:rFonts w:cs="Arial" w:ascii="Arial" w:hAnsi="Arial"/>
          <w:b/>
          <w:bCs/>
          <w:sz w:val="24"/>
          <w:szCs w:val="24"/>
        </w:rPr>
        <w:t xml:space="preserve">Plano Interno: </w:t>
      </w:r>
      <w:r>
        <w:rPr>
          <w:rFonts w:cs="Arial" w:ascii="Arial" w:hAnsi="Arial"/>
          <w:sz w:val="24"/>
          <w:szCs w:val="24"/>
        </w:rPr>
        <w:t>E5MMSUNPREV</w:t>
      </w:r>
    </w:p>
    <w:p>
      <w:pPr>
        <w:pStyle w:val="Normal"/>
        <w:spacing w:lineRule="auto" w:line="360" w:before="0" w:after="0"/>
        <w:ind w:left="0" w:right="0" w:hanging="0"/>
        <w:jc w:val="both"/>
        <w:rPr>
          <w:rFonts w:ascii="Arial" w:hAnsi="Arial" w:cs="Arial"/>
          <w:b/>
          <w:b/>
          <w:bCs/>
          <w:sz w:val="24"/>
          <w:szCs w:val="24"/>
        </w:rPr>
      </w:pPr>
      <w:r>
        <w:rPr>
          <w:rFonts w:cs="Arial" w:ascii="Arial" w:hAnsi="Arial"/>
          <w:b/>
          <w:bCs/>
          <w:sz w:val="24"/>
          <w:szCs w:val="24"/>
        </w:rPr>
      </w:r>
    </w:p>
    <w:p>
      <w:pPr>
        <w:pStyle w:val="Normal"/>
        <w:spacing w:lineRule="auto" w:line="360" w:before="0" w:after="0"/>
        <w:ind w:left="0" w:right="0" w:hanging="0"/>
        <w:jc w:val="both"/>
        <w:rPr>
          <w:rFonts w:ascii="Arial" w:hAnsi="Arial" w:cs="Arial"/>
          <w:bCs/>
          <w:color w:val="FF0000"/>
          <w:sz w:val="24"/>
          <w:szCs w:val="24"/>
        </w:rPr>
      </w:pPr>
      <w:r>
        <w:rPr>
          <w:rFonts w:cs="Arial" w:ascii="Arial" w:hAnsi="Arial"/>
          <w:bCs/>
          <w:color w:val="FF0000"/>
          <w:sz w:val="24"/>
          <w:szCs w:val="24"/>
        </w:rPr>
      </w:r>
    </w:p>
    <w:p>
      <w:pPr>
        <w:pStyle w:val="ListParagraph"/>
        <w:spacing w:lineRule="auto" w:line="360" w:before="0" w:after="0"/>
        <w:ind w:left="0" w:right="0" w:hanging="0"/>
        <w:jc w:val="both"/>
        <w:rPr>
          <w:rFonts w:ascii="Arial" w:hAnsi="Arial"/>
          <w:sz w:val="24"/>
          <w:szCs w:val="24"/>
        </w:rPr>
      </w:pPr>
      <w:bookmarkStart w:id="15" w:name="_Hlk82473550_Copia_1"/>
      <w:bookmarkStart w:id="16" w:name="_Hlk82473550_Copia_1"/>
      <w:bookmarkEnd w:id="16"/>
      <w:r>
        <w:rPr>
          <w:rFonts w:ascii="Arial" w:hAnsi="Arial"/>
          <w:sz w:val="24"/>
          <w:szCs w:val="24"/>
        </w:rPr>
      </w:r>
    </w:p>
    <w:p>
      <w:pPr>
        <w:pStyle w:val="Normal"/>
        <w:spacing w:lineRule="auto" w:line="360" w:before="0" w:after="0"/>
        <w:ind w:left="0" w:right="0" w:hanging="0"/>
        <w:jc w:val="right"/>
        <w:rPr>
          <w:rFonts w:ascii="Arial" w:hAnsi="Arial"/>
          <w:sz w:val="24"/>
          <w:szCs w:val="24"/>
        </w:rPr>
      </w:pPr>
      <w:r>
        <w:rPr>
          <w:rFonts w:cs="Arial" w:ascii="Arial" w:hAnsi="Arial"/>
          <w:sz w:val="24"/>
          <w:szCs w:val="24"/>
        </w:rPr>
        <w:t>Rio de Janeiro, RJ, 06 de abril de 2023.</w:t>
      </w:r>
    </w:p>
    <w:p>
      <w:pPr>
        <w:pStyle w:val="Normal"/>
        <w:spacing w:lineRule="auto" w:line="360" w:before="0" w:after="0"/>
        <w:ind w:left="0" w:right="0" w:hanging="0"/>
        <w:jc w:val="center"/>
        <w:rPr>
          <w:rFonts w:ascii="Arial" w:hAnsi="Arial" w:cs="Arial"/>
          <w:sz w:val="24"/>
          <w:szCs w:val="24"/>
        </w:rPr>
      </w:pPr>
      <w:r>
        <w:rPr>
          <w:rFonts w:cs="Arial" w:ascii="Arial" w:hAnsi="Arial"/>
          <w:sz w:val="24"/>
          <w:szCs w:val="24"/>
        </w:rPr>
      </w:r>
    </w:p>
    <w:p>
      <w:pPr>
        <w:pStyle w:val="Normal"/>
        <w:spacing w:lineRule="auto" w:line="360" w:before="0" w:after="0"/>
        <w:ind w:left="0" w:right="0" w:hanging="0"/>
        <w:jc w:val="center"/>
        <w:rPr>
          <w:rFonts w:ascii="Arial" w:hAnsi="Arial" w:cs="Arial"/>
          <w:sz w:val="24"/>
          <w:szCs w:val="24"/>
        </w:rPr>
      </w:pPr>
      <w:r>
        <w:rPr>
          <w:rFonts w:cs="Arial" w:ascii="Arial" w:hAnsi="Arial"/>
          <w:sz w:val="24"/>
          <w:szCs w:val="24"/>
        </w:rPr>
      </w:r>
    </w:p>
    <w:p>
      <w:pPr>
        <w:pStyle w:val="Contedodatabela"/>
        <w:widowControl w:val="false"/>
        <w:spacing w:lineRule="auto" w:line="360" w:before="0" w:after="0"/>
        <w:ind w:left="0" w:right="0" w:hanging="0"/>
        <w:jc w:val="center"/>
        <w:rPr>
          <w:rFonts w:ascii="Arial" w:hAnsi="Arial"/>
          <w:sz w:val="24"/>
          <w:szCs w:val="24"/>
        </w:rPr>
      </w:pPr>
      <w:r>
        <w:rPr>
          <w:rFonts w:cs="Times New Roman" w:ascii="Arial" w:hAnsi="Arial"/>
          <w:b w:val="false"/>
          <w:bCs w:val="false"/>
          <w:sz w:val="24"/>
          <w:szCs w:val="24"/>
        </w:rPr>
        <w:t>JOSÉ HENRIQUE ANTUNES VOLKVEIS - 1º Ten</w:t>
      </w:r>
    </w:p>
    <w:p>
      <w:pPr>
        <w:pStyle w:val="Contedodatabela"/>
        <w:widowControl w:val="false"/>
        <w:spacing w:lineRule="auto" w:line="360" w:before="0" w:after="0"/>
        <w:ind w:left="0" w:right="0" w:hanging="0"/>
        <w:jc w:val="center"/>
        <w:rPr>
          <w:rFonts w:ascii="Arial" w:hAnsi="Arial"/>
          <w:sz w:val="24"/>
          <w:szCs w:val="24"/>
        </w:rPr>
      </w:pPr>
      <w:r>
        <w:rPr>
          <w:rFonts w:cs="Times New Roman" w:ascii="Arial" w:hAnsi="Arial"/>
          <w:sz w:val="24"/>
          <w:szCs w:val="24"/>
        </w:rPr>
        <w:t>Ch Div Mnt Trnsp</w:t>
      </w:r>
    </w:p>
    <w:p>
      <w:pPr>
        <w:pStyle w:val="Normal"/>
        <w:spacing w:lineRule="auto" w:line="360" w:before="0" w:after="0"/>
        <w:ind w:left="0" w:right="0" w:hanging="0"/>
        <w:jc w:val="center"/>
        <w:rPr>
          <w:rFonts w:ascii="Arial" w:hAnsi="Arial" w:cs="Arial"/>
          <w:sz w:val="24"/>
          <w:szCs w:val="24"/>
        </w:rPr>
      </w:pPr>
      <w:r>
        <w:rPr>
          <w:rFonts w:cs="Arial" w:ascii="Arial" w:hAnsi="Arial"/>
          <w:sz w:val="24"/>
          <w:szCs w:val="24"/>
        </w:rPr>
      </w:r>
    </w:p>
    <w:p>
      <w:pPr>
        <w:pStyle w:val="Normal"/>
        <w:spacing w:lineRule="auto" w:line="360" w:before="0" w:after="0"/>
        <w:ind w:left="0" w:right="0" w:hanging="0"/>
        <w:jc w:val="center"/>
        <w:rPr/>
      </w:pPr>
      <w:r>
        <w:rPr/>
      </w:r>
    </w:p>
    <w:sectPr>
      <w:footerReference w:type="default" r:id="rId3"/>
      <w:type w:val="nextPage"/>
      <w:pgSz w:w="11906" w:h="16838"/>
      <w:pgMar w:left="1701" w:right="1134" w:header="0" w:top="1701"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szCs w:val="24"/>
        <w:bCs/>
        <w:rFonts w:ascii="Arial" w:hAnsi="Arial"/>
        <w:color w:val="00000A"/>
      </w:rPr>
    </w:lvl>
    <w:lvl w:ilvl="1">
      <w:start w:val="1"/>
      <w:numFmt w:val="decimal"/>
      <w:lvlText w:val="%1.%2."/>
      <w:lvlJc w:val="left"/>
      <w:pPr>
        <w:ind w:left="432" w:hanging="432"/>
      </w:pPr>
      <w:rPr>
        <w:dstrike w:val="false"/>
        <w:strike w:val="false"/>
        <w:sz w:val="24"/>
        <w:i w:val="false"/>
        <w:u w:val="none"/>
        <w:b w:val="false"/>
        <w:effect w:val="none"/>
        <w:szCs w:val="24"/>
        <w:bCs w:val="false"/>
        <w:rFonts w:ascii="Arial" w:hAnsi="Arial"/>
        <w:color w:val="00000A"/>
      </w:rPr>
    </w:lvl>
    <w:lvl w:ilvl="2">
      <w:start w:val="1"/>
      <w:numFmt w:val="decimal"/>
      <w:lvlText w:val="%1.%2.%3."/>
      <w:lvlJc w:val="left"/>
      <w:pPr>
        <w:ind w:left="930" w:hanging="504"/>
      </w:pPr>
      <w:rPr>
        <w:sz w:val="24"/>
        <w:i w:val="false"/>
        <w:b w:val="false"/>
        <w:szCs w:val="24"/>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4"/>
        <w:i w:val="false"/>
        <w:u w:val="none"/>
        <w:b/>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pt-BR" w:eastAsia="en-US" w:bidi="ar-SA"/>
    </w:rPr>
  </w:style>
  <w:style w:type="paragraph" w:styleId="Ttulo1">
    <w:name w:val="Título 1"/>
    <w:basedOn w:val="Normal"/>
    <w:next w:val="Normal"/>
    <w:link w:val="Ttulo1Char"/>
    <w:uiPriority w:val="9"/>
    <w:qFormat/>
    <w:rsid w:val="00fe71e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Título 6"/>
    <w:basedOn w:val="Normal"/>
    <w:next w:val="Normal"/>
    <w:link w:val="Ttulo6Char"/>
    <w:uiPriority w:val="9"/>
    <w:semiHidden/>
    <w:unhideWhenUsed/>
    <w:qFormat/>
    <w:rsid w:val="008e1fe3"/>
    <w:pPr>
      <w:keepNext/>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Quote"/>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Annotationtext"/>
    <w:uiPriority w:val="99"/>
    <w:qFormat/>
    <w:rsid w:val="00843661"/>
    <w:rPr>
      <w:sz w:val="20"/>
      <w:szCs w:val="20"/>
    </w:rPr>
  </w:style>
  <w:style w:type="character" w:styleId="AssuntodocomentrioChar" w:customStyle="1">
    <w:name w:val="Assunto do comentário Char"/>
    <w:basedOn w:val="TextodecomentrioChar"/>
    <w:link w:val="Annotationsubject"/>
    <w:uiPriority w:val="99"/>
    <w:semiHidden/>
    <w:qFormat/>
    <w:rsid w:val="00843661"/>
    <w:rPr>
      <w:b/>
      <w:bCs/>
      <w:sz w:val="20"/>
      <w:szCs w:val="20"/>
    </w:rPr>
  </w:style>
  <w:style w:type="character" w:styleId="Ttulo6Char" w:customStyle="1">
    <w:name w:val="Título 6 Char"/>
    <w:basedOn w:val="DefaultParagraphFont"/>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FollowedHyperlink">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BalloonText"/>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sz w:val="20"/>
      <w:szCs w:val="20"/>
      <w:shd w:fill="FFFFCC" w:val="clear"/>
      <w:lang w:eastAsia="zh-CN" w:bidi="hi-IN"/>
    </w:rPr>
  </w:style>
  <w:style w:type="character" w:styleId="CabealhoChar" w:customStyle="1">
    <w:name w:val="Cabeçalho Char"/>
    <w:basedOn w:val="DefaultParagraphFont"/>
    <w:uiPriority w:val="99"/>
    <w:qFormat/>
    <w:rsid w:val="0073140b"/>
    <w:rPr/>
  </w:style>
  <w:style w:type="character" w:styleId="RodapChar" w:customStyle="1">
    <w:name w:val="Rodapé Char"/>
    <w:basedOn w:val="DefaultParagraphFont"/>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Fontepargpadro">
    <w:name w:val="Fonte parág. padrão"/>
    <w:qFormat/>
    <w:rPr/>
  </w:style>
  <w:style w:type="character" w:styleId="Andestablecolumnvalue">
    <w:name w:val="andes-table__column--value"/>
    <w:basedOn w:val="DefaultParagraphFont"/>
    <w:qFormat/>
    <w:rPr/>
  </w:style>
  <w:style w:type="character" w:styleId="ListLabel1">
    <w:name w:val="ListLabel 1"/>
    <w:qFormat/>
    <w:rPr>
      <w:rFonts w:ascii="Arial" w:hAnsi="Arial"/>
      <w:b/>
      <w:bCs/>
      <w:color w:val="00000A"/>
      <w:sz w:val="24"/>
      <w:szCs w:val="24"/>
    </w:rPr>
  </w:style>
  <w:style w:type="character" w:styleId="ListLabel2">
    <w:name w:val="ListLabel 2"/>
    <w:qFormat/>
    <w:rPr>
      <w:rFonts w:ascii="Arial" w:hAnsi="Arial"/>
      <w:b w:val="false"/>
      <w:bCs w:val="false"/>
      <w:i w:val="false"/>
      <w:strike w:val="false"/>
      <w:dstrike w:val="false"/>
      <w:color w:val="00000A"/>
      <w:sz w:val="24"/>
      <w:szCs w:val="24"/>
      <w:u w:val="none"/>
      <w:effect w:val="none"/>
    </w:rPr>
  </w:style>
  <w:style w:type="character" w:styleId="ListLabel3">
    <w:name w:val="ListLabel 3"/>
    <w:qFormat/>
    <w:rPr>
      <w:rFonts w:ascii="Arial" w:hAnsi="Arial"/>
      <w:b w:val="false"/>
      <w:i w:val="false"/>
      <w:color w:val="00000A"/>
      <w:sz w:val="24"/>
      <w:szCs w:val="24"/>
    </w:rPr>
  </w:style>
  <w:style w:type="character" w:styleId="ListLabel4">
    <w:name w:val="ListLabel 4"/>
    <w:qFormat/>
    <w:rPr>
      <w:b/>
      <w:color w:val="00000A"/>
    </w:rPr>
  </w:style>
  <w:style w:type="character" w:styleId="ListLabel5">
    <w:name w:val="ListLabel 5"/>
    <w:qFormat/>
    <w:rPr>
      <w:rFonts w:ascii="Arial" w:hAnsi="Arial"/>
      <w:b/>
      <w:i w:val="false"/>
      <w:strike w:val="false"/>
      <w:dstrike w:val="false"/>
      <w:color w:val="00000A"/>
      <w:sz w:val="24"/>
      <w:u w:val="none"/>
      <w:effect w:val="none"/>
    </w:rPr>
  </w:style>
  <w:style w:type="character" w:styleId="ListLabel6">
    <w:name w:val="ListLabel 6"/>
    <w:qFormat/>
    <w:rPr>
      <w:b w:val="false"/>
      <w:i w:val="false"/>
      <w:color w:val="00000A"/>
    </w:rPr>
  </w:style>
  <w:style w:type="character" w:styleId="ListLabel7">
    <w:name w:val="ListLabel 7"/>
    <w:qFormat/>
    <w:rPr>
      <w:rFonts w:ascii="Arial" w:hAnsi="Arial"/>
      <w:b/>
      <w:bCs/>
      <w:color w:val="00000A"/>
      <w:sz w:val="24"/>
      <w:szCs w:val="24"/>
    </w:rPr>
  </w:style>
  <w:style w:type="character" w:styleId="ListLabel8">
    <w:name w:val="ListLabel 8"/>
    <w:qFormat/>
    <w:rPr>
      <w:rFonts w:ascii="Arial" w:hAnsi="Arial"/>
      <w:b w:val="false"/>
      <w:bCs w:val="false"/>
      <w:i w:val="false"/>
      <w:strike w:val="false"/>
      <w:dstrike w:val="false"/>
      <w:color w:val="00000A"/>
      <w:sz w:val="24"/>
      <w:szCs w:val="24"/>
      <w:u w:val="none"/>
      <w:effect w:val="none"/>
    </w:rPr>
  </w:style>
  <w:style w:type="character" w:styleId="ListLabel9">
    <w:name w:val="ListLabel 9"/>
    <w:qFormat/>
    <w:rPr>
      <w:rFonts w:ascii="Arial" w:hAnsi="Arial"/>
      <w:b w:val="false"/>
      <w:i w:val="false"/>
      <w:color w:val="00000A"/>
      <w:sz w:val="24"/>
      <w:szCs w:val="24"/>
    </w:rPr>
  </w:style>
  <w:style w:type="character" w:styleId="ListLabel10">
    <w:name w:val="ListLabel 10"/>
    <w:qFormat/>
    <w:rPr>
      <w:b/>
      <w:color w:val="00000A"/>
    </w:rPr>
  </w:style>
  <w:style w:type="character" w:styleId="ListLabel11">
    <w:name w:val="ListLabel 11"/>
    <w:qFormat/>
    <w:rPr>
      <w:rFonts w:ascii="Arial" w:hAnsi="Arial"/>
      <w:b/>
      <w:i w:val="false"/>
      <w:strike w:val="false"/>
      <w:dstrike w:val="false"/>
      <w:color w:val="00000A"/>
      <w:sz w:val="24"/>
      <w:u w:val="none"/>
      <w:effect w:val="none"/>
    </w:rPr>
  </w:style>
  <w:style w:type="character" w:styleId="ListLabel12">
    <w:name w:val="ListLabel 12"/>
    <w:qFormat/>
    <w:rPr>
      <w:b w:val="false"/>
      <w:i w:val="false"/>
      <w:color w:val="00000A"/>
    </w:rPr>
  </w:style>
  <w:style w:type="character" w:styleId="ListLabel13">
    <w:name w:val="ListLabel 13"/>
    <w:qFormat/>
    <w:rPr>
      <w:rFonts w:ascii="Arial" w:hAnsi="Arial"/>
      <w:b/>
      <w:bCs/>
      <w:color w:val="00000A"/>
      <w:sz w:val="24"/>
      <w:szCs w:val="24"/>
    </w:rPr>
  </w:style>
  <w:style w:type="character" w:styleId="ListLabel14">
    <w:name w:val="ListLabel 14"/>
    <w:qFormat/>
    <w:rPr>
      <w:rFonts w:ascii="Arial" w:hAnsi="Arial"/>
      <w:b w:val="false"/>
      <w:bCs w:val="false"/>
      <w:i w:val="false"/>
      <w:strike w:val="false"/>
      <w:dstrike w:val="false"/>
      <w:color w:val="00000A"/>
      <w:sz w:val="24"/>
      <w:szCs w:val="24"/>
      <w:u w:val="none"/>
      <w:effect w:val="none"/>
    </w:rPr>
  </w:style>
  <w:style w:type="character" w:styleId="ListLabel15">
    <w:name w:val="ListLabel 15"/>
    <w:qFormat/>
    <w:rPr>
      <w:rFonts w:ascii="Arial" w:hAnsi="Arial"/>
      <w:b w:val="false"/>
      <w:i w:val="false"/>
      <w:color w:val="00000A"/>
      <w:sz w:val="24"/>
      <w:szCs w:val="24"/>
    </w:rPr>
  </w:style>
  <w:style w:type="character" w:styleId="ListLabel16">
    <w:name w:val="ListLabel 16"/>
    <w:qFormat/>
    <w:rPr>
      <w:b/>
      <w:color w:val="00000A"/>
    </w:rPr>
  </w:style>
  <w:style w:type="character" w:styleId="ListLabel17">
    <w:name w:val="ListLabel 17"/>
    <w:qFormat/>
    <w:rPr>
      <w:rFonts w:ascii="Arial" w:hAnsi="Arial"/>
      <w:b/>
      <w:i w:val="false"/>
      <w:strike w:val="false"/>
      <w:dstrike w:val="false"/>
      <w:color w:val="00000A"/>
      <w:sz w:val="24"/>
      <w:u w:val="none"/>
      <w:effect w:val="none"/>
    </w:rPr>
  </w:style>
  <w:style w:type="character" w:styleId="ListLabel18">
    <w:name w:val="ListLabel 18"/>
    <w:qFormat/>
    <w:rPr>
      <w:b w:val="false"/>
      <w:i w:val="false"/>
      <w:color w:val="00000A"/>
    </w:rPr>
  </w:style>
  <w:style w:type="character" w:styleId="ListLabel19">
    <w:name w:val="ListLabel 19"/>
    <w:qFormat/>
    <w:rPr>
      <w:rFonts w:ascii="Arial" w:hAnsi="Arial"/>
      <w:b/>
      <w:bCs/>
      <w:color w:val="00000A"/>
      <w:sz w:val="24"/>
      <w:szCs w:val="24"/>
    </w:rPr>
  </w:style>
  <w:style w:type="character" w:styleId="ListLabel20">
    <w:name w:val="ListLabel 20"/>
    <w:qFormat/>
    <w:rPr>
      <w:rFonts w:ascii="Arial" w:hAnsi="Arial"/>
      <w:b w:val="false"/>
      <w:bCs w:val="false"/>
      <w:i w:val="false"/>
      <w:strike w:val="false"/>
      <w:dstrike w:val="false"/>
      <w:color w:val="00000A"/>
      <w:sz w:val="24"/>
      <w:szCs w:val="24"/>
      <w:u w:val="none"/>
      <w:effect w:val="none"/>
    </w:rPr>
  </w:style>
  <w:style w:type="character" w:styleId="ListLabel21">
    <w:name w:val="ListLabel 21"/>
    <w:qFormat/>
    <w:rPr>
      <w:rFonts w:ascii="Arial" w:hAnsi="Arial"/>
      <w:b w:val="false"/>
      <w:i w:val="false"/>
      <w:color w:val="00000A"/>
      <w:sz w:val="24"/>
      <w:szCs w:val="24"/>
    </w:rPr>
  </w:style>
  <w:style w:type="character" w:styleId="ListLabel22">
    <w:name w:val="ListLabel 22"/>
    <w:qFormat/>
    <w:rPr>
      <w:b/>
      <w:color w:val="00000A"/>
    </w:rPr>
  </w:style>
  <w:style w:type="character" w:styleId="ListLabel23">
    <w:name w:val="ListLabel 23"/>
    <w:qFormat/>
    <w:rPr>
      <w:rFonts w:ascii="Arial" w:hAnsi="Arial"/>
      <w:b/>
      <w:i w:val="false"/>
      <w:strike w:val="false"/>
      <w:dstrike w:val="false"/>
      <w:color w:val="00000A"/>
      <w:sz w:val="24"/>
      <w:u w:val="none"/>
      <w:effect w:val="none"/>
    </w:rPr>
  </w:style>
  <w:style w:type="character" w:styleId="ListLabel24">
    <w:name w:val="ListLabel 24"/>
    <w:qFormat/>
    <w:rPr>
      <w:b w:val="false"/>
      <w:i w:val="false"/>
      <w:color w:val="00000A"/>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Corpo de texto"/>
    <w:basedOn w:val="Normal"/>
    <w:qFormat/>
    <w:pPr>
      <w:spacing w:lineRule="auto" w:line="276" w:before="0" w:after="140"/>
    </w:pPr>
    <w:rPr/>
  </w:style>
  <w:style w:type="paragraph" w:styleId="Lista">
    <w:name w:val="Lista"/>
    <w:basedOn w:val="Corpodetexto"/>
    <w:pPr/>
    <w:rPr>
      <w:rFonts w:cs="Lucida Sans"/>
    </w:rPr>
  </w:style>
  <w:style w:type="paragraph" w:styleId="Legenda">
    <w:name w:val="Legenda"/>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sz w:val="20"/>
      <w:szCs w:val="24"/>
      <w:lang w:val="pt-BR" w:eastAsia="zh-CN" w:bidi="hi-IN"/>
    </w:rPr>
  </w:style>
  <w:style w:type="paragraph" w:styleId="CabealhoeRodap">
    <w:name w:val="Cabeçalho e Rodapé"/>
    <w:basedOn w:val="Normal"/>
    <w:qFormat/>
    <w:pPr/>
    <w:rPr/>
  </w:style>
  <w:style w:type="paragraph" w:styleId="Cabealho">
    <w:name w:val="Cabeçalho"/>
    <w:basedOn w:val="Normal"/>
    <w:link w:val="CabealhoChar"/>
    <w:uiPriority w:val="99"/>
    <w:unhideWhenUsed/>
    <w:rsid w:val="0073140b"/>
    <w:pPr>
      <w:tabs>
        <w:tab w:val="center" w:pos="4252" w:leader="none"/>
        <w:tab w:val="right" w:pos="8504" w:leader="none"/>
      </w:tabs>
      <w:spacing w:lineRule="auto" w:line="240" w:before="0" w:after="0"/>
    </w:pPr>
    <w:rPr/>
  </w:style>
  <w:style w:type="paragraph" w:styleId="Rodap">
    <w:name w:val="Rodapé"/>
    <w:basedOn w:val="Normal"/>
    <w:link w:val="RodapChar"/>
    <w:uiPriority w:val="99"/>
    <w:unhideWhenUsed/>
    <w:rsid w:val="0073140b"/>
    <w:pPr>
      <w:tabs>
        <w:tab w:val="center" w:pos="4252" w:leader="none"/>
        <w:tab w:val="right" w:pos="8504" w:leader="none"/>
      </w:tabs>
      <w:spacing w:lineRule="auto" w:line="240" w:before="0" w:after="0"/>
    </w:pPr>
    <w:rPr/>
  </w:style>
  <w:style w:type="paragraph" w:styleId="Ttulo11">
    <w:name w:val="Título 11"/>
    <w:basedOn w:val="Normal"/>
    <w:qFormat/>
    <w:pPr>
      <w:ind w:left="859" w:right="0" w:hanging="0"/>
      <w:outlineLvl w:val="1"/>
    </w:pPr>
    <w:rPr>
      <w:rFonts w:ascii="Calibri" w:hAnsi="Calibri" w:eastAsia="Calibri" w:cs="Calibri"/>
      <w:b/>
      <w:bCs/>
      <w:sz w:val="24"/>
      <w:szCs w:val="24"/>
      <w:lang w:val="pt-PT" w:eastAsia="en-US" w:bidi="ar-SA"/>
    </w:rPr>
  </w:style>
  <w:style w:type="paragraph" w:styleId="Contedodatabela">
    <w:name w:val="Conteúdo da tabela"/>
    <w:basedOn w:val="Normal"/>
    <w:qFormat/>
    <w:pPr>
      <w:suppressLineNumbers/>
      <w:suppressAutoHyphens w:val="true"/>
    </w:pPr>
    <w:rPr/>
  </w:style>
  <w:style w:type="paragraph" w:styleId="LONormal">
    <w:name w:val="LO-Normal"/>
    <w:qFormat/>
    <w:pPr>
      <w:widowControl w:val="false"/>
      <w:suppressAutoHyphens w:val="true"/>
      <w:bidi w:val="0"/>
      <w:spacing w:before="0" w:after="0"/>
      <w:jc w:val="left"/>
    </w:pPr>
    <w:rPr>
      <w:rFonts w:ascii="Calibri" w:hAnsi="Calibri" w:eastAsia="Calibri" w:cs="" w:asciiTheme="minorHAnsi" w:cstheme="minorBidi" w:eastAsiaTheme="minorHAnsi" w:hAnsiTheme="minorHAnsi"/>
      <w:color w:val="00000A"/>
      <w:sz w:val="22"/>
      <w:szCs w:val="22"/>
      <w:lang w:val="pt-BR" w:eastAsia="en-US" w:bidi="ar-SA"/>
    </w:rPr>
  </w:style>
  <w:style w:type="paragraph" w:styleId="TableParagraph">
    <w:name w:val="Table Paragraph"/>
    <w:basedOn w:val="Normal"/>
    <w:qFormat/>
    <w:pPr>
      <w:suppressAutoHyphens w:val="true"/>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308</TotalTime>
  <Application>LibreOffice/5.0.6.3$Windows_x86 LibreOffice_project/490fc03b25318460cfc54456516ea2519c11d1aa</Application>
  <Paragraphs>438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2022-07-02T17:53:00Z</dcterms:created>
  <dc:creator>Marcela Ali Tarif</dc:creator>
  <dc:language>pt-BR</dc:language>
  <cp:lastPrinted>2023-04-10T13:58:00Z</cp:lastPrinted>
  <dcterms:modified xsi:type="dcterms:W3CDTF">2023-04-10T13:59:10Z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ies>
</file>