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/>
        <w:ind w:right="51" w:hanging="0"/>
        <w:jc w:val="center"/>
        <w:rPr>
          <w:rFonts w:ascii="Times New Roman" w:hAnsi="Times New Roman" w:eastAsia="Times New Roman" w:cs="Times New Roman"/>
          <w:color w:val="000000"/>
          <w:szCs w:val="20"/>
        </w:rPr>
      </w:pPr>
      <w:r>
        <w:rPr/>
        <w:drawing>
          <wp:inline distT="0" distB="0" distL="0" distR="0">
            <wp:extent cx="628015" cy="64389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pBdr/>
        <w:jc w:val="center"/>
        <w:rPr>
          <w:rFonts w:ascii="Times New Roman" w:hAnsi="Times New Roman" w:eastAsia="Times New Roman" w:cs="Times New Roman"/>
          <w:b/>
          <w:b/>
          <w:color w:val="00000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Cs w:val="20"/>
        </w:rPr>
        <w:t>MINISTÉRIO DA DEFESA</w:t>
      </w:r>
    </w:p>
    <w:p>
      <w:pPr>
        <w:pStyle w:val="Normal"/>
        <w:pBdr/>
        <w:jc w:val="center"/>
        <w:rPr>
          <w:rFonts w:ascii="Times New Roman" w:hAnsi="Times New Roman" w:eastAsia="Times New Roman" w:cs="Times New Roman"/>
          <w:b/>
          <w:b/>
          <w:color w:val="00000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Cs w:val="20"/>
        </w:rPr>
        <w:t>EXÉRCITO BRASILEIRO</w:t>
      </w:r>
    </w:p>
    <w:p>
      <w:pPr>
        <w:pStyle w:val="Normal"/>
        <w:pBdr/>
        <w:jc w:val="center"/>
        <w:rPr>
          <w:rFonts w:ascii="Times New Roman" w:hAnsi="Times New Roman" w:eastAsia="Times New Roman" w:cs="Times New Roman"/>
          <w:b/>
          <w:b/>
          <w:color w:val="00000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Cs w:val="20"/>
        </w:rPr>
        <w:t>DEPARTAMENTO DE CIÊNCIA E TECNOLOGIA</w:t>
      </w:r>
    </w:p>
    <w:p>
      <w:pPr>
        <w:pStyle w:val="Normal"/>
        <w:pBdr/>
        <w:jc w:val="center"/>
        <w:rPr>
          <w:rFonts w:ascii="Times New Roman" w:hAnsi="Times New Roman" w:eastAsia="Times New Roman" w:cs="Times New Roman"/>
          <w:b/>
          <w:b/>
          <w:color w:val="00000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Cs w:val="20"/>
        </w:rPr>
        <w:t>INSTITUTO MILITAR DE ENGENHARIA</w:t>
      </w:r>
    </w:p>
    <w:p>
      <w:pPr>
        <w:pStyle w:val="Normal"/>
        <w:pBdr/>
        <w:jc w:val="center"/>
        <w:rPr>
          <w:rFonts w:ascii="Times New Roman" w:hAnsi="Times New Roman" w:eastAsia="Times New Roman" w:cs="Times New Roman"/>
          <w:b/>
          <w:b/>
          <w:color w:val="00000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Cs w:val="20"/>
        </w:rPr>
        <w:t>(Real Academia de Artilharia, Fortificação e Desenho - 1972)</w:t>
      </w:r>
    </w:p>
    <w:p>
      <w:pPr>
        <w:pStyle w:val="Normal"/>
        <w:spacing w:lineRule="auto" w:line="276" w:before="0" w:after="120"/>
        <w:ind w:right="-15" w:hanging="0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jc w:val="center"/>
        <w:rPr>
          <w:b/>
          <w:b/>
          <w:color w:val="000000"/>
        </w:rPr>
      </w:pPr>
      <w:r>
        <w:rPr>
          <w:b/>
          <w:color w:val="000000"/>
        </w:rPr>
        <w:t>PROJETO BÁSICO</w:t>
      </w:r>
    </w:p>
    <w:p>
      <w:pPr>
        <w:pStyle w:val="Normal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CONTRATAÇÃO DIRETA POR INEXIGIBILIDADE</w:t>
      </w:r>
    </w:p>
    <w:p>
      <w:pPr>
        <w:pStyle w:val="Normal"/>
        <w:spacing w:lineRule="auto" w:line="276"/>
        <w:jc w:val="center"/>
        <w:rPr/>
      </w:pPr>
      <w:r>
        <w:rPr>
          <w:b/>
          <w:color w:val="000000"/>
        </w:rPr>
        <w:t xml:space="preserve"> </w:t>
      </w:r>
      <w:r>
        <w:rPr>
          <w:b/>
          <w:color w:val="000000"/>
        </w:rPr>
        <w:t>(Processo Administrativ</w:t>
      </w:r>
      <w:r>
        <w:rPr>
          <w:b/>
        </w:rPr>
        <w:t>o n.°)</w:t>
      </w:r>
    </w:p>
    <w:p>
      <w:pPr>
        <w:pStyle w:val="Normal"/>
        <w:spacing w:lineRule="auto" w:line="276" w:before="0" w:after="120"/>
        <w:ind w:right="-15" w:hanging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/>
      </w:pPr>
      <w:r>
        <w:rPr>
          <w:rFonts w:cs="Arial"/>
          <w:b/>
          <w:color w:val="000000"/>
          <w:szCs w:val="20"/>
        </w:rPr>
        <w:t>DO OBJETO</w:t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/>
      </w:pPr>
      <w:bookmarkStart w:id="0" w:name="_Hlk120260349"/>
      <w:r>
        <w:rPr/>
        <w:t>1.1. Contratação direta por Inexigibilidade de Licitação para prestação de serviços de manutenção de equipamentos de laboratório, junto à empresa SPECTRIS DO BRASIL INSTRUMENTOS ELETRÔNICOS LTDA, CNPJ 43.948.215/001-41, para atender às necessidades do Instituto Militar de Engenharia – IME e seus anexos, devido ao fato da empresa ser a única prestadora dos serviços.</w:t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/>
      </w:pPr>
      <w:bookmarkStart w:id="1" w:name="_Hlk120260349"/>
      <w:r>
        <w:rPr/>
        <w:t>1.2. Para a estimativa dos quantitativos foi considerada a demanda do ano de 2022, para prestação de serviço de manutenção, conforme as especificações estabelecidas abaixo:</w:t>
      </w:r>
      <w:bookmarkEnd w:id="1"/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/>
      </w:pPr>
      <w:r>
        <w:rPr/>
      </w:r>
    </w:p>
    <w:tbl>
      <w:tblPr>
        <w:tblW w:w="872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5"/>
        <w:gridCol w:w="3342"/>
        <w:gridCol w:w="1557"/>
        <w:gridCol w:w="639"/>
        <w:gridCol w:w="1268"/>
        <w:gridCol w:w="1219"/>
      </w:tblGrid>
      <w:tr>
        <w:trPr>
          <w:trHeight w:val="498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>ITEM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>DESCRIÇÃO/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>ESPECIFICAÇÃO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>UNIDADE DE MEDIDA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>QTD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i/>
                <w:iCs/>
                <w:color w:val="000000"/>
                <w:szCs w:val="20"/>
              </w:rPr>
              <w:t>VALOR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i/>
                <w:iCs/>
                <w:color w:val="000000"/>
                <w:szCs w:val="20"/>
              </w:rPr>
              <w:t>UNITÁRIO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i/>
                <w:iCs/>
                <w:color w:val="000000"/>
                <w:szCs w:val="20"/>
              </w:rPr>
              <w:t>VALOR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i/>
                <w:iCs/>
                <w:color w:val="000000"/>
                <w:szCs w:val="20"/>
              </w:rPr>
              <w:t>TOTAL</w:t>
            </w:r>
          </w:p>
        </w:tc>
      </w:tr>
      <w:tr>
        <w:trPr>
          <w:trHeight w:val="619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1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Serviço de Manutenção Corretiva/Preventiva X ́Pert DY 0838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Unidade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R$ 35.741,60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R$ 35.741,60</w:t>
            </w:r>
          </w:p>
        </w:tc>
      </w:tr>
      <w:tr>
        <w:trPr>
          <w:trHeight w:val="619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2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Serviço de Manutenção Corretiva/Preventiva X ́Pert DY 2889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Unidade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R$ 35.741,60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color w:val="000000"/>
                <w:szCs w:val="20"/>
              </w:rPr>
              <w:t>R$ 35.741,60</w:t>
            </w:r>
          </w:p>
        </w:tc>
      </w:tr>
      <w:tr>
        <w:trPr>
          <w:trHeight w:val="366" w:hRule="atLeast"/>
        </w:trPr>
        <w:tc>
          <w:tcPr>
            <w:tcW w:w="7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>VALOR TOTAL: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eastAsia="Times New Roman" w:cs="Arial"/>
                <w:b/>
                <w:bCs/>
                <w:color w:val="000000"/>
                <w:szCs w:val="20"/>
              </w:rPr>
              <w:t>R$ 71.483,20</w:t>
            </w:r>
          </w:p>
        </w:tc>
      </w:tr>
    </w:tbl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jc w:val="both"/>
        <w:rPr/>
      </w:pPr>
      <w:r>
        <w:rPr/>
        <w:t xml:space="preserve"> </w:t>
      </w:r>
      <w:bookmarkStart w:id="2" w:name="_Hlk121134003"/>
      <w:bookmarkEnd w:id="2"/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>
          <w:rFonts w:cs="Arial"/>
          <w:color w:val="000000"/>
          <w:szCs w:val="20"/>
        </w:rPr>
      </w:pPr>
      <w:r>
        <w:rPr/>
        <w:t xml:space="preserve">1.3. A quantidade informada acima é referente a um ano de serviço, considerando </w:t>
      </w:r>
      <w:r>
        <w:rPr>
          <w:rFonts w:cs="Arial"/>
          <w:color w:val="000000"/>
          <w:szCs w:val="20"/>
        </w:rPr>
        <w:t>prestação de 04 (quatro) manutenções preventivas, 02 (duas) para cada equipamento a ser realizada semestralmente, dentro do prazo de vigência do contrato de 12 (doze) meses, e manutenções corretivas necessárias (chamadas emergenciais sem limite), considerando indistintamente os 02 (dois) equipamentos a serem realizadas dentro do prazo de vigência do contrato de 12 (doze) meses.</w:t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>
          <w:color w:val="FF0000"/>
        </w:rPr>
      </w:pPr>
      <w:r>
        <w:rPr/>
        <w:t xml:space="preserve">1.4. </w:t>
      </w:r>
      <w:r>
        <w:rPr>
          <w:rFonts w:cs="Arial"/>
          <w:color w:val="000000"/>
          <w:szCs w:val="20"/>
        </w:rPr>
        <w:t>O prazo de vigência da contratação é de 12 (doze) meses, contados a partir da data de assinatura do contrato ou da data de emissão do instrumento substitutivo, prorrogável na forma do art. 107 da Lei n° 14.133, de 2021.</w:t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>
          <w:color w:val="000000"/>
          <w:shd w:fill="auto" w:val="clear"/>
        </w:rPr>
      </w:pPr>
      <w:r>
        <w:rPr>
          <w:rFonts w:cs="Arial"/>
          <w:color w:val="000000"/>
          <w:szCs w:val="20"/>
          <w:shd w:fill="auto" w:val="clear"/>
        </w:rPr>
        <w:t xml:space="preserve">1.5. Trata-se de serviço de natureza contínua, tendo em vista </w:t>
      </w:r>
      <w:r>
        <w:rPr>
          <w:rFonts w:cs="Arial"/>
          <w:color w:val="000000"/>
          <w:szCs w:val="20"/>
          <w:shd w:fill="auto" w:val="clear"/>
        </w:rPr>
        <w:t>que a manutenção</w:t>
      </w:r>
      <w:r>
        <w:rPr>
          <w:rFonts w:cs="Arial"/>
          <w:color w:val="000000"/>
          <w:szCs w:val="20"/>
          <w:shd w:fill="auto" w:val="clear"/>
        </w:rPr>
        <w:t xml:space="preserve"> é necessári</w:t>
      </w:r>
      <w:r>
        <w:rPr>
          <w:rFonts w:cs="Arial"/>
          <w:color w:val="000000"/>
          <w:szCs w:val="20"/>
          <w:shd w:fill="auto" w:val="clear"/>
        </w:rPr>
        <w:t>a</w:t>
      </w:r>
      <w:r>
        <w:rPr>
          <w:rFonts w:cs="Arial"/>
          <w:color w:val="000000"/>
          <w:szCs w:val="20"/>
          <w:shd w:fill="auto" w:val="clear"/>
        </w:rPr>
        <w:t xml:space="preserve"> para tornar continuado o uso dos Difratômetro</w:t>
      </w:r>
      <w:r>
        <w:rPr>
          <w:rFonts w:cs="Arial"/>
          <w:color w:val="000000"/>
          <w:szCs w:val="20"/>
          <w:shd w:fill="auto" w:val="clear"/>
        </w:rPr>
        <w:t>s</w:t>
      </w:r>
      <w:r>
        <w:rPr>
          <w:rFonts w:cs="Arial"/>
          <w:color w:val="000000"/>
          <w:szCs w:val="20"/>
          <w:shd w:fill="auto" w:val="clear"/>
        </w:rPr>
        <w:t xml:space="preserve"> de Raios X dos modelos supracitados. A falta e falha do funcionamento destes equipamentos restringem a análise de diversos tipos de materiais, fazendo com que seja necessário recorrer a outras instituições para realizar tais serviços. </w:t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/>
      </w:pPr>
      <w:r>
        <w:rPr>
          <w:rFonts w:cs="Arial"/>
          <w:b/>
          <w:color w:val="000000"/>
          <w:szCs w:val="20"/>
        </w:rPr>
        <w:t xml:space="preserve">JUSTIFICATIVA DA CONTRATAÇÃO </w:t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/>
      </w:pPr>
      <w:r>
        <w:rPr/>
        <w:t>2.1. A Abertura do referido processo justifica-se pela necessidade de contratação de empresa que preste serviços de manutenção de equipamentos de laboratório para o Instituto Militar de Engenharia – IME, configurando serviço indispensável para o desenvolvimento e manutenção das atividades de pesquisa.</w:t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/>
      </w:pPr>
      <w:r>
        <w:rPr/>
        <w:t xml:space="preserve">2.2. Devido ao fato da empresa SPECTRIS DO BRASIL INSTRUMENTOS ELETRÔNICOS LTDA. ser a única fornecedora do serviço, configura-se a inviabilidade de competição, restando assim, a contratação por meio de inexigibilidade de licitação, a qual encontra amparo legal no artigo 74, I, da Lei n° 14.133/21 e suas alterações. </w:t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/>
      </w:pPr>
      <w:r>
        <w:rPr/>
      </w:r>
    </w:p>
    <w:p>
      <w:pPr>
        <w:pStyle w:val="Normal"/>
        <w:tabs>
          <w:tab w:val="clear" w:pos="720"/>
          <w:tab w:val="left" w:pos="834" w:leader="none"/>
        </w:tabs>
        <w:spacing w:lineRule="auto" w:line="276" w:before="120" w:after="120"/>
        <w:ind w:left="425" w:hanging="0"/>
        <w:jc w:val="both"/>
        <w:rPr/>
      </w:pPr>
      <w:r>
        <w:rPr>
          <w:rFonts w:cs="Arial"/>
          <w:b/>
          <w:color w:val="000000"/>
          <w:szCs w:val="20"/>
        </w:rPr>
        <w:t>CARACTERIZAÇÃO DA CONTRATAÇÃO DIRETA - EMBASAMENTO LEGAL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834" w:leader="none"/>
        </w:tabs>
        <w:spacing w:lineRule="auto" w:line="276" w:before="120" w:after="120"/>
        <w:ind w:left="426" w:hanging="6"/>
        <w:jc w:val="both"/>
        <w:rPr>
          <w:color w:val="000000"/>
        </w:rPr>
      </w:pPr>
      <w:r>
        <w:rPr/>
        <w:t>A caracterização da contratação direta por inexigibilidade de licitação será demonstrada a seguir:</w:t>
      </w:r>
    </w:p>
    <w:p>
      <w:pPr>
        <w:pStyle w:val="Normal"/>
        <w:numPr>
          <w:ilvl w:val="2"/>
          <w:numId w:val="1"/>
        </w:numPr>
        <w:tabs>
          <w:tab w:val="clear" w:pos="720"/>
          <w:tab w:val="left" w:pos="993" w:leader="none"/>
          <w:tab w:val="left" w:pos="1560" w:leader="none"/>
        </w:tabs>
        <w:spacing w:lineRule="auto" w:line="276" w:before="120" w:after="120"/>
        <w:ind w:left="993" w:hanging="0"/>
        <w:jc w:val="both"/>
        <w:rPr/>
      </w:pPr>
      <w:r>
        <w:rPr/>
        <w:t xml:space="preserve">Não existe viabilidade de competição (art. 74, I, da </w:t>
      </w:r>
      <w:bookmarkStart w:id="3" w:name="_Hlk120254165"/>
      <w:r>
        <w:rPr/>
        <w:t>Lei 14.</w:t>
      </w:r>
      <w:bookmarkEnd w:id="3"/>
      <w:r>
        <w:rPr/>
        <w:t>133, de 01 de abril de 2021). A empresa SPECTRIS DO BRASIL INSTRUMENTOS ELETRÔNICOS LTDA., CNPJ 43.948.215/001-41 é a única prestadora dos serviços de manutenção dos equipamentos X’Pert DY 0838 e X’Pert DY 2889.</w:t>
      </w:r>
    </w:p>
    <w:p>
      <w:pPr>
        <w:pStyle w:val="Normal"/>
        <w:numPr>
          <w:ilvl w:val="2"/>
          <w:numId w:val="1"/>
        </w:numPr>
        <w:tabs>
          <w:tab w:val="clear" w:pos="720"/>
          <w:tab w:val="left" w:pos="993" w:leader="none"/>
          <w:tab w:val="left" w:pos="1560" w:leader="none"/>
        </w:tabs>
        <w:spacing w:lineRule="auto" w:line="276" w:before="120" w:after="120"/>
        <w:ind w:left="993" w:hanging="0"/>
        <w:jc w:val="both"/>
        <w:rPr/>
      </w:pPr>
      <w:r>
        <w:rPr/>
        <w:t>A exclusividade da empresa SPECTRIS DO BRASIL INSTRUMENTOS ELETRÔNICOS LTDA. foi atestada por meio de Declaração de Exclusividade da própria em presa e da Associação Comercial de São Paulo.</w:t>
      </w:r>
    </w:p>
    <w:p>
      <w:pPr>
        <w:pStyle w:val="Normal"/>
        <w:numPr>
          <w:ilvl w:val="2"/>
          <w:numId w:val="1"/>
        </w:numPr>
        <w:tabs>
          <w:tab w:val="clear" w:pos="720"/>
          <w:tab w:val="left" w:pos="1276" w:leader="none"/>
          <w:tab w:val="left" w:pos="1560" w:leader="none"/>
        </w:tabs>
        <w:spacing w:lineRule="auto" w:line="276" w:before="120" w:after="240"/>
        <w:ind w:left="993" w:hanging="0"/>
        <w:jc w:val="both"/>
        <w:rPr/>
      </w:pPr>
      <w:r>
        <w:rPr/>
        <w:t xml:space="preserve">Resta caracterizada assim a exclusividade da empresa SPECTRIS DO BRASIL INSTRUMENTOS ELETRÔNICOS LTDA. nos serviços de manutenção dos equipamentos </w:t>
      </w:r>
      <w:r>
        <w:rPr>
          <w:rFonts w:eastAsia="Times New Roman" w:cs="Arial"/>
          <w:color w:val="000000"/>
          <w:szCs w:val="20"/>
        </w:rPr>
        <w:t>X ́Pert DY 0838 e X ́Pert DY 2889</w:t>
      </w:r>
      <w:r>
        <w:rPr/>
        <w:t>, configurando as condições necessárias para que ocorra a Inexigibilidade de Licitação, com base no art. 74, Inciso I da Lei 14.133, de 01 de abril de 2021.</w:t>
      </w:r>
    </w:p>
    <w:p>
      <w:pPr>
        <w:pStyle w:val="Normal"/>
        <w:keepNext w:val="true"/>
        <w:keepLines/>
        <w:widowControl w:val="false"/>
        <w:numPr>
          <w:ilvl w:val="2"/>
          <w:numId w:val="1"/>
        </w:numPr>
        <w:pBdr/>
        <w:tabs>
          <w:tab w:val="clear" w:pos="720"/>
          <w:tab w:val="left" w:pos="1560" w:leader="none"/>
        </w:tabs>
        <w:spacing w:lineRule="auto" w:line="276" w:before="0" w:after="266"/>
        <w:ind w:left="993" w:hanging="0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Dessa forma, a presente </w:t>
      </w:r>
      <w:r>
        <w:rPr/>
        <w:t xml:space="preserve">prestação de serviço </w:t>
      </w:r>
      <w:r>
        <w:rPr>
          <w:rFonts w:cs="Arial"/>
          <w:szCs w:val="20"/>
        </w:rPr>
        <w:t xml:space="preserve">deverá ser realizada por Inexigibilidade de Licitação, em observância </w:t>
      </w:r>
      <w:r>
        <w:rPr/>
        <w:t>às hipóteses</w:t>
      </w:r>
      <w:r>
        <w:rPr>
          <w:rFonts w:cs="Arial"/>
          <w:szCs w:val="20"/>
        </w:rPr>
        <w:t xml:space="preserve"> previstas no art. 74, I, </w:t>
      </w:r>
      <w:r>
        <w:rPr/>
        <w:t>d</w:t>
      </w:r>
      <w:r>
        <w:rPr>
          <w:rFonts w:cs="Arial"/>
          <w:szCs w:val="20"/>
        </w:rPr>
        <w:t>a Lei 14.133, de 01 de abril de 2021, o qual diz:</w:t>
      </w:r>
    </w:p>
    <w:p>
      <w:pPr>
        <w:pStyle w:val="Normal"/>
        <w:pBdr/>
        <w:spacing w:before="120" w:after="0"/>
        <w:ind w:left="1560" w:hanging="0"/>
        <w:jc w:val="both"/>
        <w:rPr>
          <w:i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“</w:t>
      </w:r>
      <w:r>
        <w:rPr>
          <w:rFonts w:cs="Arial"/>
          <w:i/>
          <w:sz w:val="18"/>
          <w:szCs w:val="18"/>
        </w:rPr>
        <w:t>Art.74. É inexigível a licitação quando inviável a competição.</w:t>
      </w:r>
      <w:r>
        <w:rPr>
          <w:i/>
          <w:sz w:val="18"/>
          <w:szCs w:val="18"/>
        </w:rPr>
        <w:t>”</w:t>
      </w:r>
    </w:p>
    <w:p>
      <w:pPr>
        <w:pStyle w:val="Normal"/>
        <w:keepNext w:val="true"/>
        <w:keepLines/>
        <w:numPr>
          <w:ilvl w:val="0"/>
          <w:numId w:val="1"/>
        </w:numPr>
        <w:spacing w:lineRule="auto" w:line="276" w:before="480" w:after="240"/>
        <w:jc w:val="both"/>
        <w:rPr/>
      </w:pPr>
      <w:r>
        <w:rPr>
          <w:b/>
        </w:rPr>
        <w:t>GARANTIA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993" w:leader="none"/>
        </w:tabs>
        <w:spacing w:lineRule="auto" w:line="276" w:before="120" w:after="120"/>
        <w:contextualSpacing/>
        <w:jc w:val="both"/>
        <w:rPr/>
      </w:pPr>
      <w:r>
        <w:rPr/>
        <w:t>Não haverá exigência de garantia de execução contratual.</w:t>
      </w:r>
      <w:bookmarkStart w:id="4" w:name="_GoBack"/>
      <w:bookmarkEnd w:id="4"/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240"/>
        <w:jc w:val="both"/>
        <w:rPr>
          <w:b/>
          <w:b/>
        </w:rPr>
      </w:pPr>
      <w:r>
        <w:rPr>
          <w:b/>
        </w:rPr>
        <w:t>DEMANDA DO ÓRGÃO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>A demanda do órgão tem como base as seguintes características:</w:t>
      </w:r>
    </w:p>
    <w:p>
      <w:pPr>
        <w:pStyle w:val="Normal"/>
        <w:numPr>
          <w:ilvl w:val="2"/>
          <w:numId w:val="1"/>
        </w:numPr>
        <w:tabs>
          <w:tab w:val="clear" w:pos="720"/>
          <w:tab w:val="left" w:pos="1701" w:leader="none"/>
        </w:tabs>
        <w:spacing w:lineRule="auto" w:line="276" w:before="120" w:after="240"/>
        <w:ind w:left="1134" w:hanging="0"/>
        <w:jc w:val="both"/>
        <w:rPr>
          <w:rFonts w:cs="Arial"/>
          <w:color w:val="000000"/>
          <w:szCs w:val="20"/>
        </w:rPr>
      </w:pPr>
      <w:r>
        <w:rPr>
          <w:rFonts w:eastAsia="Times New Roman" w:cs="Arial"/>
          <w:szCs w:val="20"/>
        </w:rPr>
        <w:t>Atender as necessidades do efetivo do Instituto Militar de Engenharia – IME, instituição de ensino que conta hoje com aproximado 1.500 (mil e quinhentos) usuários/dia, subdivididos entre militares do Corpo Permanente, Alunos militares e civis de Graduação e Pós-Graduação, servidores civis e funcionários terceirizados.</w:t>
      </w:r>
    </w:p>
    <w:p>
      <w:pPr>
        <w:pStyle w:val="Normal"/>
        <w:numPr>
          <w:ilvl w:val="2"/>
          <w:numId w:val="1"/>
        </w:numPr>
        <w:tabs>
          <w:tab w:val="clear" w:pos="720"/>
          <w:tab w:val="left" w:pos="1701" w:leader="none"/>
        </w:tabs>
        <w:spacing w:lineRule="auto" w:line="276" w:before="120" w:after="240"/>
        <w:ind w:left="1134" w:hanging="0"/>
        <w:jc w:val="both"/>
        <w:rPr>
          <w:rFonts w:cs="Arial"/>
          <w:color w:val="000000"/>
          <w:szCs w:val="20"/>
        </w:rPr>
      </w:pPr>
      <w:r>
        <w:rPr>
          <w:rFonts w:eastAsia="Times New Roman" w:cs="Arial"/>
          <w:szCs w:val="20"/>
        </w:rPr>
        <w:t xml:space="preserve">Por sua especificidade, o Instituto Militar de Engenharia – IME possui laboratórios destinados às técnicas de </w:t>
      </w:r>
      <w:r>
        <w:rPr>
          <w:color w:val="000000"/>
        </w:rPr>
        <w:t>identificação, qualificação e quantificação de fases dos diferentes materiais, textura cristalográfica, tensão residual, entre outros, por meio da difração de raios X.</w:t>
      </w:r>
      <w:r>
        <w:rPr>
          <w:rFonts w:eastAsia="Times New Roman" w:cs="Arial"/>
          <w:szCs w:val="20"/>
        </w:rPr>
        <w:t xml:space="preserve"> </w:t>
      </w:r>
    </w:p>
    <w:p>
      <w:pPr>
        <w:pStyle w:val="Normal"/>
        <w:numPr>
          <w:ilvl w:val="2"/>
          <w:numId w:val="1"/>
        </w:numPr>
        <w:tabs>
          <w:tab w:val="clear" w:pos="720"/>
          <w:tab w:val="left" w:pos="1701" w:leader="none"/>
        </w:tabs>
        <w:spacing w:lineRule="auto" w:line="276" w:before="120" w:after="240"/>
        <w:ind w:left="1134" w:hanging="0"/>
        <w:jc w:val="both"/>
        <w:rPr>
          <w:color w:val="000000"/>
        </w:rPr>
      </w:pPr>
      <w:r>
        <w:rPr>
          <w:color w:val="000000"/>
        </w:rPr>
        <w:t xml:space="preserve">O serviço de manutenção dos difratômetros é requisito essencial e necessidade permanente deste Instituto Militar de Engenharia – IME, sendo fundamental para a realização das atividades acadêmicas. A falta ou interrupção na prestação dos serviços desejados causará impacto negativo na </w:t>
      </w:r>
      <w:bookmarkStart w:id="5" w:name="_Hlk121120808"/>
      <w:r>
        <w:rPr>
          <w:color w:val="000000"/>
        </w:rPr>
        <w:t xml:space="preserve">capacidade </w:t>
      </w:r>
      <w:bookmarkEnd w:id="5"/>
      <w:r>
        <w:rPr>
          <w:color w:val="000000"/>
        </w:rPr>
        <w:t>acadêmica, assim causando perda de rendimento escolar e científico. Destarte, o serviço pretendido possui natureza continuada, encontrando respaldo no art. Da IN 05/2017 do Ministério do Planejamento, Desenvolvimento e Gestão.</w:t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/>
      </w:pPr>
      <w:r>
        <w:rPr>
          <w:rFonts w:cs="Arial"/>
          <w:b/>
          <w:color w:val="000000"/>
          <w:szCs w:val="20"/>
        </w:rPr>
        <w:t>MÉTODOS E ESTRATÉGIAS DE REALIZAÇÃO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>A Contratada fornecerá o serviço de manutenção no laboratório de Difração de raios X do Instituto Militar de Engenharia - IME, situado na Praça General Tibúrcio, 80 – Praia Vermelha – Urca – Rio de Janeiro/RJ.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>A Contratada promoverá manutenções preventivas e corretivas nos equipamentos citados anteriormente.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>As condições gerais para a prestação do serviço de serviço de manutenção devem obedecer às normas legais e regulamentares aplicáveis.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 xml:space="preserve">Os serviços serão executados em 04 (quatro) visitas para manutenções preventivas, </w:t>
      </w:r>
      <w:r>
        <w:rPr>
          <w:rFonts w:cs="Arial"/>
          <w:color w:val="000000"/>
          <w:szCs w:val="20"/>
        </w:rPr>
        <w:t>e manutenções corretivas necessárias (chamadas emergenciais sem limite), considerando indistintamente os 02 (dois) equipamentos</w:t>
      </w:r>
      <w:r>
        <w:rPr/>
        <w:t xml:space="preserve"> durante toda a vigência contratual, ressalvados os problemas ocasionados em razão de caso fortuito ou força maior.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>Não se caracteriza como descontinuidade dos serviços a sua interrupção em situação de emergência ou, após prévio aviso, quando motivada por razões de ordem técnica ou de segurança das instalações.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>A empresa contratada executará de forma contínua os serviços e, em intervalos regulares, efetuará as manutenções preventivas e corretivas dos equipamentos.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  <w:t xml:space="preserve">A empresa contratada emitirá fatura dos serviços objeto desta contratação, com base nas visitas realizadas, sendo essas visitas divididas em valores iguais. </w:t>
      </w:r>
    </w:p>
    <w:p>
      <w:pPr>
        <w:pStyle w:val="Normal"/>
        <w:tabs>
          <w:tab w:val="clear" w:pos="720"/>
          <w:tab w:val="left" w:pos="993" w:leader="none"/>
        </w:tabs>
        <w:spacing w:lineRule="auto" w:line="276" w:before="120" w:after="120"/>
        <w:ind w:left="426" w:hanging="0"/>
        <w:jc w:val="both"/>
        <w:rPr/>
      </w:pPr>
      <w:r>
        <w:rPr/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>
          <w:rFonts w:cs="Arial"/>
          <w:b/>
          <w:b/>
          <w:color w:val="000000"/>
          <w:szCs w:val="20"/>
        </w:rPr>
      </w:pPr>
      <w:r>
        <w:rPr>
          <w:rFonts w:cs="Arial"/>
          <w:b/>
          <w:color w:val="000000"/>
          <w:szCs w:val="20"/>
        </w:rPr>
        <w:t>AVALIAÇÃO DOS CUSTOS</w:t>
      </w:r>
    </w:p>
    <w:p>
      <w:pPr>
        <w:pStyle w:val="Normal"/>
        <w:numPr>
          <w:ilvl w:val="1"/>
          <w:numId w:val="1"/>
        </w:numPr>
        <w:tabs>
          <w:tab w:val="clear" w:pos="720"/>
          <w:tab w:val="left" w:pos="709" w:leader="none"/>
        </w:tabs>
        <w:spacing w:lineRule="auto" w:line="276" w:before="120" w:after="120"/>
        <w:ind w:left="284" w:hanging="0"/>
        <w:jc w:val="both"/>
        <w:rPr/>
      </w:pPr>
      <w:r>
        <w:rPr/>
        <w:t xml:space="preserve">O valor global anual estimado para a execução dos serviços será de aproximadamente </w:t>
      </w:r>
      <w:r>
        <w:rPr>
          <w:b/>
          <w:bCs/>
        </w:rPr>
        <w:t xml:space="preserve">R$ </w:t>
      </w:r>
      <w:r>
        <w:rPr>
          <w:b/>
          <w:color w:val="000000"/>
        </w:rPr>
        <w:t>71.483,20</w:t>
      </w:r>
      <w:r>
        <w:rPr/>
        <w:t xml:space="preserve"> (</w:t>
      </w:r>
      <w:r>
        <w:rPr>
          <w:color w:val="000000"/>
          <w:shd w:fill="FFFFFF" w:val="clear"/>
        </w:rPr>
        <w:t>setenta e um mil, quatrocentos e oitenta e três reais e vinte centavos</w:t>
      </w:r>
      <w:r>
        <w:rPr/>
        <w:t xml:space="preserve">). </w:t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/>
      </w:pPr>
      <w:r>
        <w:rPr>
          <w:rFonts w:cs="Arial"/>
          <w:b/>
          <w:color w:val="000000"/>
          <w:szCs w:val="20"/>
        </w:rPr>
        <w:t>RE</w:t>
      </w:r>
      <w:r>
        <w:rPr>
          <w:rFonts w:cs="Arial"/>
          <w:b/>
          <w:szCs w:val="20"/>
        </w:rPr>
        <w:t>ALIZAÇÃO E CRITÉRIOS DE ACEITAÇÃO DO OBJETO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Serviço de manutenção preventiva e corretiva laboratório de Difração de raios X do Instituto Militar de Engenharia – IME, localizado na Praça General Tibúrcio, 80 – Praia Vermelha – Urca – Rio de Janeiro/RJ.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 xml:space="preserve">Executar 04 (quatro) visitas para manutenções preventivas, </w:t>
      </w:r>
      <w:r>
        <w:rPr>
          <w:rFonts w:cs="Arial"/>
          <w:color w:val="000000"/>
          <w:szCs w:val="20"/>
        </w:rPr>
        <w:t>e manutenções corretivas necessárias (chamadas emergenciais sem limite), considerando indistintamente os 02 (dois) equipamentos</w:t>
      </w:r>
      <w:r>
        <w:rPr/>
        <w:t>, do Instituto Militar de Engenharia – IME, localizado na Praça General Tibúrcio, 80 – Praia Vermelha – Urca – Rio de Janeiro/RJ.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</w:r>
    </w:p>
    <w:p>
      <w:pPr>
        <w:pStyle w:val="Normal"/>
        <w:keepNext w:val="true"/>
        <w:keepLines/>
        <w:numPr>
          <w:ilvl w:val="0"/>
          <w:numId w:val="1"/>
        </w:numPr>
        <w:pBdr/>
        <w:tabs>
          <w:tab w:val="clear" w:pos="720"/>
          <w:tab w:val="left" w:pos="851" w:leader="none"/>
        </w:tabs>
        <w:spacing w:lineRule="auto" w:line="276" w:before="360" w:after="120"/>
        <w:jc w:val="both"/>
        <w:rPr/>
      </w:pPr>
      <w:r>
        <w:rPr>
          <w:rFonts w:cs="Arial"/>
          <w:b/>
          <w:szCs w:val="20"/>
        </w:rPr>
        <w:t>DO TERMO DE CONTRATO OU INSTRUMENTO EQUIVALENTE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Será confeccionado termo de contrato e nele estarão as informações referentes à contratação da prestação dos serviços contidos neste Projeto Básico e na proposta comercial, em anexo.</w:t>
      </w:r>
    </w:p>
    <w:p>
      <w:pPr>
        <w:pStyle w:val="Normal"/>
        <w:keepNext w:val="true"/>
        <w:keepLines/>
        <w:numPr>
          <w:ilvl w:val="0"/>
          <w:numId w:val="1"/>
        </w:numPr>
        <w:tabs>
          <w:tab w:val="clear" w:pos="720"/>
          <w:tab w:val="left" w:pos="851" w:leader="none"/>
        </w:tabs>
        <w:spacing w:lineRule="auto" w:line="276" w:before="360" w:after="120"/>
        <w:jc w:val="both"/>
        <w:rPr/>
      </w:pPr>
      <w:r>
        <w:rPr>
          <w:b/>
        </w:rPr>
        <w:t xml:space="preserve">CONTROLE DA EXECUÇÃO 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10.1. A execução do serviço estará sujeita a mais ampla, irrestrita e rigorosa fiscalização pelo Instituto Militar de Engenharia – IME, no ato da execução, obrigando-se a Contratada a prestar todos os esclarecimentos necessários que lhe forem solicitados.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10.2. A fiscalização de que trata esta cláusula não exclui nem reduz a responsabilidade da Contratada.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10.3. O Instituto Militar de Engenharia – IME designará um representante para acompanhar e fiscalizar a execução do Contrato, a quem caberá anotar, em registro próprio, todas as ocorrências relacionadas, determinando o que for necessário à regularização das falhas ou defeitos, observadas as leis e regulamentos pertinentes, nos termos do art. 117 Lei nº 14.133, de 2021.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contextualSpacing/>
        <w:jc w:val="both"/>
        <w:rPr>
          <w:b/>
          <w:b/>
          <w:bCs/>
        </w:rPr>
      </w:pPr>
      <w:r>
        <w:rPr>
          <w:b/>
          <w:bCs/>
        </w:rPr>
        <w:t>DO PAGAMENTO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11.1. O Instituto Militar de Engenharia – IME é o responsável pelo pagamento dos débitos relativos aos serviços prestados pela SPECTRIS DO BRASIL INSTRUMENTOS ELETRÔNICOS LTDA., obrigando-se a realizá-lo, conforme a realização das visitas de manutenção, até a data do vencimento indicado na respectiva fatura.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11.2. A falta de pagamento, até a data do seu vencimento, implicará nos seguintes acréscimos, os quais serão incluídos na fatura do mês imediatamente subsequente: atualização monetária; multa equivalente a 2% (dois por cento) do valor atualizado e juros de mora de 1% (um por cento) ao mês, ou fração, calculados também sobre o valor atualizado da fatura.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11.3. A SPECTRIS DO BRASIL INSTRUMENTOS ELETRÔNICOS LTDA. poderá incluir na fatura os valores de outros serviços prestados ao Instituto Militar de Engenharia – IME, desde que por ele autorizada, antecipadamente.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  <w:t>11.4. A SPECTRIS DO BRASIL INSTRUMENTOS ELETRÔNICOS LTDA. emitirá fatura  dos serviços objeto deste contrato, com base nas visitas de manutenção realizadas</w:t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jc w:val="both"/>
        <w:rPr/>
      </w:pPr>
      <w:r>
        <w:rPr/>
      </w:r>
    </w:p>
    <w:p>
      <w:pPr>
        <w:pStyle w:val="Normal"/>
        <w:widowControl w:val="false"/>
        <w:tabs>
          <w:tab w:val="clear" w:pos="720"/>
          <w:tab w:val="left" w:pos="429" w:leader="none"/>
          <w:tab w:val="left" w:pos="851" w:leader="none"/>
        </w:tabs>
        <w:spacing w:lineRule="auto" w:line="276" w:before="0" w:after="120"/>
        <w:ind w:left="426" w:hanging="0"/>
        <w:jc w:val="both"/>
        <w:rPr/>
      </w:pPr>
      <w:r>
        <w:rPr/>
      </w:r>
    </w:p>
    <w:p>
      <w:pPr>
        <w:pStyle w:val="ListParagraph"/>
        <w:keepNext w:val="true"/>
        <w:keepLines/>
        <w:numPr>
          <w:ilvl w:val="0"/>
          <w:numId w:val="1"/>
        </w:numPr>
        <w:pBdr/>
        <w:spacing w:lineRule="auto" w:line="276" w:before="120" w:after="120"/>
        <w:contextualSpacing/>
        <w:jc w:val="both"/>
        <w:rPr/>
      </w:pPr>
      <w:r>
        <w:rPr>
          <w:rFonts w:cs="Arial"/>
          <w:b/>
          <w:color w:val="000000"/>
          <w:szCs w:val="20"/>
        </w:rPr>
        <w:t>OBRIGAÇÕES DA CONTRATANTE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Exigir o cumprimento de todas as obrigações assumidas pela Contratada, de acordo com as cláusulas do Projeto Básico e os termos de sua proposta.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Proporcionar todas as facilidades para que a Contratada possa cumprir suas obrigações dentro das normas e condições contratuais.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Rejeitar, no todo ou em parte, os serviços entregues em desacordo com as obrigações assumidas pela Contratada.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Designar um servidor para acompanhar e fiscalizar a execução do objeto contratado.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Levar ao conhecimento do poder público e da </w:t>
      </w:r>
      <w:bookmarkStart w:id="6" w:name="_Hlk120626763"/>
      <w:r>
        <w:rPr/>
        <w:t xml:space="preserve">SPECTRIS DO BRASIL INSTRUMENTOS ELETRÔNICOS LTDA. </w:t>
      </w:r>
      <w:bookmarkEnd w:id="6"/>
      <w:r>
        <w:rPr/>
        <w:t>as irregularidades de que tenha conhecimento, referentes aos serviços prestados.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/>
        <w:t>Comunicar as autoridades competentes os atos ilícitos praticados pela SPECTRIS DO BRASIL INSTRUMENTOS ELETRÔNICOS LTDA. na prestação dos serviços.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Contribuir para a permanência das boas condições dos bens públicos através dos quais lhe são prestados os serviços.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Colaborar com a preservação das instalações do Laboratório de Difração de Raios-X.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Pagar, dentro dos prazos, as faturas referentes aos serviços de manutenção preventiva e corretiva, e a outros realizados pela </w:t>
      </w:r>
      <w:r>
        <w:rPr/>
        <w:t>SPECTRIS DO BRASIL INSTRUMENTOS ELETRÔNICOS LTDA., conforme os valores estabelecidos em normas legais e regulamentares.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/>
        <w:t xml:space="preserve">Evitar que pessoas não autorizadas pela SPECTRIS DO BRASIL INSTRUMENTOS ELETRÔNICOS LTDA. realizem serviços de </w:t>
      </w:r>
      <w:r>
        <w:rPr>
          <w:rFonts w:cs="Arial"/>
          <w:color w:val="000000"/>
          <w:szCs w:val="20"/>
        </w:rPr>
        <w:t>manutenção preventiva e corretiva</w:t>
      </w:r>
      <w:r>
        <w:rPr/>
        <w:t xml:space="preserve"> dos equipamentos em questão.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/>
        <w:t>Permitir o acesso de empregados e representantes da SPECTRIS DO BRASIL INSTRUMENTOS ELETRÔNICOS LTDA. a suas instalações, quando necessário realizar serviços relacionados ao objeto deste Contrato.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Comunicar à Contratada por escrito, da ocorrência de eventuais imperfeições, falhas ou irregularidades verificadas no objeto fornecido, para que seja substituído, reparado ou corrigido.</w:t>
      </w:r>
    </w:p>
    <w:p>
      <w:pPr>
        <w:pStyle w:val="Normal"/>
        <w:keepNext w:val="true"/>
        <w:keepLines/>
        <w:pBdr/>
        <w:tabs>
          <w:tab w:val="clear" w:pos="720"/>
          <w:tab w:val="left" w:pos="993" w:leader="none"/>
        </w:tabs>
        <w:spacing w:lineRule="auto" w:line="276" w:before="0" w:after="120"/>
        <w:ind w:left="426" w:hanging="0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0" w:after="80"/>
        <w:ind w:left="357" w:hanging="357"/>
        <w:jc w:val="both"/>
        <w:rPr>
          <w:rFonts w:cs="Arial"/>
          <w:b/>
          <w:b/>
          <w:color w:val="000000"/>
          <w:szCs w:val="20"/>
        </w:rPr>
      </w:pPr>
      <w:r>
        <w:rPr>
          <w:rFonts w:cs="Arial"/>
          <w:b/>
          <w:color w:val="000000"/>
          <w:szCs w:val="20"/>
        </w:rPr>
        <w:t>OBRIGAÇÕES DA CONTRATADA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A contratada deve cumprir todas as obrigações constantes no Projeto Básico e de sua proposta, assumindo como exclusivamente seus os riscos e as despesas decorrentes da boa e perfeita execução do objeto.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Não permitir a utilização de qualquer trabalho de menor de dezesseis anos, exceto na condição de aprendiz para os maiores de quatorze anos; nem permitir a utilização do trabalho do menor de dezoito anos em trabalho noturno, perigoso ou insalubre.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A empresa contratada deverá atender as práticas e critérios de sustentabilidade ambiental, na execução do objeto, quando couber, conforme as exigências de caráter ambiental previstas.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Arcar com todas as despesas, diretas ou indiretas, decorrentes do cumprimento das obrigações assumidas, sem qualquer ônus ao Instituto Militar de Engenharia – IME.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Reparar, corrigir, remover, ou substituir, as suas expensas, no total ou em parte, o objeto do Contrato em que se verificarem vícios, defeitos ou incorreções.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Responsabilizar-se pelos danos causados diretamente a Administração ou a terceiros, decorrentes de sua culpa ou dolo na execução do Contrato, não excluindo ou reduzindo essa responsabilidade a fiscalização e o acompanhamento do Instituto Militar de Engenharia – IME.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Responsabilizar-se pelo fiel cumprimento dos serviços contratados.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Providenciar, as suas expensas, a substituição de peças dos equipamentos em decorrência de danos, avarias, furo ou perda total, sem prejuízo das multas a que estiver sujeito em tais casos.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Atender a todas as obrigações de natureza fiscal, trabalhista e previdenciária, os encargos oriundos de normas regulamentares estabelecidas pela legislação específica.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Assumir todos e quaisquer ônus referentes a salários, encargos sociais, transportes, alimentação, taxas e contribuições, equipamentos, impostos e demais obrigações legais decorrentes de leis trabalhistas, que digam respeito aos seus empregados, prepostos ou terceirizados, a qualquer título, não tendo os empregados ou prestadores de serviços da Contratada nenhum vínculo contratual ou empregatício com a Contratante, sendo certo que a inadimplência da Contratada com referência as obrigações trabalhistas e/ou previdenciárias não transfere ao Instituto Militar de Engenharia – IME a responsabilidade por seu pagamento, nem poderá onerar o objeto deste Contrato.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Assumir todas as responsabilidades e tomar as medidas necessárias ao atendimento dos seus empregados, acidentados ou com mal súbito.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Fornecer, quando do pedido de serviços ao Instituto Militar de Engenharia – IME, protocolo com os prazos regulamentares relativos aos serviços solicitados, excetuando-se os casos de emergência.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Manter o registro de reclamações dos consumidores à disposição dos interessados, pelo período de três anos.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Disponibilizar profissionais devidamente capacitados e identificados para a prestação de serviços.</w:t>
      </w:r>
    </w:p>
    <w:p>
      <w:pPr>
        <w:pStyle w:val="Normal"/>
        <w:keepNext w:val="true"/>
        <w:keepLines/>
        <w:numPr>
          <w:ilvl w:val="1"/>
          <w:numId w:val="1"/>
        </w:numPr>
        <w:pBdr/>
        <w:tabs>
          <w:tab w:val="clear" w:pos="720"/>
          <w:tab w:val="left" w:pos="993" w:leader="none"/>
        </w:tabs>
        <w:spacing w:lineRule="auto" w:line="276" w:before="0" w:after="120"/>
        <w:ind w:left="426" w:hanging="7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Notificar a Contratante acerca de qualquer ocorrência anormal na prestação de serviço, tanto por parte da Contratante quanto por parte da Contratada.</w:t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/>
      </w:pPr>
      <w:r>
        <w:rPr>
          <w:rFonts w:cs="Arial"/>
          <w:b/>
          <w:color w:val="000000"/>
          <w:szCs w:val="20"/>
        </w:rPr>
        <w:t>MEDIDAS ACAUTELADORAS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426" w:hanging="7"/>
        <w:jc w:val="both"/>
        <w:rPr/>
      </w:pPr>
      <w:r>
        <w:rPr/>
        <w:t>Consoante o artigo 45 da Lei nº 9.784, de 1999, a Administração Pública poderá, sem a prévia manifestação do interessado, motivadamente, adotar providências acauteladoras, inclusive retendo o pagamento, em caso de risco iminente, como forma de prevenir a ocorrência de dano difícil ou impossível reparação.</w:t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/>
      </w:pPr>
      <w:r>
        <w:rPr>
          <w:rFonts w:cs="Arial"/>
          <w:b/>
          <w:color w:val="000000"/>
          <w:szCs w:val="20"/>
        </w:rPr>
        <w:t>DAS SANÇÕES ADMINISTRATIVAS</w:t>
      </w:r>
    </w:p>
    <w:p>
      <w:pPr>
        <w:pStyle w:val="Normal"/>
        <w:keepNext w:val="true"/>
        <w:keepLines/>
        <w:pBdr/>
        <w:spacing w:lineRule="auto" w:line="276" w:before="480" w:after="120"/>
        <w:ind w:left="360" w:hanging="0"/>
        <w:jc w:val="both"/>
        <w:rPr/>
      </w:pPr>
      <w:r>
        <w:rPr/>
        <w:t>15.1. Comete infração administrativa nos termos da Lei n° 14.133 de 2021 e da Lei n° 10.520 de 2002, a Contratada que: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15.1.1. Não executar total ou parcialmente qualquer das obrigações assumidas em decorrência da contratação;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15.1.2. Ensejar o retardamento da execução do objeto;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15.1.3. Fraudar na execução do objeto;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15.1.4. Comportar-se de modo inidôneo;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15.1.5. Cometer fraude fiscal;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15.1.6. Não mantiver a proposta.</w:t>
      </w:r>
    </w:p>
    <w:p>
      <w:pPr>
        <w:pStyle w:val="Normal"/>
        <w:keepNext w:val="true"/>
        <w:keepLines/>
        <w:pBdr/>
        <w:spacing w:lineRule="auto" w:line="276" w:before="480" w:after="120"/>
        <w:ind w:left="360" w:hanging="0"/>
        <w:jc w:val="both"/>
        <w:rPr/>
      </w:pPr>
      <w:r>
        <w:rPr/>
        <w:t>15.2. A Contratada que cometer qualquer das infrações discriminadas no subitem acima ficará sujeita, sem prejuízo da responsabilidade civil e criminal, as seguintes sanções: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15.2.1. Advertência por faltas leves, assim entendidas aquelas que não acarretem prejuízos significativos para a Contratante;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15.2.2. Multa moratória de 0,1 % (zero vírgula um por cento) por dia de atraso injustificado sobre o valor da obrigação inadimplida, até o limite de 100 (cem) dias;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15.2.3. Multa compensatória de 10 % (dez por cento) sobre o valor total do contrato, no caso de inexecução total do objeto;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15.2.4. Em caso de inexecução parcial, a multa compensatória, no mesmo percentual do subitem acima, será aplicada de forma proporcional à obrigação inadimplida;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15.2.5. Suspensão de licitar e impedimento de contratar com o Instituto Militar de Engenharia – IME, pelo prazo de até dois anos;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15.2.6. Impedimento de licitar e contratar a União com o consequente descredenciamento no SICAF pelo prazo de até cinco anos;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15.2.7. 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causados.</w:t>
      </w:r>
    </w:p>
    <w:p>
      <w:pPr>
        <w:pStyle w:val="Normal"/>
        <w:keepNext w:val="true"/>
        <w:keepLines/>
        <w:pBdr/>
        <w:spacing w:lineRule="auto" w:line="276" w:before="480" w:after="120"/>
        <w:ind w:left="360" w:hanging="0"/>
        <w:jc w:val="both"/>
        <w:rPr/>
      </w:pPr>
      <w:r>
        <w:rPr/>
        <w:t>15.3. Também ficam sujeitas às penalidades do art. 156, III e IV da Lei n° 14.133 de 2021, a Contratada que: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15.3.1. Tenha sofrido condenação definitiva por praticar, por meio dolosos, fraude fiscal no recolhimento de quaisquer tributos;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15.3.2. Tenha praticado atos ilícitos visando a frustrar os objetivos da licitação;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15.3.3. Demonstre não possuir idoneidade para contratar com a Administração em virtude de atos ilícitos praticados.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15.3.4. A aplicação de qualquer das penalidades previstas realizar-se-á em processo administrativo que assegurará o contraditório e a ampla defesa à Contratada, observando-se o procedimento previsto na Lei n° 14.133 de 2021 e subsidiariamente a Lei n° 9.784 de 1999.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15.3.5. A autoridade competente, na aplicação das sanções, levará em consideração a gravidade da conduta do infrator, o caráter educativo da pena, bem como o dano causado à Contratante, observado o princípio da proporcionalidade.</w:t>
      </w:r>
    </w:p>
    <w:p>
      <w:pPr>
        <w:pStyle w:val="Normal"/>
        <w:widowControl w:val="false"/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720" w:hanging="0"/>
        <w:jc w:val="both"/>
        <w:rPr/>
      </w:pPr>
      <w:r>
        <w:rPr/>
        <w:t>15.3.6. As penalidades serão registradas no SICAF.</w:t>
      </w:r>
    </w:p>
    <w:p>
      <w:pPr>
        <w:pStyle w:val="ListParagraph"/>
        <w:keepNext w:val="true"/>
        <w:keepLines/>
        <w:numPr>
          <w:ilvl w:val="0"/>
          <w:numId w:val="1"/>
        </w:numPr>
        <w:spacing w:lineRule="auto" w:line="276" w:before="480" w:after="120"/>
        <w:contextualSpacing/>
        <w:jc w:val="both"/>
        <w:rPr/>
      </w:pPr>
      <w:bookmarkStart w:id="7" w:name="_heading=h.30j0zll"/>
      <w:bookmarkEnd w:id="7"/>
      <w:r>
        <w:rPr>
          <w:b/>
        </w:rPr>
        <w:t>DOS CASOS OMISSOS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426" w:hanging="7"/>
        <w:jc w:val="both"/>
        <w:rPr/>
      </w:pPr>
      <w:r>
        <w:rPr/>
        <w:t>Os casos omissos ou situações não explicitadas nas cláusulas deste Projeto Básico serão decididos pela Contratante, segundo as disposições contidas na Lei nº 8.078 de 1990 – Código de Defesa do consumidor, no Decreto nº 2.271, de 1997, na Instrução Normativa SLTI/MPOG nº 2, de 30 de abril de 2008, e na Lei nº 14.133, de 2021, subsidiariamente, bem como nos demais regulamentos e normas administrativas federais, que fazem parte integrante deste Contrato, independentemente de suas transcrições.</w:t>
      </w:r>
    </w:p>
    <w:p>
      <w:pPr>
        <w:pStyle w:val="Normal"/>
        <w:keepNext w:val="true"/>
        <w:keepLines/>
        <w:numPr>
          <w:ilvl w:val="0"/>
          <w:numId w:val="1"/>
        </w:numPr>
        <w:spacing w:lineRule="auto" w:line="276" w:before="480" w:after="120"/>
        <w:jc w:val="both"/>
        <w:rPr/>
      </w:pPr>
      <w:r>
        <w:rPr>
          <w:b/>
        </w:rPr>
        <w:t>DO REAJUSTE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426" w:hanging="7"/>
        <w:jc w:val="both"/>
        <w:rPr/>
      </w:pPr>
      <w:r>
        <w:rPr/>
        <w:t>Os reajustes ou revisões das tarifas praticadas pela SPECTRIS DO BRASIL INSTRUMENTOS ELETRÔNICOS LTDA. obedecerão a critérios e periodicidade definidos pelas normas legais e regulamentares aplicáveis à matéria.</w:t>
      </w:r>
    </w:p>
    <w:p>
      <w:pPr>
        <w:pStyle w:val="Normal"/>
        <w:keepNext w:val="true"/>
        <w:keepLines/>
        <w:numPr>
          <w:ilvl w:val="0"/>
          <w:numId w:val="1"/>
        </w:numPr>
        <w:pBdr/>
        <w:spacing w:lineRule="auto" w:line="276" w:before="480" w:after="120"/>
        <w:jc w:val="both"/>
        <w:rPr/>
      </w:pPr>
      <w:r>
        <w:rPr>
          <w:rFonts w:cs="Arial"/>
          <w:b/>
          <w:color w:val="000000"/>
          <w:szCs w:val="20"/>
        </w:rPr>
        <w:t>DOS RECURSOS ORÇAMENTÁRIOS</w:t>
      </w:r>
    </w:p>
    <w:p>
      <w:pPr>
        <w:pStyle w:val="Normal"/>
        <w:widowControl w:val="false"/>
        <w:numPr>
          <w:ilvl w:val="1"/>
          <w:numId w:val="1"/>
        </w:numPr>
        <w:tabs>
          <w:tab w:val="clear" w:pos="720"/>
          <w:tab w:val="left" w:pos="993" w:leader="none"/>
          <w:tab w:val="left" w:pos="1429" w:leader="none"/>
        </w:tabs>
        <w:spacing w:lineRule="auto" w:line="276" w:before="0" w:after="280"/>
        <w:ind w:left="426" w:hanging="7"/>
        <w:jc w:val="both"/>
        <w:rPr/>
      </w:pPr>
      <w:r>
        <w:rPr/>
        <w:t>As despesas para atender a esta inexigibilidade estão programadas em dotação orçamentária própria, prevista no orçamento da União para o</w:t>
      </w:r>
      <w:r>
        <w:rPr>
          <w:color w:val="FF0000"/>
        </w:rPr>
        <w:t xml:space="preserve"> </w:t>
      </w:r>
      <w:r>
        <w:rPr/>
        <w:t>Exercício de 2022, na classificação abaixo:</w:t>
      </w:r>
    </w:p>
    <w:tbl>
      <w:tblPr>
        <w:tblStyle w:val="a4"/>
        <w:tblW w:w="5529" w:type="dxa"/>
        <w:jc w:val="left"/>
        <w:tblInd w:w="6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5529"/>
      </w:tblGrid>
      <w:tr>
        <w:trPr/>
        <w:tc>
          <w:tcPr>
            <w:tcW w:w="5529" w:type="dxa"/>
            <w:tcBorders/>
            <w:shd w:color="auto" w:fill="auto" w:val="clear"/>
          </w:tcPr>
          <w:p>
            <w:pPr>
              <w:pStyle w:val="Normal"/>
              <w:widowControl w:val="false"/>
              <w:ind w:firstLine="459"/>
              <w:jc w:val="both"/>
              <w:rPr/>
            </w:pPr>
            <w:r>
              <w:rPr/>
              <w:t>Gestão/Unidade: 00001/160327</w:t>
            </w:r>
          </w:p>
        </w:tc>
      </w:tr>
      <w:tr>
        <w:trPr/>
        <w:tc>
          <w:tcPr>
            <w:tcW w:w="5529" w:type="dxa"/>
            <w:tcBorders/>
            <w:shd w:color="auto" w:fill="auto" w:val="clear"/>
          </w:tcPr>
          <w:p>
            <w:pPr>
              <w:pStyle w:val="Normal"/>
              <w:widowControl w:val="false"/>
              <w:ind w:firstLine="459"/>
              <w:jc w:val="both"/>
              <w:rPr/>
            </w:pPr>
            <w:r>
              <w:rPr/>
              <w:t>Fonte: 0100000000</w:t>
            </w:r>
          </w:p>
        </w:tc>
      </w:tr>
      <w:tr>
        <w:trPr/>
        <w:tc>
          <w:tcPr>
            <w:tcW w:w="5529" w:type="dxa"/>
            <w:tcBorders/>
            <w:shd w:color="auto" w:fill="auto" w:val="clear"/>
          </w:tcPr>
          <w:p>
            <w:pPr>
              <w:pStyle w:val="Normal"/>
              <w:widowControl w:val="false"/>
              <w:ind w:firstLine="459"/>
              <w:jc w:val="both"/>
              <w:rPr/>
            </w:pPr>
            <w:r>
              <w:rPr/>
              <w:t xml:space="preserve">Programa de Trabalho: </w:t>
            </w:r>
            <w:r>
              <w:rPr>
                <w:color w:val="FF0000"/>
              </w:rPr>
              <w:t>171460</w:t>
            </w:r>
          </w:p>
        </w:tc>
      </w:tr>
      <w:tr>
        <w:trPr/>
        <w:tc>
          <w:tcPr>
            <w:tcW w:w="5529" w:type="dxa"/>
            <w:tcBorders/>
            <w:shd w:color="auto" w:fill="auto" w:val="clear"/>
          </w:tcPr>
          <w:p>
            <w:pPr>
              <w:pStyle w:val="Normal"/>
              <w:widowControl w:val="false"/>
              <w:ind w:firstLine="459"/>
              <w:jc w:val="both"/>
              <w:rPr/>
            </w:pPr>
            <w:r>
              <w:rPr/>
              <w:t>Elemento de Despesa: 33.90.39</w:t>
            </w:r>
          </w:p>
          <w:p>
            <w:pPr>
              <w:pStyle w:val="Normal"/>
              <w:widowControl w:val="false"/>
              <w:ind w:firstLine="459"/>
              <w:jc w:val="both"/>
              <w:rPr/>
            </w:pPr>
            <w:r>
              <w:rPr/>
              <w:t>PI: Plano Interno de Descentralização de Recursos 2023</w:t>
            </w:r>
          </w:p>
        </w:tc>
      </w:tr>
    </w:tbl>
    <w:p>
      <w:pPr>
        <w:pStyle w:val="Normal"/>
        <w:keepNext w:val="true"/>
        <w:keepLines/>
        <w:widowControl w:val="false"/>
        <w:pBdr/>
        <w:spacing w:lineRule="auto" w:line="276" w:before="0" w:after="120"/>
        <w:jc w:val="both"/>
        <w:rPr>
          <w:rFonts w:cs="Arial"/>
          <w:b/>
          <w:b/>
          <w:color w:val="000000"/>
          <w:szCs w:val="20"/>
        </w:rPr>
      </w:pPr>
      <w:bookmarkStart w:id="8" w:name="bookmark=id.1fob9te"/>
      <w:bookmarkEnd w:id="8"/>
      <w:r>
        <w:rPr>
          <w:rFonts w:cs="Arial"/>
          <w:b/>
          <w:color w:val="000000"/>
          <w:szCs w:val="20"/>
        </w:rPr>
        <w:t>ANEXOS</w:t>
      </w:r>
    </w:p>
    <w:p>
      <w:pPr>
        <w:pStyle w:val="Normal"/>
        <w:widowControl w:val="false"/>
        <w:tabs>
          <w:tab w:val="clear" w:pos="720"/>
          <w:tab w:val="left" w:pos="1716" w:leader="none"/>
        </w:tabs>
        <w:spacing w:lineRule="auto" w:line="276" w:before="0" w:after="120"/>
        <w:jc w:val="both"/>
        <w:rPr/>
      </w:pPr>
      <w:r>
        <w:rPr/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1716" w:leader="none"/>
        </w:tabs>
        <w:spacing w:lineRule="auto" w:line="276" w:before="0" w:after="120"/>
        <w:jc w:val="both"/>
        <w:rPr/>
      </w:pPr>
      <w:r>
        <w:rPr/>
        <w:t>Declaração de Exclusividade SPECTRIS DO BRASIL INSTRUMENTOS ELETRÔNICOS LTDA</w:t>
      </w:r>
    </w:p>
    <w:p>
      <w:pPr>
        <w:pStyle w:val="Normal"/>
        <w:widowControl w:val="false"/>
        <w:tabs>
          <w:tab w:val="clear" w:pos="720"/>
          <w:tab w:val="left" w:pos="1716" w:leader="none"/>
        </w:tabs>
        <w:spacing w:lineRule="auto" w:line="276" w:before="0" w:after="120"/>
        <w:ind w:left="720" w:hanging="0"/>
        <w:jc w:val="both"/>
        <w:rPr/>
      </w:pPr>
      <w:r>
        <w:rPr/>
      </w:r>
    </w:p>
    <w:p>
      <w:pPr>
        <w:pStyle w:val="Normal"/>
        <w:widowControl w:val="false"/>
        <w:tabs>
          <w:tab w:val="clear" w:pos="720"/>
          <w:tab w:val="left" w:pos="1716" w:leader="none"/>
        </w:tabs>
        <w:spacing w:lineRule="auto" w:line="276" w:before="0" w:after="120"/>
        <w:ind w:left="720" w:hanging="0"/>
        <w:jc w:val="both"/>
        <w:rPr/>
      </w:pPr>
      <w:r>
        <w:rPr/>
      </w:r>
    </w:p>
    <w:p>
      <w:pPr>
        <w:pStyle w:val="Normal"/>
        <w:spacing w:before="0" w:after="120"/>
        <w:ind w:left="360" w:hanging="0"/>
        <w:rPr/>
      </w:pPr>
      <w:r>
        <w:rPr/>
        <w:t xml:space="preserve"> </w:t>
      </w:r>
      <w:r>
        <w:rPr/>
        <w:t xml:space="preserve">Rio de Janeiro, _____ de ___________ de 2023. </w:t>
      </w:r>
    </w:p>
    <w:p>
      <w:pPr>
        <w:pStyle w:val="Normal"/>
        <w:widowControl w:val="false"/>
        <w:tabs>
          <w:tab w:val="clear" w:pos="720"/>
          <w:tab w:val="left" w:pos="0" w:leader="none"/>
        </w:tabs>
        <w:spacing w:lineRule="auto" w:line="276"/>
        <w:textAlignment w:val="baseline"/>
        <w:rPr>
          <w:rFonts w:ascii="Calibri" w:hAnsi="Calibri" w:eastAsia="Times New Roman" w:cs="Calibri"/>
          <w:b/>
          <w:b/>
          <w:color w:val="FF0000"/>
          <w:sz w:val="22"/>
          <w:szCs w:val="22"/>
        </w:rPr>
      </w:pPr>
      <w:r>
        <w:rPr>
          <w:rFonts w:eastAsia="Times New Roman" w:cs="Calibri" w:ascii="Calibri" w:hAnsi="Calibri"/>
          <w:b/>
          <w:color w:val="FF0000"/>
          <w:sz w:val="22"/>
          <w:szCs w:val="22"/>
        </w:rPr>
      </w:r>
    </w:p>
    <w:p>
      <w:pPr>
        <w:pStyle w:val="Normal"/>
        <w:widowControl w:val="false"/>
        <w:tabs>
          <w:tab w:val="clear" w:pos="720"/>
          <w:tab w:val="left" w:pos="0" w:leader="none"/>
        </w:tabs>
        <w:spacing w:lineRule="auto" w:line="276"/>
        <w:jc w:val="center"/>
        <w:textAlignment w:val="baseline"/>
        <w:rPr>
          <w:rFonts w:ascii="Calibri" w:hAnsi="Calibri" w:eastAsia="Times New Roman" w:cs="Calibri"/>
          <w:b/>
          <w:b/>
          <w:color w:val="FF0000"/>
          <w:sz w:val="22"/>
          <w:szCs w:val="22"/>
        </w:rPr>
      </w:pPr>
      <w:r>
        <w:rPr>
          <w:rFonts w:eastAsia="Times New Roman" w:cs="Calibri" w:ascii="Calibri" w:hAnsi="Calibri"/>
          <w:b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Calibri" w:hAnsi="Calibri" w:eastAsia="Times New Roman" w:cs="Calibri"/>
          <w:sz w:val="22"/>
          <w:szCs w:val="22"/>
        </w:rPr>
      </w:pPr>
      <w:r>
        <w:rPr>
          <w:rFonts w:eastAsia="Times New Roman" w:cs="Calibri" w:ascii="Calibri" w:hAnsi="Calibri"/>
          <w:sz w:val="22"/>
          <w:szCs w:val="22"/>
        </w:rPr>
        <w:t>__________________________________________________</w:t>
      </w:r>
    </w:p>
    <w:p>
      <w:pPr>
        <w:pStyle w:val="Normal"/>
        <w:widowControl w:val="false"/>
        <w:tabs>
          <w:tab w:val="clear" w:pos="720"/>
          <w:tab w:val="left" w:pos="0" w:leader="none"/>
        </w:tabs>
        <w:spacing w:lineRule="auto" w:line="276"/>
        <w:jc w:val="center"/>
        <w:rPr>
          <w:b/>
          <w:b/>
        </w:rPr>
      </w:pPr>
      <w:r>
        <w:rPr>
          <w:b/>
        </w:rPr>
        <w:t>WAGNER ANACLETO PINHEIRO - Cel</w:t>
      </w:r>
    </w:p>
    <w:p>
      <w:pPr>
        <w:pStyle w:val="Normal"/>
        <w:widowControl w:val="false"/>
        <w:tabs>
          <w:tab w:val="clear" w:pos="720"/>
          <w:tab w:val="left" w:pos="0" w:leader="none"/>
        </w:tabs>
        <w:spacing w:lineRule="auto" w:line="276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  <w:t>Responsável pela Formalização da Demanda</w:t>
      </w:r>
    </w:p>
    <w:p>
      <w:pPr>
        <w:pStyle w:val="Normal"/>
        <w:widowControl w:val="false"/>
        <w:tabs>
          <w:tab w:val="clear" w:pos="720"/>
          <w:tab w:val="left" w:pos="0" w:leader="none"/>
        </w:tabs>
        <w:spacing w:lineRule="auto" w:line="276"/>
        <w:jc w:val="center"/>
        <w:rPr>
          <w:b/>
          <w:b/>
          <w:color w:val="FF0000"/>
        </w:rPr>
      </w:pPr>
      <w:r>
        <w:rPr>
          <w:b/>
          <w:color w:val="FF0000"/>
        </w:rPr>
      </w:r>
    </w:p>
    <w:p>
      <w:pPr>
        <w:pStyle w:val="Normal"/>
        <w:spacing w:lineRule="auto" w:line="259" w:before="0" w:after="160"/>
        <w:rPr>
          <w:b/>
          <w:b/>
          <w:highlight w:val="white"/>
        </w:rPr>
      </w:pPr>
      <w:r>
        <w:rPr>
          <w:b/>
          <w:highlight w:val="white"/>
        </w:rPr>
      </w:r>
    </w:p>
    <w:p>
      <w:pPr>
        <w:pStyle w:val="Normal"/>
        <w:spacing w:lineRule="auto" w:line="259" w:before="0" w:after="160"/>
        <w:jc w:val="center"/>
        <w:rPr>
          <w:b/>
          <w:b/>
          <w:highlight w:val="white"/>
        </w:rPr>
      </w:pPr>
      <w:r>
        <w:rPr>
          <w:b/>
          <w:highlight w:val="white"/>
        </w:rPr>
        <w:t>DESPACHO DA AUTORIDADE COMPETENTE:</w:t>
      </w:r>
    </w:p>
    <w:p>
      <w:pPr>
        <w:pStyle w:val="Normal"/>
        <w:jc w:val="both"/>
        <w:rPr>
          <w:highlight w:val="white"/>
        </w:rPr>
      </w:pPr>
      <w:r>
        <w:rPr>
          <w:highlight w:val="white"/>
        </w:rPr>
      </w:r>
    </w:p>
    <w:p>
      <w:pPr>
        <w:pStyle w:val="Normal"/>
        <w:tabs>
          <w:tab w:val="clear" w:pos="720"/>
          <w:tab w:val="left" w:pos="0" w:leader="none"/>
        </w:tabs>
        <w:spacing w:lineRule="auto" w:line="360"/>
        <w:ind w:firstLine="289"/>
        <w:jc w:val="both"/>
        <w:rPr>
          <w:highlight w:val="white"/>
        </w:rPr>
      </w:pPr>
      <w:r>
        <w:rPr>
          <w:highlight w:val="white"/>
        </w:rPr>
        <w:tab/>
        <w:t xml:space="preserve">Aprovo o presente projeto básico, por satisfazer os requisitos atinentes ao Objeto solicitado na Requisição e respectiva justificativa, conforme documentos inclusos no Processo, bem como por atender as exigências legais e regulamentares concernentes a este processo. 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426" w:hanging="0"/>
        <w:jc w:val="both"/>
        <w:rPr/>
      </w:pPr>
      <w:r>
        <w:rPr/>
      </w:r>
    </w:p>
    <w:p>
      <w:pPr>
        <w:pStyle w:val="Normal"/>
        <w:ind w:left="426" w:hanging="0"/>
        <w:jc w:val="both"/>
        <w:rPr/>
      </w:pPr>
      <w:r>
        <w:rPr/>
        <w:t xml:space="preserve">Aprovo, em _____ de ___________ de 2023.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pBdr/>
        <w:tabs>
          <w:tab w:val="clear" w:pos="720"/>
          <w:tab w:val="left" w:pos="565" w:leader="none"/>
        </w:tabs>
        <w:ind w:left="340" w:hanging="340"/>
        <w:jc w:val="center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________________________________________________</w:t>
      </w:r>
    </w:p>
    <w:p>
      <w:pPr>
        <w:pStyle w:val="Normal"/>
        <w:pBdr/>
        <w:tabs>
          <w:tab w:val="clear" w:pos="720"/>
          <w:tab w:val="left" w:pos="565" w:leader="none"/>
        </w:tabs>
        <w:ind w:left="340" w:hanging="340"/>
        <w:jc w:val="center"/>
        <w:rPr>
          <w:rFonts w:cs="Arial"/>
          <w:b/>
          <w:b/>
          <w:color w:val="000000"/>
          <w:szCs w:val="20"/>
        </w:rPr>
      </w:pPr>
      <w:r>
        <w:rPr>
          <w:rFonts w:cs="Arial"/>
          <w:b/>
          <w:color w:val="000000"/>
          <w:szCs w:val="20"/>
        </w:rPr>
        <w:t>ALOYSIO VALLE MEIRA DE VASCONCELLOS - CEL</w:t>
      </w:r>
    </w:p>
    <w:p>
      <w:pPr>
        <w:pStyle w:val="Normal"/>
        <w:jc w:val="center"/>
        <w:rPr/>
      </w:pPr>
      <w:r>
        <w:rPr/>
        <w:t>OD por Delegação de Competência do IME</w:t>
      </w:r>
    </w:p>
    <w:p>
      <w:pPr>
        <w:pStyle w:val="Normal"/>
        <w:pBdr/>
        <w:tabs>
          <w:tab w:val="clear" w:pos="720"/>
          <w:tab w:val="left" w:pos="6528" w:leader="none"/>
        </w:tabs>
        <w:ind w:firstLine="454"/>
        <w:jc w:val="both"/>
        <w:rPr>
          <w:rFonts w:ascii="Times New Roman" w:hAnsi="Times New Roman" w:eastAsia="Times New Roman" w:cs="Times New Roman"/>
          <w:color w:val="000000"/>
          <w:szCs w:val="20"/>
        </w:rPr>
      </w:pPr>
      <w:r>
        <w:rPr>
          <w:rFonts w:eastAsia="Times New Roman" w:cs="Times New Roman" w:ascii="Times New Roman" w:hAnsi="Times New Roman"/>
          <w:color w:val="000000"/>
          <w:szCs w:val="20"/>
        </w:rPr>
      </w:r>
    </w:p>
    <w:p>
      <w:pPr>
        <w:pStyle w:val="Normal"/>
        <w:pBdr/>
        <w:tabs>
          <w:tab w:val="clear" w:pos="720"/>
          <w:tab w:val="left" w:pos="6528" w:leader="none"/>
        </w:tabs>
        <w:jc w:val="both"/>
        <w:rPr>
          <w:rFonts w:ascii="Times New Roman" w:hAnsi="Times New Roman" w:eastAsia="Times New Roman" w:cs="Times New Roman"/>
          <w:color w:val="000000"/>
          <w:szCs w:val="20"/>
        </w:rPr>
      </w:pPr>
      <w:r>
        <w:rPr>
          <w:rFonts w:eastAsia="Times New Roman" w:cs="Times New Roman" w:ascii="Times New Roman" w:hAnsi="Times New Roman"/>
          <w:color w:val="000000"/>
          <w:szCs w:val="20"/>
        </w:rPr>
      </w:r>
    </w:p>
    <w:p>
      <w:pPr>
        <w:pStyle w:val="Normal"/>
        <w:pBdr/>
        <w:tabs>
          <w:tab w:val="clear" w:pos="720"/>
          <w:tab w:val="left" w:pos="6528" w:leader="none"/>
        </w:tabs>
        <w:ind w:firstLine="454"/>
        <w:jc w:val="both"/>
        <w:rPr>
          <w:rFonts w:ascii="Times New Roman" w:hAnsi="Times New Roman" w:eastAsia="Times New Roman" w:cs="Times New Roman"/>
          <w:color w:val="000000"/>
          <w:szCs w:val="20"/>
        </w:rPr>
      </w:pPr>
      <w:r>
        <w:rPr/>
      </w:r>
    </w:p>
    <w:sectPr>
      <w:footerReference w:type="default" r:id="rId3"/>
      <w:type w:val="nextPage"/>
      <w:pgSz w:w="11906" w:h="16838"/>
      <w:pgMar w:left="1701" w:right="1701" w:header="0" w:top="1417" w:footer="709" w:bottom="1417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Noto Sans Symbols">
    <w:charset w:val="01"/>
    <w:family w:val="auto"/>
    <w:pitch w:val="default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rFonts w:ascii="Times New Roman" w:hAnsi="Times New Roman" w:eastAsia="Times New Roman" w:cs="Times New Roman"/>
        <w:sz w:val="24"/>
      </w:rPr>
    </w:pPr>
    <w:r>
      <w:rPr>
        <w:rFonts w:eastAsia="Times New Roman" w:cs="Times New Roman" w:ascii="Times New Roman" w:hAnsi="Times New Roman"/>
        <w:b/>
        <w:color w:val="000000"/>
        <w:sz w:val="18"/>
        <w:szCs w:val="18"/>
      </w:rPr>
      <w:t>______________________________________________________________________________________________</w:t>
    </w:r>
  </w:p>
  <w:p>
    <w:pPr>
      <w:pStyle w:val="Normal"/>
      <w:jc w:val="both"/>
      <w:rPr>
        <w:rFonts w:ascii="Times New Roman" w:hAnsi="Times New Roman" w:eastAsia="Times New Roman" w:cs="Times New Roman"/>
        <w:sz w:val="24"/>
      </w:rPr>
    </w:pPr>
    <w:r>
      <w:rPr>
        <w:b/>
        <w:sz w:val="16"/>
        <w:szCs w:val="16"/>
      </w:rPr>
      <w:t>Instituto Militar de Engenharia</w:t>
    </w:r>
  </w:p>
  <w:p>
    <w:pPr>
      <w:pStyle w:val="Normal"/>
      <w:jc w:val="both"/>
      <w:rPr>
        <w:sz w:val="16"/>
        <w:szCs w:val="16"/>
      </w:rPr>
    </w:pPr>
    <w:r>
      <w:rPr>
        <w:sz w:val="16"/>
        <w:szCs w:val="16"/>
      </w:rPr>
      <w:t>IME – Prefeitura Militar</w:t>
    </w:r>
  </w:p>
  <w:p>
    <w:pPr>
      <w:pStyle w:val="Normal"/>
      <w:jc w:val="both"/>
      <w:rPr>
        <w:rFonts w:ascii="Times New Roman" w:hAnsi="Times New Roman" w:eastAsia="Times New Roman" w:cs="Times New Roman"/>
        <w:sz w:val="24"/>
      </w:rPr>
    </w:pPr>
    <w:r>
      <w:rPr>
        <w:sz w:val="16"/>
        <w:szCs w:val="16"/>
      </w:rPr>
      <w:t>Praça General Tibúrcio, nº 80, bairro Urca, Rio de Janeiro/RJ, CEP: 22.290-270</w:t>
    </w:r>
  </w:p>
  <w:p>
    <w:pPr>
      <w:pStyle w:val="Normal"/>
      <w:jc w:val="both"/>
      <w:rPr/>
    </w:pPr>
    <w:r>
      <w:rPr>
        <w:sz w:val="16"/>
        <w:szCs w:val="16"/>
      </w:rPr>
      <w:t>Contato: (21) 2546-7262 /prefeitura@ime.eb.mil.br</w:t>
    </w:r>
  </w:p>
  <w:p>
    <w:pPr>
      <w:pStyle w:val="Normal"/>
      <w:pBdr/>
      <w:tabs>
        <w:tab w:val="clear" w:pos="720"/>
        <w:tab w:val="center" w:pos="4252" w:leader="none"/>
        <w:tab w:val="right" w:pos="8504" w:leader="none"/>
      </w:tabs>
      <w:jc w:val="right"/>
      <w:rPr>
        <w:rFonts w:cs="Arial"/>
        <w:sz w:val="16"/>
        <w:szCs w:val="16"/>
      </w:rPr>
    </w:pPr>
    <w:r>
      <w:rPr>
        <w:rFonts w:eastAsia="Times New Roman" w:cs="Times New Roman" w:ascii="Times New Roman" w:hAnsi="Times New Roman"/>
        <w:sz w:val="18"/>
        <w:szCs w:val="18"/>
      </w:rPr>
      <w:fldChar w:fldCharType="begin"/>
    </w:r>
    <w:r>
      <w:rPr>
        <w:sz w:val="18"/>
        <w:szCs w:val="18"/>
        <w:rFonts w:eastAsia="Times New Roman" w:cs="Times New Roman" w:ascii="Times New Roman" w:hAnsi="Times New Roman"/>
      </w:rPr>
      <w:instrText> PAGE </w:instrText>
    </w:r>
    <w:r>
      <w:rPr>
        <w:sz w:val="18"/>
        <w:szCs w:val="18"/>
        <w:rFonts w:eastAsia="Times New Roman" w:cs="Times New Roman" w:ascii="Times New Roman" w:hAnsi="Times New Roman"/>
      </w:rPr>
      <w:fldChar w:fldCharType="separate"/>
    </w:r>
    <w:r>
      <w:rPr>
        <w:sz w:val="18"/>
        <w:szCs w:val="18"/>
        <w:rFonts w:eastAsia="Times New Roman" w:cs="Times New Roman" w:ascii="Times New Roman" w:hAnsi="Times New Roman"/>
      </w:rPr>
      <w:t>9</w:t>
    </w:r>
    <w:r>
      <w:rPr>
        <w:sz w:val="18"/>
        <w:szCs w:val="18"/>
        <w:rFonts w:eastAsia="Times New Roman" w:cs="Times New Roman"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8" w:hanging="431"/>
      </w:pPr>
      <w:rPr>
        <w:sz w:val="20"/>
        <w:i w:val="false"/>
        <w:b w:val="false"/>
        <w:szCs w:val="20"/>
        <w:rFonts w:ascii="Arial" w:hAnsi="Arial" w:eastAsia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6315" w:hanging="504"/>
      </w:pPr>
      <w:rPr>
        <w:i w:val="false"/>
        <w:b w:val="false"/>
        <w:rFonts w:ascii="Arial" w:hAnsi="Arial" w:eastAsia="Arial" w:cs="Arial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color w:val="FF0000"/>
      </w:rPr>
    </w:lvl>
    <w:lvl w:ilvl="1">
      <w:start w:val="9"/>
      <w:numFmt w:val="decimal"/>
      <w:lvlText w:val="%1.%2"/>
      <w:lvlJc w:val="left"/>
      <w:pPr>
        <w:tabs>
          <w:tab w:val="num" w:pos="0"/>
        </w:tabs>
        <w:ind w:left="108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  <w:rPr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  <w:rPr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  <w:rPr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  <w:rPr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  <w:rPr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  <w:rPr>
        <w:color w:val="FF000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7070"/>
    <w:pPr>
      <w:widowControl/>
      <w:bidi w:val="0"/>
      <w:spacing w:before="0" w:after="0"/>
      <w:jc w:val="left"/>
    </w:pPr>
    <w:rPr>
      <w:rFonts w:cs="Tahoma" w:ascii="Arial" w:hAnsi="Arial" w:eastAsia="Arial"/>
      <w:color w:val="auto"/>
      <w:kern w:val="0"/>
      <w:sz w:val="20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de7070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460a"/>
    <w:pPr>
      <w:keepNext w:val="true"/>
      <w:tabs>
        <w:tab w:val="clear" w:pos="720"/>
        <w:tab w:val="left" w:pos="1701" w:leader="none"/>
      </w:tabs>
      <w:ind w:right="-1" w:hanging="0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link w:val="Textodebalo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link w:val="Ttulo2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260802"/>
    <w:rPr/>
  </w:style>
  <w:style w:type="character" w:styleId="LinkdaInternet" w:customStyle="1">
    <w:name w:val="Link da Internet"/>
    <w:rsid w:val="00bf1a7f"/>
    <w:rPr>
      <w:color w:val="000080"/>
      <w:u w:val="single"/>
    </w:rPr>
  </w:style>
  <w:style w:type="character" w:styleId="CitaoChar" w:customStyle="1">
    <w:name w:val="Citação Char"/>
    <w:link w:val="Citao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GradeColoridanfase1Char" w:customStyle="1">
    <w:name w:val="Grade Colorida - Ênfase 1 Char"/>
    <w:uiPriority w:val="29"/>
    <w:qFormat/>
    <w:rsid w:val="00821b3a"/>
    <w:rPr>
      <w:rFonts w:ascii="Ecofont_Spranq_eco_Sans" w:hAnsi="Ecofont_Spranq_eco_Sans" w:eastAsia="Calibri"/>
      <w:i/>
      <w:iCs/>
      <w:color w:val="000000"/>
      <w:szCs w:val="24"/>
      <w:shd w:fill="FFFFCC" w:val="clear"/>
      <w:lang w:val="x-none" w:eastAsia="en-US"/>
    </w:rPr>
  </w:style>
  <w:style w:type="character" w:styleId="CabealhoChar" w:customStyle="1">
    <w:name w:val="Cabeçalho Char"/>
    <w:basedOn w:val="DefaultParagraphFont"/>
    <w:link w:val="Cabealho"/>
    <w:qFormat/>
    <w:rsid w:val="00a3644b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basedOn w:val="DefaultParagraphFont"/>
    <w:link w:val="Rodap"/>
    <w:uiPriority w:val="99"/>
    <w:qFormat/>
    <w:rsid w:val="00a3644b"/>
    <w:rPr>
      <w:rFonts w:ascii="Ecofont_Spranq_eco_Sans" w:hAnsi="Ecofont_Spranq_eco_Sans" w:cs="Tahoma"/>
      <w:sz w:val="24"/>
      <w:szCs w:val="24"/>
    </w:rPr>
  </w:style>
  <w:style w:type="character" w:styleId="Ttulo1Char" w:customStyle="1">
    <w:name w:val="Título 1 Char"/>
    <w:basedOn w:val="DefaultParagraphFont"/>
    <w:link w:val="Ttulo1"/>
    <w:qFormat/>
    <w:rsid w:val="00de7070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de7070"/>
    <w:rPr>
      <w:rFonts w:ascii="Arial" w:hAnsi="Arial" w:eastAsia="" w:cs="Arial" w:eastAsiaTheme="majorEastAsia"/>
      <w:b/>
      <w:color w:val="000000"/>
      <w:sz w:val="32"/>
      <w:szCs w:val="32"/>
    </w:rPr>
  </w:style>
  <w:style w:type="character" w:styleId="Annotationreference">
    <w:name w:val="annotation reference"/>
    <w:basedOn w:val="DefaultParagraphFont"/>
    <w:semiHidden/>
    <w:unhideWhenUsed/>
    <w:qFormat/>
    <w:rsid w:val="00453b1d"/>
    <w:rPr>
      <w:sz w:val="18"/>
      <w:szCs w:val="18"/>
    </w:rPr>
  </w:style>
  <w:style w:type="character" w:styleId="TextodecomentrioChar" w:customStyle="1">
    <w:name w:val="Texto de comentário Char"/>
    <w:basedOn w:val="DefaultParagraphFont"/>
    <w:link w:val="Textodecomentrio"/>
    <w:qFormat/>
    <w:rsid w:val="00453b1d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link w:val="Assuntodocomentrio"/>
    <w:semiHidden/>
    <w:qFormat/>
    <w:rsid w:val="005e4cdc"/>
    <w:rPr>
      <w:rFonts w:ascii="Arial" w:hAnsi="Arial" w:cs="Tahoma"/>
      <w:b/>
      <w:bCs/>
      <w:sz w:val="24"/>
      <w:szCs w:val="24"/>
    </w:rPr>
  </w:style>
  <w:style w:type="character" w:styleId="Bodytext4" w:customStyle="1">
    <w:name w:val="Body text (4)_"/>
    <w:basedOn w:val="DefaultParagraphFont"/>
    <w:link w:val="Bodytext40"/>
    <w:qFormat/>
    <w:rsid w:val="00f93bde"/>
    <w:rPr>
      <w:shd w:fill="FFFFFF" w:val="clear"/>
    </w:rPr>
  </w:style>
  <w:style w:type="character" w:styleId="Heading2" w:customStyle="1">
    <w:name w:val="Heading #2_"/>
    <w:basedOn w:val="DefaultParagraphFont"/>
    <w:link w:val="Heading20"/>
    <w:qFormat/>
    <w:rsid w:val="00f93bde"/>
    <w:rPr>
      <w:shd w:fill="FFFFFF" w:val="clear"/>
    </w:rPr>
  </w:style>
  <w:style w:type="character" w:styleId="Bodytext3" w:customStyle="1">
    <w:name w:val="Body text (3)_"/>
    <w:basedOn w:val="DefaultParagraphFont"/>
    <w:link w:val="Bodytext30"/>
    <w:qFormat/>
    <w:rsid w:val="004d047f"/>
    <w:rPr>
      <w:spacing w:val="10"/>
      <w:sz w:val="19"/>
      <w:szCs w:val="19"/>
      <w:shd w:fill="FFFFFF" w:val="clear"/>
    </w:rPr>
  </w:style>
  <w:style w:type="character" w:styleId="Bodytext2" w:customStyle="1">
    <w:name w:val="Body text (2)"/>
    <w:basedOn w:val="DefaultParagraphFont"/>
    <w:qFormat/>
    <w:rsid w:val="004d047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single"/>
      <w:lang w:val="pt-PT" w:eastAsia="pt-PT" w:bidi="pt-PT"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AbsatzStandardschriftart" w:customStyle="1">
    <w:name w:val="Absatz-Standardschriftart"/>
    <w:qFormat/>
    <w:rPr/>
  </w:style>
  <w:style w:type="character" w:styleId="Fontepargpadro1" w:customStyle="1">
    <w:name w:val="Fonte parág. padrão1"/>
    <w:qFormat/>
    <w:rPr/>
  </w:style>
  <w:style w:type="character" w:styleId="CorpodetextoChar" w:customStyle="1">
    <w:name w:val="Corpo de texto Char"/>
    <w:qFormat/>
    <w:rPr>
      <w:rFonts w:ascii="Calibri" w:hAnsi="Calibri" w:eastAsia="Calibri"/>
      <w:sz w:val="22"/>
      <w:szCs w:val="20"/>
    </w:rPr>
  </w:style>
  <w:style w:type="character" w:styleId="RecuodecorpodetextoChar" w:customStyle="1">
    <w:name w:val="Recuo de corpo de texto Char"/>
    <w:qFormat/>
    <w:rPr>
      <w:rFonts w:ascii="Arial" w:hAnsi="Arial" w:eastAsia="Arial"/>
      <w:sz w:val="22"/>
    </w:rPr>
  </w:style>
  <w:style w:type="character" w:styleId="Strong">
    <w:name w:val="Strong"/>
    <w:qFormat/>
    <w:rPr>
      <w:b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fill="FFFFCC" w:val="clear"/>
    </w:pPr>
    <w:rPr>
      <w:szCs w:val="20"/>
    </w:rPr>
  </w:style>
  <w:style w:type="paragraph" w:styleId="GradeColoridanfase11" w:customStyle="1">
    <w:name w:val="Grade Colorida - Ênfase 11"/>
    <w:basedOn w:val="Normal"/>
    <w:next w:val="Normal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x-none" w:eastAsia="en-U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a364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ivel1" w:customStyle="1">
    <w:name w:val="Nivel1"/>
    <w:basedOn w:val="Ttulo1"/>
    <w:next w:val="Normal"/>
    <w:link w:val="Nivel1Char"/>
    <w:qFormat/>
    <w:rsid w:val="00de7070"/>
    <w:pPr>
      <w:spacing w:lineRule="auto" w:line="276" w:before="480" w:after="120"/>
      <w:jc w:val="both"/>
    </w:pPr>
    <w:rPr>
      <w:rFonts w:ascii="Arial" w:hAnsi="Arial" w:cs="Arial"/>
      <w:b/>
      <w:color w:val="000000"/>
      <w:sz w:val="20"/>
      <w:szCs w:val="20"/>
    </w:rPr>
  </w:style>
  <w:style w:type="paragraph" w:styleId="Annotationtext">
    <w:name w:val="annotation text"/>
    <w:basedOn w:val="Normal"/>
    <w:link w:val="TextodecomentrioChar"/>
    <w:unhideWhenUsed/>
    <w:qFormat/>
    <w:rsid w:val="00453b1d"/>
    <w:pPr/>
    <w:rPr>
      <w:sz w:val="24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5e4cdc"/>
    <w:pPr/>
    <w:rPr>
      <w:b/>
      <w:bCs/>
      <w:sz w:val="20"/>
      <w:szCs w:val="20"/>
    </w:rPr>
  </w:style>
  <w:style w:type="paragraph" w:styleId="Standard" w:customStyle="1">
    <w:name w:val="Standard"/>
    <w:qFormat/>
    <w:rsid w:val="009814bc"/>
    <w:pPr>
      <w:widowControl/>
      <w:bidi w:val="0"/>
      <w:spacing w:before="0" w:after="0"/>
      <w:jc w:val="left"/>
      <w:textAlignment w:val="baseline"/>
    </w:pPr>
    <w:rPr>
      <w:rFonts w:ascii="Arial" w:hAnsi="Arial" w:eastAsia="Arial" w:cs="Arial"/>
      <w:color w:val="auto"/>
      <w:kern w:val="2"/>
      <w:sz w:val="20"/>
      <w:szCs w:val="20"/>
      <w:lang w:eastAsia="zh-CN" w:val="pt-BR" w:bidi="ar-SA"/>
    </w:rPr>
  </w:style>
  <w:style w:type="paragraph" w:styleId="Default" w:customStyle="1">
    <w:name w:val="Default"/>
    <w:qFormat/>
    <w:rsid w:val="00ea5530"/>
    <w:pPr>
      <w:widowControl/>
      <w:bidi w:val="0"/>
      <w:spacing w:before="0" w:after="0"/>
      <w:jc w:val="left"/>
    </w:pPr>
    <w:rPr>
      <w:rFonts w:eastAsia="Calibri" w:eastAsiaTheme="minorHAnsi" w:ascii="Arial" w:hAnsi="Arial" w:cs="Arial"/>
      <w:color w:val="000000"/>
      <w:kern w:val="0"/>
      <w:sz w:val="24"/>
      <w:szCs w:val="24"/>
      <w:lang w:eastAsia="en-US" w:val="pt-BR" w:bidi="ar-SA"/>
    </w:rPr>
  </w:style>
  <w:style w:type="paragraph" w:styleId="Western" w:customStyle="1">
    <w:name w:val="western"/>
    <w:basedOn w:val="Standard"/>
    <w:qFormat/>
    <w:rsid w:val="005e127c"/>
    <w:pPr>
      <w:spacing w:before="100" w:after="119"/>
    </w:pPr>
    <w:rPr>
      <w:sz w:val="24"/>
      <w:szCs w:val="24"/>
    </w:rPr>
  </w:style>
  <w:style w:type="paragraph" w:styleId="Bodytext41" w:customStyle="1">
    <w:name w:val="Body text (4)"/>
    <w:basedOn w:val="Normal"/>
    <w:link w:val="Bodytext4"/>
    <w:qFormat/>
    <w:rsid w:val="00f93bde"/>
    <w:pPr>
      <w:widowControl w:val="false"/>
      <w:shd w:val="clear" w:color="auto" w:fill="FFFFFF"/>
      <w:spacing w:before="600" w:after="180"/>
      <w:jc w:val="both"/>
    </w:pPr>
    <w:rPr>
      <w:rFonts w:ascii="Times New Roman" w:hAnsi="Times New Roman" w:cs="Times New Roman"/>
      <w:b/>
      <w:bCs/>
      <w:szCs w:val="20"/>
    </w:rPr>
  </w:style>
  <w:style w:type="paragraph" w:styleId="Heading21" w:customStyle="1">
    <w:name w:val="Heading #2"/>
    <w:basedOn w:val="Normal"/>
    <w:link w:val="Heading2"/>
    <w:qFormat/>
    <w:rsid w:val="00f93bde"/>
    <w:pPr>
      <w:widowControl w:val="false"/>
      <w:shd w:val="clear" w:color="auto" w:fill="FFFFFF"/>
      <w:spacing w:before="840" w:after="360"/>
      <w:jc w:val="both"/>
      <w:outlineLvl w:val="1"/>
    </w:pPr>
    <w:rPr>
      <w:rFonts w:ascii="Times New Roman" w:hAnsi="Times New Roman" w:cs="Times New Roman"/>
      <w:b/>
      <w:bCs/>
      <w:szCs w:val="20"/>
    </w:rPr>
  </w:style>
  <w:style w:type="paragraph" w:styleId="Bodytext31" w:customStyle="1">
    <w:name w:val="Body text (3)"/>
    <w:basedOn w:val="Normal"/>
    <w:link w:val="Bodytext3"/>
    <w:qFormat/>
    <w:rsid w:val="004d047f"/>
    <w:pPr>
      <w:widowControl w:val="false"/>
      <w:shd w:val="clear" w:color="auto" w:fill="FFFFFF"/>
      <w:spacing w:lineRule="exact" w:line="226" w:before="0" w:after="360"/>
      <w:jc w:val="center"/>
    </w:pPr>
    <w:rPr>
      <w:rFonts w:ascii="Times New Roman" w:hAnsi="Times New Roman" w:cs="Times New Roman"/>
      <w:spacing w:val="10"/>
      <w:sz w:val="19"/>
      <w:szCs w:val="19"/>
    </w:rPr>
  </w:style>
  <w:style w:type="paragraph" w:styleId="Contedodoquadro" w:customStyle="1">
    <w:name w:val="Conteúdo do quadro"/>
    <w:basedOn w:val="Normal"/>
    <w:qFormat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Ttulo11" w:customStyle="1">
    <w:name w:val="Título1"/>
    <w:qFormat/>
    <w:pPr>
      <w:keepNext w:val="true"/>
      <w:widowControl/>
      <w:bidi w:val="0"/>
      <w:spacing w:before="240" w:after="120"/>
      <w:jc w:val="left"/>
      <w:textAlignment w:val="baseline"/>
    </w:pPr>
    <w:rPr>
      <w:rFonts w:eastAsia="Mangal" w:ascii="Arial" w:hAnsi="Arial" w:cs="Arial"/>
      <w:color w:val="auto"/>
      <w:kern w:val="0"/>
      <w:sz w:val="28"/>
      <w:szCs w:val="28"/>
      <w:lang w:eastAsia="ar-SA" w:val="pt-BR" w:bidi="ar-SA"/>
    </w:rPr>
  </w:style>
  <w:style w:type="paragraph" w:styleId="Textbody" w:customStyle="1">
    <w:name w:val="Text body"/>
    <w:qFormat/>
    <w:pPr>
      <w:widowControl/>
      <w:bidi w:val="0"/>
      <w:spacing w:before="0" w:after="120"/>
      <w:jc w:val="left"/>
    </w:pPr>
    <w:rPr>
      <w:rFonts w:ascii="Liberation Serif" w:hAnsi="Liberation Serif" w:eastAsia="Lucida Sans" w:cs="Liberation Serif"/>
      <w:color w:val="auto"/>
      <w:kern w:val="2"/>
      <w:sz w:val="24"/>
      <w:szCs w:val="24"/>
      <w:lang w:eastAsia="hi-IN" w:val="pt-BR" w:bidi="ar-SA"/>
    </w:rPr>
  </w:style>
  <w:style w:type="paragraph" w:styleId="Ttulo21" w:customStyle="1">
    <w:name w:val="Título2"/>
    <w:qFormat/>
    <w:pPr>
      <w:keepNext w:val="true"/>
      <w:widowControl/>
      <w:bidi w:val="0"/>
      <w:spacing w:before="240" w:after="120"/>
      <w:jc w:val="left"/>
    </w:pPr>
    <w:rPr>
      <w:rFonts w:eastAsia="Lucida Sans" w:cs="Liberation Serif" w:ascii="Arial" w:hAnsi="Arial"/>
      <w:color w:val="auto"/>
      <w:kern w:val="2"/>
      <w:sz w:val="28"/>
      <w:szCs w:val="28"/>
      <w:lang w:eastAsia="hi-IN" w:val="pt-BR" w:bidi="ar-SA"/>
    </w:rPr>
  </w:style>
  <w:style w:type="paragraph" w:styleId="Legenda1" w:customStyle="1">
    <w:name w:val="Legenda1"/>
    <w:qFormat/>
    <w:pPr>
      <w:widowControl/>
      <w:bidi w:val="0"/>
      <w:spacing w:before="120" w:after="120"/>
      <w:jc w:val="left"/>
    </w:pPr>
    <w:rPr>
      <w:rFonts w:ascii="Liberation Serif" w:hAnsi="Liberation Serif" w:eastAsia="Lucida Sans" w:cs="Liberation Serif"/>
      <w:i/>
      <w:iCs/>
      <w:color w:val="auto"/>
      <w:kern w:val="2"/>
      <w:sz w:val="24"/>
      <w:szCs w:val="24"/>
      <w:lang w:eastAsia="hi-IN" w:val="pt-BR" w:bidi="ar-SA"/>
    </w:rPr>
  </w:style>
  <w:style w:type="paragraph" w:styleId="12" w:customStyle="1">
    <w:name w:val="12"/>
    <w:qFormat/>
    <w:pPr>
      <w:widowControl/>
      <w:bidi w:val="0"/>
      <w:spacing w:before="0" w:after="0"/>
      <w:jc w:val="both"/>
    </w:pPr>
    <w:rPr>
      <w:rFonts w:ascii="Liberation Serif" w:hAnsi="Liberation Serif" w:eastAsia="Lucida Sans" w:cs="Liberation Serif"/>
      <w:color w:val="auto"/>
      <w:kern w:val="2"/>
      <w:sz w:val="24"/>
      <w:szCs w:val="24"/>
      <w:lang w:eastAsia="hi-IN" w:val="pt-BR" w:bidi="ar-SA"/>
    </w:rPr>
  </w:style>
  <w:style w:type="paragraph" w:styleId="Textbodyindent" w:customStyle="1">
    <w:name w:val="Text body indent"/>
    <w:qFormat/>
    <w:pPr>
      <w:widowControl/>
      <w:bidi w:val="0"/>
      <w:spacing w:before="0" w:after="0"/>
      <w:ind w:firstLine="567"/>
      <w:jc w:val="both"/>
    </w:pPr>
    <w:rPr>
      <w:rFonts w:ascii="Liberation Serif" w:hAnsi="Liberation Serif" w:eastAsia="Lucida Sans" w:cs="Liberation Serif"/>
      <w:color w:val="auto"/>
      <w:kern w:val="2"/>
      <w:sz w:val="28"/>
      <w:szCs w:val="28"/>
      <w:lang w:eastAsia="hi-IN" w:val="pt-BR" w:bidi="ar-SA"/>
    </w:rPr>
  </w:style>
  <w:style w:type="paragraph" w:styleId="Primeirorecuodecorpodetexto1" w:customStyle="1">
    <w:name w:val="Primeiro recuo de corpo de texto1"/>
    <w:qFormat/>
    <w:pPr>
      <w:widowControl/>
      <w:bidi w:val="0"/>
      <w:spacing w:before="0" w:after="120"/>
      <w:ind w:firstLine="283"/>
      <w:jc w:val="left"/>
    </w:pPr>
    <w:rPr>
      <w:rFonts w:ascii="Calibri" w:hAnsi="Calibri" w:eastAsia="Lucida Sans" w:cs="Liberation Serif"/>
      <w:color w:val="auto"/>
      <w:kern w:val="2"/>
      <w:sz w:val="22"/>
      <w:szCs w:val="20"/>
      <w:lang w:eastAsia="hi-IN" w:val="pt-BR" w:bidi="ar-SA"/>
    </w:rPr>
  </w:style>
  <w:style w:type="paragraph" w:styleId="Western1" w:customStyle="1">
    <w:name w:val="western1"/>
    <w:basedOn w:val="Normal"/>
    <w:qFormat/>
    <w:pPr>
      <w:spacing w:before="280" w:after="0"/>
    </w:pPr>
    <w:rPr>
      <w:rFonts w:ascii="Times New Roman" w:hAnsi="Times New Roman"/>
      <w:szCs w:val="20"/>
    </w:rPr>
  </w:style>
  <w:style w:type="paragraph" w:styleId="M377721353775359867gmailstandard" w:customStyle="1">
    <w:name w:val="m_-377721353775359867gmail-standard"/>
    <w:basedOn w:val="Normal"/>
    <w:qFormat/>
    <w:pPr>
      <w:spacing w:before="280" w:after="280"/>
    </w:pPr>
    <w:rPr>
      <w:rFonts w:ascii="Times New Roman" w:hAnsi="Times New Roman"/>
    </w:rPr>
  </w:style>
  <w:style w:type="paragraph" w:styleId="Heading1" w:customStyle="1">
    <w:name w:val="Heading #1"/>
    <w:basedOn w:val="Normal"/>
    <w:qFormat/>
    <w:pPr>
      <w:widowControl w:val="false"/>
      <w:shd w:val="clear" w:color="auto" w:fill="FFFFFF"/>
      <w:spacing w:before="360" w:after="840"/>
      <w:jc w:val="center"/>
    </w:pPr>
    <w:rPr>
      <w:rFonts w:ascii="Times New Roman" w:hAnsi="Times New Roman"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bd3c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rsid w:val="009b563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vL59/25CCBYRJaeyYichr6Z3uHg==">AMUW2mWtFu7oDoyTsdddyJg6weAwKh0Qz1TSjy9GWs2pSEcJbJNA8DzNXt8+Pygv6Qd3tq6Qz7ScvkWi9Ty7DwS4Tw5ufpSAZ129oM9OkFmJysrxB/YWxLLsSfcAf1Nz0VJIvqE+EFHUrKLl+a2LqH/jyUO/w9GkEQ==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LibreOffice/7.1.4.2$Windows_X86_64 LibreOffice_project/a529a4fab45b75fefc5b6226684193eb000654f6</Application>
  <AppVersion>15.0000</AppVersion>
  <DocSecurity>0</DocSecurity>
  <Pages>9</Pages>
  <Words>2862</Words>
  <Characters>16960</Characters>
  <CharactersWithSpaces>19630</CharactersWithSpaces>
  <Paragraphs>163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2023-03-08T14:40:00Z</dcterms:created>
  <dc:creator>Adriano</dc:creator>
  <dc:description/>
  <dc:language>pt-BR</dc:language>
  <cp:lastModifiedBy/>
  <cp:lastPrinted>2023-02-01T16:59:00Z</cp:lastPrinted>
  <dcterms:modified xsi:type="dcterms:W3CDTF">2023-03-10T07:14:58Z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