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Arial" w:hAnsi="Arial" w:eastAsia="Times New Roman" w:cs="Arial"/>
          <w:b/>
          <w:b/>
          <w:i/>
          <w:i/>
          <w:color w:val="FF0000"/>
          <w:sz w:val="20"/>
          <w:szCs w:val="20"/>
        </w:rPr>
      </w:pPr>
      <w:r>
        <w:rPr/>
        <w:drawing>
          <wp:inline distT="0" distB="0" distL="0" distR="0">
            <wp:extent cx="990600" cy="87630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rcRect l="-171" t="-159" r="-171" b="-159"/>
                    <a:stretch>
                      <a:fillRect/>
                    </a:stretch>
                  </pic:blipFill>
                  <pic:spPr bwMode="auto">
                    <a:xfrm>
                      <a:off x="0" y="0"/>
                      <a:ext cx="990600" cy="876300"/>
                    </a:xfrm>
                    <a:prstGeom prst="rect">
                      <a:avLst/>
                    </a:prstGeom>
                  </pic:spPr>
                </pic:pic>
              </a:graphicData>
            </a:graphic>
          </wp:inline>
        </w:drawing>
      </w:r>
    </w:p>
    <w:p>
      <w:pPr>
        <w:pStyle w:val="Normal"/>
        <w:jc w:val="center"/>
        <w:rPr>
          <w:rFonts w:ascii="Arial" w:hAnsi="Arial" w:eastAsia="Times New Roman" w:cs="Arial"/>
          <w:b/>
          <w:b/>
          <w:i/>
          <w:i/>
          <w:sz w:val="20"/>
          <w:szCs w:val="20"/>
        </w:rPr>
      </w:pPr>
      <w:r>
        <w:rPr>
          <w:rFonts w:eastAsia="Times New Roman" w:cs="Arial" w:ascii="Arial" w:hAnsi="Arial"/>
          <w:b/>
          <w:i/>
          <w:sz w:val="20"/>
          <w:szCs w:val="20"/>
        </w:rPr>
        <w:t>MINISTÉRIO DA DEFESA</w:t>
      </w:r>
    </w:p>
    <w:p>
      <w:pPr>
        <w:pStyle w:val="Normal"/>
        <w:jc w:val="center"/>
        <w:rPr>
          <w:rFonts w:ascii="Arial" w:hAnsi="Arial" w:eastAsia="Times New Roman" w:cs="Arial"/>
          <w:b/>
          <w:b/>
          <w:i/>
          <w:i/>
          <w:sz w:val="20"/>
          <w:szCs w:val="20"/>
        </w:rPr>
      </w:pPr>
      <w:r>
        <w:rPr>
          <w:rFonts w:eastAsia="Times New Roman" w:cs="Arial" w:ascii="Arial" w:hAnsi="Arial"/>
          <w:b/>
          <w:i/>
          <w:sz w:val="20"/>
          <w:szCs w:val="20"/>
        </w:rPr>
        <w:t>EXÉRCITO BRASILEIRO</w:t>
      </w:r>
    </w:p>
    <w:p>
      <w:pPr>
        <w:pStyle w:val="Normal"/>
        <w:jc w:val="center"/>
        <w:rPr>
          <w:rFonts w:ascii="Arial" w:hAnsi="Arial" w:eastAsia="Times New Roman" w:cs="Arial"/>
          <w:b/>
          <w:b/>
          <w:i/>
          <w:i/>
          <w:sz w:val="20"/>
          <w:szCs w:val="20"/>
        </w:rPr>
      </w:pPr>
      <w:r>
        <w:rPr>
          <w:rFonts w:eastAsia="Times New Roman" w:cs="Arial" w:ascii="Arial" w:hAnsi="Arial"/>
          <w:b/>
          <w:i/>
          <w:sz w:val="20"/>
          <w:szCs w:val="20"/>
        </w:rPr>
        <w:t>17º BATALHÃO LOGÍSTICO LEVE DE MONTANHA</w:t>
      </w:r>
    </w:p>
    <w:p>
      <w:pPr>
        <w:pStyle w:val="Normal"/>
        <w:jc w:val="center"/>
        <w:rPr>
          <w:rFonts w:ascii="Arial" w:hAnsi="Arial" w:eastAsia="Times New Roman" w:cs="Arial"/>
          <w:b/>
          <w:b/>
          <w:i/>
          <w:i/>
          <w:sz w:val="20"/>
          <w:szCs w:val="20"/>
        </w:rPr>
      </w:pPr>
      <w:r>
        <w:rPr>
          <w:rFonts w:eastAsia="Times New Roman" w:cs="Arial" w:ascii="Arial" w:hAnsi="Arial"/>
          <w:b/>
          <w:i/>
          <w:sz w:val="20"/>
          <w:szCs w:val="20"/>
        </w:rPr>
        <w:t>(4ª Cia Adm/1915)</w:t>
      </w:r>
    </w:p>
    <w:p>
      <w:pPr>
        <w:pStyle w:val="Normal"/>
        <w:jc w:val="center"/>
        <w:rPr>
          <w:rFonts w:ascii="Arial" w:hAnsi="Arial" w:eastAsia="Times New Roman" w:cs="Arial"/>
          <w:b/>
          <w:b/>
          <w:i/>
          <w:i/>
          <w:sz w:val="20"/>
          <w:szCs w:val="20"/>
        </w:rPr>
      </w:pPr>
      <w:r>
        <w:rPr>
          <w:rFonts w:eastAsia="Times New Roman" w:cs="Arial" w:ascii="Arial" w:hAnsi="Arial"/>
          <w:b/>
          <w:i/>
          <w:sz w:val="20"/>
          <w:szCs w:val="20"/>
        </w:rPr>
        <w:t>“</w:t>
      </w:r>
      <w:r>
        <w:rPr>
          <w:rFonts w:eastAsia="Times New Roman" w:cs="Arial" w:ascii="Arial" w:hAnsi="Arial"/>
          <w:b/>
          <w:i/>
          <w:sz w:val="20"/>
          <w:szCs w:val="20"/>
        </w:rPr>
        <w:t>BATALHÃO MARIANO PROCÓPIO”</w:t>
      </w:r>
    </w:p>
    <w:p>
      <w:pPr>
        <w:pStyle w:val="Normal"/>
        <w:jc w:val="center"/>
        <w:rPr>
          <w:rFonts w:ascii="Arial" w:hAnsi="Arial" w:eastAsia="Times New Roman" w:cs="Arial"/>
          <w:b/>
          <w:b/>
          <w:i/>
          <w:i/>
          <w:color w:val="FF0000"/>
          <w:sz w:val="20"/>
          <w:szCs w:val="20"/>
        </w:rPr>
      </w:pPr>
      <w:r>
        <w:rPr>
          <w:rFonts w:eastAsia="Times New Roman" w:cs="Arial" w:ascii="Arial" w:hAnsi="Arial"/>
          <w:b/>
          <w:i/>
          <w:color w:val="FF0000"/>
          <w:sz w:val="20"/>
          <w:szCs w:val="20"/>
        </w:rPr>
      </w:r>
    </w:p>
    <w:p>
      <w:pPr>
        <w:pStyle w:val="Normal"/>
        <w:jc w:val="center"/>
        <w:rPr>
          <w:color w:val="000000"/>
        </w:rPr>
      </w:pPr>
      <w:r>
        <w:rPr/>
      </w:r>
    </w:p>
    <w:p>
      <w:pPr>
        <w:pStyle w:val="Normal"/>
        <w:spacing w:lineRule="auto" w:line="312" w:before="120" w:after="288"/>
        <w:jc w:val="center"/>
        <w:rPr>
          <w:b/>
          <w:b/>
          <w:bCs/>
          <w:color w:val="000000"/>
        </w:rPr>
      </w:pPr>
      <w:r>
        <w:rPr>
          <w:rFonts w:cs="Arial" w:ascii="Arial" w:hAnsi="Arial"/>
          <w:b/>
          <w:bCs/>
          <w:color w:val="000000"/>
          <w:sz w:val="20"/>
          <w:szCs w:val="20"/>
        </w:rPr>
        <w:t>(Processo Administrativo n° 64135.004411/2023-32)</w:t>
      </w:r>
    </w:p>
    <w:p>
      <w:pPr>
        <w:pStyle w:val="Normal"/>
        <w:spacing w:lineRule="auto" w:line="312" w:before="120" w:after="288"/>
        <w:jc w:val="center"/>
        <w:rPr>
          <w:b/>
          <w:b/>
          <w:bCs/>
          <w:u w:val="single"/>
        </w:rPr>
      </w:pPr>
      <w:r>
        <w:rPr>
          <w:rFonts w:cs="Arial" w:ascii="Arial" w:hAnsi="Arial"/>
          <w:b/>
          <w:bCs/>
          <w:color w:val="000000"/>
          <w:sz w:val="20"/>
          <w:szCs w:val="20"/>
          <w:u w:val="single"/>
        </w:rPr>
        <w:t>TERMO DE REFERÊNCIA</w:t>
      </w:r>
    </w:p>
    <w:p>
      <w:pPr>
        <w:pStyle w:val="Nivel01"/>
        <w:numPr>
          <w:ilvl w:val="0"/>
          <w:numId w:val="1"/>
        </w:numPr>
        <w:ind w:left="0" w:hanging="0"/>
        <w:rPr>
          <w:rFonts w:eastAsia="Arial"/>
        </w:rPr>
      </w:pPr>
      <w:r>
        <w:rPr/>
        <w:t>CONDIÇÕES GERAIS DA CONTRATAÇÃO</w:t>
      </w:r>
    </w:p>
    <w:p>
      <w:pPr>
        <w:pStyle w:val="Nivel2"/>
        <w:numPr>
          <w:ilvl w:val="1"/>
          <w:numId w:val="2"/>
        </w:numPr>
        <w:rPr/>
      </w:pPr>
      <w:r>
        <w:rPr>
          <w:rFonts w:cs="Arial"/>
          <w:color w:val="000000"/>
          <w:szCs w:val="20"/>
        </w:rPr>
        <w:t>Contratação de serviços de cursos de formação de profissionais de Auto Escola</w:t>
      </w:r>
      <w:r>
        <w:rPr>
          <w:rFonts w:cs="Arial"/>
          <w:color w:val="000000"/>
          <w:szCs w:val="20"/>
        </w:rPr>
        <w:t>, conforme condições, quantidades e exigências estabelecidas neste instrumento</w:t>
      </w:r>
      <w:r>
        <w:rPr/>
        <w:t>.</w:t>
      </w:r>
    </w:p>
    <w:p>
      <w:pPr>
        <w:pStyle w:val="Nivel2"/>
        <w:rPr/>
      </w:pPr>
      <w:r>
        <w:rPr/>
      </w:r>
    </w:p>
    <w:tbl>
      <w:tblPr>
        <w:tblW w:w="14113" w:type="dxa"/>
        <w:jc w:val="left"/>
        <w:tblInd w:w="-38" w:type="dxa"/>
        <w:tblCellMar>
          <w:top w:w="55" w:type="dxa"/>
          <w:left w:w="45" w:type="dxa"/>
          <w:bottom w:w="55" w:type="dxa"/>
          <w:right w:w="55" w:type="dxa"/>
        </w:tblCellMar>
      </w:tblPr>
      <w:tblGrid>
        <w:gridCol w:w="540"/>
        <w:gridCol w:w="7913"/>
        <w:gridCol w:w="1299"/>
        <w:gridCol w:w="1243"/>
        <w:gridCol w:w="1200"/>
        <w:gridCol w:w="960"/>
        <w:gridCol w:w="958"/>
      </w:tblGrid>
      <w:tr>
        <w:trPr>
          <w:tblHeader w:val="true"/>
          <w:trHeight w:val="682" w:hRule="atLeast"/>
        </w:trPr>
        <w:tc>
          <w:tcPr>
            <w:tcW w:w="540" w:type="dxa"/>
            <w:tcBorders>
              <w:top w:val="single" w:sz="4" w:space="0" w:color="000001"/>
              <w:left w:val="single" w:sz="4" w:space="0" w:color="000001"/>
              <w:bottom w:val="single" w:sz="4" w:space="0" w:color="000001"/>
            </w:tcBorders>
            <w:shd w:fill="B2B2B2" w:val="clear"/>
            <w:vAlign w:val="center"/>
          </w:tcPr>
          <w:p>
            <w:pPr>
              <w:pStyle w:val="LONormal"/>
              <w:widowControl w:val="false"/>
              <w:tabs>
                <w:tab w:val="clear" w:pos="708"/>
                <w:tab w:val="left" w:pos="1188" w:leader="none"/>
              </w:tabs>
              <w:jc w:val="center"/>
              <w:rPr>
                <w:rFonts w:ascii="Arial" w:hAnsi="Arial" w:cs="Arial"/>
                <w:b/>
                <w:b/>
                <w:bCs/>
                <w:sz w:val="16"/>
                <w:szCs w:val="16"/>
              </w:rPr>
            </w:pPr>
            <w:r>
              <w:rPr>
                <w:rFonts w:cs="Arial" w:ascii="Arial" w:hAnsi="Arial"/>
                <w:b/>
                <w:bCs/>
                <w:sz w:val="16"/>
                <w:szCs w:val="16"/>
              </w:rPr>
              <w:t>ITEM</w:t>
            </w:r>
          </w:p>
        </w:tc>
        <w:tc>
          <w:tcPr>
            <w:tcW w:w="7913" w:type="dxa"/>
            <w:tcBorders>
              <w:top w:val="single" w:sz="4" w:space="0" w:color="000001"/>
              <w:left w:val="single" w:sz="4" w:space="0" w:color="000001"/>
              <w:bottom w:val="single" w:sz="4" w:space="0" w:color="000001"/>
            </w:tcBorders>
            <w:shd w:fill="B2B2B2" w:val="clear"/>
            <w:vAlign w:val="center"/>
          </w:tcPr>
          <w:p>
            <w:pPr>
              <w:pStyle w:val="LONormal"/>
              <w:widowControl w:val="false"/>
              <w:jc w:val="center"/>
              <w:rPr>
                <w:rFonts w:ascii="Arial" w:hAnsi="Arial" w:cs="Arial"/>
                <w:b/>
                <w:b/>
                <w:bCs/>
                <w:sz w:val="16"/>
                <w:szCs w:val="16"/>
              </w:rPr>
            </w:pPr>
            <w:r>
              <w:rPr>
                <w:rFonts w:cs="Arial" w:ascii="Arial" w:hAnsi="Arial"/>
                <w:b/>
                <w:bCs/>
                <w:sz w:val="16"/>
                <w:szCs w:val="16"/>
              </w:rPr>
              <w:t>DESCRIÇÃO DO MATERIAL</w:t>
            </w:r>
          </w:p>
        </w:tc>
        <w:tc>
          <w:tcPr>
            <w:tcW w:w="1299" w:type="dxa"/>
            <w:tcBorders>
              <w:top w:val="single" w:sz="4" w:space="0" w:color="000001"/>
              <w:left w:val="single" w:sz="4" w:space="0" w:color="000001"/>
              <w:bottom w:val="single" w:sz="4" w:space="0" w:color="000001"/>
            </w:tcBorders>
            <w:shd w:fill="B2B2B2" w:val="clear"/>
            <w:vAlign w:val="center"/>
          </w:tcPr>
          <w:p>
            <w:pPr>
              <w:pStyle w:val="LONormal"/>
              <w:widowControl w:val="false"/>
              <w:jc w:val="center"/>
              <w:rPr>
                <w:rFonts w:ascii="Arial" w:hAnsi="Arial" w:cs="Arial"/>
                <w:b/>
                <w:b/>
                <w:bCs/>
                <w:sz w:val="16"/>
                <w:szCs w:val="16"/>
              </w:rPr>
            </w:pPr>
            <w:r>
              <w:rPr>
                <w:rFonts w:cs="Arial" w:ascii="Arial" w:hAnsi="Arial"/>
                <w:b/>
                <w:bCs/>
                <w:sz w:val="16"/>
                <w:szCs w:val="16"/>
              </w:rPr>
              <w:t>QUANTIDADE</w:t>
            </w:r>
          </w:p>
        </w:tc>
        <w:tc>
          <w:tcPr>
            <w:tcW w:w="1243" w:type="dxa"/>
            <w:tcBorders>
              <w:top w:val="single" w:sz="4" w:space="0" w:color="000001"/>
              <w:left w:val="single" w:sz="4" w:space="0" w:color="000001"/>
              <w:bottom w:val="single" w:sz="4" w:space="0" w:color="000001"/>
            </w:tcBorders>
            <w:shd w:fill="B2B2B2" w:val="clear"/>
            <w:vAlign w:val="center"/>
          </w:tcPr>
          <w:p>
            <w:pPr>
              <w:pStyle w:val="LONormal"/>
              <w:widowControl w:val="false"/>
              <w:jc w:val="center"/>
              <w:rPr>
                <w:rFonts w:ascii="Arial" w:hAnsi="Arial" w:cs="Arial"/>
                <w:b/>
                <w:b/>
                <w:bCs/>
                <w:sz w:val="16"/>
                <w:szCs w:val="16"/>
              </w:rPr>
            </w:pPr>
            <w:r>
              <w:rPr>
                <w:rFonts w:cs="Arial" w:ascii="Arial" w:hAnsi="Arial"/>
                <w:b/>
                <w:bCs/>
                <w:sz w:val="16"/>
                <w:szCs w:val="16"/>
              </w:rPr>
              <w:t>VALOR UNITÁRIO</w:t>
            </w:r>
          </w:p>
        </w:tc>
        <w:tc>
          <w:tcPr>
            <w:tcW w:w="1200" w:type="dxa"/>
            <w:tcBorders>
              <w:top w:val="single" w:sz="4" w:space="0" w:color="000001"/>
              <w:left w:val="single" w:sz="4" w:space="0" w:color="000001"/>
              <w:bottom w:val="single" w:sz="4" w:space="0" w:color="000001"/>
            </w:tcBorders>
            <w:shd w:fill="B2B2B2" w:val="clear"/>
            <w:vAlign w:val="center"/>
          </w:tcPr>
          <w:p>
            <w:pPr>
              <w:pStyle w:val="LONormal"/>
              <w:widowControl w:val="false"/>
              <w:jc w:val="center"/>
              <w:rPr>
                <w:rFonts w:ascii="Arial" w:hAnsi="Arial" w:cs="Arial"/>
                <w:b/>
                <w:b/>
                <w:bCs/>
                <w:sz w:val="16"/>
                <w:szCs w:val="16"/>
              </w:rPr>
            </w:pPr>
            <w:r>
              <w:rPr>
                <w:rFonts w:cs="Arial" w:ascii="Arial" w:hAnsi="Arial"/>
                <w:b/>
                <w:bCs/>
                <w:sz w:val="16"/>
                <w:szCs w:val="16"/>
              </w:rPr>
              <w:t>VALOR TOTAL</w:t>
            </w:r>
          </w:p>
        </w:tc>
        <w:tc>
          <w:tcPr>
            <w:tcW w:w="960" w:type="dxa"/>
            <w:tcBorders>
              <w:top w:val="single" w:sz="4" w:space="0" w:color="000001"/>
              <w:left w:val="single" w:sz="4" w:space="0" w:color="000001"/>
              <w:bottom w:val="single" w:sz="4" w:space="0" w:color="000001"/>
            </w:tcBorders>
            <w:shd w:fill="B2B2B2" w:val="clear"/>
            <w:vAlign w:val="center"/>
          </w:tcPr>
          <w:p>
            <w:pPr>
              <w:pStyle w:val="LONormal"/>
              <w:widowControl w:val="false"/>
              <w:jc w:val="center"/>
              <w:rPr>
                <w:rFonts w:ascii="Arial" w:hAnsi="Arial" w:cs="Arial"/>
                <w:b/>
                <w:b/>
                <w:bCs/>
                <w:sz w:val="16"/>
                <w:szCs w:val="16"/>
              </w:rPr>
            </w:pPr>
            <w:r>
              <w:rPr>
                <w:rFonts w:cs="Arial" w:ascii="Arial" w:hAnsi="Arial"/>
                <w:b/>
                <w:bCs/>
                <w:sz w:val="16"/>
                <w:szCs w:val="16"/>
              </w:rPr>
              <w:t>Requisição</w:t>
            </w:r>
          </w:p>
          <w:p>
            <w:pPr>
              <w:pStyle w:val="LONormal"/>
              <w:widowControl w:val="false"/>
              <w:jc w:val="center"/>
              <w:rPr>
                <w:rFonts w:ascii="Arial" w:hAnsi="Arial" w:cs="Arial"/>
                <w:b/>
                <w:b/>
                <w:bCs/>
                <w:sz w:val="16"/>
                <w:szCs w:val="16"/>
              </w:rPr>
            </w:pPr>
            <w:r>
              <w:rPr>
                <w:rFonts w:cs="Arial" w:ascii="Arial" w:hAnsi="Arial"/>
                <w:b/>
                <w:bCs/>
                <w:sz w:val="16"/>
                <w:szCs w:val="16"/>
              </w:rPr>
              <w:t>Mínima</w:t>
            </w:r>
          </w:p>
        </w:tc>
        <w:tc>
          <w:tcPr>
            <w:tcW w:w="958" w:type="dxa"/>
            <w:tcBorders>
              <w:top w:val="single" w:sz="4" w:space="0" w:color="000001"/>
              <w:left w:val="single" w:sz="4" w:space="0" w:color="000001"/>
              <w:bottom w:val="single" w:sz="4" w:space="0" w:color="000001"/>
              <w:right w:val="single" w:sz="4" w:space="0" w:color="000001"/>
            </w:tcBorders>
            <w:shd w:fill="B2B2B2" w:val="clear"/>
            <w:vAlign w:val="center"/>
          </w:tcPr>
          <w:p>
            <w:pPr>
              <w:pStyle w:val="LONormal"/>
              <w:widowControl w:val="false"/>
              <w:jc w:val="center"/>
              <w:rPr>
                <w:rFonts w:ascii="Arial" w:hAnsi="Arial" w:cs="Arial"/>
                <w:b/>
                <w:b/>
                <w:bCs/>
                <w:sz w:val="16"/>
                <w:szCs w:val="16"/>
              </w:rPr>
            </w:pPr>
            <w:r>
              <w:rPr>
                <w:rFonts w:cs="Arial" w:ascii="Arial" w:hAnsi="Arial"/>
                <w:b/>
                <w:bCs/>
                <w:sz w:val="16"/>
                <w:szCs w:val="16"/>
              </w:rPr>
              <w:t>Requisição Máxima</w:t>
            </w:r>
          </w:p>
        </w:tc>
      </w:tr>
      <w:tr>
        <w:trPr/>
        <w:tc>
          <w:tcPr>
            <w:tcW w:w="540" w:type="dxa"/>
            <w:tcBorders>
              <w:top w:val="single" w:sz="4" w:space="0" w:color="000001"/>
              <w:left w:val="single" w:sz="4" w:space="0" w:color="000001"/>
              <w:bottom w:val="single" w:sz="4" w:space="0" w:color="000001"/>
            </w:tcBorders>
            <w:shd w:fill="auto" w:val="clear"/>
            <w:vAlign w:val="center"/>
          </w:tcPr>
          <w:p>
            <w:pPr>
              <w:pStyle w:val="Normal"/>
              <w:widowControl w:val="false"/>
              <w:snapToGrid w:val="false"/>
              <w:rPr>
                <w:rFonts w:cs="Arial"/>
                <w:b/>
                <w:b/>
                <w:bCs/>
                <w:sz w:val="18"/>
                <w:szCs w:val="18"/>
              </w:rPr>
            </w:pPr>
            <w:r>
              <w:rPr>
                <w:rFonts w:cs="Arial"/>
                <w:b/>
                <w:bCs/>
                <w:sz w:val="18"/>
                <w:szCs w:val="18"/>
              </w:rPr>
              <w:t>1</w:t>
            </w:r>
          </w:p>
        </w:tc>
        <w:tc>
          <w:tcPr>
            <w:tcW w:w="7913" w:type="dxa"/>
            <w:tcBorders>
              <w:top w:val="single" w:sz="4" w:space="0" w:color="000001"/>
              <w:left w:val="single" w:sz="4" w:space="0" w:color="000001"/>
              <w:bottom w:val="single" w:sz="4" w:space="0" w:color="000001"/>
            </w:tcBorders>
            <w:shd w:fill="auto" w:val="clear"/>
            <w:vAlign w:val="center"/>
          </w:tcPr>
          <w:p>
            <w:pPr>
              <w:pStyle w:val="Western"/>
              <w:spacing w:before="100" w:after="119"/>
              <w:jc w:val="both"/>
              <w:rPr/>
            </w:pPr>
            <w:r>
              <w:rPr>
                <w:rStyle w:val="Fontepargpadro"/>
                <w:rFonts w:eastAsia="Times New Roman" w:cs="Times New Roman" w:ascii="Times New Roman" w:hAnsi="Times New Roman"/>
                <w:color w:val="333333"/>
                <w:sz w:val="20"/>
                <w:szCs w:val="20"/>
                <w:lang w:eastAsia="pt-BR"/>
              </w:rPr>
              <w:t>Curso de formação para instrutor de trânsito e de auto escola de acordo com a resolução 789/20 - CONTRAN com 180 horas aula, com emissão e certificados válido em todo território nacional. Curso autorizado pelo DETRAN E SENATRAN.</w:t>
            </w:r>
          </w:p>
        </w:tc>
        <w:tc>
          <w:tcPr>
            <w:tcW w:w="1299" w:type="dxa"/>
            <w:tcBorders>
              <w:top w:val="single" w:sz="4" w:space="0" w:color="000001"/>
              <w:left w:val="single" w:sz="4" w:space="0" w:color="000001"/>
              <w:bottom w:val="single" w:sz="4" w:space="0" w:color="000001"/>
            </w:tcBorders>
            <w:shd w:fill="auto" w:val="clear"/>
            <w:vAlign w:val="center"/>
          </w:tcPr>
          <w:p>
            <w:pPr>
              <w:pStyle w:val="Normal"/>
              <w:jc w:val="center"/>
              <w:rPr/>
            </w:pPr>
            <w:r>
              <w:rPr>
                <w:rStyle w:val="Fontepargpadro"/>
                <w:color w:val="333333"/>
                <w:sz w:val="20"/>
                <w:szCs w:val="20"/>
                <w:lang w:eastAsia="pt-BR"/>
              </w:rPr>
              <w:t>0</w:t>
            </w:r>
            <w:r>
              <w:rPr>
                <w:rStyle w:val="Fontepargpadro"/>
                <w:color w:val="333333"/>
                <w:sz w:val="20"/>
                <w:szCs w:val="20"/>
                <w:lang w:eastAsia="pt-BR"/>
              </w:rPr>
              <w:t>2</w:t>
            </w:r>
          </w:p>
        </w:tc>
        <w:tc>
          <w:tcPr>
            <w:tcW w:w="1243" w:type="dxa"/>
            <w:tcBorders>
              <w:top w:val="single" w:sz="4" w:space="0" w:color="000001"/>
              <w:left w:val="single" w:sz="4" w:space="0" w:color="000001"/>
              <w:bottom w:val="single" w:sz="4" w:space="0" w:color="000001"/>
            </w:tcBorders>
            <w:shd w:fill="auto" w:val="clear"/>
            <w:vAlign w:val="center"/>
          </w:tcPr>
          <w:p>
            <w:pPr>
              <w:pStyle w:val="Normal"/>
              <w:jc w:val="center"/>
              <w:rPr>
                <w:sz w:val="20"/>
                <w:szCs w:val="20"/>
                <w:lang w:eastAsia="pt-BR"/>
              </w:rPr>
            </w:pPr>
            <w:r>
              <w:rPr>
                <w:sz w:val="20"/>
                <w:szCs w:val="20"/>
                <w:lang w:eastAsia="pt-BR"/>
              </w:rPr>
              <w:t>R$</w:t>
            </w:r>
            <w:r>
              <w:rPr>
                <w:sz w:val="20"/>
                <w:szCs w:val="20"/>
                <w:lang w:eastAsia="pt-BR"/>
              </w:rPr>
              <w:t>1.600,00</w:t>
            </w:r>
          </w:p>
        </w:tc>
        <w:tc>
          <w:tcPr>
            <w:tcW w:w="1200" w:type="dxa"/>
            <w:tcBorders>
              <w:top w:val="single" w:sz="4" w:space="0" w:color="000001"/>
              <w:left w:val="single" w:sz="4" w:space="0" w:color="000001"/>
              <w:bottom w:val="single" w:sz="4" w:space="0" w:color="000001"/>
            </w:tcBorders>
            <w:shd w:fill="auto" w:val="clear"/>
            <w:vAlign w:val="center"/>
          </w:tcPr>
          <w:p>
            <w:pPr>
              <w:pStyle w:val="Normal"/>
              <w:jc w:val="center"/>
              <w:rPr/>
            </w:pPr>
            <w:r>
              <w:rPr>
                <w:rStyle w:val="Fontepargpadro"/>
                <w:color w:val="333333"/>
                <w:sz w:val="20"/>
                <w:szCs w:val="20"/>
                <w:lang w:eastAsia="pt-BR"/>
              </w:rPr>
              <w:t>R$</w:t>
            </w:r>
            <w:r>
              <w:rPr>
                <w:rStyle w:val="Fontepargpadro"/>
                <w:color w:val="333333"/>
                <w:sz w:val="20"/>
                <w:szCs w:val="20"/>
                <w:lang w:eastAsia="pt-BR"/>
              </w:rPr>
              <w:t>3.200,00</w:t>
            </w:r>
          </w:p>
        </w:tc>
        <w:tc>
          <w:tcPr>
            <w:tcW w:w="960" w:type="dxa"/>
            <w:tcBorders>
              <w:top w:val="single" w:sz="4" w:space="0" w:color="000001"/>
              <w:left w:val="single" w:sz="4" w:space="0" w:color="000001"/>
              <w:bottom w:val="single" w:sz="4" w:space="0" w:color="000001"/>
            </w:tcBorders>
            <w:shd w:fill="auto" w:val="clear"/>
            <w:vAlign w:val="center"/>
          </w:tcPr>
          <w:p>
            <w:pPr>
              <w:pStyle w:val="Normal"/>
              <w:widowControl w:val="false"/>
              <w:snapToGrid w:val="false"/>
              <w:spacing w:lineRule="auto" w:line="276" w:before="0" w:after="120"/>
              <w:jc w:val="center"/>
              <w:rPr>
                <w:rFonts w:cs="Arial"/>
                <w:color w:val="000000"/>
                <w:sz w:val="18"/>
                <w:szCs w:val="18"/>
              </w:rPr>
            </w:pPr>
            <w:r>
              <w:rPr>
                <w:rFonts w:cs="Arial"/>
                <w:color w:val="000000"/>
                <w:sz w:val="18"/>
                <w:szCs w:val="18"/>
              </w:rPr>
              <w:t>0</w:t>
            </w:r>
          </w:p>
        </w:tc>
        <w:tc>
          <w:tcPr>
            <w:tcW w:w="958"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jc w:val="center"/>
              <w:rPr/>
            </w:pPr>
            <w:r>
              <w:rPr>
                <w:rStyle w:val="Fontepargpadro"/>
                <w:color w:val="333333"/>
                <w:sz w:val="20"/>
                <w:szCs w:val="20"/>
                <w:lang w:eastAsia="pt-BR"/>
              </w:rPr>
              <w:t>0</w:t>
            </w:r>
            <w:r>
              <w:rPr>
                <w:rStyle w:val="Fontepargpadro"/>
                <w:color w:val="333333"/>
                <w:sz w:val="20"/>
                <w:szCs w:val="20"/>
                <w:lang w:eastAsia="pt-BR"/>
              </w:rPr>
              <w:t>2</w:t>
            </w:r>
          </w:p>
        </w:tc>
      </w:tr>
      <w:tr>
        <w:trPr/>
        <w:tc>
          <w:tcPr>
            <w:tcW w:w="540" w:type="dxa"/>
            <w:tcBorders>
              <w:left w:val="single" w:sz="4" w:space="0" w:color="000001"/>
              <w:bottom w:val="single" w:sz="4" w:space="0" w:color="000001"/>
            </w:tcBorders>
            <w:shd w:fill="auto" w:val="clear"/>
            <w:vAlign w:val="center"/>
          </w:tcPr>
          <w:p>
            <w:pPr>
              <w:pStyle w:val="Normal"/>
              <w:widowControl w:val="false"/>
              <w:snapToGrid w:val="false"/>
              <w:rPr>
                <w:rFonts w:cs="Arial"/>
                <w:b/>
                <w:b/>
                <w:bCs/>
                <w:sz w:val="18"/>
                <w:szCs w:val="18"/>
              </w:rPr>
            </w:pPr>
            <w:r>
              <w:rPr>
                <w:rFonts w:cs="Arial"/>
                <w:b/>
                <w:bCs/>
                <w:sz w:val="18"/>
                <w:szCs w:val="18"/>
              </w:rPr>
              <w:t>2</w:t>
            </w:r>
          </w:p>
        </w:tc>
        <w:tc>
          <w:tcPr>
            <w:tcW w:w="7913" w:type="dxa"/>
            <w:tcBorders>
              <w:left w:val="single" w:sz="4" w:space="0" w:color="000001"/>
              <w:bottom w:val="single" w:sz="4" w:space="0" w:color="000001"/>
            </w:tcBorders>
            <w:shd w:fill="auto" w:val="clear"/>
            <w:vAlign w:val="center"/>
          </w:tcPr>
          <w:p>
            <w:pPr>
              <w:pStyle w:val="Western"/>
              <w:spacing w:before="100" w:after="119"/>
              <w:jc w:val="both"/>
              <w:rPr/>
            </w:pPr>
            <w:r>
              <w:rPr>
                <w:rStyle w:val="Fontepargpadro"/>
                <w:rFonts w:eastAsia="Times New Roman" w:cs="Times New Roman" w:ascii="Times New Roman" w:hAnsi="Times New Roman"/>
                <w:color w:val="333333"/>
                <w:sz w:val="20"/>
                <w:szCs w:val="20"/>
                <w:lang w:eastAsia="pt-BR"/>
              </w:rPr>
              <w:t xml:space="preserve">Curso de formação para examinador de trânsito de auto escola de acordo com a resolução 789/20 - CONTRAN com 208 horas aula, com emissão e certificados válido em todo território nacional. Curso autorizado pelo DETRAN E SENATRAN </w:t>
            </w:r>
          </w:p>
        </w:tc>
        <w:tc>
          <w:tcPr>
            <w:tcW w:w="1299" w:type="dxa"/>
            <w:tcBorders>
              <w:left w:val="single" w:sz="4" w:space="0" w:color="000001"/>
              <w:bottom w:val="single" w:sz="4" w:space="0" w:color="000001"/>
            </w:tcBorders>
            <w:shd w:fill="auto" w:val="clear"/>
            <w:vAlign w:val="center"/>
          </w:tcPr>
          <w:p>
            <w:pPr>
              <w:pStyle w:val="Normal"/>
              <w:jc w:val="center"/>
              <w:rPr>
                <w:color w:val="000000"/>
                <w:sz w:val="20"/>
                <w:szCs w:val="20"/>
                <w:lang w:eastAsia="pt-BR"/>
              </w:rPr>
            </w:pPr>
            <w:r>
              <w:rPr>
                <w:color w:val="000000"/>
                <w:sz w:val="20"/>
                <w:szCs w:val="20"/>
                <w:lang w:eastAsia="pt-BR"/>
              </w:rPr>
              <w:t>01</w:t>
            </w:r>
          </w:p>
        </w:tc>
        <w:tc>
          <w:tcPr>
            <w:tcW w:w="1243" w:type="dxa"/>
            <w:tcBorders>
              <w:left w:val="single" w:sz="4" w:space="0" w:color="000001"/>
              <w:bottom w:val="single" w:sz="4" w:space="0" w:color="000001"/>
            </w:tcBorders>
            <w:shd w:fill="auto" w:val="clear"/>
            <w:vAlign w:val="center"/>
          </w:tcPr>
          <w:p>
            <w:pPr>
              <w:pStyle w:val="Normal"/>
              <w:jc w:val="center"/>
              <w:rPr>
                <w:sz w:val="24"/>
                <w:szCs w:val="24"/>
                <w:lang w:eastAsia="pt-BR"/>
              </w:rPr>
            </w:pPr>
            <w:r>
              <w:rPr>
                <w:rStyle w:val="Fontepargpadro"/>
                <w:sz w:val="20"/>
                <w:szCs w:val="20"/>
                <w:lang w:eastAsia="pt-BR"/>
              </w:rPr>
              <w:t>R$700,00</w:t>
            </w:r>
          </w:p>
        </w:tc>
        <w:tc>
          <w:tcPr>
            <w:tcW w:w="1200" w:type="dxa"/>
            <w:tcBorders>
              <w:left w:val="single" w:sz="4" w:space="0" w:color="000001"/>
              <w:bottom w:val="single" w:sz="4" w:space="0" w:color="000001"/>
            </w:tcBorders>
            <w:shd w:fill="auto" w:val="clear"/>
            <w:vAlign w:val="center"/>
          </w:tcPr>
          <w:p>
            <w:pPr>
              <w:pStyle w:val="Normal"/>
              <w:jc w:val="center"/>
              <w:rPr>
                <w:sz w:val="24"/>
                <w:szCs w:val="24"/>
                <w:lang w:eastAsia="pt-BR"/>
              </w:rPr>
            </w:pPr>
            <w:r>
              <w:rPr>
                <w:rStyle w:val="Fontepargpadro"/>
                <w:color w:val="000000"/>
                <w:sz w:val="20"/>
                <w:szCs w:val="20"/>
                <w:lang w:eastAsia="pt-BR"/>
              </w:rPr>
              <w:t>R$700,00</w:t>
            </w:r>
          </w:p>
        </w:tc>
        <w:tc>
          <w:tcPr>
            <w:tcW w:w="960" w:type="dxa"/>
            <w:tcBorders>
              <w:left w:val="single" w:sz="4" w:space="0" w:color="000001"/>
              <w:bottom w:val="single" w:sz="4" w:space="0" w:color="000001"/>
            </w:tcBorders>
            <w:shd w:fill="auto" w:val="clear"/>
            <w:vAlign w:val="center"/>
          </w:tcPr>
          <w:p>
            <w:pPr>
              <w:pStyle w:val="Normal"/>
              <w:widowControl w:val="false"/>
              <w:snapToGrid w:val="false"/>
              <w:spacing w:lineRule="auto" w:line="276" w:before="0" w:after="120"/>
              <w:jc w:val="center"/>
              <w:rPr>
                <w:rFonts w:cs="Arial"/>
                <w:color w:val="000000"/>
                <w:sz w:val="18"/>
                <w:szCs w:val="18"/>
              </w:rPr>
            </w:pPr>
            <w:r>
              <w:rPr>
                <w:rFonts w:cs="Arial"/>
                <w:color w:val="000000"/>
                <w:sz w:val="18"/>
                <w:szCs w:val="18"/>
              </w:rPr>
              <w:t>0</w:t>
            </w:r>
          </w:p>
        </w:tc>
        <w:tc>
          <w:tcPr>
            <w:tcW w:w="958" w:type="dxa"/>
            <w:tcBorders>
              <w:left w:val="single" w:sz="4" w:space="0" w:color="000001"/>
              <w:bottom w:val="single" w:sz="4" w:space="0" w:color="000001"/>
              <w:right w:val="single" w:sz="4" w:space="0" w:color="000001"/>
            </w:tcBorders>
            <w:shd w:fill="auto" w:val="clear"/>
            <w:vAlign w:val="center"/>
          </w:tcPr>
          <w:p>
            <w:pPr>
              <w:pStyle w:val="Normal"/>
              <w:jc w:val="center"/>
              <w:rPr>
                <w:color w:val="000000"/>
                <w:sz w:val="20"/>
                <w:szCs w:val="20"/>
                <w:lang w:eastAsia="pt-BR"/>
              </w:rPr>
            </w:pPr>
            <w:r>
              <w:rPr>
                <w:color w:val="000000"/>
                <w:sz w:val="20"/>
                <w:szCs w:val="20"/>
                <w:lang w:eastAsia="pt-BR"/>
              </w:rPr>
              <w:t>01</w:t>
            </w:r>
          </w:p>
        </w:tc>
      </w:tr>
      <w:tr>
        <w:trPr/>
        <w:tc>
          <w:tcPr>
            <w:tcW w:w="540" w:type="dxa"/>
            <w:tcBorders>
              <w:left w:val="single" w:sz="4" w:space="0" w:color="000001"/>
              <w:bottom w:val="single" w:sz="4" w:space="0" w:color="000001"/>
            </w:tcBorders>
            <w:shd w:fill="auto" w:val="clear"/>
            <w:vAlign w:val="center"/>
          </w:tcPr>
          <w:p>
            <w:pPr>
              <w:pStyle w:val="Normal"/>
              <w:widowControl w:val="false"/>
              <w:snapToGrid w:val="false"/>
              <w:rPr>
                <w:rFonts w:cs="Arial"/>
                <w:b/>
                <w:b/>
                <w:bCs/>
                <w:sz w:val="18"/>
                <w:szCs w:val="18"/>
              </w:rPr>
            </w:pPr>
            <w:r>
              <w:rPr>
                <w:rFonts w:cs="Arial"/>
                <w:b/>
                <w:bCs/>
                <w:sz w:val="18"/>
                <w:szCs w:val="18"/>
              </w:rPr>
              <w:t>3</w:t>
            </w:r>
          </w:p>
        </w:tc>
        <w:tc>
          <w:tcPr>
            <w:tcW w:w="7913" w:type="dxa"/>
            <w:tcBorders>
              <w:left w:val="single" w:sz="4" w:space="0" w:color="000001"/>
              <w:bottom w:val="single" w:sz="4" w:space="0" w:color="000001"/>
            </w:tcBorders>
            <w:shd w:fill="auto" w:val="clear"/>
            <w:vAlign w:val="center"/>
          </w:tcPr>
          <w:p>
            <w:pPr>
              <w:pStyle w:val="Western"/>
              <w:spacing w:before="100" w:after="119"/>
              <w:jc w:val="both"/>
              <w:rPr/>
            </w:pPr>
            <w:r>
              <w:rPr>
                <w:rStyle w:val="Fontepargpadro"/>
                <w:rFonts w:eastAsia="Times New Roman" w:cs="Times New Roman" w:ascii="Times New Roman" w:hAnsi="Times New Roman"/>
                <w:b w:val="false"/>
                <w:bCs w:val="false"/>
                <w:color w:val="333333"/>
                <w:sz w:val="20"/>
                <w:szCs w:val="20"/>
                <w:lang w:eastAsia="pt-BR"/>
              </w:rPr>
              <w:t xml:space="preserve">Curso de formação para diretor geral de auto escola de acordo com a resolução 358/10 - CONTRAN com 220 horas aula, com emissão e certificados válido em todo território nacional. Curso autorizado pelo DETRAN E SENATRAN. </w:t>
            </w:r>
          </w:p>
        </w:tc>
        <w:tc>
          <w:tcPr>
            <w:tcW w:w="1299" w:type="dxa"/>
            <w:tcBorders>
              <w:left w:val="single" w:sz="4" w:space="0" w:color="000001"/>
              <w:bottom w:val="single" w:sz="4" w:space="0" w:color="000001"/>
            </w:tcBorders>
            <w:shd w:fill="auto" w:val="clear"/>
            <w:vAlign w:val="center"/>
          </w:tcPr>
          <w:p>
            <w:pPr>
              <w:pStyle w:val="Normal"/>
              <w:jc w:val="center"/>
              <w:rPr>
                <w:color w:val="000000"/>
                <w:sz w:val="20"/>
                <w:szCs w:val="20"/>
                <w:lang w:eastAsia="pt-BR"/>
              </w:rPr>
            </w:pPr>
            <w:r>
              <w:rPr>
                <w:color w:val="000000"/>
                <w:sz w:val="20"/>
                <w:szCs w:val="20"/>
                <w:lang w:eastAsia="pt-BR"/>
              </w:rPr>
              <w:t>0</w:t>
            </w:r>
            <w:r>
              <w:rPr>
                <w:color w:val="000000"/>
                <w:sz w:val="20"/>
                <w:szCs w:val="20"/>
                <w:lang w:eastAsia="pt-BR"/>
              </w:rPr>
              <w:t>1</w:t>
            </w:r>
          </w:p>
        </w:tc>
        <w:tc>
          <w:tcPr>
            <w:tcW w:w="1243" w:type="dxa"/>
            <w:tcBorders>
              <w:left w:val="single" w:sz="4" w:space="0" w:color="000001"/>
              <w:bottom w:val="single" w:sz="4" w:space="0" w:color="000001"/>
            </w:tcBorders>
            <w:shd w:fill="auto" w:val="clear"/>
            <w:vAlign w:val="center"/>
          </w:tcPr>
          <w:p>
            <w:pPr>
              <w:pStyle w:val="Normal"/>
              <w:jc w:val="center"/>
              <w:rPr>
                <w:sz w:val="24"/>
                <w:szCs w:val="24"/>
                <w:lang w:eastAsia="pt-BR"/>
              </w:rPr>
            </w:pPr>
            <w:r>
              <w:rPr>
                <w:rStyle w:val="Fontepargpadro"/>
                <w:sz w:val="20"/>
                <w:szCs w:val="20"/>
                <w:lang w:eastAsia="pt-BR"/>
              </w:rPr>
              <w:t>R$</w:t>
            </w:r>
            <w:r>
              <w:rPr>
                <w:rStyle w:val="Fontepargpadro"/>
                <w:sz w:val="20"/>
                <w:szCs w:val="20"/>
                <w:lang w:eastAsia="pt-BR"/>
              </w:rPr>
              <w:t>700,00</w:t>
            </w:r>
          </w:p>
        </w:tc>
        <w:tc>
          <w:tcPr>
            <w:tcW w:w="1200" w:type="dxa"/>
            <w:tcBorders>
              <w:left w:val="single" w:sz="4" w:space="0" w:color="000001"/>
              <w:bottom w:val="single" w:sz="4" w:space="0" w:color="000001"/>
            </w:tcBorders>
            <w:shd w:fill="auto" w:val="clear"/>
            <w:vAlign w:val="center"/>
          </w:tcPr>
          <w:p>
            <w:pPr>
              <w:pStyle w:val="Normal"/>
              <w:jc w:val="center"/>
              <w:rPr>
                <w:sz w:val="24"/>
                <w:szCs w:val="24"/>
                <w:lang w:eastAsia="pt-BR"/>
              </w:rPr>
            </w:pPr>
            <w:r>
              <w:rPr>
                <w:rStyle w:val="Fontepargpadro"/>
                <w:color w:val="000000"/>
                <w:sz w:val="20"/>
                <w:szCs w:val="20"/>
                <w:lang w:eastAsia="pt-BR"/>
              </w:rPr>
              <w:t>R$</w:t>
            </w:r>
            <w:r>
              <w:rPr>
                <w:rStyle w:val="Fontepargpadro"/>
                <w:color w:val="000000"/>
                <w:sz w:val="20"/>
                <w:szCs w:val="20"/>
                <w:lang w:eastAsia="pt-BR"/>
              </w:rPr>
              <w:t>700,00</w:t>
            </w:r>
          </w:p>
        </w:tc>
        <w:tc>
          <w:tcPr>
            <w:tcW w:w="960" w:type="dxa"/>
            <w:tcBorders>
              <w:left w:val="single" w:sz="4" w:space="0" w:color="000001"/>
              <w:bottom w:val="single" w:sz="4" w:space="0" w:color="000001"/>
            </w:tcBorders>
            <w:shd w:fill="auto" w:val="clear"/>
            <w:vAlign w:val="center"/>
          </w:tcPr>
          <w:p>
            <w:pPr>
              <w:pStyle w:val="Normal"/>
              <w:widowControl w:val="false"/>
              <w:snapToGrid w:val="false"/>
              <w:spacing w:lineRule="auto" w:line="276" w:before="0" w:after="120"/>
              <w:jc w:val="center"/>
              <w:rPr>
                <w:rFonts w:cs="Arial"/>
                <w:color w:val="000000"/>
                <w:sz w:val="18"/>
                <w:szCs w:val="18"/>
              </w:rPr>
            </w:pPr>
            <w:r>
              <w:rPr>
                <w:rFonts w:cs="Arial"/>
                <w:color w:val="000000"/>
                <w:sz w:val="18"/>
                <w:szCs w:val="18"/>
              </w:rPr>
              <w:t>0</w:t>
            </w:r>
          </w:p>
        </w:tc>
        <w:tc>
          <w:tcPr>
            <w:tcW w:w="958" w:type="dxa"/>
            <w:tcBorders>
              <w:left w:val="single" w:sz="4" w:space="0" w:color="000001"/>
              <w:bottom w:val="single" w:sz="4" w:space="0" w:color="000001"/>
              <w:right w:val="single" w:sz="4" w:space="0" w:color="000001"/>
            </w:tcBorders>
            <w:shd w:fill="auto" w:val="clear"/>
            <w:vAlign w:val="center"/>
          </w:tcPr>
          <w:p>
            <w:pPr>
              <w:pStyle w:val="Normal"/>
              <w:jc w:val="center"/>
              <w:rPr>
                <w:color w:val="000000"/>
                <w:sz w:val="20"/>
                <w:szCs w:val="20"/>
                <w:lang w:eastAsia="pt-BR"/>
              </w:rPr>
            </w:pPr>
            <w:r>
              <w:rPr>
                <w:color w:val="000000"/>
                <w:sz w:val="20"/>
                <w:szCs w:val="20"/>
                <w:lang w:eastAsia="pt-BR"/>
              </w:rPr>
              <w:t>0</w:t>
            </w:r>
            <w:r>
              <w:rPr>
                <w:color w:val="000000"/>
                <w:sz w:val="20"/>
                <w:szCs w:val="20"/>
                <w:lang w:eastAsia="pt-BR"/>
              </w:rPr>
              <w:t>1</w:t>
            </w:r>
          </w:p>
        </w:tc>
      </w:tr>
      <w:tr>
        <w:trPr/>
        <w:tc>
          <w:tcPr>
            <w:tcW w:w="540" w:type="dxa"/>
            <w:tcBorders>
              <w:left w:val="single" w:sz="4" w:space="0" w:color="000001"/>
              <w:bottom w:val="single" w:sz="4" w:space="0" w:color="000001"/>
            </w:tcBorders>
            <w:shd w:fill="auto" w:val="clear"/>
            <w:vAlign w:val="center"/>
          </w:tcPr>
          <w:p>
            <w:pPr>
              <w:pStyle w:val="Normal"/>
              <w:widowControl w:val="false"/>
              <w:snapToGrid w:val="false"/>
              <w:rPr>
                <w:rFonts w:cs="Arial"/>
                <w:b/>
                <w:b/>
                <w:bCs/>
                <w:sz w:val="18"/>
                <w:szCs w:val="18"/>
              </w:rPr>
            </w:pPr>
            <w:r>
              <w:rPr>
                <w:rFonts w:cs="Arial"/>
                <w:b/>
                <w:bCs/>
                <w:sz w:val="18"/>
                <w:szCs w:val="18"/>
              </w:rPr>
              <w:t>4</w:t>
            </w:r>
          </w:p>
        </w:tc>
        <w:tc>
          <w:tcPr>
            <w:tcW w:w="7913" w:type="dxa"/>
            <w:tcBorders>
              <w:left w:val="single" w:sz="4" w:space="0" w:color="000001"/>
              <w:bottom w:val="single" w:sz="4" w:space="0" w:color="000001"/>
            </w:tcBorders>
            <w:shd w:fill="auto" w:val="clear"/>
            <w:vAlign w:val="center"/>
          </w:tcPr>
          <w:p>
            <w:pPr>
              <w:pStyle w:val="Western"/>
              <w:spacing w:before="100" w:after="119"/>
              <w:jc w:val="both"/>
              <w:rPr/>
            </w:pPr>
            <w:r>
              <w:rPr>
                <w:rStyle w:val="Fontepargpadro"/>
                <w:rFonts w:eastAsia="Times New Roman" w:cs="Times New Roman" w:ascii="Times New Roman" w:hAnsi="Times New Roman"/>
                <w:b w:val="false"/>
                <w:bCs w:val="false"/>
                <w:color w:val="333333"/>
                <w:sz w:val="20"/>
                <w:szCs w:val="20"/>
                <w:lang w:eastAsia="pt-BR"/>
              </w:rPr>
              <w:t xml:space="preserve">Curso de formação Instrutor Especializado de acordo com a resolução 789/20 - CONTRAN com 40 horas aula, com emissão e certificados válido em todo território nacional. Curso autorizado pelo DETRAN E SENATRAN. </w:t>
            </w:r>
            <w:r>
              <w:rPr>
                <w:rStyle w:val="Fontepargpadro"/>
                <w:rFonts w:eastAsia="Times New Roman" w:cs="Times New Roman" w:ascii="Times New Roman" w:hAnsi="Times New Roman"/>
                <w:b/>
                <w:bCs/>
                <w:color w:val="333333"/>
                <w:sz w:val="20"/>
                <w:szCs w:val="20"/>
                <w:lang w:eastAsia="pt-BR"/>
              </w:rPr>
              <w:t xml:space="preserve">(INSTRUTOR ESPECILIZADO MOPP) </w:t>
            </w:r>
          </w:p>
          <w:p>
            <w:pPr>
              <w:pStyle w:val="Contedodatabela"/>
              <w:widowControl w:val="false"/>
              <w:jc w:val="center"/>
              <w:rPr>
                <w:sz w:val="20"/>
                <w:szCs w:val="20"/>
              </w:rPr>
            </w:pPr>
            <w:r>
              <w:rPr>
                <w:sz w:val="20"/>
                <w:szCs w:val="20"/>
              </w:rPr>
              <w:t>Unidade</w:t>
            </w:r>
          </w:p>
        </w:tc>
        <w:tc>
          <w:tcPr>
            <w:tcW w:w="1299" w:type="dxa"/>
            <w:tcBorders>
              <w:left w:val="single" w:sz="4" w:space="0" w:color="000001"/>
              <w:bottom w:val="single" w:sz="4" w:space="0" w:color="000001"/>
            </w:tcBorders>
            <w:shd w:fill="auto" w:val="clear"/>
            <w:vAlign w:val="center"/>
          </w:tcPr>
          <w:p>
            <w:pPr>
              <w:pStyle w:val="Normal"/>
              <w:jc w:val="center"/>
              <w:rPr>
                <w:color w:val="000000"/>
                <w:sz w:val="20"/>
                <w:szCs w:val="20"/>
                <w:lang w:eastAsia="pt-BR"/>
              </w:rPr>
            </w:pPr>
            <w:r>
              <w:rPr>
                <w:color w:val="000000"/>
                <w:sz w:val="20"/>
                <w:szCs w:val="20"/>
                <w:lang w:eastAsia="pt-BR"/>
              </w:rPr>
              <w:t>01</w:t>
            </w:r>
          </w:p>
        </w:tc>
        <w:tc>
          <w:tcPr>
            <w:tcW w:w="1243" w:type="dxa"/>
            <w:tcBorders>
              <w:left w:val="single" w:sz="4" w:space="0" w:color="000001"/>
              <w:bottom w:val="single" w:sz="4" w:space="0" w:color="000001"/>
            </w:tcBorders>
            <w:shd w:fill="auto" w:val="clear"/>
            <w:vAlign w:val="center"/>
          </w:tcPr>
          <w:p>
            <w:pPr>
              <w:pStyle w:val="Normal"/>
              <w:jc w:val="center"/>
              <w:rPr>
                <w:sz w:val="24"/>
                <w:szCs w:val="24"/>
                <w:lang w:eastAsia="pt-BR"/>
              </w:rPr>
            </w:pPr>
            <w:r>
              <w:rPr>
                <w:rStyle w:val="Fontepargpadro"/>
                <w:sz w:val="20"/>
                <w:szCs w:val="20"/>
                <w:lang w:eastAsia="pt-BR"/>
              </w:rPr>
              <w:t>R$</w:t>
            </w:r>
            <w:r>
              <w:rPr>
                <w:rStyle w:val="Fontepargpadro"/>
                <w:sz w:val="20"/>
                <w:szCs w:val="20"/>
                <w:lang w:eastAsia="pt-BR"/>
              </w:rPr>
              <w:t>700,00</w:t>
            </w:r>
          </w:p>
        </w:tc>
        <w:tc>
          <w:tcPr>
            <w:tcW w:w="1200" w:type="dxa"/>
            <w:tcBorders>
              <w:left w:val="single" w:sz="4" w:space="0" w:color="000001"/>
              <w:bottom w:val="single" w:sz="4" w:space="0" w:color="000001"/>
            </w:tcBorders>
            <w:shd w:fill="auto" w:val="clear"/>
            <w:vAlign w:val="center"/>
          </w:tcPr>
          <w:p>
            <w:pPr>
              <w:pStyle w:val="Normal"/>
              <w:jc w:val="center"/>
              <w:rPr>
                <w:sz w:val="24"/>
                <w:szCs w:val="24"/>
                <w:lang w:eastAsia="pt-BR"/>
              </w:rPr>
            </w:pPr>
            <w:r>
              <w:rPr>
                <w:rStyle w:val="Fontepargpadro"/>
                <w:color w:val="000000"/>
                <w:sz w:val="20"/>
                <w:szCs w:val="20"/>
                <w:lang w:eastAsia="pt-BR"/>
              </w:rPr>
              <w:t>R$</w:t>
            </w:r>
            <w:r>
              <w:rPr>
                <w:rStyle w:val="Fontepargpadro"/>
                <w:color w:val="000000"/>
                <w:sz w:val="20"/>
                <w:szCs w:val="20"/>
                <w:lang w:eastAsia="pt-BR"/>
              </w:rPr>
              <w:t>700,00</w:t>
            </w:r>
          </w:p>
        </w:tc>
        <w:tc>
          <w:tcPr>
            <w:tcW w:w="960" w:type="dxa"/>
            <w:tcBorders>
              <w:left w:val="single" w:sz="4" w:space="0" w:color="000001"/>
              <w:bottom w:val="single" w:sz="4" w:space="0" w:color="000001"/>
            </w:tcBorders>
            <w:shd w:fill="auto" w:val="clear"/>
            <w:vAlign w:val="center"/>
          </w:tcPr>
          <w:p>
            <w:pPr>
              <w:pStyle w:val="Normal"/>
              <w:widowControl w:val="false"/>
              <w:snapToGrid w:val="false"/>
              <w:spacing w:lineRule="auto" w:line="276" w:before="0" w:after="120"/>
              <w:jc w:val="center"/>
              <w:rPr>
                <w:rFonts w:cs="Arial"/>
                <w:color w:val="000000"/>
                <w:sz w:val="18"/>
                <w:szCs w:val="18"/>
              </w:rPr>
            </w:pPr>
            <w:r>
              <w:rPr>
                <w:rFonts w:cs="Arial"/>
                <w:color w:val="000000"/>
                <w:sz w:val="18"/>
                <w:szCs w:val="18"/>
              </w:rPr>
              <w:t>0</w:t>
            </w:r>
          </w:p>
        </w:tc>
        <w:tc>
          <w:tcPr>
            <w:tcW w:w="958" w:type="dxa"/>
            <w:tcBorders>
              <w:left w:val="single" w:sz="4" w:space="0" w:color="000001"/>
              <w:bottom w:val="single" w:sz="4" w:space="0" w:color="000001"/>
              <w:right w:val="single" w:sz="4" w:space="0" w:color="000001"/>
            </w:tcBorders>
            <w:shd w:fill="auto" w:val="clear"/>
            <w:vAlign w:val="center"/>
          </w:tcPr>
          <w:p>
            <w:pPr>
              <w:pStyle w:val="Normal"/>
              <w:jc w:val="center"/>
              <w:rPr>
                <w:color w:val="000000"/>
                <w:sz w:val="20"/>
                <w:szCs w:val="20"/>
                <w:lang w:eastAsia="pt-BR"/>
              </w:rPr>
            </w:pPr>
            <w:r>
              <w:rPr>
                <w:color w:val="000000"/>
                <w:sz w:val="20"/>
                <w:szCs w:val="20"/>
                <w:lang w:eastAsia="pt-BR"/>
              </w:rPr>
              <w:t>01</w:t>
            </w:r>
          </w:p>
        </w:tc>
      </w:tr>
      <w:tr>
        <w:trPr/>
        <w:tc>
          <w:tcPr>
            <w:tcW w:w="540" w:type="dxa"/>
            <w:tcBorders>
              <w:left w:val="single" w:sz="4" w:space="0" w:color="000001"/>
              <w:bottom w:val="single" w:sz="4" w:space="0" w:color="000001"/>
            </w:tcBorders>
            <w:shd w:fill="auto" w:val="clear"/>
            <w:vAlign w:val="center"/>
          </w:tcPr>
          <w:p>
            <w:pPr>
              <w:pStyle w:val="Normal"/>
              <w:widowControl w:val="false"/>
              <w:snapToGrid w:val="false"/>
              <w:rPr>
                <w:rFonts w:cs="Arial"/>
                <w:b/>
                <w:b/>
                <w:bCs/>
                <w:sz w:val="18"/>
                <w:szCs w:val="18"/>
              </w:rPr>
            </w:pPr>
            <w:r>
              <w:rPr>
                <w:rFonts w:cs="Arial"/>
                <w:b/>
                <w:bCs/>
                <w:sz w:val="18"/>
                <w:szCs w:val="18"/>
              </w:rPr>
              <w:t>5</w:t>
            </w:r>
          </w:p>
        </w:tc>
        <w:tc>
          <w:tcPr>
            <w:tcW w:w="7913" w:type="dxa"/>
            <w:tcBorders>
              <w:left w:val="single" w:sz="4" w:space="0" w:color="000001"/>
              <w:bottom w:val="single" w:sz="4" w:space="0" w:color="000001"/>
            </w:tcBorders>
            <w:shd w:fill="auto" w:val="clear"/>
            <w:vAlign w:val="center"/>
          </w:tcPr>
          <w:p>
            <w:pPr>
              <w:pStyle w:val="Western"/>
              <w:spacing w:before="100" w:after="119"/>
              <w:jc w:val="both"/>
              <w:rPr/>
            </w:pPr>
            <w:r>
              <w:rPr>
                <w:rStyle w:val="Fontepargpadro"/>
                <w:rFonts w:eastAsia="Times New Roman" w:cs="Times New Roman" w:ascii="Times New Roman" w:hAnsi="Times New Roman"/>
                <w:b w:val="false"/>
                <w:bCs w:val="false"/>
                <w:color w:val="333333"/>
                <w:sz w:val="20"/>
                <w:szCs w:val="20"/>
                <w:lang w:eastAsia="pt-BR"/>
              </w:rPr>
              <w:t xml:space="preserve">Curso de formação Instrutor Especializado de acordo com a resolução 789/20 - CONTRAN com 40 horas aula, com emissão e certificados válido em todo território nacional. Curso autorizado pelo DETRAN E SENATRAN. </w:t>
            </w:r>
            <w:r>
              <w:rPr>
                <w:rStyle w:val="Fontepargpadro"/>
                <w:rFonts w:eastAsia="Times New Roman" w:cs="Times New Roman" w:ascii="Times New Roman" w:hAnsi="Times New Roman"/>
                <w:b/>
                <w:bCs/>
                <w:color w:val="333333"/>
                <w:sz w:val="20"/>
                <w:szCs w:val="20"/>
                <w:lang w:eastAsia="pt-BR"/>
              </w:rPr>
              <w:t xml:space="preserve">(INSTRUTOR ESPECILIZADO COLETIVO) </w:t>
            </w:r>
          </w:p>
          <w:p>
            <w:pPr>
              <w:pStyle w:val="Contedodatabela"/>
              <w:widowControl w:val="false"/>
              <w:jc w:val="center"/>
              <w:rPr>
                <w:sz w:val="20"/>
                <w:szCs w:val="20"/>
              </w:rPr>
            </w:pPr>
            <w:r>
              <w:rPr>
                <w:sz w:val="20"/>
                <w:szCs w:val="20"/>
              </w:rPr>
              <w:t>Unidade</w:t>
            </w:r>
          </w:p>
        </w:tc>
        <w:tc>
          <w:tcPr>
            <w:tcW w:w="1299" w:type="dxa"/>
            <w:tcBorders>
              <w:left w:val="single" w:sz="4" w:space="0" w:color="000001"/>
              <w:bottom w:val="single" w:sz="4" w:space="0" w:color="000001"/>
            </w:tcBorders>
            <w:shd w:fill="auto" w:val="clear"/>
            <w:vAlign w:val="center"/>
          </w:tcPr>
          <w:p>
            <w:pPr>
              <w:pStyle w:val="Normal"/>
              <w:jc w:val="center"/>
              <w:rPr>
                <w:color w:val="000000"/>
                <w:sz w:val="20"/>
                <w:szCs w:val="20"/>
                <w:lang w:eastAsia="pt-BR"/>
              </w:rPr>
            </w:pPr>
            <w:r>
              <w:rPr>
                <w:color w:val="000000"/>
                <w:sz w:val="20"/>
                <w:szCs w:val="20"/>
                <w:lang w:eastAsia="pt-BR"/>
              </w:rPr>
              <w:t>0</w:t>
            </w:r>
            <w:r>
              <w:rPr>
                <w:color w:val="000000"/>
                <w:sz w:val="20"/>
                <w:szCs w:val="20"/>
                <w:lang w:eastAsia="pt-BR"/>
              </w:rPr>
              <w:t>1</w:t>
            </w:r>
          </w:p>
        </w:tc>
        <w:tc>
          <w:tcPr>
            <w:tcW w:w="1243" w:type="dxa"/>
            <w:tcBorders>
              <w:left w:val="single" w:sz="4" w:space="0" w:color="000001"/>
              <w:bottom w:val="single" w:sz="4" w:space="0" w:color="000001"/>
            </w:tcBorders>
            <w:shd w:fill="auto" w:val="clear"/>
            <w:vAlign w:val="center"/>
          </w:tcPr>
          <w:p>
            <w:pPr>
              <w:pStyle w:val="Normal"/>
              <w:jc w:val="center"/>
              <w:rPr>
                <w:sz w:val="24"/>
                <w:szCs w:val="24"/>
                <w:lang w:eastAsia="pt-BR"/>
              </w:rPr>
            </w:pPr>
            <w:r>
              <w:rPr>
                <w:rStyle w:val="Fontepargpadro"/>
                <w:sz w:val="20"/>
                <w:szCs w:val="20"/>
                <w:lang w:eastAsia="pt-BR"/>
              </w:rPr>
              <w:t>R$</w:t>
            </w:r>
            <w:r>
              <w:rPr>
                <w:rStyle w:val="Fontepargpadro"/>
                <w:sz w:val="20"/>
                <w:szCs w:val="20"/>
                <w:lang w:eastAsia="pt-BR"/>
              </w:rPr>
              <w:t>700,00</w:t>
            </w:r>
          </w:p>
        </w:tc>
        <w:tc>
          <w:tcPr>
            <w:tcW w:w="1200" w:type="dxa"/>
            <w:tcBorders>
              <w:left w:val="single" w:sz="4" w:space="0" w:color="000001"/>
              <w:bottom w:val="single" w:sz="4" w:space="0" w:color="000001"/>
            </w:tcBorders>
            <w:shd w:fill="auto" w:val="clear"/>
            <w:vAlign w:val="center"/>
          </w:tcPr>
          <w:p>
            <w:pPr>
              <w:pStyle w:val="Normal"/>
              <w:jc w:val="center"/>
              <w:rPr>
                <w:sz w:val="24"/>
                <w:szCs w:val="24"/>
                <w:lang w:eastAsia="pt-BR"/>
              </w:rPr>
            </w:pPr>
            <w:r>
              <w:rPr>
                <w:rStyle w:val="Fontepargpadro"/>
                <w:sz w:val="20"/>
                <w:szCs w:val="20"/>
                <w:lang w:eastAsia="pt-BR"/>
              </w:rPr>
              <w:t>R$</w:t>
            </w:r>
            <w:r>
              <w:rPr>
                <w:rStyle w:val="Fontepargpadro"/>
                <w:sz w:val="20"/>
                <w:szCs w:val="20"/>
                <w:lang w:eastAsia="pt-BR"/>
              </w:rPr>
              <w:t>700,00</w:t>
            </w:r>
          </w:p>
        </w:tc>
        <w:tc>
          <w:tcPr>
            <w:tcW w:w="960" w:type="dxa"/>
            <w:tcBorders>
              <w:left w:val="single" w:sz="4" w:space="0" w:color="000001"/>
              <w:bottom w:val="single" w:sz="4" w:space="0" w:color="000001"/>
            </w:tcBorders>
            <w:shd w:fill="auto" w:val="clear"/>
            <w:vAlign w:val="center"/>
          </w:tcPr>
          <w:p>
            <w:pPr>
              <w:pStyle w:val="Normal"/>
              <w:widowControl w:val="false"/>
              <w:snapToGrid w:val="false"/>
              <w:spacing w:lineRule="auto" w:line="276" w:before="0" w:after="120"/>
              <w:jc w:val="center"/>
              <w:rPr>
                <w:rFonts w:cs="Arial"/>
                <w:color w:val="000000"/>
                <w:sz w:val="18"/>
                <w:szCs w:val="18"/>
              </w:rPr>
            </w:pPr>
            <w:r>
              <w:rPr>
                <w:rFonts w:cs="Arial"/>
                <w:color w:val="000000"/>
                <w:sz w:val="18"/>
                <w:szCs w:val="18"/>
              </w:rPr>
              <w:t>0</w:t>
            </w:r>
          </w:p>
        </w:tc>
        <w:tc>
          <w:tcPr>
            <w:tcW w:w="958" w:type="dxa"/>
            <w:tcBorders>
              <w:left w:val="single" w:sz="4" w:space="0" w:color="000001"/>
              <w:bottom w:val="single" w:sz="4" w:space="0" w:color="000001"/>
              <w:right w:val="single" w:sz="4" w:space="0" w:color="000001"/>
            </w:tcBorders>
            <w:shd w:fill="auto" w:val="clear"/>
            <w:vAlign w:val="center"/>
          </w:tcPr>
          <w:p>
            <w:pPr>
              <w:pStyle w:val="Normal"/>
              <w:jc w:val="center"/>
              <w:rPr>
                <w:color w:val="000000"/>
                <w:sz w:val="20"/>
                <w:szCs w:val="20"/>
                <w:lang w:eastAsia="pt-BR"/>
              </w:rPr>
            </w:pPr>
            <w:r>
              <w:rPr>
                <w:color w:val="000000"/>
                <w:sz w:val="20"/>
                <w:szCs w:val="20"/>
                <w:lang w:eastAsia="pt-BR"/>
              </w:rPr>
              <w:t>0</w:t>
            </w:r>
            <w:r>
              <w:rPr>
                <w:color w:val="000000"/>
                <w:sz w:val="20"/>
                <w:szCs w:val="20"/>
                <w:lang w:eastAsia="pt-BR"/>
              </w:rPr>
              <w:t>1</w:t>
            </w:r>
          </w:p>
        </w:tc>
      </w:tr>
      <w:tr>
        <w:trPr/>
        <w:tc>
          <w:tcPr>
            <w:tcW w:w="540" w:type="dxa"/>
            <w:tcBorders>
              <w:left w:val="single" w:sz="4" w:space="0" w:color="000001"/>
              <w:bottom w:val="single" w:sz="4" w:space="0" w:color="000001"/>
            </w:tcBorders>
            <w:shd w:fill="auto" w:val="clear"/>
            <w:vAlign w:val="center"/>
          </w:tcPr>
          <w:p>
            <w:pPr>
              <w:pStyle w:val="Normal"/>
              <w:widowControl w:val="false"/>
              <w:snapToGrid w:val="false"/>
              <w:rPr>
                <w:rFonts w:cs="Arial"/>
                <w:b/>
                <w:b/>
                <w:bCs/>
                <w:sz w:val="18"/>
                <w:szCs w:val="18"/>
              </w:rPr>
            </w:pPr>
            <w:r>
              <w:rPr>
                <w:rFonts w:cs="Arial"/>
                <w:b/>
                <w:bCs/>
                <w:sz w:val="18"/>
                <w:szCs w:val="18"/>
              </w:rPr>
              <w:t>6</w:t>
            </w:r>
          </w:p>
        </w:tc>
        <w:tc>
          <w:tcPr>
            <w:tcW w:w="7913" w:type="dxa"/>
            <w:tcBorders>
              <w:left w:val="single" w:sz="4" w:space="0" w:color="000001"/>
              <w:bottom w:val="single" w:sz="4" w:space="0" w:color="000001"/>
            </w:tcBorders>
            <w:shd w:fill="auto" w:val="clear"/>
            <w:vAlign w:val="center"/>
          </w:tcPr>
          <w:p>
            <w:pPr>
              <w:pStyle w:val="Western"/>
              <w:spacing w:before="100" w:after="119"/>
              <w:jc w:val="both"/>
              <w:rPr/>
            </w:pPr>
            <w:r>
              <w:rPr>
                <w:rStyle w:val="Fontepargpadro"/>
                <w:rFonts w:eastAsia="Times New Roman" w:cs="Times New Roman" w:ascii="Times New Roman" w:hAnsi="Times New Roman"/>
                <w:b w:val="false"/>
                <w:bCs w:val="false"/>
                <w:color w:val="333333"/>
                <w:sz w:val="20"/>
                <w:szCs w:val="20"/>
                <w:lang w:eastAsia="pt-BR"/>
              </w:rPr>
              <w:t xml:space="preserve">Curso de formação Instrutor Especializado de acordo com a resolução 789/20 - CONTRAN com 40 horas aula, com emissão e certificados válido em todo território nacional. Curso autorizado pelo DETRAN E SENATRAN. </w:t>
            </w:r>
            <w:r>
              <w:rPr>
                <w:rStyle w:val="Fontepargpadro"/>
                <w:rFonts w:eastAsia="Times New Roman" w:cs="Times New Roman" w:ascii="Times New Roman" w:hAnsi="Times New Roman"/>
                <w:b/>
                <w:bCs/>
                <w:color w:val="333333"/>
                <w:sz w:val="20"/>
                <w:szCs w:val="20"/>
                <w:lang w:eastAsia="pt-BR"/>
              </w:rPr>
              <w:t xml:space="preserve">(INSTRUTOR ESPECILIZADO EMERGÊNCIA) </w:t>
            </w:r>
          </w:p>
          <w:p>
            <w:pPr>
              <w:pStyle w:val="Contedodatabela"/>
              <w:widowControl w:val="false"/>
              <w:jc w:val="center"/>
              <w:rPr>
                <w:sz w:val="20"/>
                <w:szCs w:val="20"/>
              </w:rPr>
            </w:pPr>
            <w:r>
              <w:rPr>
                <w:sz w:val="20"/>
                <w:szCs w:val="20"/>
              </w:rPr>
              <w:t>Unidade</w:t>
            </w:r>
          </w:p>
        </w:tc>
        <w:tc>
          <w:tcPr>
            <w:tcW w:w="1299" w:type="dxa"/>
            <w:tcBorders>
              <w:left w:val="single" w:sz="4" w:space="0" w:color="000001"/>
              <w:bottom w:val="single" w:sz="4" w:space="0" w:color="000001"/>
            </w:tcBorders>
            <w:shd w:fill="auto" w:val="clear"/>
            <w:vAlign w:val="center"/>
          </w:tcPr>
          <w:p>
            <w:pPr>
              <w:pStyle w:val="Western1"/>
              <w:spacing w:before="280" w:after="0"/>
              <w:jc w:val="center"/>
              <w:rPr>
                <w:sz w:val="20"/>
                <w:szCs w:val="20"/>
              </w:rPr>
            </w:pPr>
            <w:r>
              <w:rPr>
                <w:sz w:val="20"/>
                <w:szCs w:val="20"/>
              </w:rPr>
              <w:t>01</w:t>
            </w:r>
          </w:p>
        </w:tc>
        <w:tc>
          <w:tcPr>
            <w:tcW w:w="1243" w:type="dxa"/>
            <w:tcBorders>
              <w:left w:val="single" w:sz="4" w:space="0" w:color="000001"/>
              <w:bottom w:val="single" w:sz="4" w:space="0" w:color="000001"/>
            </w:tcBorders>
            <w:shd w:fill="auto" w:val="clear"/>
            <w:vAlign w:val="center"/>
          </w:tcPr>
          <w:p>
            <w:pPr>
              <w:pStyle w:val="Normal"/>
              <w:jc w:val="center"/>
              <w:rPr>
                <w:sz w:val="24"/>
                <w:szCs w:val="24"/>
                <w:lang w:eastAsia="pt-BR"/>
              </w:rPr>
            </w:pPr>
            <w:r>
              <w:rPr>
                <w:rStyle w:val="Fontepargpadro"/>
                <w:sz w:val="20"/>
                <w:szCs w:val="20"/>
                <w:lang w:eastAsia="pt-BR"/>
              </w:rPr>
              <w:t>R$</w:t>
            </w:r>
            <w:r>
              <w:rPr>
                <w:rStyle w:val="Fontepargpadro"/>
                <w:sz w:val="20"/>
                <w:szCs w:val="20"/>
                <w:lang w:eastAsia="pt-BR"/>
              </w:rPr>
              <w:t>700,00</w:t>
            </w:r>
          </w:p>
        </w:tc>
        <w:tc>
          <w:tcPr>
            <w:tcW w:w="1200" w:type="dxa"/>
            <w:tcBorders>
              <w:left w:val="single" w:sz="4" w:space="0" w:color="000001"/>
              <w:bottom w:val="single" w:sz="4" w:space="0" w:color="000001"/>
            </w:tcBorders>
            <w:shd w:fill="auto" w:val="clear"/>
            <w:vAlign w:val="center"/>
          </w:tcPr>
          <w:p>
            <w:pPr>
              <w:pStyle w:val="Normal"/>
              <w:jc w:val="center"/>
              <w:rPr>
                <w:sz w:val="24"/>
                <w:szCs w:val="24"/>
                <w:lang w:eastAsia="pt-BR"/>
              </w:rPr>
            </w:pPr>
            <w:r>
              <w:rPr>
                <w:rStyle w:val="Fontepargpadro"/>
                <w:color w:val="000000"/>
                <w:sz w:val="20"/>
                <w:szCs w:val="20"/>
                <w:lang w:eastAsia="pt-BR"/>
              </w:rPr>
              <w:t>R$</w:t>
            </w:r>
            <w:r>
              <w:rPr>
                <w:rStyle w:val="Fontepargpadro"/>
                <w:color w:val="000000"/>
                <w:sz w:val="20"/>
                <w:szCs w:val="20"/>
                <w:lang w:eastAsia="pt-BR"/>
              </w:rPr>
              <w:t>700,00</w:t>
            </w:r>
          </w:p>
        </w:tc>
        <w:tc>
          <w:tcPr>
            <w:tcW w:w="960" w:type="dxa"/>
            <w:tcBorders>
              <w:left w:val="single" w:sz="4" w:space="0" w:color="000001"/>
              <w:bottom w:val="single" w:sz="4" w:space="0" w:color="000001"/>
            </w:tcBorders>
            <w:shd w:fill="auto" w:val="clear"/>
            <w:vAlign w:val="center"/>
          </w:tcPr>
          <w:p>
            <w:pPr>
              <w:pStyle w:val="Normal"/>
              <w:widowControl w:val="false"/>
              <w:snapToGrid w:val="false"/>
              <w:spacing w:lineRule="auto" w:line="276" w:before="0" w:after="120"/>
              <w:jc w:val="center"/>
              <w:rPr>
                <w:rFonts w:cs="Arial"/>
                <w:color w:val="000000"/>
                <w:sz w:val="18"/>
                <w:szCs w:val="18"/>
              </w:rPr>
            </w:pPr>
            <w:r>
              <w:rPr>
                <w:rFonts w:cs="Arial"/>
                <w:color w:val="000000"/>
                <w:sz w:val="18"/>
                <w:szCs w:val="18"/>
              </w:rPr>
              <w:t>0</w:t>
            </w:r>
          </w:p>
        </w:tc>
        <w:tc>
          <w:tcPr>
            <w:tcW w:w="958" w:type="dxa"/>
            <w:tcBorders>
              <w:left w:val="single" w:sz="4" w:space="0" w:color="000001"/>
              <w:bottom w:val="single" w:sz="4" w:space="0" w:color="000001"/>
              <w:right w:val="single" w:sz="4" w:space="0" w:color="000001"/>
            </w:tcBorders>
            <w:shd w:fill="auto" w:val="clear"/>
            <w:vAlign w:val="center"/>
          </w:tcPr>
          <w:p>
            <w:pPr>
              <w:pStyle w:val="Western1"/>
              <w:spacing w:before="280" w:after="0"/>
              <w:jc w:val="center"/>
              <w:rPr>
                <w:sz w:val="20"/>
                <w:szCs w:val="20"/>
              </w:rPr>
            </w:pPr>
            <w:r>
              <w:rPr>
                <w:sz w:val="20"/>
                <w:szCs w:val="20"/>
              </w:rPr>
              <w:t>01</w:t>
            </w:r>
          </w:p>
        </w:tc>
      </w:tr>
      <w:tr>
        <w:trPr>
          <w:trHeight w:val="341" w:hRule="atLeast"/>
        </w:trPr>
        <w:tc>
          <w:tcPr>
            <w:tcW w:w="540" w:type="dxa"/>
            <w:tcBorders>
              <w:left w:val="single" w:sz="4" w:space="0" w:color="000001"/>
              <w:bottom w:val="single" w:sz="4" w:space="0" w:color="000001"/>
            </w:tcBorders>
            <w:shd w:fill="auto" w:val="clear"/>
            <w:vAlign w:val="center"/>
          </w:tcPr>
          <w:p>
            <w:pPr>
              <w:pStyle w:val="Normal"/>
              <w:widowControl w:val="false"/>
              <w:snapToGrid w:val="false"/>
              <w:rPr>
                <w:rFonts w:cs="Arial"/>
                <w:b/>
                <w:b/>
                <w:bCs/>
                <w:sz w:val="18"/>
                <w:szCs w:val="18"/>
              </w:rPr>
            </w:pPr>
            <w:r>
              <w:rPr>
                <w:rFonts w:cs="Arial"/>
                <w:b/>
                <w:bCs/>
                <w:sz w:val="18"/>
                <w:szCs w:val="18"/>
              </w:rPr>
              <w:t>7</w:t>
            </w:r>
          </w:p>
        </w:tc>
        <w:tc>
          <w:tcPr>
            <w:tcW w:w="7913" w:type="dxa"/>
            <w:tcBorders>
              <w:left w:val="single" w:sz="4" w:space="0" w:color="000001"/>
              <w:bottom w:val="single" w:sz="4" w:space="0" w:color="000001"/>
            </w:tcBorders>
            <w:shd w:fill="auto" w:val="clear"/>
            <w:vAlign w:val="center"/>
          </w:tcPr>
          <w:p>
            <w:pPr>
              <w:pStyle w:val="Western"/>
              <w:spacing w:before="100" w:after="119"/>
              <w:jc w:val="both"/>
              <w:rPr>
                <w:rFonts w:ascii="Times New Roman" w:hAnsi="Times New Roman"/>
                <w:sz w:val="20"/>
                <w:szCs w:val="20"/>
              </w:rPr>
            </w:pPr>
            <w:r>
              <w:rPr>
                <w:rFonts w:ascii="Times New Roman" w:hAnsi="Times New Roman"/>
                <w:sz w:val="20"/>
                <w:szCs w:val="20"/>
              </w:rPr>
              <w:t xml:space="preserve">Curso de formação Instrutor Especializado de acordo com a resolução 789/20 - CONTRAN com 40 horas aula, com emissão e certificados válido em todo território nacional. Curso autorizado pelo DETRAN E SENATRAN. </w:t>
            </w:r>
            <w:r>
              <w:rPr>
                <w:rFonts w:ascii="Times New Roman" w:hAnsi="Times New Roman"/>
                <w:b/>
                <w:bCs/>
                <w:sz w:val="20"/>
                <w:szCs w:val="20"/>
              </w:rPr>
              <w:t xml:space="preserve">(INSTRUTOR ESPECILIZADO C. INDIVISIVEIS) </w:t>
            </w:r>
          </w:p>
          <w:p>
            <w:pPr>
              <w:pStyle w:val="Contedodatabela"/>
              <w:widowControl w:val="false"/>
              <w:jc w:val="center"/>
              <w:rPr>
                <w:sz w:val="20"/>
                <w:szCs w:val="20"/>
              </w:rPr>
            </w:pPr>
            <w:r>
              <w:rPr>
                <w:sz w:val="20"/>
                <w:szCs w:val="20"/>
              </w:rPr>
              <w:t>Unidade</w:t>
            </w:r>
          </w:p>
        </w:tc>
        <w:tc>
          <w:tcPr>
            <w:tcW w:w="1299" w:type="dxa"/>
            <w:tcBorders>
              <w:left w:val="single" w:sz="4" w:space="0" w:color="000001"/>
              <w:bottom w:val="single" w:sz="4" w:space="0" w:color="000001"/>
            </w:tcBorders>
            <w:shd w:fill="auto" w:val="clear"/>
            <w:vAlign w:val="center"/>
          </w:tcPr>
          <w:p>
            <w:pPr>
              <w:pStyle w:val="Western1"/>
              <w:spacing w:before="280" w:after="0"/>
              <w:jc w:val="center"/>
              <w:rPr>
                <w:sz w:val="20"/>
                <w:szCs w:val="20"/>
              </w:rPr>
            </w:pPr>
            <w:r>
              <w:rPr>
                <w:sz w:val="20"/>
                <w:szCs w:val="20"/>
              </w:rPr>
              <w:t>01</w:t>
            </w:r>
          </w:p>
        </w:tc>
        <w:tc>
          <w:tcPr>
            <w:tcW w:w="1243" w:type="dxa"/>
            <w:tcBorders>
              <w:left w:val="single" w:sz="4" w:space="0" w:color="000001"/>
              <w:bottom w:val="single" w:sz="4" w:space="0" w:color="000001"/>
            </w:tcBorders>
            <w:shd w:fill="auto" w:val="clear"/>
            <w:vAlign w:val="center"/>
          </w:tcPr>
          <w:p>
            <w:pPr>
              <w:pStyle w:val="Normal"/>
              <w:jc w:val="center"/>
              <w:rPr>
                <w:sz w:val="24"/>
                <w:szCs w:val="24"/>
                <w:lang w:eastAsia="pt-BR"/>
              </w:rPr>
            </w:pPr>
            <w:r>
              <w:rPr>
                <w:rStyle w:val="Fontepargpadro"/>
                <w:sz w:val="20"/>
                <w:szCs w:val="20"/>
                <w:lang w:eastAsia="pt-BR"/>
              </w:rPr>
              <w:t>R$</w:t>
            </w:r>
            <w:r>
              <w:rPr>
                <w:rStyle w:val="Fontepargpadro"/>
                <w:sz w:val="20"/>
                <w:szCs w:val="20"/>
                <w:lang w:eastAsia="pt-BR"/>
              </w:rPr>
              <w:t>700,00</w:t>
            </w:r>
          </w:p>
        </w:tc>
        <w:tc>
          <w:tcPr>
            <w:tcW w:w="1200" w:type="dxa"/>
            <w:tcBorders>
              <w:left w:val="single" w:sz="4" w:space="0" w:color="000001"/>
              <w:bottom w:val="single" w:sz="4" w:space="0" w:color="000001"/>
            </w:tcBorders>
            <w:shd w:fill="auto" w:val="clear"/>
            <w:vAlign w:val="center"/>
          </w:tcPr>
          <w:p>
            <w:pPr>
              <w:pStyle w:val="Normal"/>
              <w:jc w:val="center"/>
              <w:rPr>
                <w:sz w:val="24"/>
                <w:szCs w:val="24"/>
                <w:lang w:eastAsia="pt-BR"/>
              </w:rPr>
            </w:pPr>
            <w:r>
              <w:rPr>
                <w:rStyle w:val="Fontepargpadro"/>
                <w:color w:val="000000"/>
                <w:sz w:val="20"/>
                <w:szCs w:val="20"/>
                <w:lang w:eastAsia="pt-BR"/>
              </w:rPr>
              <w:t>R$</w:t>
            </w:r>
            <w:r>
              <w:rPr>
                <w:rStyle w:val="Fontepargpadro"/>
                <w:color w:val="000000"/>
                <w:sz w:val="20"/>
                <w:szCs w:val="20"/>
                <w:lang w:eastAsia="pt-BR"/>
              </w:rPr>
              <w:t>700,00</w:t>
            </w:r>
          </w:p>
        </w:tc>
        <w:tc>
          <w:tcPr>
            <w:tcW w:w="960" w:type="dxa"/>
            <w:tcBorders>
              <w:left w:val="single" w:sz="4" w:space="0" w:color="000001"/>
              <w:bottom w:val="single" w:sz="4" w:space="0" w:color="000001"/>
            </w:tcBorders>
            <w:shd w:fill="auto" w:val="clear"/>
            <w:vAlign w:val="center"/>
          </w:tcPr>
          <w:p>
            <w:pPr>
              <w:pStyle w:val="Normal"/>
              <w:widowControl w:val="false"/>
              <w:snapToGrid w:val="false"/>
              <w:spacing w:lineRule="auto" w:line="276" w:before="0" w:after="120"/>
              <w:jc w:val="center"/>
              <w:rPr>
                <w:rFonts w:cs="Arial"/>
                <w:color w:val="000000"/>
                <w:sz w:val="18"/>
                <w:szCs w:val="18"/>
              </w:rPr>
            </w:pPr>
            <w:r>
              <w:rPr>
                <w:rFonts w:cs="Arial"/>
                <w:color w:val="000000"/>
                <w:sz w:val="18"/>
                <w:szCs w:val="18"/>
              </w:rPr>
              <w:t>0</w:t>
            </w:r>
          </w:p>
        </w:tc>
        <w:tc>
          <w:tcPr>
            <w:tcW w:w="958" w:type="dxa"/>
            <w:tcBorders>
              <w:left w:val="single" w:sz="4" w:space="0" w:color="000001"/>
              <w:bottom w:val="single" w:sz="4" w:space="0" w:color="000001"/>
              <w:right w:val="single" w:sz="4" w:space="0" w:color="000001"/>
            </w:tcBorders>
            <w:shd w:fill="auto" w:val="clear"/>
            <w:vAlign w:val="center"/>
          </w:tcPr>
          <w:p>
            <w:pPr>
              <w:pStyle w:val="Western1"/>
              <w:spacing w:before="280" w:after="0"/>
              <w:jc w:val="center"/>
              <w:rPr>
                <w:sz w:val="20"/>
                <w:szCs w:val="20"/>
              </w:rPr>
            </w:pPr>
            <w:r>
              <w:rPr>
                <w:sz w:val="20"/>
                <w:szCs w:val="20"/>
              </w:rPr>
              <w:t>01</w:t>
            </w:r>
          </w:p>
        </w:tc>
      </w:tr>
      <w:tr>
        <w:trPr/>
        <w:tc>
          <w:tcPr>
            <w:tcW w:w="10995" w:type="dxa"/>
            <w:gridSpan w:val="4"/>
            <w:tcBorders>
              <w:left w:val="single" w:sz="4" w:space="0" w:color="000001"/>
              <w:bottom w:val="single" w:sz="4" w:space="0" w:color="000001"/>
            </w:tcBorders>
            <w:shd w:fill="CCCCCC" w:val="clear"/>
            <w:vAlign w:val="center"/>
          </w:tcPr>
          <w:p>
            <w:pPr>
              <w:pStyle w:val="Normal"/>
              <w:widowControl w:val="false"/>
              <w:numPr>
                <w:ilvl w:val="0"/>
                <w:numId w:val="0"/>
              </w:numPr>
              <w:snapToGrid w:val="false"/>
              <w:ind w:left="360" w:hanging="0"/>
              <w:jc w:val="center"/>
              <w:rPr>
                <w:rFonts w:cs="Arial"/>
                <w:b/>
                <w:b/>
                <w:bCs/>
                <w:sz w:val="18"/>
                <w:szCs w:val="18"/>
              </w:rPr>
            </w:pPr>
            <w:r>
              <w:rPr>
                <w:rFonts w:cs="Arial"/>
                <w:b/>
                <w:bCs/>
                <w:sz w:val="18"/>
                <w:szCs w:val="18"/>
              </w:rPr>
              <w:t>VALOR TOTAL</w:t>
            </w:r>
          </w:p>
        </w:tc>
        <w:tc>
          <w:tcPr>
            <w:tcW w:w="3118" w:type="dxa"/>
            <w:gridSpan w:val="3"/>
            <w:tcBorders>
              <w:left w:val="single" w:sz="4" w:space="0" w:color="000001"/>
              <w:bottom w:val="single" w:sz="4" w:space="0" w:color="000001"/>
              <w:right w:val="single" w:sz="4" w:space="0" w:color="000001"/>
            </w:tcBorders>
            <w:shd w:fill="CCCCCC" w:val="clear"/>
            <w:vAlign w:val="center"/>
          </w:tcPr>
          <w:p>
            <w:pPr>
              <w:pStyle w:val="Contedodatabela"/>
              <w:jc w:val="center"/>
              <w:rPr>
                <w:b/>
                <w:b/>
                <w:bCs/>
                <w:color w:val="000000"/>
              </w:rPr>
            </w:pPr>
            <w:r>
              <w:rPr>
                <w:b/>
                <w:bCs/>
                <w:color w:val="000000"/>
              </w:rPr>
              <w:t xml:space="preserve">R$ </w:t>
            </w:r>
            <w:r>
              <w:rPr>
                <w:b/>
                <w:bCs/>
                <w:color w:val="000000"/>
              </w:rPr>
              <w:t>7.400,00</w:t>
            </w:r>
          </w:p>
        </w:tc>
      </w:tr>
    </w:tbl>
    <w:p>
      <w:pPr>
        <w:pStyle w:val="Normal"/>
        <w:rPr/>
      </w:pPr>
      <w:r>
        <w:rPr/>
      </w:r>
    </w:p>
    <w:p>
      <w:pPr>
        <w:pStyle w:val="Nivel2"/>
        <w:numPr>
          <w:ilvl w:val="1"/>
          <w:numId w:val="2"/>
        </w:numPr>
        <w:rPr/>
      </w:pPr>
      <w:r>
        <w:rPr/>
        <w:t>Os bens objeto desta contratação são caracterizados como comuns, conforme justificativa constante do Estudo Técnico Preliminar.</w:t>
      </w:r>
    </w:p>
    <w:p>
      <w:pPr>
        <w:pStyle w:val="Nivel2"/>
        <w:numPr>
          <w:ilvl w:val="1"/>
          <w:numId w:val="2"/>
        </w:numPr>
        <w:rPr/>
      </w:pPr>
      <w:r>
        <w:rPr/>
        <w:t>O objeto desta contratação não se enquadra como sendo de bem de luxo, conforme Decreto nº 10.818, de 27 de setembro de 2021.</w:t>
      </w:r>
    </w:p>
    <w:p>
      <w:pPr>
        <w:pStyle w:val="Nvel2Red"/>
        <w:numPr>
          <w:ilvl w:val="1"/>
          <w:numId w:val="2"/>
        </w:numPr>
        <w:rPr>
          <w:color w:val="000000"/>
        </w:rPr>
      </w:pPr>
      <w:r>
        <w:rPr>
          <w:color w:val="000000"/>
          <w:shd w:fill="FFFFFF" w:val="clear"/>
        </w:rPr>
        <w:t>O prazo de vigência da contratação é de 12 (doze) meses contados do recebimento da Nota de Empenho ou a assinatura do Termo de Contrato (quando houver), na forma do artigo 105 da Lei n° 14.133, de 2021.</w:t>
      </w:r>
    </w:p>
    <w:p>
      <w:pPr>
        <w:pStyle w:val="Nivel2"/>
        <w:numPr>
          <w:ilvl w:val="1"/>
          <w:numId w:val="2"/>
        </w:numPr>
        <w:rPr/>
      </w:pPr>
      <w:r>
        <w:rPr/>
        <w:t>O contrato oferece maior detalhamento das regras que serão aplicadas em relação à vigência da contratação.</w:t>
      </w:r>
    </w:p>
    <w:p>
      <w:pPr>
        <w:pStyle w:val="Nivel01"/>
        <w:numPr>
          <w:ilvl w:val="0"/>
          <w:numId w:val="1"/>
        </w:numPr>
        <w:ind w:left="0" w:hanging="0"/>
        <w:rPr>
          <w:color w:val="000000"/>
        </w:rPr>
      </w:pPr>
      <w:r>
        <w:rPr>
          <w:color w:val="000000"/>
        </w:rPr>
        <w:t>FUNDAMENTAÇÃO E DESCRIÇÃO DA NECESSIDADE DA CONTRATAÇÃO</w:t>
      </w:r>
    </w:p>
    <w:p>
      <w:pPr>
        <w:pStyle w:val="Nivel2"/>
        <w:numPr>
          <w:ilvl w:val="1"/>
          <w:numId w:val="2"/>
        </w:numPr>
        <w:rPr/>
      </w:pPr>
      <w:r>
        <w:rPr/>
        <w:t>A Fundamentação da Contratação e de seus quantitativos encontra-se pormenorizada em Tópico específico dos Estudos Técnicos Preliminares, apêndice deste Termo de Referência.</w:t>
      </w:r>
    </w:p>
    <w:p>
      <w:pPr>
        <w:pStyle w:val="Nvel2Red"/>
        <w:numPr>
          <w:ilvl w:val="1"/>
          <w:numId w:val="2"/>
        </w:numPr>
        <w:rPr>
          <w:color w:val="000000"/>
        </w:rPr>
      </w:pPr>
      <w:r>
        <w:rPr>
          <w:color w:val="000000"/>
        </w:rPr>
        <w:t>O objeto da contratação está previsto no Plano de Contratações Anual [ANO], conforme consta das informações básicas desse termo de referência.</w:t>
      </w:r>
    </w:p>
    <w:p>
      <w:pPr>
        <w:pStyle w:val="Nivel01"/>
        <w:numPr>
          <w:ilvl w:val="0"/>
          <w:numId w:val="1"/>
        </w:numPr>
        <w:ind w:left="0" w:hanging="0"/>
        <w:rPr>
          <w:color w:val="000000"/>
        </w:rPr>
      </w:pPr>
      <w:r>
        <w:rPr>
          <w:color w:val="000000"/>
        </w:rPr>
        <w:t>DESCRIÇÃO DA SOLUÇÃO COMO UM TODO CONSIDERADO O CICLO DE VIDA DO OBJETO E ESPECIFICAÇÃO DO PRODUTO</w:t>
      </w:r>
    </w:p>
    <w:p>
      <w:pPr>
        <w:pStyle w:val="Nvel2Red"/>
        <w:numPr>
          <w:ilvl w:val="1"/>
          <w:numId w:val="2"/>
        </w:numPr>
        <w:rPr>
          <w:color w:val="000000"/>
        </w:rPr>
      </w:pPr>
      <w:r>
        <w:rPr>
          <w:color w:val="000000"/>
        </w:rPr>
        <w:t>A descrição da solução como um todo encontra-se pormenorizada em tópico específico dos Estudos Técnicos Preliminares, apêndice deste Termo de Referência.</w:t>
      </w:r>
    </w:p>
    <w:p>
      <w:pPr>
        <w:pStyle w:val="Nivel01"/>
        <w:numPr>
          <w:ilvl w:val="0"/>
          <w:numId w:val="1"/>
        </w:numPr>
        <w:ind w:left="0" w:hanging="0"/>
        <w:rPr/>
      </w:pPr>
      <w:r>
        <w:rPr>
          <w:color w:val="000000"/>
        </w:rPr>
        <w:t>REQUISITOS DA CONTRATAÇÃO</w:t>
      </w:r>
    </w:p>
    <w:p>
      <w:pPr>
        <w:pStyle w:val="Nvel1SemNum"/>
        <w:rPr>
          <w:color w:val="000000"/>
        </w:rPr>
      </w:pPr>
      <w:r>
        <w:rPr>
          <w:color w:val="000000"/>
        </w:rPr>
        <w:t>Da exigência de carta de solidariedade</w:t>
      </w:r>
    </w:p>
    <w:p>
      <w:pPr>
        <w:pStyle w:val="Nvel2Red"/>
        <w:numPr>
          <w:ilvl w:val="1"/>
          <w:numId w:val="2"/>
        </w:numPr>
        <w:rPr>
          <w:color w:val="000000"/>
        </w:rPr>
      </w:pPr>
      <w:r>
        <w:rPr>
          <w:color w:val="000000"/>
        </w:rPr>
        <w:t>Em caso de fornecedor revendedor ou distribuidor, será exigida carta de solidariedade emitida pelo fabricante, que assegure a execução do contrato.</w:t>
      </w:r>
    </w:p>
    <w:p>
      <w:pPr>
        <w:pStyle w:val="Nvel1SemNumPreto"/>
        <w:rPr>
          <w:color w:val="000000"/>
        </w:rPr>
      </w:pPr>
      <w:r>
        <w:rPr>
          <w:color w:val="000000"/>
        </w:rPr>
        <w:t>Subcontratação</w:t>
      </w:r>
    </w:p>
    <w:p>
      <w:pPr>
        <w:pStyle w:val="Nivel2"/>
        <w:numPr>
          <w:ilvl w:val="1"/>
          <w:numId w:val="2"/>
        </w:numPr>
        <w:rPr/>
      </w:pPr>
      <w:r>
        <w:rPr/>
        <w:t>Não é admitida a subcontratação do objeto contratual.</w:t>
      </w:r>
    </w:p>
    <w:p>
      <w:pPr>
        <w:pStyle w:val="Nivel2"/>
        <w:numPr>
          <w:ilvl w:val="1"/>
          <w:numId w:val="2"/>
        </w:numPr>
        <w:rPr/>
      </w:pPr>
      <w:r>
        <w:rPr/>
        <w:t>O contrato oferece maior detalhamento das regras que serão aplicadas em relação à garantia da contratação.</w:t>
      </w:r>
    </w:p>
    <w:p>
      <w:pPr>
        <w:pStyle w:val="Nivel2"/>
        <w:rPr/>
      </w:pPr>
      <w:r>
        <w:rPr/>
      </w:r>
    </w:p>
    <w:p>
      <w:pPr>
        <w:pStyle w:val="Nivel2"/>
        <w:rPr/>
      </w:pPr>
      <w:r>
        <w:rPr/>
      </w:r>
    </w:p>
    <w:p>
      <w:pPr>
        <w:pStyle w:val="Nivel2"/>
        <w:rPr/>
      </w:pPr>
      <w:r>
        <w:rPr/>
      </w:r>
    </w:p>
    <w:p>
      <w:pPr>
        <w:pStyle w:val="Nivel01"/>
        <w:numPr>
          <w:ilvl w:val="0"/>
          <w:numId w:val="1"/>
        </w:numPr>
        <w:ind w:left="0" w:hanging="0"/>
        <w:rPr>
          <w:color w:val="000000"/>
        </w:rPr>
      </w:pPr>
      <w:r>
        <w:rPr>
          <w:color w:val="000000"/>
        </w:rPr>
        <w:t>MODELO DE EXECUÇÃO DO OBJETO</w:t>
      </w:r>
    </w:p>
    <w:p>
      <w:pPr>
        <w:pStyle w:val="Nvel1SemNum"/>
        <w:rPr>
          <w:color w:val="000000"/>
        </w:rPr>
      </w:pPr>
      <w:r>
        <w:rPr>
          <w:color w:val="000000"/>
        </w:rPr>
        <w:t>Condições de Entrega</w:t>
      </w:r>
    </w:p>
    <w:p>
      <w:pPr>
        <w:pStyle w:val="Nvel2Red"/>
        <w:numPr>
          <w:ilvl w:val="1"/>
          <w:numId w:val="2"/>
        </w:numPr>
        <w:rPr/>
      </w:pPr>
      <w:r>
        <w:rPr>
          <w:color w:val="000000"/>
        </w:rPr>
        <w:t xml:space="preserve">O prazo de </w:t>
      </w:r>
      <w:r>
        <w:rPr>
          <w:color w:val="000000"/>
        </w:rPr>
        <w:t>realização</w:t>
      </w:r>
      <w:r>
        <w:rPr>
          <w:color w:val="000000"/>
        </w:rPr>
        <w:t xml:space="preserve"> dos </w:t>
      </w:r>
      <w:r>
        <w:rPr>
          <w:color w:val="000000"/>
        </w:rPr>
        <w:t>serviços</w:t>
      </w:r>
      <w:r>
        <w:rPr>
          <w:color w:val="000000"/>
        </w:rPr>
        <w:t xml:space="preserve"> é de é de </w:t>
      </w:r>
      <w:r>
        <w:rPr>
          <w:color w:val="000000"/>
        </w:rPr>
        <w:t>30</w:t>
      </w:r>
      <w:r>
        <w:rPr>
          <w:color w:val="000000"/>
        </w:rPr>
        <w:t xml:space="preserve"> (</w:t>
      </w:r>
      <w:r>
        <w:rPr>
          <w:color w:val="000000"/>
        </w:rPr>
        <w:t>trinta</w:t>
      </w:r>
      <w:r>
        <w:rPr>
          <w:color w:val="000000"/>
        </w:rPr>
        <w:t xml:space="preserve">) dias, contados do recebimento da Nota de Empenho, no seguinte endereço: </w:t>
      </w:r>
    </w:p>
    <w:tbl>
      <w:tblPr>
        <w:tblW w:w="14850" w:type="dxa"/>
        <w:jc w:val="left"/>
        <w:tblInd w:w="-473" w:type="dxa"/>
        <w:tblCellMar>
          <w:top w:w="57" w:type="dxa"/>
          <w:left w:w="34" w:type="dxa"/>
          <w:bottom w:w="57" w:type="dxa"/>
          <w:right w:w="0" w:type="dxa"/>
        </w:tblCellMar>
        <w:tblLook w:val="04a0"/>
      </w:tblPr>
      <w:tblGrid>
        <w:gridCol w:w="6645"/>
        <w:gridCol w:w="8205"/>
      </w:tblGrid>
      <w:tr>
        <w:trPr/>
        <w:tc>
          <w:tcPr>
            <w:tcW w:w="6645" w:type="dxa"/>
            <w:tcBorders>
              <w:top w:val="single" w:sz="6" w:space="0" w:color="000001"/>
              <w:left w:val="single" w:sz="6" w:space="0" w:color="000001"/>
              <w:bottom w:val="single" w:sz="6" w:space="0" w:color="000001"/>
            </w:tcBorders>
            <w:shd w:fill="auto" w:val="clear"/>
            <w:vAlign w:val="center"/>
          </w:tcPr>
          <w:p>
            <w:pPr>
              <w:pStyle w:val="Contedodatabela"/>
              <w:widowControl w:val="false"/>
              <w:jc w:val="center"/>
              <w:rPr>
                <w:b/>
                <w:b/>
                <w:bCs/>
                <w:color w:val="000000"/>
              </w:rPr>
            </w:pPr>
            <w:r>
              <w:rPr>
                <w:b/>
                <w:bCs/>
                <w:color w:val="000000"/>
              </w:rPr>
              <w:t>LOCAL</w:t>
            </w:r>
          </w:p>
        </w:tc>
        <w:tc>
          <w:tcPr>
            <w:tcW w:w="8205" w:type="dxa"/>
            <w:tcBorders>
              <w:top w:val="single" w:sz="6" w:space="0" w:color="000001"/>
              <w:left w:val="single" w:sz="6" w:space="0" w:color="000001"/>
              <w:bottom w:val="single" w:sz="6" w:space="0" w:color="000001"/>
              <w:right w:val="single" w:sz="6" w:space="0" w:color="000001"/>
            </w:tcBorders>
            <w:shd w:fill="auto" w:val="clear"/>
            <w:tcMar>
              <w:right w:w="57" w:type="dxa"/>
            </w:tcMar>
            <w:vAlign w:val="center"/>
          </w:tcPr>
          <w:p>
            <w:pPr>
              <w:pStyle w:val="Contedodatabela"/>
              <w:widowControl w:val="false"/>
              <w:jc w:val="center"/>
              <w:rPr>
                <w:b/>
                <w:b/>
                <w:bCs/>
                <w:color w:val="000000"/>
              </w:rPr>
            </w:pPr>
            <w:r>
              <w:rPr>
                <w:b/>
                <w:bCs/>
                <w:color w:val="000000"/>
              </w:rPr>
              <w:t>ENDEREÇO</w:t>
            </w:r>
          </w:p>
        </w:tc>
      </w:tr>
      <w:tr>
        <w:trPr/>
        <w:tc>
          <w:tcPr>
            <w:tcW w:w="6645" w:type="dxa"/>
            <w:tcBorders>
              <w:top w:val="single" w:sz="6" w:space="0" w:color="000001"/>
              <w:left w:val="single" w:sz="6" w:space="0" w:color="000001"/>
              <w:bottom w:val="single" w:sz="6" w:space="0" w:color="000001"/>
            </w:tcBorders>
            <w:shd w:fill="auto" w:val="clear"/>
            <w:vAlign w:val="center"/>
          </w:tcPr>
          <w:p>
            <w:pPr>
              <w:pStyle w:val="Contedodatabela"/>
              <w:widowControl w:val="false"/>
              <w:jc w:val="center"/>
              <w:rPr>
                <w:rFonts w:cs="Arial"/>
                <w:color w:val="000000"/>
                <w:szCs w:val="20"/>
                <w:lang w:val="x-none"/>
              </w:rPr>
            </w:pPr>
            <w:r>
              <w:rPr>
                <w:rFonts w:cs="Arial"/>
                <w:color w:val="000000"/>
                <w:szCs w:val="20"/>
                <w:lang w:val="x-none"/>
              </w:rPr>
              <w:t>ANDRADE &amp; CARDOSO LTDA</w:t>
            </w:r>
          </w:p>
        </w:tc>
        <w:tc>
          <w:tcPr>
            <w:tcW w:w="8205" w:type="dxa"/>
            <w:tcBorders>
              <w:top w:val="single" w:sz="6" w:space="0" w:color="000001"/>
              <w:left w:val="single" w:sz="6" w:space="0" w:color="000001"/>
              <w:bottom w:val="single" w:sz="6" w:space="0" w:color="000001"/>
              <w:right w:val="single" w:sz="6" w:space="0" w:color="000001"/>
            </w:tcBorders>
            <w:shd w:fill="auto" w:val="clear"/>
            <w:tcMar>
              <w:right w:w="57" w:type="dxa"/>
            </w:tcMar>
          </w:tcPr>
          <w:p>
            <w:pPr>
              <w:pStyle w:val="Contedodatabela"/>
              <w:widowControl w:val="false"/>
              <w:rPr>
                <w:rFonts w:cs="Arial"/>
                <w:color w:val="000000"/>
                <w:szCs w:val="20"/>
                <w:lang w:val="x-none"/>
              </w:rPr>
            </w:pPr>
            <w:r>
              <w:rPr>
                <w:rFonts w:cs="Arial"/>
                <w:color w:val="000000"/>
                <w:szCs w:val="20"/>
                <w:lang w:val="x-none"/>
              </w:rPr>
              <w:t xml:space="preserve">Rua </w:t>
            </w:r>
            <w:r>
              <w:rPr>
                <w:rFonts w:cs="Arial"/>
                <w:color w:val="000000"/>
                <w:szCs w:val="20"/>
                <w:lang w:val="x-none"/>
              </w:rPr>
              <w:t>São Mateus</w:t>
            </w:r>
            <w:r>
              <w:rPr>
                <w:rFonts w:cs="Arial"/>
                <w:color w:val="000000"/>
                <w:szCs w:val="20"/>
                <w:lang w:val="x-none"/>
              </w:rPr>
              <w:t xml:space="preserve">, </w:t>
            </w:r>
            <w:r>
              <w:rPr>
                <w:rFonts w:cs="Arial"/>
                <w:color w:val="000000"/>
                <w:szCs w:val="20"/>
                <w:lang w:val="x-none"/>
              </w:rPr>
              <w:t>844</w:t>
            </w:r>
            <w:r>
              <w:rPr>
                <w:rFonts w:cs="Arial"/>
                <w:color w:val="000000"/>
                <w:szCs w:val="20"/>
                <w:lang w:val="x-none"/>
              </w:rPr>
              <w:t xml:space="preserve"> – Bairro </w:t>
            </w:r>
            <w:r>
              <w:rPr>
                <w:rFonts w:cs="Arial"/>
                <w:color w:val="000000"/>
                <w:szCs w:val="20"/>
                <w:lang w:val="x-none"/>
              </w:rPr>
              <w:t>São Mateus</w:t>
            </w:r>
            <w:r>
              <w:rPr>
                <w:rFonts w:cs="Arial"/>
                <w:color w:val="000000"/>
                <w:szCs w:val="20"/>
                <w:lang w:val="x-none"/>
              </w:rPr>
              <w:t xml:space="preserve"> – Juiz de Fora – MG – CEP: </w:t>
            </w:r>
            <w:r>
              <w:rPr>
                <w:rFonts w:cs="Arial"/>
                <w:color w:val="000000"/>
                <w:szCs w:val="20"/>
                <w:lang w:val="x-none"/>
              </w:rPr>
              <w:t>36025-000.</w:t>
            </w:r>
          </w:p>
        </w:tc>
      </w:tr>
    </w:tbl>
    <w:p>
      <w:pPr>
        <w:pStyle w:val="Nvel2Red"/>
        <w:rPr>
          <w:color w:val="000000"/>
        </w:rPr>
      </w:pPr>
      <w:r>
        <w:rPr>
          <w:color w:val="000000"/>
        </w:rPr>
      </w:r>
    </w:p>
    <w:p>
      <w:pPr>
        <w:pStyle w:val="Nvel2Red"/>
        <w:numPr>
          <w:ilvl w:val="1"/>
          <w:numId w:val="2"/>
        </w:numPr>
        <w:rPr/>
      </w:pPr>
      <w:r>
        <w:rPr>
          <w:color w:val="000000"/>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pPr>
        <w:pStyle w:val="Nvel1SemNumPreto"/>
        <w:rPr>
          <w:color w:val="000000"/>
        </w:rPr>
      </w:pPr>
      <w:r>
        <w:rPr>
          <w:color w:val="000000"/>
        </w:rPr>
        <w:t>Garantia, manutenção e assistência técnica</w:t>
      </w:r>
    </w:p>
    <w:p>
      <w:pPr>
        <w:pStyle w:val="Nvel2Red"/>
        <w:numPr>
          <w:ilvl w:val="1"/>
          <w:numId w:val="2"/>
        </w:numPr>
        <w:rPr>
          <w:color w:val="000000"/>
        </w:rPr>
      </w:pPr>
      <w:r>
        <w:rPr>
          <w:color w:val="000000"/>
        </w:rPr>
        <w:t>O prazo de garantia é aquele estabelecido na Lei nº 8.078, de 11 de setembro de 1990 (Código de Defesa do Consumidor).</w:t>
      </w:r>
    </w:p>
    <w:p>
      <w:pPr>
        <w:pStyle w:val="Nivel01"/>
        <w:numPr>
          <w:ilvl w:val="0"/>
          <w:numId w:val="1"/>
        </w:numPr>
        <w:ind w:left="0" w:hanging="0"/>
        <w:rPr>
          <w:color w:val="000000"/>
        </w:rPr>
      </w:pPr>
      <w:r>
        <w:rPr>
          <w:color w:val="000000"/>
        </w:rPr>
        <w:t>MODELO DE GESTÃO DO CONTRATO</w:t>
      </w:r>
    </w:p>
    <w:p>
      <w:pPr>
        <w:pStyle w:val="Nivel2"/>
        <w:numPr>
          <w:ilvl w:val="1"/>
          <w:numId w:val="2"/>
        </w:numPr>
        <w:rPr/>
      </w:pPr>
      <w:r>
        <w:rPr/>
        <w:t>O contrato deverá ser executado fielmente pelas partes, de acordo com as cláusulas avençadas e as normas da Lei nº 14.133, de 2021, e cada parte responderá pelas consequências de sua inexecução total ou parcial.</w:t>
      </w:r>
    </w:p>
    <w:p>
      <w:pPr>
        <w:pStyle w:val="Nivel2"/>
        <w:numPr>
          <w:ilvl w:val="1"/>
          <w:numId w:val="2"/>
        </w:numPr>
        <w:rPr/>
      </w:pPr>
      <w:r>
        <w:rPr/>
        <w:t>Em caso de impedimento, ordem de paralisação ou suspensão do contrato, o cronograma de execução será prorrogado automaticamente pelo tempo correspondente, anotadas tais circunstâncias mediante simples apostila.</w:t>
      </w:r>
    </w:p>
    <w:p>
      <w:pPr>
        <w:pStyle w:val="Nivel2"/>
        <w:numPr>
          <w:ilvl w:val="1"/>
          <w:numId w:val="2"/>
        </w:numPr>
        <w:rPr/>
      </w:pPr>
      <w:r>
        <w:rPr/>
        <w:t>As comunicações entre o órgão ou entidade e a contratada devem ser realizadas por escrito sempre que o ato exigir tal formalidade, admitindo-se o uso de mensagem eletrônica para esse fim.</w:t>
      </w:r>
    </w:p>
    <w:p>
      <w:pPr>
        <w:pStyle w:val="Nivel2"/>
        <w:numPr>
          <w:ilvl w:val="1"/>
          <w:numId w:val="2"/>
        </w:numPr>
        <w:rPr/>
      </w:pPr>
      <w:r>
        <w:rPr/>
        <w:t>O órgão ou entidade poderá convocar representante da empresa para adoção de providências que devam ser cumpridas de imediato.</w:t>
      </w:r>
    </w:p>
    <w:p>
      <w:pPr>
        <w:pStyle w:val="Nivel2"/>
        <w:numPr>
          <w:ilvl w:val="1"/>
          <w:numId w:val="2"/>
        </w:numPr>
        <w:rPr/>
      </w:pPr>
      <w:r>
        <w:rPr/>
        <w:t xml:space="preserve"> </w:t>
      </w:r>
      <w:r>
        <w:rPr/>
        <w:t>Após a assinatura do contrato ou instrumento equivalente</w:t>
      </w:r>
      <w:r>
        <w:rPr>
          <w:strike/>
        </w:rPr>
        <w:t>,</w:t>
      </w:r>
      <w: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ivel2"/>
        <w:rPr/>
      </w:pPr>
      <w:r>
        <w:rPr/>
        <w:t>Fiscalização</w:t>
      </w:r>
    </w:p>
    <w:p>
      <w:pPr>
        <w:pStyle w:val="Nivel2"/>
        <w:numPr>
          <w:ilvl w:val="1"/>
          <w:numId w:val="2"/>
        </w:numPr>
        <w:rPr/>
      </w:pPr>
      <w:r>
        <w:rPr/>
        <w:t>A execução do contrato deverá ser acompanhada e fiscalizada pelo(s) fiscal(is) do contrato, ou pelos respectivos substitutos (</w:t>
      </w:r>
      <w:r>
        <w:fldChar w:fldCharType="begin"/>
      </w:r>
      <w:r>
        <w:rPr>
          <w:rStyle w:val="LinkdaInternet"/>
        </w:rPr>
        <w:instrText> HYPERLINK "http://www.planalto.gov.br/ccivil_03/_ato2019-2022/2021/lei/L14133.htm" \l "art117"</w:instrText>
      </w:r>
      <w:r>
        <w:rPr>
          <w:rStyle w:val="LinkdaInternet"/>
        </w:rPr>
        <w:fldChar w:fldCharType="separate"/>
      </w:r>
      <w:r>
        <w:rPr>
          <w:rStyle w:val="LinkdaInternet"/>
          <w:color w:val="000000"/>
        </w:rPr>
        <w:t>Lei nº 14.133, de 2021, art. 117, caput</w:t>
      </w:r>
      <w:r>
        <w:rPr>
          <w:rStyle w:val="LinkdaInternet"/>
        </w:rPr>
        <w:fldChar w:fldCharType="end"/>
      </w:r>
      <w:r>
        <w:rPr/>
        <w:t>).</w:t>
      </w:r>
    </w:p>
    <w:p>
      <w:pPr>
        <w:pStyle w:val="Nvel1SemNumPreto"/>
        <w:rPr>
          <w:color w:val="000000"/>
        </w:rPr>
      </w:pPr>
      <w:r>
        <w:rPr>
          <w:color w:val="000000"/>
        </w:rPr>
        <w:t>Fiscalização Técnica</w:t>
      </w:r>
    </w:p>
    <w:p>
      <w:pPr>
        <w:pStyle w:val="Nivel2"/>
        <w:numPr>
          <w:ilvl w:val="1"/>
          <w:numId w:val="2"/>
        </w:numPr>
        <w:rPr/>
      </w:pPr>
      <w:r>
        <w:rPr/>
        <w:t>O fiscal técnico do contrato acompanhará a execução do contrato, para que sejam cumpridas todas as condições estabelecidas no contrato, de modo a assegurar os melhores resultados para a Administração. (Decreto nº 11.246, de 2022, art. 22, VI);</w:t>
      </w:r>
    </w:p>
    <w:p>
      <w:pPr>
        <w:pStyle w:val="Nivel3"/>
        <w:numPr>
          <w:ilvl w:val="2"/>
          <w:numId w:val="2"/>
        </w:numPr>
        <w:ind w:left="284" w:hanging="0"/>
        <w:rPr/>
      </w:pPr>
      <w:r>
        <w:rPr/>
        <w:t>O fiscal técnico do contrato anotará no histórico de gerenciamento do contrato todas as ocorrências relacionadas à execução do contrato, com a descrição do que for necessário para a regularização das faltas ou dos defeitos observados. (</w:t>
      </w:r>
      <w:r>
        <w:fldChar w:fldCharType="begin"/>
      </w:r>
      <w:r>
        <w:rPr>
          <w:rStyle w:val="LinkdaInternet"/>
        </w:rPr>
        <w:instrText> HYPERLINK "http://www.planalto.gov.br/ccivil_03/_ato2019-2022/2021/lei/L14133.htm" \l "art117§1"</w:instrText>
      </w:r>
      <w:r>
        <w:rPr>
          <w:rStyle w:val="LinkdaInternet"/>
        </w:rPr>
        <w:fldChar w:fldCharType="separate"/>
      </w:r>
      <w:r>
        <w:rPr>
          <w:rStyle w:val="LinkdaInternet"/>
          <w:color w:val="000000"/>
        </w:rPr>
        <w:t>Lei nº 14.133, de 2021, art. 117, §1º</w:t>
      </w:r>
      <w:r>
        <w:rPr>
          <w:rStyle w:val="LinkdaInternet"/>
        </w:rPr>
        <w:fldChar w:fldCharType="end"/>
      </w:r>
      <w:r>
        <w:rPr/>
        <w:t xml:space="preserve">, e </w:t>
      </w:r>
      <w:r>
        <w:fldChar w:fldCharType="begin"/>
      </w:r>
      <w:r>
        <w:rPr>
          <w:rStyle w:val="LinkdaInternet"/>
        </w:rPr>
        <w:instrText> HYPERLINK "https://www.planalto.gov.br/ccivil_03/_ato2019-2022/2022/Decreto/D11246.htm" \l "art22"</w:instrText>
      </w:r>
      <w:r>
        <w:rPr>
          <w:rStyle w:val="LinkdaInternet"/>
        </w:rPr>
        <w:fldChar w:fldCharType="separate"/>
      </w:r>
      <w:r>
        <w:rPr>
          <w:rStyle w:val="LinkdaInternet"/>
          <w:color w:val="000000"/>
        </w:rPr>
        <w:t>Decreto nº 11.246, de 2022, art. 22, II);</w:t>
      </w:r>
      <w:r>
        <w:rPr>
          <w:rStyle w:val="LinkdaInternet"/>
        </w:rPr>
        <w:fldChar w:fldCharType="end"/>
      </w:r>
    </w:p>
    <w:p>
      <w:pPr>
        <w:pStyle w:val="Nivel3"/>
        <w:numPr>
          <w:ilvl w:val="2"/>
          <w:numId w:val="2"/>
        </w:numPr>
        <w:ind w:left="284" w:hanging="0"/>
        <w:rPr/>
      </w:pPr>
      <w:r>
        <w:rPr/>
        <w:t>Identificada qualquer inexatidão ou irregularidade, o fiscal técnico do contrato emitirá notificações para a correção da execução do contrato, determinando prazo para a correção. (</w:t>
      </w:r>
      <w:r>
        <w:fldChar w:fldCharType="begin"/>
      </w:r>
      <w:r>
        <w:rPr>
          <w:rStyle w:val="LinkdaInternet"/>
        </w:rPr>
        <w:instrText> HYPERLINK "https://www.planalto.gov.br/ccivil_03/_ato2019-2022/2022/Decreto/D11246.htm" \l "art22"</w:instrText>
      </w:r>
      <w:r>
        <w:rPr>
          <w:rStyle w:val="LinkdaInternet"/>
        </w:rPr>
        <w:fldChar w:fldCharType="separate"/>
      </w:r>
      <w:r>
        <w:rPr>
          <w:rStyle w:val="LinkdaInternet"/>
          <w:color w:val="000000"/>
        </w:rPr>
        <w:t>Decreto nº 11.246, de 2022, art. 22, III</w:t>
      </w:r>
      <w:r>
        <w:rPr>
          <w:rStyle w:val="LinkdaInternet"/>
        </w:rPr>
        <w:fldChar w:fldCharType="end"/>
      </w:r>
      <w:r>
        <w:rPr/>
        <w:t xml:space="preserve">); </w:t>
      </w:r>
    </w:p>
    <w:p>
      <w:pPr>
        <w:pStyle w:val="Nivel3"/>
        <w:numPr>
          <w:ilvl w:val="2"/>
          <w:numId w:val="2"/>
        </w:numPr>
        <w:ind w:left="284" w:hanging="0"/>
        <w:rPr/>
      </w:pPr>
      <w:r>
        <w:rPr/>
        <w:t>O fiscal técnico do contrato informará ao gestor do contato, em tempo hábil, a situação que demandar decisão ou adoção de medidas que ultrapassem sua competência, para que adote as medidas necessárias e saneadoras, se for o caso. (</w:t>
      </w:r>
      <w:r>
        <w:fldChar w:fldCharType="begin"/>
      </w:r>
      <w:r>
        <w:rPr>
          <w:rStyle w:val="LinkdaInternet"/>
        </w:rPr>
        <w:instrText> HYPERLINK "https://www.planalto.gov.br/ccivil_03/_ato2019-2022/2022/Decreto/D11246.htm" \l "art22"</w:instrText>
      </w:r>
      <w:r>
        <w:rPr>
          <w:rStyle w:val="LinkdaInternet"/>
        </w:rPr>
        <w:fldChar w:fldCharType="separate"/>
      </w:r>
      <w:r>
        <w:rPr>
          <w:rStyle w:val="LinkdaInternet"/>
          <w:color w:val="000000"/>
        </w:rPr>
        <w:t>Decreto nº 11.246, de 2022, art. 22, IV</w:t>
      </w:r>
      <w:r>
        <w:rPr>
          <w:rStyle w:val="LinkdaInternet"/>
        </w:rPr>
        <w:fldChar w:fldCharType="end"/>
      </w:r>
      <w:r>
        <w:rPr/>
        <w:t>).</w:t>
      </w:r>
    </w:p>
    <w:p>
      <w:pPr>
        <w:pStyle w:val="Nivel3"/>
        <w:numPr>
          <w:ilvl w:val="2"/>
          <w:numId w:val="2"/>
        </w:numPr>
        <w:ind w:left="284" w:hanging="0"/>
        <w:rPr/>
      </w:pPr>
      <w:r>
        <w:rPr/>
        <w:t>No caso de ocorrências que possam inviabilizar a execução do contrato nas datas aprazadas, o fiscal técnico do contrato comunicará o fato imediatamente ao gestor do contrato. (</w:t>
      </w:r>
      <w:r>
        <w:fldChar w:fldCharType="begin"/>
      </w:r>
      <w:r>
        <w:rPr>
          <w:rStyle w:val="LinkdaInternet"/>
        </w:rPr>
        <w:instrText> HYPERLINK "https://www.planalto.gov.br/ccivil_03/_ato2019-2022/2022/Decreto/D11246.htm" \l "art22"</w:instrText>
      </w:r>
      <w:r>
        <w:rPr>
          <w:rStyle w:val="LinkdaInternet"/>
        </w:rPr>
        <w:fldChar w:fldCharType="separate"/>
      </w:r>
      <w:r>
        <w:rPr>
          <w:rStyle w:val="LinkdaInternet"/>
          <w:color w:val="000000"/>
        </w:rPr>
        <w:t>Decreto nº 11.246, de 2022, art. 22, V</w:t>
      </w:r>
      <w:r>
        <w:rPr>
          <w:rStyle w:val="LinkdaInternet"/>
        </w:rPr>
        <w:fldChar w:fldCharType="end"/>
      </w:r>
      <w:r>
        <w:rPr/>
        <w:t>).</w:t>
      </w:r>
    </w:p>
    <w:p>
      <w:pPr>
        <w:pStyle w:val="Nivel3"/>
        <w:numPr>
          <w:ilvl w:val="2"/>
          <w:numId w:val="2"/>
        </w:numPr>
        <w:ind w:left="284" w:hanging="0"/>
        <w:rPr/>
      </w:pPr>
      <w:r>
        <w:rPr/>
        <w:t xml:space="preserve">O fiscal técnico do contrato comunicará ao gestor do contrato, em tempo hábil, o término do contrato sob sua responsabilidade, com vistas à renovação tempestiva ou à prorrogação contratual </w:t>
      </w:r>
      <w:r>
        <w:fldChar w:fldCharType="begin"/>
      </w:r>
      <w:r>
        <w:rPr>
          <w:rStyle w:val="LinkdaInternet"/>
        </w:rPr>
        <w:instrText> HYPERLINK "https://www.planalto.gov.br/ccivil_03/_ato2019-2022/2022/Decreto/D11246.htm" \l "art22"</w:instrText>
      </w:r>
      <w:r>
        <w:rPr>
          <w:rStyle w:val="LinkdaInternet"/>
        </w:rPr>
        <w:fldChar w:fldCharType="separate"/>
      </w:r>
      <w:r>
        <w:rPr>
          <w:rStyle w:val="LinkdaInternet"/>
          <w:color w:val="000000"/>
        </w:rPr>
        <w:t>(Decreto nº 11.246, de 2022, art. 22, VII</w:t>
      </w:r>
      <w:r>
        <w:rPr>
          <w:rStyle w:val="LinkdaInternet"/>
        </w:rPr>
        <w:fldChar w:fldCharType="end"/>
      </w:r>
      <w:r>
        <w:rPr/>
        <w:t>).</w:t>
      </w:r>
    </w:p>
    <w:p>
      <w:pPr>
        <w:pStyle w:val="Nivel3"/>
        <w:tabs>
          <w:tab w:val="clear" w:pos="0"/>
        </w:tabs>
        <w:ind w:left="0" w:hanging="0"/>
        <w:rPr/>
      </w:pPr>
      <w:r>
        <w:rPr/>
        <w:t>Fiscalização Administrativa</w:t>
      </w:r>
    </w:p>
    <w:p>
      <w:pPr>
        <w:pStyle w:val="Nivel2"/>
        <w:numPr>
          <w:ilvl w:val="1"/>
          <w:numId w:val="2"/>
        </w:numPr>
        <w:rPr/>
      </w:pPr>
      <w:r>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fldChar w:fldCharType="begin"/>
      </w:r>
      <w:r>
        <w:rPr>
          <w:rStyle w:val="LinkdaInternet"/>
        </w:rPr>
        <w:instrText> HYPERLINK "https://www.planalto.gov.br/ccivil_03/_ato2019-2022/2022/Decreto/D11246.htm" \l "art23"</w:instrText>
      </w:r>
      <w:r>
        <w:rPr>
          <w:rStyle w:val="LinkdaInternet"/>
        </w:rPr>
        <w:fldChar w:fldCharType="separate"/>
      </w:r>
      <w:r>
        <w:rPr>
          <w:rStyle w:val="LinkdaInternet"/>
          <w:color w:val="000000"/>
        </w:rPr>
        <w:t>Art. 23, I e II, do Decreto nº 11.246, de 2022</w:t>
      </w:r>
      <w:r>
        <w:rPr>
          <w:rStyle w:val="LinkdaInternet"/>
        </w:rPr>
        <w:fldChar w:fldCharType="end"/>
      </w:r>
      <w:r>
        <w:rPr/>
        <w:t>).</w:t>
      </w:r>
    </w:p>
    <w:p>
      <w:pPr>
        <w:pStyle w:val="Nivel3"/>
        <w:numPr>
          <w:ilvl w:val="2"/>
          <w:numId w:val="2"/>
        </w:numPr>
        <w:ind w:left="284" w:hanging="0"/>
        <w:rPr/>
      </w:pPr>
      <w:r>
        <w:rPr/>
        <w:t>Caso ocorra descumprimento das obrigações contratuais, o fiscal administrativo do contrato atuará tempestivamente na solução do problema, reportando ao gestor do contrato para que tome as providências cabíveis, quando ultrapassar a sua competência; (</w:t>
      </w:r>
      <w:r>
        <w:fldChar w:fldCharType="begin"/>
      </w:r>
      <w:r>
        <w:rPr>
          <w:rStyle w:val="LinkdaInternet"/>
        </w:rPr>
        <w:instrText> HYPERLINK "https://www.planalto.gov.br/ccivil_03/_ato2019-2022/2022/Decreto/D11246.htm" \l "art23"</w:instrText>
      </w:r>
      <w:r>
        <w:rPr>
          <w:rStyle w:val="LinkdaInternet"/>
        </w:rPr>
        <w:fldChar w:fldCharType="separate"/>
      </w:r>
      <w:r>
        <w:rPr>
          <w:rStyle w:val="LinkdaInternet"/>
          <w:color w:val="000000"/>
        </w:rPr>
        <w:t>Decreto nº 11.246, de 2022, art. 23, IV</w:t>
      </w:r>
      <w:r>
        <w:rPr>
          <w:rStyle w:val="LinkdaInternet"/>
        </w:rPr>
        <w:fldChar w:fldCharType="end"/>
      </w:r>
      <w:r>
        <w:rPr/>
        <w:t>).</w:t>
      </w:r>
    </w:p>
    <w:p>
      <w:pPr>
        <w:pStyle w:val="Nvel1SemNumPreto"/>
        <w:rPr>
          <w:color w:val="000000"/>
        </w:rPr>
      </w:pPr>
      <w:r>
        <w:rPr>
          <w:color w:val="000000"/>
        </w:rPr>
        <w:t>Gestor do Contrato</w:t>
      </w:r>
    </w:p>
    <w:p>
      <w:pPr>
        <w:pStyle w:val="Nivel2"/>
        <w:numPr>
          <w:ilvl w:val="1"/>
          <w:numId w:val="2"/>
        </w:numPr>
        <w:rPr/>
      </w:pPr>
      <w:r>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pPr>
        <w:pStyle w:val="Nivel2"/>
        <w:numPr>
          <w:ilvl w:val="1"/>
          <w:numId w:val="2"/>
        </w:numPr>
        <w:rPr/>
      </w:pPr>
      <w:r>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pPr>
        <w:pStyle w:val="Nivel2"/>
        <w:numPr>
          <w:ilvl w:val="1"/>
          <w:numId w:val="2"/>
        </w:numPr>
        <w:rPr/>
      </w:pPr>
      <w:r>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pPr>
        <w:pStyle w:val="Nivel2"/>
        <w:numPr>
          <w:ilvl w:val="1"/>
          <w:numId w:val="2"/>
        </w:numPr>
        <w:rPr/>
      </w:pPr>
      <w:r>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pPr>
        <w:pStyle w:val="Nivel2"/>
        <w:numPr>
          <w:ilvl w:val="1"/>
          <w:numId w:val="2"/>
        </w:numPr>
        <w:rPr/>
      </w:pPr>
      <w:r>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pPr>
        <w:pStyle w:val="Nivel2"/>
        <w:numPr>
          <w:ilvl w:val="1"/>
          <w:numId w:val="2"/>
        </w:numPr>
        <w:rPr/>
      </w:pPr>
      <w:r>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pPr>
        <w:pStyle w:val="Nivel2"/>
        <w:numPr>
          <w:ilvl w:val="1"/>
          <w:numId w:val="2"/>
        </w:numPr>
        <w:rPr/>
      </w:pPr>
      <w:r>
        <w:rPr/>
        <w:t>O gestor do contrato deverá enviar a documentação pertinente ao setor de contratos para a formalização dos procedimentos de liquidação e pagamento, no valor dimensionado pela fiscalização e gestão nos termos do contrato.</w:t>
      </w:r>
    </w:p>
    <w:p>
      <w:pPr>
        <w:pStyle w:val="Nivel01"/>
        <w:numPr>
          <w:ilvl w:val="0"/>
          <w:numId w:val="1"/>
        </w:numPr>
        <w:ind w:left="0" w:hanging="0"/>
        <w:rPr>
          <w:color w:val="000000"/>
        </w:rPr>
      </w:pPr>
      <w:r>
        <w:rPr>
          <w:color w:val="000000"/>
        </w:rPr>
        <w:t>CRITÉRIOS DE MEDIÇÃO E DE PAGAMENTO</w:t>
      </w:r>
    </w:p>
    <w:p>
      <w:pPr>
        <w:pStyle w:val="Nvel1SemNumPreto"/>
        <w:rPr/>
      </w:pPr>
      <w:r>
        <w:rPr>
          <w:color w:val="000000"/>
        </w:rPr>
        <w:t>Re</w:t>
      </w:r>
      <w:r>
        <w:rPr>
          <w:color w:val="000000"/>
        </w:rPr>
        <w:t>alização do serviço</w:t>
      </w:r>
    </w:p>
    <w:p>
      <w:pPr>
        <w:pStyle w:val="Nivel2"/>
        <w:numPr>
          <w:ilvl w:val="1"/>
          <w:numId w:val="2"/>
        </w:numPr>
        <w:rPr/>
      </w:pPr>
      <w:r>
        <w:rPr>
          <w:lang w:eastAsia="en-US"/>
        </w:rPr>
        <w:t xml:space="preserve">Os </w:t>
      </w:r>
      <w:r>
        <w:rPr>
          <w:lang w:eastAsia="en-US"/>
        </w:rPr>
        <w:t>serviços</w:t>
      </w:r>
      <w:r>
        <w:rPr>
          <w:lang w:eastAsia="en-US"/>
        </w:rPr>
        <w:t xml:space="preserve"> serão </w:t>
      </w:r>
      <w:r>
        <w:rPr>
          <w:lang w:eastAsia="en-US"/>
        </w:rPr>
        <w:t>prestados</w:t>
      </w:r>
      <w:r>
        <w:rPr>
          <w:lang w:eastAsia="en-US"/>
        </w:rPr>
        <w:t xml:space="preserve"> provisoriamente </w:t>
      </w:r>
      <w:r>
        <w:rPr>
          <w:lang w:eastAsia="en-US"/>
        </w:rPr>
        <w:t>e será</w:t>
      </w:r>
      <w:r>
        <w:rPr>
          <w:lang w:eastAsia="en-US"/>
        </w:rPr>
        <w:t xml:space="preserve"> junt</w:t>
      </w:r>
      <w:r>
        <w:rPr>
          <w:lang w:eastAsia="en-US"/>
        </w:rPr>
        <w:t xml:space="preserve">o </w:t>
      </w:r>
      <w:r>
        <w:rPr>
          <w:lang w:eastAsia="en-US"/>
        </w:rPr>
        <w:t xml:space="preserve">a </w:t>
      </w:r>
      <w:r>
        <w:rPr>
          <w:rFonts w:eastAsia="Calibri"/>
          <w:lang w:eastAsia="en-US"/>
        </w:rPr>
        <w:t>nota</w:t>
      </w:r>
      <w:r>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pPr>
        <w:pStyle w:val="Nivel2"/>
        <w:numPr>
          <w:ilvl w:val="1"/>
          <w:numId w:val="2"/>
        </w:numPr>
        <w:rPr/>
      </w:pPr>
      <w:r>
        <w:rPr>
          <w:lang w:eastAsia="en-US"/>
        </w:rPr>
        <w:t xml:space="preserve">Para as contratações decorrentes de despesas cujos valores não ultrapassem o limite de que trata o </w:t>
      </w:r>
      <w:r>
        <w:fldChar w:fldCharType="begin"/>
      </w:r>
      <w:r>
        <w:rPr>
          <w:rStyle w:val="LinkdaInternet"/>
        </w:rPr>
        <w:instrText> HYPERLINK "http://www.planalto.gov.br/ccivil_03/_ato2019-2022/2021/lei/L14133.htm" \l "art75"</w:instrText>
      </w:r>
      <w:r>
        <w:rPr>
          <w:rStyle w:val="LinkdaInternet"/>
        </w:rPr>
        <w:fldChar w:fldCharType="separate"/>
      </w:r>
      <w:r>
        <w:rPr>
          <w:rStyle w:val="LinkdaInternet"/>
          <w:color w:val="000000"/>
          <w:lang w:eastAsia="en-US"/>
        </w:rPr>
        <w:t>inciso II do art. 75 da Lei nº 14.133, de 2021</w:t>
      </w:r>
      <w:r>
        <w:rPr>
          <w:rStyle w:val="LinkdaInternet"/>
        </w:rPr>
        <w:fldChar w:fldCharType="end"/>
      </w:r>
      <w:r>
        <w:rPr>
          <w:lang w:eastAsia="en-US"/>
        </w:rPr>
        <w:t>, o prazo máximo para o recebimento definitivo será de até 10 (dez) dias úteis.</w:t>
      </w:r>
    </w:p>
    <w:p>
      <w:pPr>
        <w:pStyle w:val="Nivel2"/>
        <w:numPr>
          <w:ilvl w:val="1"/>
          <w:numId w:val="2"/>
        </w:numPr>
        <w:rPr/>
      </w:pPr>
      <w:r>
        <w:rPr>
          <w:lang w:eastAsia="en-US"/>
        </w:rPr>
        <w:t xml:space="preserve">No caso de controvérsia sobre a execução do objeto, quanto à dimensão, qualidade e quantidade, deverá ser observado o teor do </w:t>
      </w:r>
      <w:r>
        <w:fldChar w:fldCharType="begin"/>
      </w:r>
      <w:r>
        <w:rPr>
          <w:rStyle w:val="LinkdaInternet"/>
        </w:rPr>
        <w:instrText> HYPERLINK "http://www.planalto.gov.br/ccivil_03/_ato2019-2022/2021/lei/L14133.htm" \l "art143"</w:instrText>
      </w:r>
      <w:r>
        <w:rPr>
          <w:rStyle w:val="LinkdaInternet"/>
        </w:rPr>
        <w:fldChar w:fldCharType="separate"/>
      </w:r>
      <w:r>
        <w:rPr>
          <w:rStyle w:val="LinkdaInternet"/>
          <w:color w:val="000000"/>
          <w:lang w:eastAsia="en-US"/>
        </w:rPr>
        <w:t>art. 143 da Lei nº 14.133, de 2021</w:t>
      </w:r>
      <w:r>
        <w:rPr>
          <w:rStyle w:val="LinkdaInternet"/>
        </w:rPr>
        <w:fldChar w:fldCharType="end"/>
      </w:r>
      <w:r>
        <w:rPr>
          <w:lang w:eastAsia="en-US"/>
        </w:rPr>
        <w:t>, comunicando-se à empresa para emissão de Nota Fiscal no que pertence à parcela incontroversa da execução do objeto, para efeito de liquidação e pagamento.</w:t>
      </w:r>
    </w:p>
    <w:p>
      <w:pPr>
        <w:pStyle w:val="Nivel2"/>
        <w:numPr>
          <w:ilvl w:val="1"/>
          <w:numId w:val="2"/>
        </w:numPr>
        <w:rPr/>
      </w:pPr>
      <w:r>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Nivel2"/>
        <w:numPr>
          <w:ilvl w:val="1"/>
          <w:numId w:val="2"/>
        </w:numPr>
        <w:rPr/>
      </w:pPr>
      <w:r>
        <w:rPr>
          <w:lang w:eastAsia="en-US"/>
        </w:rPr>
        <w:t>O recebimento provisório ou definitivo não excluirá a responsabilidade civil pela solidez e pela segurança dos bens nem a responsabilidade ético-profissional pela perfeita execução do contrato.</w:t>
      </w:r>
    </w:p>
    <w:p>
      <w:pPr>
        <w:pStyle w:val="Nvel1SemNumPreto"/>
        <w:rPr>
          <w:color w:val="000000"/>
        </w:rPr>
      </w:pPr>
      <w:r>
        <w:rPr>
          <w:color w:val="000000"/>
        </w:rPr>
        <w:t>Liquidação</w:t>
      </w:r>
    </w:p>
    <w:p>
      <w:pPr>
        <w:pStyle w:val="Nivel2"/>
        <w:numPr>
          <w:ilvl w:val="1"/>
          <w:numId w:val="2"/>
        </w:numPr>
        <w:rPr/>
      </w:pPr>
      <w:r>
        <w:rPr>
          <w:lang w:eastAsia="en-US"/>
        </w:rPr>
        <w:t>Recebida a Nota Fiscal ou documento de cobrança equivalente, correrá o prazo de dez dias úteis para fins de liquidação, na forma desta seção, prorrogáveis por igual período, nos termos do art. 7º, §3</w:t>
      </w:r>
      <w:r>
        <w:rPr>
          <w:rStyle w:val="LinkdaInternet"/>
          <w:color w:val="000000"/>
          <w:lang w:eastAsia="en-US"/>
        </w:rPr>
        <w:t>º da Instrução Normativa SEGES/ME nº 77/2022</w:t>
      </w:r>
      <w:r>
        <w:rPr>
          <w:lang w:eastAsia="en-US"/>
        </w:rPr>
        <w:t>.</w:t>
      </w:r>
    </w:p>
    <w:p>
      <w:pPr>
        <w:pStyle w:val="Nivel3"/>
        <w:numPr>
          <w:ilvl w:val="2"/>
          <w:numId w:val="2"/>
        </w:numPr>
        <w:ind w:left="284" w:hanging="0"/>
        <w:rPr/>
      </w:pPr>
      <w:r>
        <w:rPr/>
        <w:t xml:space="preserve">O prazo de que trata o item anterior será reduzido à metade, mantendo-se a possibilidade de prorrogação, no caso de contratações decorrentes de despesas cujos valores não ultrapassem o limite de que trata o </w:t>
      </w:r>
      <w:r>
        <w:fldChar w:fldCharType="begin"/>
      </w:r>
      <w:r>
        <w:rPr>
          <w:rStyle w:val="LinkdaInternet"/>
        </w:rPr>
        <w:instrText> HYPERLINK "http://www.planalto.gov.br/ccivil_03/_ato2019-2022/2021/lei/L14133.htm" \l "art75"</w:instrText>
      </w:r>
      <w:r>
        <w:rPr>
          <w:rStyle w:val="LinkdaInternet"/>
        </w:rPr>
        <w:fldChar w:fldCharType="separate"/>
      </w:r>
      <w:r>
        <w:rPr>
          <w:rStyle w:val="LinkdaInternet"/>
          <w:color w:val="000000"/>
        </w:rPr>
        <w:t>inciso II do art. 75 da Lei nº 14.133, de 2021</w:t>
      </w:r>
      <w:r>
        <w:rPr>
          <w:rStyle w:val="LinkdaInternet"/>
        </w:rPr>
        <w:fldChar w:fldCharType="end"/>
      </w:r>
      <w:r>
        <w:rPr/>
        <w:t>.</w:t>
      </w:r>
    </w:p>
    <w:p>
      <w:pPr>
        <w:pStyle w:val="Nivel2"/>
        <w:numPr>
          <w:ilvl w:val="1"/>
          <w:numId w:val="2"/>
        </w:numPr>
        <w:rPr/>
      </w:pPr>
      <w:r>
        <w:rPr>
          <w:lang w:eastAsia="en-US"/>
        </w:rPr>
        <w:t xml:space="preserve">Para fins de liquidação, o setor competente deverá verificar se a nota fiscal ou instrumento de cobrança equivalente apresentado expressa os elementos necessários e essenciais do documento, tais como: </w:t>
      </w:r>
    </w:p>
    <w:p>
      <w:pPr>
        <w:pStyle w:val="Nivel3"/>
        <w:numPr>
          <w:ilvl w:val="2"/>
          <w:numId w:val="2"/>
        </w:numPr>
        <w:ind w:left="284" w:hanging="0"/>
        <w:rPr/>
      </w:pPr>
      <w:r>
        <w:rPr>
          <w:lang w:eastAsia="en-US"/>
        </w:rPr>
        <w:t>O prazo de validade;</w:t>
      </w:r>
    </w:p>
    <w:p>
      <w:pPr>
        <w:pStyle w:val="Nivel3"/>
        <w:numPr>
          <w:ilvl w:val="2"/>
          <w:numId w:val="2"/>
        </w:numPr>
        <w:ind w:left="284" w:hanging="0"/>
        <w:rPr/>
      </w:pPr>
      <w:r>
        <w:rPr>
          <w:lang w:eastAsia="en-US"/>
        </w:rPr>
        <w:t xml:space="preserve">A data da emissão; </w:t>
      </w:r>
    </w:p>
    <w:p>
      <w:pPr>
        <w:pStyle w:val="Nivel3"/>
        <w:numPr>
          <w:ilvl w:val="2"/>
          <w:numId w:val="2"/>
        </w:numPr>
        <w:ind w:left="284" w:hanging="0"/>
        <w:rPr/>
      </w:pPr>
      <w:r>
        <w:rPr>
          <w:lang w:eastAsia="en-US"/>
        </w:rPr>
        <w:t xml:space="preserve">Os dados do contrato e do órgão contratante; </w:t>
      </w:r>
    </w:p>
    <w:p>
      <w:pPr>
        <w:pStyle w:val="Nivel3"/>
        <w:numPr>
          <w:ilvl w:val="2"/>
          <w:numId w:val="2"/>
        </w:numPr>
        <w:ind w:left="284" w:hanging="0"/>
        <w:rPr/>
      </w:pPr>
      <w:r>
        <w:rPr>
          <w:lang w:eastAsia="en-US"/>
        </w:rPr>
        <w:t xml:space="preserve">O período respectivo de execução do contrato; </w:t>
      </w:r>
    </w:p>
    <w:p>
      <w:pPr>
        <w:pStyle w:val="Nivel3"/>
        <w:numPr>
          <w:ilvl w:val="2"/>
          <w:numId w:val="2"/>
        </w:numPr>
        <w:ind w:left="284" w:hanging="0"/>
        <w:rPr/>
      </w:pPr>
      <w:r>
        <w:rPr>
          <w:lang w:eastAsia="en-US"/>
        </w:rPr>
        <w:t xml:space="preserve">O valor a pagar; e </w:t>
      </w:r>
    </w:p>
    <w:p>
      <w:pPr>
        <w:pStyle w:val="Nivel3"/>
        <w:numPr>
          <w:ilvl w:val="2"/>
          <w:numId w:val="2"/>
        </w:numPr>
        <w:ind w:left="284" w:hanging="0"/>
        <w:rPr/>
      </w:pPr>
      <w:r>
        <w:rPr>
          <w:lang w:eastAsia="en-US"/>
        </w:rPr>
        <w:t>Eventual destaque do valor de retenções tributárias cabíveis.</w:t>
      </w:r>
    </w:p>
    <w:p>
      <w:pPr>
        <w:pStyle w:val="Nivel2"/>
        <w:numPr>
          <w:ilvl w:val="1"/>
          <w:numId w:val="2"/>
        </w:numPr>
        <w:rPr>
          <w:lang w:eastAsia="en-US"/>
        </w:rPr>
      </w:pPr>
      <w:r>
        <w:rPr>
          <w:rFonts w:eastAsia="Calibri"/>
          <w:lang w:eastAsia="en-US"/>
        </w:rPr>
        <w:t xml:space="preserve"> </w:t>
      </w:r>
      <w:r>
        <w:rPr>
          <w:rFonts w:eastAsia="Calibri"/>
          <w:lang w:eastAsia="en-US"/>
        </w:rPr>
        <w:t xml:space="preserve">Havendo erro na apresentação da nota fiscal ou instrumento de cobrança equivalente, ou circunstância que impeça a </w:t>
      </w:r>
      <w:r>
        <w:rPr>
          <w:lang w:eastAsia="en-US"/>
        </w:rPr>
        <w:t>liquidação da despesa, esta ficará sobrestada até que o contratado providencie as medidas saneadoras, reiniciando-se o prazo após a comprovação da regularização da situação, sem ônus ao contratante;</w:t>
      </w:r>
    </w:p>
    <w:p>
      <w:pPr>
        <w:pStyle w:val="Nivel2"/>
        <w:numPr>
          <w:ilvl w:val="1"/>
          <w:numId w:val="2"/>
        </w:numPr>
        <w:rPr/>
      </w:pPr>
      <w:r>
        <w:rPr>
          <w:lang w:eastAsia="en-US"/>
        </w:rPr>
        <w:t xml:space="preserve"> </w:t>
      </w:r>
      <w:r>
        <w:rPr>
          <w:lang w:eastAsia="en-US"/>
        </w:rPr>
        <w:t xml:space="preserve">A nota fiscal ou instrumento de cobrança equivalente deverá ser obrigatoriamente acompanhado da comprovação da regularidade fiscal, constatada por meio de consulta </w:t>
      </w:r>
      <w:r>
        <w:rPr>
          <w:i/>
          <w:iCs/>
          <w:lang w:eastAsia="en-US"/>
        </w:rPr>
        <w:t>on-line</w:t>
      </w:r>
      <w:r>
        <w:rPr>
          <w:lang w:eastAsia="en-US"/>
        </w:rPr>
        <w:t xml:space="preserve"> ao SICAF ou, na impossibilidade de acesso ao referido Sistema, mediante consulta aos sítios eletrônicos oficiais ou à documentação mencionada no </w:t>
      </w:r>
      <w:r>
        <w:fldChar w:fldCharType="begin"/>
      </w:r>
      <w:r>
        <w:rPr>
          <w:rStyle w:val="LinkdaInternet"/>
        </w:rPr>
        <w:instrText> HYPERLINK "http://www.planalto.gov.br/ccivil_03/_ato2019-2022/2021/lei/L14133.htm" \l "art68"</w:instrText>
      </w:r>
      <w:r>
        <w:rPr>
          <w:rStyle w:val="LinkdaInternet"/>
        </w:rPr>
        <w:fldChar w:fldCharType="separate"/>
      </w:r>
      <w:r>
        <w:rPr>
          <w:rStyle w:val="LinkdaInternet"/>
          <w:lang w:eastAsia="en-US"/>
        </w:rPr>
        <w:t xml:space="preserve">art. 68 da Lei nº 14.133, de 2021.  </w:t>
      </w:r>
      <w:r>
        <w:rPr>
          <w:rStyle w:val="LinkdaInternet"/>
        </w:rPr>
        <w:fldChar w:fldCharType="end"/>
      </w:r>
      <w:r>
        <w:rPr>
          <w:lang w:eastAsia="en-US"/>
        </w:rPr>
        <w:t xml:space="preserve"> </w:t>
      </w:r>
    </w:p>
    <w:p>
      <w:pPr>
        <w:pStyle w:val="Nivel2"/>
        <w:numPr>
          <w:ilvl w:val="1"/>
          <w:numId w:val="2"/>
        </w:numPr>
        <w:rPr/>
      </w:pPr>
      <w:r>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pPr>
        <w:pStyle w:val="Nivel2"/>
        <w:numPr>
          <w:ilvl w:val="1"/>
          <w:numId w:val="2"/>
        </w:numPr>
        <w:rPr>
          <w:lang w:eastAsia="en-US"/>
        </w:rPr>
      </w:pPr>
      <w:r>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ivel2"/>
        <w:numPr>
          <w:ilvl w:val="1"/>
          <w:numId w:val="2"/>
        </w:numPr>
        <w:rPr>
          <w:lang w:eastAsia="en-US"/>
        </w:rPr>
      </w:pPr>
      <w:r>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ivel2"/>
        <w:numPr>
          <w:ilvl w:val="1"/>
          <w:numId w:val="2"/>
        </w:numPr>
        <w:rPr>
          <w:lang w:eastAsia="en-US"/>
        </w:rPr>
      </w:pPr>
      <w:r>
        <w:rPr>
          <w:lang w:eastAsia="en-US"/>
        </w:rPr>
        <w:t xml:space="preserve">Persistindo a irregularidade, o contratante deverá adotar as medidas necessárias à rescisão contratual nos autos do processo administrativo correspondente, assegurada ao contratado a ampla defesa. </w:t>
      </w:r>
    </w:p>
    <w:p>
      <w:pPr>
        <w:pStyle w:val="Nivel2"/>
        <w:numPr>
          <w:ilvl w:val="1"/>
          <w:numId w:val="2"/>
        </w:numPr>
        <w:rPr>
          <w:lang w:eastAsia="en-US"/>
        </w:rPr>
      </w:pPr>
      <w:r>
        <w:rPr>
          <w:lang w:eastAsia="en-US"/>
        </w:rPr>
        <w:t xml:space="preserve">Havendo a efetiva execução do objeto, os pagamentos serão realizados normalmente, até que se decida pela rescisão do contrato, caso o contratado não regularize sua situação junto ao SICAF.  </w:t>
      </w:r>
    </w:p>
    <w:p>
      <w:pPr>
        <w:pStyle w:val="Nvel1SemNumPreto"/>
        <w:rPr/>
      </w:pPr>
      <w:r>
        <w:rPr/>
        <w:t>Prazo de pagamento</w:t>
      </w:r>
    </w:p>
    <w:p>
      <w:pPr>
        <w:pStyle w:val="Nivel2"/>
        <w:numPr>
          <w:ilvl w:val="1"/>
          <w:numId w:val="2"/>
        </w:numPr>
        <w:rPr/>
      </w:pPr>
      <w:r>
        <w:rPr/>
        <w:t xml:space="preserve">O pagamento será efetuado no prazo de até 10 (dez) dias úteis contados da finalização da liquidação da despesa, conforme seção anterior, nos termos da </w:t>
      </w:r>
      <w:hyperlink r:id="rId3">
        <w:r>
          <w:rPr>
            <w:rStyle w:val="LinkdaInternet"/>
          </w:rPr>
          <w:t>Instrução Normativa SEGES/ME nº 77, de 2022</w:t>
        </w:r>
      </w:hyperlink>
      <w:r>
        <w:rPr/>
        <w:t>.</w:t>
      </w:r>
    </w:p>
    <w:p>
      <w:pPr>
        <w:pStyle w:val="Nivel2"/>
        <w:numPr>
          <w:ilvl w:val="1"/>
          <w:numId w:val="2"/>
        </w:numPr>
        <w:rPr>
          <w:lang w:eastAsia="en-US"/>
        </w:rPr>
      </w:pPr>
      <w:r>
        <w:rPr>
          <w:lang w:eastAsia="en-US"/>
        </w:rPr>
        <w:t>No caso de atraso pelo Contratante, os valores devidos ao contratado serão atualizados monetariamente entre o termo final do prazo de pagamento até a data de sua efetiva realização, mediante aplicação do índice IPCA/IBGE de correção monetária.</w:t>
      </w:r>
    </w:p>
    <w:p>
      <w:pPr>
        <w:pStyle w:val="Nvel1SemNumPreto"/>
        <w:rPr/>
      </w:pPr>
      <w:r>
        <w:rPr/>
        <w:t>Forma de pagamento</w:t>
      </w:r>
    </w:p>
    <w:p>
      <w:pPr>
        <w:pStyle w:val="Nivel2"/>
        <w:numPr>
          <w:ilvl w:val="1"/>
          <w:numId w:val="2"/>
        </w:numPr>
        <w:rPr>
          <w:lang w:eastAsia="en-US"/>
        </w:rPr>
      </w:pPr>
      <w:r>
        <w:rPr>
          <w:lang w:eastAsia="en-US"/>
        </w:rPr>
        <w:t>O pagamento será realizado por meio de ordem bancária, para crédito em banco, agência e conta corrente indicados pelo contratado.</w:t>
      </w:r>
    </w:p>
    <w:p>
      <w:pPr>
        <w:pStyle w:val="Nivel2"/>
        <w:numPr>
          <w:ilvl w:val="1"/>
          <w:numId w:val="2"/>
        </w:numPr>
        <w:rPr>
          <w:lang w:eastAsia="en-US"/>
        </w:rPr>
      </w:pPr>
      <w:r>
        <w:rPr>
          <w:lang w:eastAsia="en-US"/>
        </w:rPr>
        <w:t>Será considerada data do pagamento o dia em que constar como emitida a ordem bancária para pagamento.</w:t>
      </w:r>
    </w:p>
    <w:p>
      <w:pPr>
        <w:pStyle w:val="Nivel2"/>
        <w:numPr>
          <w:ilvl w:val="1"/>
          <w:numId w:val="2"/>
        </w:numPr>
        <w:rPr>
          <w:lang w:eastAsia="en-US"/>
        </w:rPr>
      </w:pPr>
      <w:r>
        <w:rPr>
          <w:lang w:eastAsia="en-US"/>
        </w:rPr>
        <w:t>Quando do pagamento, será efetuada a retenção tributária prevista na legislação aplicável.</w:t>
      </w:r>
    </w:p>
    <w:p>
      <w:pPr>
        <w:pStyle w:val="Nivel3"/>
        <w:numPr>
          <w:ilvl w:val="2"/>
          <w:numId w:val="2"/>
        </w:numPr>
        <w:ind w:left="284" w:hanging="0"/>
        <w:rPr>
          <w:lang w:eastAsia="en-US"/>
        </w:rPr>
      </w:pPr>
      <w:r>
        <w:rPr>
          <w:lang w:eastAsia="en-US"/>
        </w:rPr>
        <w:t>Independentemente do percentual de tributo inserido na planilha, quando houver, serão retidos na fonte, quando da realização do pagamento, os percentuais estabelecidos na legislação vigente.</w:t>
      </w:r>
    </w:p>
    <w:p>
      <w:pPr>
        <w:pStyle w:val="Nivel2"/>
        <w:numPr>
          <w:ilvl w:val="1"/>
          <w:numId w:val="2"/>
        </w:numPr>
        <w:rPr/>
      </w:pPr>
      <w:r>
        <w:rPr>
          <w:lang w:eastAsia="en-US"/>
        </w:rPr>
        <w:t xml:space="preserve">O contratado regularmente optante pelo Simples Nacional, nos termos da </w:t>
      </w:r>
      <w:hyperlink r:id="rId4">
        <w:r>
          <w:rPr>
            <w:rStyle w:val="LinkdaInternet"/>
            <w:lang w:eastAsia="en-US"/>
          </w:rPr>
          <w:t>Lei Complementar nº 123, de 2006</w:t>
        </w:r>
      </w:hyperlink>
      <w:r>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vel1SemNumPreto"/>
        <w:rPr/>
      </w:pPr>
      <w:r>
        <w:rPr/>
        <w:t>Cessão de crédito</w:t>
      </w:r>
    </w:p>
    <w:p>
      <w:pPr>
        <w:pStyle w:val="Nivel2"/>
        <w:numPr>
          <w:ilvl w:val="1"/>
          <w:numId w:val="2"/>
        </w:numPr>
        <w:rPr/>
      </w:pPr>
      <w:r>
        <w:rPr>
          <w:lang w:eastAsia="en-US"/>
        </w:rPr>
        <w:t xml:space="preserve">É admitida a cessão fiduciária de direitos creditícios com instituição financeira, nos termos e de acordo com os procedimentos previstos na </w:t>
      </w:r>
      <w:hyperlink r:id="rId5">
        <w:r>
          <w:rPr>
            <w:rStyle w:val="LinkdaInternet"/>
            <w:lang w:eastAsia="en-US"/>
          </w:rPr>
          <w:t>Instrução Normativa SEGES/ME nº 53, de 8 de Julho de 2020</w:t>
        </w:r>
      </w:hyperlink>
      <w:r>
        <w:rPr>
          <w:lang w:eastAsia="en-US"/>
        </w:rPr>
        <w:t>, conforme as regras deste presente tópico.</w:t>
      </w:r>
    </w:p>
    <w:p>
      <w:pPr>
        <w:pStyle w:val="Nvel3R"/>
        <w:numPr>
          <w:ilvl w:val="2"/>
          <w:numId w:val="2"/>
        </w:numPr>
        <w:ind w:left="284" w:hanging="0"/>
        <w:rPr/>
      </w:pPr>
      <w:r>
        <w:rPr/>
        <w:t>As cessões de crédito não fiduciárias dependerão de prévia aprovação do contratant</w:t>
      </w:r>
      <w:bookmarkStart w:id="0" w:name="_Ref118216946"/>
      <w:bookmarkEnd w:id="0"/>
      <w:r>
        <w:rPr/>
        <w:t>e.</w:t>
      </w:r>
    </w:p>
    <w:p>
      <w:pPr>
        <w:pStyle w:val="Nivel2"/>
        <w:numPr>
          <w:ilvl w:val="1"/>
          <w:numId w:val="2"/>
        </w:numPr>
        <w:rPr>
          <w:lang w:eastAsia="en-US"/>
        </w:rPr>
      </w:pPr>
      <w:r>
        <w:rPr>
          <w:lang w:eastAsia="en-US"/>
        </w:rPr>
        <w:t>A eficácia da cessão de crédito, de qualquer natureza, em relação à Administração, está condicionada à celebração de termo aditivo ao contrato administrativo.</w:t>
      </w:r>
    </w:p>
    <w:p>
      <w:pPr>
        <w:pStyle w:val="Nivel2"/>
        <w:numPr>
          <w:ilvl w:val="1"/>
          <w:numId w:val="2"/>
        </w:numPr>
        <w:rPr/>
      </w:pPr>
      <w:r>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r>
        <w:fldChar w:fldCharType="begin"/>
      </w:r>
      <w:r>
        <w:rPr>
          <w:rStyle w:val="LinkdaInternet"/>
        </w:rPr>
        <w:instrText> HYPERLINK "https://www.planalto.gov.br/ccivil_03/leis/l8429.htm" \l ":~:text=LEI Nº 8.429%2C DE 2 DE JUNHO DE 1992&amp;text=Dispõe sobre as sanções aplicáveis,fundacional e dá outras providências."</w:instrText>
      </w:r>
      <w:r>
        <w:rPr>
          <w:rStyle w:val="LinkdaInternet"/>
        </w:rPr>
        <w:fldChar w:fldCharType="separate"/>
      </w:r>
      <w:r>
        <w:rPr>
          <w:rStyle w:val="LinkdaInternet"/>
          <w:lang w:eastAsia="en-US"/>
        </w:rPr>
        <w:t>o art. 12 da Lei nº 8.429, de 1992</w:t>
      </w:r>
      <w:r>
        <w:rPr>
          <w:rStyle w:val="LinkdaInternet"/>
        </w:rPr>
        <w:fldChar w:fldCharType="end"/>
      </w:r>
      <w:r>
        <w:rPr>
          <w:lang w:eastAsia="en-US"/>
        </w:rPr>
        <w:t xml:space="preserve">, nos termos do </w:t>
      </w:r>
      <w:hyperlink r:id="rId6">
        <w:r>
          <w:rPr>
            <w:rStyle w:val="LinkdaInternet"/>
            <w:lang w:eastAsia="en-US"/>
          </w:rPr>
          <w:t>Parecer JL-01, de 18 de maio de 2020.</w:t>
        </w:r>
      </w:hyperlink>
    </w:p>
    <w:p>
      <w:pPr>
        <w:pStyle w:val="Nivel2"/>
        <w:numPr>
          <w:ilvl w:val="1"/>
          <w:numId w:val="2"/>
        </w:numPr>
        <w:rPr/>
      </w:pPr>
      <w:r>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Pr>
          <w:sz w:val="19"/>
          <w:szCs w:val="19"/>
        </w:rPr>
        <w:t xml:space="preserve"> (INSTRUÇÃO NORMATIVA Nº 53, DE 8 DE JULHO DE 2020 e Anexos)</w:t>
      </w:r>
    </w:p>
    <w:p>
      <w:pPr>
        <w:pStyle w:val="Nivel2"/>
        <w:numPr>
          <w:ilvl w:val="1"/>
          <w:numId w:val="2"/>
        </w:numPr>
        <w:rPr>
          <w:lang w:eastAsia="en-US"/>
        </w:rPr>
      </w:pPr>
      <w:r>
        <w:rPr>
          <w:lang w:eastAsia="en-US"/>
        </w:rPr>
        <w:t>A cessão de crédito não afetará a execução do objeto contratado, que continuará sob a integral responsabilidade do contratado.</w:t>
      </w:r>
    </w:p>
    <w:p>
      <w:pPr>
        <w:pStyle w:val="Nivel01"/>
        <w:numPr>
          <w:ilvl w:val="0"/>
          <w:numId w:val="1"/>
        </w:numPr>
        <w:ind w:left="0" w:hanging="0"/>
        <w:rPr/>
      </w:pPr>
      <w:r>
        <w:rPr/>
        <w:t>FORMA E CRITÉRIOS DE SELEÇÃO DO FORNECEDOR E FORMA DE FORNECIMENTO</w:t>
      </w:r>
    </w:p>
    <w:p>
      <w:pPr>
        <w:pStyle w:val="Nvel1SemNumPreto"/>
        <w:rPr>
          <w:highlight w:val="yellow"/>
        </w:rPr>
      </w:pPr>
      <w:r>
        <w:rPr/>
        <w:t>Forma de seleção e critério de julgamento da proposta</w:t>
      </w:r>
    </w:p>
    <w:p>
      <w:pPr>
        <w:pStyle w:val="Nivel2"/>
        <w:numPr>
          <w:ilvl w:val="1"/>
          <w:numId w:val="2"/>
        </w:numPr>
        <w:rPr>
          <w:highlight w:val="yellow"/>
        </w:rPr>
      </w:pPr>
      <w:r>
        <w:rPr>
          <w:highlight w:val="yellow"/>
        </w:rPr>
        <w:t>O fornecedor será selecionado por meio da realização de procedimento de LICITAÇÃO, na modalidade PREGÃO, sob a forma ELETRÔNICA, com adoção do critério de julgamento pelo MENOR PREÇO.</w:t>
      </w:r>
    </w:p>
    <w:p>
      <w:pPr>
        <w:pStyle w:val="Nvel1SemNumPreto"/>
        <w:rPr/>
      </w:pPr>
      <w:r>
        <w:rPr/>
        <w:t>Forma de fornecimento</w:t>
      </w:r>
    </w:p>
    <w:p>
      <w:pPr>
        <w:pStyle w:val="Nivel2"/>
        <w:numPr>
          <w:ilvl w:val="1"/>
          <w:numId w:val="2"/>
        </w:numPr>
        <w:rPr/>
      </w:pPr>
      <w:r>
        <w:rPr>
          <w:rStyle w:val="Normaltextrun"/>
          <w:shd w:fill="FFFFFF" w:val="clear"/>
        </w:rPr>
        <w:t xml:space="preserve">O </w:t>
      </w:r>
      <w:r>
        <w:rPr>
          <w:rStyle w:val="Findhit"/>
          <w:shd w:fill="FFFFFF" w:val="clear"/>
        </w:rPr>
        <w:t xml:space="preserve">fornecimento do </w:t>
      </w:r>
      <w:r>
        <w:rPr>
          <w:rStyle w:val="Findhit"/>
          <w:shd w:fill="FFFFFF" w:val="clear"/>
        </w:rPr>
        <w:t>serviço</w:t>
      </w:r>
      <w:r>
        <w:rPr>
          <w:rStyle w:val="Findhit"/>
          <w:shd w:fill="FFFFFF" w:val="clear"/>
        </w:rPr>
        <w:t xml:space="preserve"> será parcelado e de acordo com as quantidades discriminadas na nota de empenho</w:t>
      </w:r>
      <w:r>
        <w:rPr>
          <w:shd w:fill="FFFFFF" w:val="clear"/>
        </w:rPr>
        <w:t>.</w:t>
      </w:r>
    </w:p>
    <w:p>
      <w:pPr>
        <w:pStyle w:val="Nvel1SemNumPreto"/>
        <w:rPr/>
      </w:pPr>
      <w:r>
        <w:rPr/>
        <w:t>Exigências de habilitação</w:t>
      </w:r>
    </w:p>
    <w:p>
      <w:pPr>
        <w:pStyle w:val="Nivel2"/>
        <w:numPr>
          <w:ilvl w:val="1"/>
          <w:numId w:val="2"/>
        </w:numPr>
        <w:rPr/>
      </w:pPr>
      <w:r>
        <w:rPr/>
        <w:t>Para fins de habilitação, deverá o licitante comprovar os seguintes requisitos:</w:t>
      </w:r>
    </w:p>
    <w:p>
      <w:pPr>
        <w:pStyle w:val="Nvel1SemNumPreto"/>
        <w:rPr/>
      </w:pPr>
      <w:r>
        <w:rPr/>
        <w:t>Habilitação jurídica</w:t>
      </w:r>
    </w:p>
    <w:p>
      <w:pPr>
        <w:pStyle w:val="Nivel2"/>
        <w:numPr>
          <w:ilvl w:val="1"/>
          <w:numId w:val="2"/>
        </w:numPr>
        <w:rPr>
          <w:highlight w:val="yellow"/>
        </w:rPr>
      </w:pPr>
      <w:bookmarkStart w:id="1" w:name="_Ref115800561"/>
      <w:r>
        <w:rPr>
          <w:b/>
          <w:bCs/>
          <w:highlight w:val="yellow"/>
        </w:rPr>
        <w:t>Pessoa física:</w:t>
      </w:r>
      <w:r>
        <w:rPr>
          <w:highlight w:val="yellow"/>
        </w:rPr>
        <w:t xml:space="preserve"> cédula de identidade (RG) ou documento equivalente que, por força de lei, tenha validade para fins de identificação em todo o território nacional;</w:t>
      </w:r>
      <w:bookmarkEnd w:id="1"/>
    </w:p>
    <w:p>
      <w:pPr>
        <w:pStyle w:val="Nivel2"/>
        <w:numPr>
          <w:ilvl w:val="1"/>
          <w:numId w:val="2"/>
        </w:numPr>
        <w:rPr>
          <w:highlight w:val="yellow"/>
        </w:rPr>
      </w:pPr>
      <w:r>
        <w:rPr>
          <w:b/>
          <w:bCs/>
          <w:highlight w:val="yellow"/>
        </w:rPr>
        <w:t>Empresário individual:</w:t>
      </w:r>
      <w:r>
        <w:rPr>
          <w:highlight w:val="yellow"/>
        </w:rPr>
        <w:t xml:space="preserve"> inscrição no Registro Público de Empresas Mercantis, a cargo da Junta Comercial da respectiva sede; </w:t>
      </w:r>
    </w:p>
    <w:p>
      <w:pPr>
        <w:pStyle w:val="Nivel2"/>
        <w:numPr>
          <w:ilvl w:val="1"/>
          <w:numId w:val="2"/>
        </w:numPr>
        <w:rPr/>
      </w:pPr>
      <w:r>
        <w:rPr>
          <w:b/>
          <w:bCs/>
          <w:highlight w:val="yellow"/>
        </w:rPr>
        <w:t>Microempreendedor Individual - MEI:</w:t>
      </w:r>
      <w:r>
        <w:rPr>
          <w:highlight w:val="yellow"/>
        </w:rPr>
        <w:t xml:space="preserve"> Certificado da Condição de Microempreendedor Individual - CCMEI, cuja aceitação ficará condicionada à verificação da autenticidade no sítio </w:t>
      </w:r>
      <w:hyperlink r:id="rId7">
        <w:r>
          <w:rPr>
            <w:rStyle w:val="LinkdaInternet"/>
            <w:highlight w:val="yellow"/>
          </w:rPr>
          <w:t>https://www.gov.br/empresas-e-negocios/pt-br/empreendedor</w:t>
        </w:r>
      </w:hyperlink>
      <w:r>
        <w:rPr>
          <w:highlight w:val="yellow"/>
        </w:rPr>
        <w:t xml:space="preserve">; </w:t>
      </w:r>
    </w:p>
    <w:p>
      <w:pPr>
        <w:pStyle w:val="Nivel2"/>
        <w:numPr>
          <w:ilvl w:val="1"/>
          <w:numId w:val="2"/>
        </w:numPr>
        <w:rPr>
          <w:highlight w:val="yellow"/>
        </w:rPr>
      </w:pPr>
      <w:r>
        <w:rPr>
          <w:highlight w:val="yellow"/>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Nivel2"/>
        <w:numPr>
          <w:ilvl w:val="1"/>
          <w:numId w:val="2"/>
        </w:numPr>
        <w:rPr/>
      </w:pPr>
      <w:r>
        <w:rPr>
          <w:b/>
          <w:bCs/>
          <w:highlight w:val="yellow"/>
        </w:rPr>
        <w:t>Sociedade empresária estrangeira:</w:t>
      </w:r>
      <w:r>
        <w:rPr>
          <w:highlight w:val="yellow"/>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8">
        <w:r>
          <w:rPr>
            <w:rStyle w:val="LinkdaInternet"/>
            <w:highlight w:val="yellow"/>
          </w:rPr>
          <w:t>Normativa DREI/ME n.º 77, de 18 de março de 2020</w:t>
        </w:r>
      </w:hyperlink>
      <w:r>
        <w:rPr>
          <w:highlight w:val="yellow"/>
        </w:rPr>
        <w:t>.</w:t>
      </w:r>
    </w:p>
    <w:p>
      <w:pPr>
        <w:pStyle w:val="Nivel2"/>
        <w:numPr>
          <w:ilvl w:val="1"/>
          <w:numId w:val="2"/>
        </w:numPr>
        <w:rPr>
          <w:highlight w:val="yellow"/>
        </w:rPr>
      </w:pPr>
      <w:r>
        <w:rPr>
          <w:b/>
          <w:bCs/>
          <w:highlight w:val="yellow"/>
        </w:rPr>
        <w:t xml:space="preserve">Sociedade simples: </w:t>
      </w:r>
      <w:r>
        <w:rPr>
          <w:highlight w:val="yellow"/>
        </w:rPr>
        <w:t>inscrição do ato constitutivo no Registro Civil de Pessoas Jurídicas do local de sua sede, acompanhada de documento comprobatório de seus administradores;</w:t>
      </w:r>
    </w:p>
    <w:p>
      <w:pPr>
        <w:pStyle w:val="Nivel2"/>
        <w:numPr>
          <w:ilvl w:val="1"/>
          <w:numId w:val="2"/>
        </w:numPr>
        <w:rPr>
          <w:highlight w:val="yellow"/>
        </w:rPr>
      </w:pPr>
      <w:r>
        <w:rPr>
          <w:b/>
          <w:bCs/>
          <w:highlight w:val="yellow"/>
        </w:rPr>
        <w:t>Filial, sucursal ou agência de sociedade simples ou empresária:</w:t>
      </w:r>
      <w:r>
        <w:rPr>
          <w:highlight w:val="yellow"/>
        </w:rPr>
        <w:t xml:space="preserve"> inscrição do ato constitutivo da filial, sucursal ou agência da sociedade simples ou empresária, respectivamente, no Registro Civil das Pessoas Jurídicas ou no Registro Público de Empresas </w:t>
      </w:r>
      <w:bookmarkStart w:id="2" w:name="_Int_ySfCXwr4"/>
      <w:r>
        <w:rPr>
          <w:highlight w:val="yellow"/>
        </w:rPr>
        <w:t>Mercantis onde</w:t>
      </w:r>
      <w:bookmarkEnd w:id="2"/>
      <w:r>
        <w:rPr>
          <w:highlight w:val="yellow"/>
        </w:rPr>
        <w:t xml:space="preserve"> opera, com averbação no Registro onde tem sede a matriz</w:t>
      </w:r>
    </w:p>
    <w:p>
      <w:pPr>
        <w:pStyle w:val="Nivel2"/>
        <w:numPr>
          <w:ilvl w:val="1"/>
          <w:numId w:val="2"/>
        </w:numPr>
        <w:rPr>
          <w:highlight w:val="yellow"/>
        </w:rPr>
      </w:pPr>
      <w:r>
        <w:rPr>
          <w:highlight w:val="yellow"/>
        </w:rPr>
        <w:t>Os documentos apresentados deverão estar acompanhados de todas as alterações ou da consolidação respectiva.</w:t>
      </w:r>
    </w:p>
    <w:p>
      <w:pPr>
        <w:pStyle w:val="Nvel1SemNumPreto"/>
        <w:rPr/>
      </w:pPr>
      <w:r>
        <w:rPr/>
        <w:t>Habilitação fiscal, social e trabalhista</w:t>
      </w:r>
    </w:p>
    <w:p>
      <w:pPr>
        <w:pStyle w:val="Nivel2"/>
        <w:numPr>
          <w:ilvl w:val="1"/>
          <w:numId w:val="2"/>
        </w:numPr>
        <w:rPr/>
      </w:pPr>
      <w:r>
        <w:rPr/>
        <w:t>Prova de inscrição no Cadastro Nacional de Pessoas Jurídicas ou no Cadastro de Pessoas Físicas, conforme o caso;</w:t>
      </w:r>
    </w:p>
    <w:p>
      <w:pPr>
        <w:pStyle w:val="Nivel2"/>
        <w:numPr>
          <w:ilvl w:val="1"/>
          <w:numId w:val="2"/>
        </w:numPr>
        <w:rPr/>
      </w:pPr>
      <w: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1"/>
          <w:numId w:val="2"/>
        </w:numPr>
        <w:rPr/>
      </w:pPr>
      <w:r>
        <w:rPr/>
        <w:t>Prova de regularidade com o Fundo de Garantia do Tempo de Serviço (FGTS);</w:t>
      </w:r>
    </w:p>
    <w:p>
      <w:pPr>
        <w:pStyle w:val="Nivel2"/>
        <w:numPr>
          <w:ilvl w:val="1"/>
          <w:numId w:val="2"/>
        </w:numPr>
        <w:rPr/>
      </w:pPr>
      <w:r>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ivel2"/>
        <w:numPr>
          <w:ilvl w:val="1"/>
          <w:numId w:val="2"/>
        </w:numPr>
        <w:rPr/>
      </w:pPr>
      <w:r>
        <w:rPr/>
        <w:t xml:space="preserve">Prova de inscrição no cadastro de contribuintes </w:t>
      </w:r>
      <w:r>
        <w:rPr>
          <w:i/>
          <w:iCs/>
          <w:color w:val="auto"/>
        </w:rPr>
        <w:t>Estadual/Distrital</w:t>
      </w:r>
      <w:r>
        <w:rPr>
          <w:color w:val="FF0000"/>
        </w:rPr>
        <w:t xml:space="preserve"> </w:t>
      </w:r>
      <w:r>
        <w:rPr/>
        <w:t xml:space="preserve">relativo ao domicílio ou sede do fornecedor, pertinente ao seu ramo de atividade e compatível com o objeto contratual; </w:t>
      </w:r>
    </w:p>
    <w:p>
      <w:pPr>
        <w:pStyle w:val="Nivel2"/>
        <w:numPr>
          <w:ilvl w:val="1"/>
          <w:numId w:val="2"/>
        </w:numPr>
        <w:rPr/>
      </w:pPr>
      <w:r>
        <w:rPr/>
        <w:t xml:space="preserve">Prova de regularidade com a Fazenda </w:t>
      </w:r>
      <w:r>
        <w:rPr>
          <w:i/>
          <w:iCs/>
          <w:color w:val="auto"/>
        </w:rPr>
        <w:t xml:space="preserve">Estadual/Distrital </w:t>
      </w:r>
      <w:r>
        <w:rPr/>
        <w:t>do domicílio ou sede do fornecedor, relativa à atividade em cujo exercício contrata ou concorre;</w:t>
      </w:r>
    </w:p>
    <w:p>
      <w:pPr>
        <w:pStyle w:val="Nivel2"/>
        <w:numPr>
          <w:ilvl w:val="1"/>
          <w:numId w:val="2"/>
        </w:numPr>
        <w:rPr/>
      </w:pPr>
      <w:r>
        <w:rPr/>
        <w:t xml:space="preserve">Caso o fornecedor seja considerado isento dos tributos </w:t>
      </w:r>
      <w:r>
        <w:rPr>
          <w:i/>
          <w:iCs/>
          <w:color w:val="auto"/>
        </w:rPr>
        <w:t xml:space="preserve">Estadual/Distrital </w:t>
      </w:r>
      <w:r>
        <w:rPr/>
        <w:t>relacionados ao objeto contratual, deverá comprovar tal condição mediante a apresentação de declaração da Fazenda respectiva do seu domicílio ou sede, ou outra equivalente, na forma da lei.</w:t>
      </w:r>
    </w:p>
    <w:p>
      <w:pPr>
        <w:pStyle w:val="Nivel2"/>
        <w:numPr>
          <w:ilvl w:val="1"/>
          <w:numId w:val="2"/>
        </w:numPr>
        <w:rPr/>
      </w:pPr>
      <w:r>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vel1SemNumPreto"/>
        <w:rPr/>
      </w:pPr>
      <w:r>
        <w:rPr/>
        <w:t>Qualificação Econômico-Financeira</w:t>
      </w:r>
    </w:p>
    <w:p>
      <w:pPr>
        <w:pStyle w:val="Nivel2"/>
        <w:numPr>
          <w:ilvl w:val="1"/>
          <w:numId w:val="2"/>
        </w:numPr>
        <w:rPr/>
      </w:pPr>
      <w:r>
        <w:rPr/>
        <w:t>Certidão negativa de insolvência civil expedida pelo distribuidor do domicílio ou sede do licitante, caso se trate de pessoa física, desde que admitida a sua participação na licitação (</w:t>
      </w:r>
      <w:r>
        <w:fldChar w:fldCharType="begin"/>
      </w:r>
      <w:r>
        <w:rPr>
          <w:rStyle w:val="LinkdaInternet"/>
        </w:rPr>
        <w:instrText> HYPERLINK "https://www.gov.br/compras/pt-br/acesso-a-informacao/legislacao/instrucoes-normativas/instrucao-normativa-seges-me-no-116-de-21-de-dezembro-de-2021" \l "art5"</w:instrText>
      </w:r>
      <w:r>
        <w:rPr>
          <w:rStyle w:val="LinkdaInternet"/>
        </w:rPr>
        <w:fldChar w:fldCharType="separate"/>
      </w:r>
      <w:r>
        <w:rPr>
          <w:rStyle w:val="LinkdaInternet"/>
        </w:rPr>
        <w:t>art. 5º, inciso II, alínea “c”, da Instrução Normativa Seges/ME nº 116, de 2021</w:t>
      </w:r>
      <w:r>
        <w:rPr>
          <w:rStyle w:val="LinkdaInternet"/>
        </w:rPr>
        <w:fldChar w:fldCharType="end"/>
      </w:r>
      <w:r>
        <w:rPr/>
        <w:t xml:space="preserve">), ou de sociedade simples; </w:t>
      </w:r>
    </w:p>
    <w:p>
      <w:pPr>
        <w:pStyle w:val="Nivel2"/>
        <w:numPr>
          <w:ilvl w:val="1"/>
          <w:numId w:val="2"/>
        </w:numPr>
        <w:rPr/>
      </w:pPr>
      <w:r>
        <w:rPr/>
        <w:t xml:space="preserve">Certidão negativa de falência expedida pelo distribuidor da sede do fornecedor - </w:t>
      </w:r>
      <w:r>
        <w:fldChar w:fldCharType="begin"/>
      </w:r>
      <w:r>
        <w:rPr>
          <w:rStyle w:val="LinkdaInternet"/>
        </w:rPr>
        <w:instrText> HYPERLINK "http://www.planalto.gov.br/ccivil_03/_ato2019-2022/2021/lei/L14133.htm" \l "art69"</w:instrText>
      </w:r>
      <w:r>
        <w:rPr>
          <w:rStyle w:val="LinkdaInternet"/>
        </w:rPr>
        <w:fldChar w:fldCharType="separate"/>
      </w:r>
      <w:r>
        <w:rPr>
          <w:rStyle w:val="LinkdaInternet"/>
        </w:rPr>
        <w:t>Lei nº 14.133, de 2021, art. 69, caput, inciso II</w:t>
      </w:r>
      <w:r>
        <w:rPr>
          <w:rStyle w:val="LinkdaInternet"/>
        </w:rPr>
        <w:fldChar w:fldCharType="end"/>
      </w:r>
      <w:r>
        <w:rPr/>
        <w:t>);</w:t>
      </w:r>
    </w:p>
    <w:p>
      <w:pPr>
        <w:pStyle w:val="Nivel2"/>
        <w:numPr>
          <w:ilvl w:val="1"/>
          <w:numId w:val="2"/>
        </w:numPr>
        <w:rPr/>
      </w:pPr>
      <w:r>
        <w:rPr/>
        <w:t>Balanço patrimonial, demonstração de resultado de exercício e demais demonstrações contábeis dos 2 (dois) últimos exercícios sociais, comprovando;</w:t>
      </w:r>
    </w:p>
    <w:p>
      <w:pPr>
        <w:pStyle w:val="Nivel3"/>
        <w:numPr>
          <w:ilvl w:val="2"/>
          <w:numId w:val="2"/>
        </w:numPr>
        <w:ind w:left="284" w:hanging="0"/>
        <w:rPr/>
      </w:pPr>
      <w:r>
        <w:rPr/>
        <w:t>índices de Liquidez Geral (LG), Liquidez Corrente (LC), e Solvência Geral (SG) superiores a 1 (um);</w:t>
      </w:r>
    </w:p>
    <w:p>
      <w:pPr>
        <w:pStyle w:val="Nivel3"/>
        <w:numPr>
          <w:ilvl w:val="2"/>
          <w:numId w:val="2"/>
        </w:numPr>
        <w:ind w:left="284" w:hanging="0"/>
        <w:rPr/>
      </w:pPr>
      <w:r>
        <w:rPr/>
        <w:t>As empresas criadas no exercício financeiro da licitação deverão atender a todas as exigências da habilitação e poderão substituir os demonstrativos contábeis pelo balanço de abertura.</w:t>
      </w:r>
    </w:p>
    <w:p>
      <w:pPr>
        <w:pStyle w:val="Nivel3"/>
        <w:numPr>
          <w:ilvl w:val="2"/>
          <w:numId w:val="2"/>
        </w:numPr>
        <w:ind w:left="284" w:hanging="0"/>
        <w:rPr/>
      </w:pPr>
      <w:r>
        <w:rPr/>
        <w:t>Os documentos referidos acima limitar-se-ão ao último exercício no caso de a pessoa jurídica ter sido constituída há menos de 2 (dois) anos;</w:t>
      </w:r>
    </w:p>
    <w:p>
      <w:pPr>
        <w:pStyle w:val="Nivel3"/>
        <w:numPr>
          <w:ilvl w:val="2"/>
          <w:numId w:val="2"/>
        </w:numPr>
        <w:ind w:left="284" w:hanging="0"/>
        <w:rPr/>
      </w:pPr>
      <w:r>
        <w:rPr/>
        <w:t>Os documentos referidos acima deverão ser exigidos com base no limite definido pela Receita Federal do Brasil para transmissão da Escrituração Contábil Digital - ECD ao Sped.</w:t>
      </w:r>
    </w:p>
    <w:p>
      <w:pPr>
        <w:pStyle w:val="Nivel2"/>
        <w:numPr>
          <w:ilvl w:val="1"/>
          <w:numId w:val="2"/>
        </w:numPr>
        <w:rPr/>
      </w:pPr>
      <w:r>
        <w:rPr/>
        <w:t>Caso a empresa licitante apresente resultado inferior ou igual a 1 (um) em qualquer dos índices de Liquidez Geral (LG), Solvência Geral (SG) e Liquidez Corrente (LC), será exigido para fins de habilitação patrimônio líquido mínimo de 1% do valor total estimado da contratação.</w:t>
      </w:r>
    </w:p>
    <w:p>
      <w:pPr>
        <w:pStyle w:val="Nivel2"/>
        <w:numPr>
          <w:ilvl w:val="1"/>
          <w:numId w:val="2"/>
        </w:numPr>
        <w:rPr/>
      </w:pPr>
      <w:r>
        <w:rPr/>
        <w:t>As empresas criadas no exercício financeiro da licitação deverão atender a todas as exigências da habilitação e poderão substituir os demonstrativos contábeis pelo balanço de abertura. (Lei nº 14.133, de 2021, art. 65, §1º).</w:t>
      </w:r>
    </w:p>
    <w:p>
      <w:pPr>
        <w:pStyle w:val="Nvel2Red"/>
        <w:numPr>
          <w:ilvl w:val="1"/>
          <w:numId w:val="2"/>
        </w:numPr>
        <w:rPr>
          <w:color w:val="000000"/>
        </w:rPr>
      </w:pPr>
      <w:r>
        <w:rPr>
          <w:color w:val="000000"/>
        </w:rPr>
        <w:t>O atendimento dos índices econômicos previstos neste item deverá ser atestado mediante declaração assinada por profissional habilitado da área contábil, apresentada pelo fornecedor.</w:t>
      </w:r>
    </w:p>
    <w:p>
      <w:pPr>
        <w:pStyle w:val="Nvel1SemNumPreto"/>
        <w:rPr>
          <w:color w:val="000000"/>
        </w:rPr>
      </w:pPr>
      <w:r>
        <w:rPr>
          <w:color w:val="000000"/>
        </w:rPr>
        <w:t>Qualificação Técnica</w:t>
      </w:r>
    </w:p>
    <w:p>
      <w:pPr>
        <w:pStyle w:val="Nvel2Red"/>
        <w:numPr>
          <w:ilvl w:val="1"/>
          <w:numId w:val="2"/>
        </w:numPr>
        <w:rPr>
          <w:color w:val="000000"/>
        </w:rPr>
      </w:pPr>
      <w:r>
        <w:rPr>
          <w:color w:val="000000"/>
          <w:lang w:eastAsia="zh-CN" w:bidi="hi-IN"/>
        </w:rPr>
        <w:t>Registro ou inscrição da empresa na entidade profissional, se for o caso da empresa, em plena validade;</w:t>
      </w:r>
    </w:p>
    <w:p>
      <w:pPr>
        <w:pStyle w:val="Nvel2Red"/>
        <w:numPr>
          <w:ilvl w:val="1"/>
          <w:numId w:val="2"/>
        </w:numPr>
        <w:rPr>
          <w:color w:val="000000"/>
        </w:rPr>
      </w:pPr>
      <w:r>
        <w:rPr>
          <w:color w:val="000000"/>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pPr>
        <w:pStyle w:val="Nvel3R"/>
        <w:numPr>
          <w:ilvl w:val="2"/>
          <w:numId w:val="2"/>
        </w:numPr>
        <w:ind w:left="284" w:hanging="0"/>
        <w:rPr>
          <w:color w:val="000000"/>
        </w:rPr>
      </w:pPr>
      <w:r>
        <w:rPr>
          <w:color w:val="000000"/>
        </w:rPr>
        <w:t xml:space="preserve">Para fins da comprovação de que trata este subitem, os atestados deverão dizer respeito a contratos executados com as seguintes características mínimas: </w:t>
      </w:r>
    </w:p>
    <w:p>
      <w:pPr>
        <w:pStyle w:val="Nvel4R"/>
        <w:numPr>
          <w:ilvl w:val="3"/>
          <w:numId w:val="2"/>
        </w:numPr>
        <w:ind w:left="567" w:hanging="0"/>
        <w:rPr/>
      </w:pPr>
      <w:r>
        <w:rPr>
          <w:color w:val="000000"/>
        </w:rPr>
        <w:t xml:space="preserve">Que tenha fornecido pelo menos um dos modelos de </w:t>
      </w:r>
      <w:r>
        <w:rPr>
          <w:color w:val="000000"/>
        </w:rPr>
        <w:t>serviços</w:t>
      </w:r>
      <w:r>
        <w:rPr>
          <w:color w:val="000000"/>
        </w:rPr>
        <w:t xml:space="preserve"> constantes do item que estiver participando no </w:t>
      </w:r>
      <w:r>
        <w:rPr>
          <w:color w:val="000000"/>
        </w:rPr>
        <w:t>processo</w:t>
      </w:r>
      <w:r>
        <w:rPr>
          <w:color w:val="000000"/>
        </w:rPr>
        <w:t>;</w:t>
      </w:r>
    </w:p>
    <w:p>
      <w:pPr>
        <w:pStyle w:val="Nvel4R"/>
        <w:numPr>
          <w:ilvl w:val="3"/>
          <w:numId w:val="2"/>
        </w:numPr>
        <w:ind w:left="567" w:hanging="0"/>
        <w:rPr>
          <w:color w:val="000000"/>
        </w:rPr>
      </w:pPr>
      <w:r>
        <w:rPr>
          <w:color w:val="000000"/>
        </w:rPr>
        <w:t xml:space="preserve">Que apresente a capacitação técnica voltada para os tipos de materiais licitados. </w:t>
      </w:r>
    </w:p>
    <w:p>
      <w:pPr>
        <w:pStyle w:val="Nvel3R"/>
        <w:numPr>
          <w:ilvl w:val="2"/>
          <w:numId w:val="2"/>
        </w:numPr>
        <w:ind w:left="284" w:hanging="0"/>
        <w:rPr>
          <w:color w:val="000000"/>
        </w:rPr>
      </w:pPr>
      <w:r>
        <w:rPr>
          <w:color w:val="000000"/>
        </w:rPr>
        <w:t>Será admitida, para fins de comprovação de quantitativo mínimo, a apresentação e o somatório de diferentes atestados executados de forma concomitante.</w:t>
      </w:r>
    </w:p>
    <w:p>
      <w:pPr>
        <w:pStyle w:val="Nvel3R"/>
        <w:numPr>
          <w:ilvl w:val="2"/>
          <w:numId w:val="2"/>
        </w:numPr>
        <w:ind w:left="284" w:hanging="0"/>
        <w:rPr>
          <w:color w:val="000000"/>
        </w:rPr>
      </w:pPr>
      <w:r>
        <w:rPr>
          <w:color w:val="000000"/>
        </w:rPr>
        <w:t>Os atestados de capacidade técnica poderão ser apresentados em nome da matriz ou da filial do fornecedor.</w:t>
      </w:r>
    </w:p>
    <w:p>
      <w:pPr>
        <w:pStyle w:val="Nvel3R"/>
        <w:numPr>
          <w:ilvl w:val="2"/>
          <w:numId w:val="2"/>
        </w:numPr>
        <w:ind w:left="284" w:hanging="0"/>
        <w:rPr>
          <w:color w:val="000000"/>
        </w:rPr>
      </w:pPr>
      <w:r>
        <w:rPr>
          <w:color w:val="00000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pPr>
        <w:pStyle w:val="Nivel2"/>
        <w:numPr>
          <w:ilvl w:val="1"/>
          <w:numId w:val="2"/>
        </w:numPr>
        <w:rPr/>
      </w:pPr>
      <w:r>
        <w:rPr/>
        <w:t>Caso admitida a participação de cooperativas, será exigida a seguinte documentação complementar:</w:t>
      </w:r>
    </w:p>
    <w:p>
      <w:pPr>
        <w:pStyle w:val="Nivel3"/>
        <w:numPr>
          <w:ilvl w:val="2"/>
          <w:numId w:val="2"/>
        </w:numPr>
        <w:ind w:left="284" w:hanging="0"/>
        <w:rPr/>
      </w:pPr>
      <w:r>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fldChar w:fldCharType="begin"/>
      </w:r>
      <w:r>
        <w:rPr>
          <w:rStyle w:val="LinkdaInternet"/>
        </w:rPr>
        <w:instrText> HYPERLINK "https://www.planalto.gov.br/ccivil_03/leis/l5764.htm" \l "art4"</w:instrText>
      </w:r>
      <w:r>
        <w:rPr>
          <w:rStyle w:val="LinkdaInternet"/>
        </w:rPr>
        <w:fldChar w:fldCharType="separate"/>
      </w:r>
      <w:r>
        <w:rPr>
          <w:rStyle w:val="LinkdaInternet"/>
          <w:color w:val="000000"/>
        </w:rPr>
        <w:t>arts. 4º, inciso XI, 21, inciso I</w:t>
      </w:r>
      <w:r>
        <w:rPr>
          <w:rStyle w:val="LinkdaInternet"/>
        </w:rPr>
        <w:fldChar w:fldCharType="end"/>
      </w:r>
      <w:r>
        <w:rPr/>
        <w:t xml:space="preserve"> e </w:t>
      </w:r>
      <w:r>
        <w:fldChar w:fldCharType="begin"/>
      </w:r>
      <w:r>
        <w:rPr>
          <w:rStyle w:val="LinkdaInternet"/>
        </w:rPr>
        <w:instrText> HYPERLINK "https://www.planalto.gov.br/ccivil_03/leis/l5764.htm" \l "art42"</w:instrText>
      </w:r>
      <w:r>
        <w:rPr>
          <w:rStyle w:val="LinkdaInternet"/>
        </w:rPr>
        <w:fldChar w:fldCharType="separate"/>
      </w:r>
      <w:r>
        <w:rPr>
          <w:rStyle w:val="LinkdaInternet"/>
          <w:color w:val="000000"/>
        </w:rPr>
        <w:t>42, §§2º a 6º da Lei n. 5.764, de 1971</w:t>
      </w:r>
      <w:r>
        <w:rPr>
          <w:rStyle w:val="LinkdaInternet"/>
        </w:rPr>
        <w:fldChar w:fldCharType="end"/>
      </w:r>
      <w:r>
        <w:rPr/>
        <w:t>;</w:t>
      </w:r>
    </w:p>
    <w:p>
      <w:pPr>
        <w:pStyle w:val="Nivel3"/>
        <w:numPr>
          <w:ilvl w:val="2"/>
          <w:numId w:val="2"/>
        </w:numPr>
        <w:ind w:left="284" w:hanging="0"/>
        <w:rPr/>
      </w:pPr>
      <w:r>
        <w:rPr/>
        <w:t>A declaração de regularidade de situação do contribuinte individual – DRSCI, para cada um dos cooperados indicados;</w:t>
      </w:r>
    </w:p>
    <w:p>
      <w:pPr>
        <w:pStyle w:val="Nivel3"/>
        <w:numPr>
          <w:ilvl w:val="2"/>
          <w:numId w:val="2"/>
        </w:numPr>
        <w:ind w:left="284" w:hanging="0"/>
        <w:rPr/>
      </w:pPr>
      <w:r>
        <w:rPr/>
        <w:t xml:space="preserve">A comprovação do capital social proporcional ao número de cooperados necessários à execução contratual; </w:t>
      </w:r>
    </w:p>
    <w:p>
      <w:pPr>
        <w:pStyle w:val="Nivel3"/>
        <w:numPr>
          <w:ilvl w:val="2"/>
          <w:numId w:val="2"/>
        </w:numPr>
        <w:ind w:left="284" w:hanging="0"/>
        <w:rPr/>
      </w:pPr>
      <w:r>
        <w:rPr/>
        <w:t xml:space="preserve">O registro previsto na </w:t>
      </w:r>
      <w:r>
        <w:fldChar w:fldCharType="begin"/>
      </w:r>
      <w:r>
        <w:rPr>
          <w:rStyle w:val="LinkdaInternet"/>
        </w:rPr>
        <w:instrText> HYPERLINK "https://www.planalto.gov.br/ccivil_03/leis/l5764.htm" \l "art107"</w:instrText>
      </w:r>
      <w:r>
        <w:rPr>
          <w:rStyle w:val="LinkdaInternet"/>
        </w:rPr>
        <w:fldChar w:fldCharType="separate"/>
      </w:r>
      <w:r>
        <w:rPr>
          <w:rStyle w:val="LinkdaInternet"/>
          <w:color w:val="000000"/>
        </w:rPr>
        <w:t>Lei n. 5.764, de 1971, art. 107</w:t>
      </w:r>
      <w:r>
        <w:rPr>
          <w:rStyle w:val="LinkdaInternet"/>
        </w:rPr>
        <w:fldChar w:fldCharType="end"/>
      </w:r>
      <w:r>
        <w:rPr/>
        <w:t>;</w:t>
      </w:r>
    </w:p>
    <w:p>
      <w:pPr>
        <w:pStyle w:val="Nivel3"/>
        <w:numPr>
          <w:ilvl w:val="2"/>
          <w:numId w:val="2"/>
        </w:numPr>
        <w:ind w:left="284" w:hanging="0"/>
        <w:rPr/>
      </w:pPr>
      <w:r>
        <w:rPr/>
        <w:t xml:space="preserve"> </w:t>
      </w:r>
      <w:r>
        <w:rPr/>
        <w:t>A comprovação de integração das respectivas quotas-partes por parte dos cooperados que executarão o contrato; e</w:t>
      </w:r>
    </w:p>
    <w:p>
      <w:pPr>
        <w:pStyle w:val="Nivel3"/>
        <w:numPr>
          <w:ilvl w:val="2"/>
          <w:numId w:val="2"/>
        </w:numPr>
        <w:ind w:left="284" w:hanging="0"/>
        <w:rPr/>
      </w:pPr>
      <w:r>
        <w:rPr/>
        <w:t xml:space="preserve"> </w:t>
      </w:r>
      <w:r>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pPr>
        <w:pStyle w:val="Nivel3"/>
        <w:numPr>
          <w:ilvl w:val="2"/>
          <w:numId w:val="2"/>
        </w:numPr>
        <w:ind w:left="284" w:hanging="0"/>
        <w:rPr/>
      </w:pPr>
      <w:r>
        <w:rPr/>
        <w:t xml:space="preserve">A última auditoria contábil-financeira da cooperativa, conforme dispõe o </w:t>
      </w:r>
      <w:r>
        <w:fldChar w:fldCharType="begin"/>
      </w:r>
      <w:r>
        <w:rPr>
          <w:rStyle w:val="LinkdaInternet"/>
        </w:rPr>
        <w:instrText> HYPERLINK "https://www.planalto.gov.br/ccivil_03/leis/l5764.htm" \l "art112"</w:instrText>
      </w:r>
      <w:r>
        <w:rPr>
          <w:rStyle w:val="LinkdaInternet"/>
        </w:rPr>
        <w:fldChar w:fldCharType="separate"/>
      </w:r>
      <w:r>
        <w:rPr>
          <w:rStyle w:val="LinkdaInternet"/>
          <w:color w:val="000000"/>
        </w:rPr>
        <w:t>art. 112 da Lei n. 5.764, de 1971</w:t>
      </w:r>
      <w:r>
        <w:rPr>
          <w:rStyle w:val="LinkdaInternet"/>
        </w:rPr>
        <w:fldChar w:fldCharType="end"/>
      </w:r>
      <w:r>
        <w:rPr/>
        <w:t>, ou uma declaração, sob as penas da lei, de que tal auditoria não foi exigida pelo órgão fiscalizador.</w:t>
      </w:r>
    </w:p>
    <w:p>
      <w:pPr>
        <w:pStyle w:val="Nivel01"/>
        <w:numPr>
          <w:ilvl w:val="0"/>
          <w:numId w:val="1"/>
        </w:numPr>
        <w:ind w:left="0" w:hanging="0"/>
        <w:rPr/>
      </w:pPr>
      <w:r>
        <w:rPr/>
        <w:t>ESTIMATIVAS DO VALOR DA CONTRATAÇÃO</w:t>
      </w:r>
    </w:p>
    <w:p>
      <w:pPr>
        <w:pStyle w:val="Nvel2Red"/>
        <w:numPr>
          <w:ilvl w:val="1"/>
          <w:numId w:val="2"/>
        </w:numPr>
        <w:rPr/>
      </w:pPr>
      <w:r>
        <w:rPr>
          <w:color w:val="auto"/>
        </w:rPr>
        <w:t xml:space="preserve">O custo estimado total da contratação é de </w:t>
      </w:r>
      <w:r>
        <w:rPr>
          <w:rFonts w:eastAsia="Times New Roman"/>
          <w:b w:val="false"/>
          <w:bCs w:val="false"/>
          <w:color w:val="000000"/>
          <w:sz w:val="22"/>
          <w:szCs w:val="22"/>
        </w:rPr>
        <w:t xml:space="preserve">R$ </w:t>
      </w:r>
      <w:r>
        <w:rPr>
          <w:rFonts w:eastAsia="Times New Roman"/>
          <w:b w:val="false"/>
          <w:bCs w:val="false"/>
          <w:color w:val="000000"/>
          <w:sz w:val="22"/>
          <w:szCs w:val="22"/>
        </w:rPr>
        <w:t>7.400,00 (Sete mil e quatrocentos reais)</w:t>
      </w:r>
      <w:r>
        <w:rPr>
          <w:color w:val="auto"/>
        </w:rPr>
        <w:t>, conforme custos unitários apostos na tabela constante dos itens no início desse TR.</w:t>
      </w:r>
    </w:p>
    <w:p>
      <w:pPr>
        <w:pStyle w:val="Nvel3R"/>
        <w:numPr>
          <w:ilvl w:val="2"/>
          <w:numId w:val="2"/>
        </w:numPr>
        <w:ind w:left="284" w:hanging="0"/>
        <w:rPr/>
      </w:pPr>
      <w:r>
        <w:rPr>
          <w:color w:val="000000"/>
        </w:rPr>
        <w:t>Em caso de força maior, caso fortuito ou fato do príncipe ou em decorrência de fatos imprevisíveis ou previsíveis de consequências incalculáveis, que inviabilizem a execução da ata tal como pactuada, nos termos do disposto na a</w:t>
      </w:r>
      <w:r>
        <w:fldChar w:fldCharType="begin"/>
      </w:r>
      <w:r>
        <w:rPr>
          <w:rStyle w:val="LinkdaInternet"/>
          <w:rFonts w:eastAsia="Arial"/>
        </w:rPr>
        <w:instrText> HYPERLINK "http://www.planalto.gov.br/ccivil_03/_Ato2019-2022/2021/Lei/L14133.htm" \l "art124iid"</w:instrText>
      </w:r>
      <w:r>
        <w:rPr>
          <w:rStyle w:val="LinkdaInternet"/>
          <w:rFonts w:eastAsia="Arial"/>
        </w:rPr>
        <w:fldChar w:fldCharType="separate"/>
      </w:r>
      <w:r>
        <w:rPr>
          <w:rStyle w:val="LinkdaInternet"/>
          <w:rFonts w:eastAsia="Arial"/>
          <w:color w:val="000000"/>
        </w:rPr>
        <w:t>línea “d” do inciso II do capu</w:t>
      </w:r>
      <w:r>
        <w:rPr>
          <w:rStyle w:val="LinkdaInternet"/>
          <w:rFonts w:eastAsia="Arial"/>
        </w:rPr>
        <w:fldChar w:fldCharType="end"/>
      </w:r>
      <w:r>
        <w:rPr>
          <w:rStyle w:val="LinkdaInternet"/>
          <w:rFonts w:eastAsia="Arial"/>
          <w:color w:val="000000"/>
        </w:rPr>
        <w:t>t do art. 124 da Lei nº 14.133, de 2021;</w:t>
      </w:r>
    </w:p>
    <w:p>
      <w:pPr>
        <w:pStyle w:val="Nvel3R"/>
        <w:numPr>
          <w:ilvl w:val="2"/>
          <w:numId w:val="2"/>
        </w:numPr>
        <w:ind w:left="284" w:hanging="0"/>
        <w:rPr>
          <w:color w:val="000000"/>
        </w:rPr>
      </w:pPr>
      <w:r>
        <w:rPr>
          <w:color w:val="000000"/>
        </w:rPr>
        <w:t>Em caso de criação, alteração ou extinção de quaisquer tributos ou encargos legais ou superveniência de disposições legais, com comprovada repercussão sobre os preços registrados;</w:t>
      </w:r>
    </w:p>
    <w:p>
      <w:pPr>
        <w:pStyle w:val="Nvel3R"/>
        <w:numPr>
          <w:ilvl w:val="2"/>
          <w:numId w:val="2"/>
        </w:numPr>
        <w:ind w:left="284" w:hanging="0"/>
        <w:rPr>
          <w:color w:val="000000"/>
        </w:rPr>
      </w:pPr>
      <w:r>
        <w:rPr>
          <w:color w:val="000000"/>
        </w:rPr>
        <w:t>Serão reajustados os preços registrados, respeitada a contagem da anualidade e o índice previsto para a contratação; ou</w:t>
      </w:r>
    </w:p>
    <w:p>
      <w:pPr>
        <w:pStyle w:val="Nvel3R"/>
        <w:numPr>
          <w:ilvl w:val="2"/>
          <w:numId w:val="2"/>
        </w:numPr>
        <w:ind w:left="284" w:hanging="0"/>
        <w:rPr>
          <w:color w:val="000000"/>
        </w:rPr>
      </w:pPr>
      <w:r>
        <w:rPr>
          <w:color w:val="000000"/>
        </w:rPr>
        <w:t>Poderão ser repactuados, a pedido do interessado, conforme critérios definidos para a contratação.</w:t>
      </w:r>
    </w:p>
    <w:p>
      <w:pPr>
        <w:pStyle w:val="Nivel01"/>
        <w:numPr>
          <w:ilvl w:val="0"/>
          <w:numId w:val="1"/>
        </w:numPr>
        <w:ind w:left="0" w:hanging="0"/>
        <w:rPr>
          <w:color w:val="000000"/>
        </w:rPr>
      </w:pPr>
      <w:r>
        <w:rPr>
          <w:color w:val="000000"/>
        </w:rPr>
        <w:t>ADEQUAÇÃO ORÇAMENTÁRIA</w:t>
      </w:r>
    </w:p>
    <w:p>
      <w:pPr>
        <w:pStyle w:val="Nivel2"/>
        <w:numPr>
          <w:ilvl w:val="1"/>
          <w:numId w:val="2"/>
        </w:numPr>
        <w:rPr/>
      </w:pPr>
      <w:r>
        <w:rPr/>
        <w:t>As despesas decorrentes da presente contratação correrão à conta de recursos específicos consignados no Orçamento Geral da União.</w:t>
      </w:r>
    </w:p>
    <w:p>
      <w:pPr>
        <w:pStyle w:val="Nvel2Red"/>
        <w:numPr>
          <w:ilvl w:val="1"/>
          <w:numId w:val="2"/>
        </w:numPr>
        <w:rPr>
          <w:color w:val="000000"/>
        </w:rPr>
      </w:pPr>
      <w:r>
        <w:rPr>
          <w:color w:val="000000"/>
        </w:rPr>
        <w:t>A dotação relativa aos exercícios financeiros subsequentes será indicada após aprovação da Lei Orçamentária respectiva e liberação dos créditos correspondentes, mediante apostilamento.</w:t>
      </w:r>
    </w:p>
    <w:p>
      <w:pPr>
        <w:pStyle w:val="Nivel2"/>
        <w:rPr/>
      </w:pPr>
      <w:r>
        <w:rPr/>
      </w:r>
    </w:p>
    <w:p>
      <w:pPr>
        <w:pStyle w:val="Nivel2"/>
        <w:ind w:left="357" w:hanging="0"/>
        <w:jc w:val="center"/>
        <w:rPr/>
      </w:pPr>
      <w:r>
        <w:rPr/>
        <w:t xml:space="preserve">Juiz de Fora/MG, </w:t>
      </w:r>
      <w:r>
        <w:rPr/>
        <w:t>05</w:t>
      </w:r>
      <w:r>
        <w:rPr/>
        <w:t xml:space="preserve"> de ju</w:t>
      </w:r>
      <w:r>
        <w:rPr/>
        <w:t>l</w:t>
      </w:r>
      <w:r>
        <w:rPr/>
        <w:t>ho de 2023.</w:t>
      </w:r>
    </w:p>
    <w:p>
      <w:pPr>
        <w:pStyle w:val="Normal"/>
        <w:spacing w:lineRule="auto" w:line="312" w:before="120" w:after="288"/>
        <w:jc w:val="center"/>
        <w:rPr>
          <w:color w:val="FF0000"/>
          <w:szCs w:val="20"/>
        </w:rPr>
      </w:pPr>
      <w:r>
        <w:rPr>
          <w:color w:val="FF0000"/>
          <w:szCs w:val="20"/>
        </w:rPr>
      </w:r>
    </w:p>
    <w:p>
      <w:pPr>
        <w:pStyle w:val="Normal"/>
        <w:spacing w:lineRule="auto" w:line="312" w:before="120" w:after="288"/>
        <w:jc w:val="center"/>
        <w:rPr>
          <w:color w:val="FF0000"/>
          <w:szCs w:val="20"/>
        </w:rPr>
      </w:pPr>
      <w:r>
        <w:rPr>
          <w:color w:val="FF0000"/>
          <w:szCs w:val="20"/>
        </w:rPr>
      </w:r>
    </w:p>
    <w:p>
      <w:pPr>
        <w:pStyle w:val="Normal"/>
        <w:spacing w:before="138" w:after="0"/>
        <w:ind w:left="-113" w:right="0" w:hanging="0"/>
        <w:contextualSpacing/>
        <w:jc w:val="center"/>
        <w:rPr>
          <w:rFonts w:ascii="Arial" w:hAnsi="Arial"/>
          <w:b/>
          <w:b/>
          <w:bCs/>
          <w:color w:val="000000"/>
          <w:sz w:val="20"/>
          <w:szCs w:val="20"/>
        </w:rPr>
      </w:pPr>
      <w:r>
        <w:rPr>
          <w:rFonts w:ascii="Arial" w:hAnsi="Arial"/>
          <w:b/>
          <w:bCs/>
          <w:color w:val="000000"/>
          <w:sz w:val="20"/>
          <w:szCs w:val="20"/>
        </w:rPr>
        <w:t>JOIL ESTEVES GUEDES – 2º Ten</w:t>
      </w:r>
    </w:p>
    <w:p>
      <w:pPr>
        <w:pStyle w:val="Normal"/>
        <w:spacing w:before="138" w:after="0"/>
        <w:ind w:left="-113" w:right="0" w:hanging="0"/>
        <w:contextualSpacing/>
        <w:jc w:val="center"/>
        <w:rPr>
          <w:rFonts w:ascii="Arial" w:hAnsi="Arial"/>
          <w:b w:val="false"/>
          <w:b w:val="false"/>
          <w:bCs w:val="false"/>
          <w:color w:val="000000"/>
          <w:sz w:val="20"/>
          <w:szCs w:val="20"/>
        </w:rPr>
      </w:pPr>
      <w:r>
        <w:rPr>
          <w:rFonts w:cs="Arial" w:ascii="Arial" w:hAnsi="Arial"/>
          <w:b w:val="false"/>
          <w:bCs w:val="false"/>
          <w:color w:val="000000"/>
          <w:sz w:val="20"/>
          <w:szCs w:val="20"/>
        </w:rPr>
        <w:t>Chefe do Centro de Formação de Condutores</w:t>
      </w:r>
    </w:p>
    <w:p>
      <w:pPr>
        <w:pStyle w:val="Normal"/>
        <w:spacing w:before="195" w:after="75"/>
        <w:ind w:left="360" w:hanging="0"/>
        <w:contextualSpacing/>
        <w:rPr>
          <w:szCs w:val="20"/>
        </w:rPr>
      </w:pPr>
      <w:r>
        <w:rPr>
          <w:szCs w:val="20"/>
        </w:rPr>
      </w:r>
    </w:p>
    <w:p>
      <w:pPr>
        <w:pStyle w:val="Normal"/>
        <w:spacing w:lineRule="auto" w:line="312"/>
        <w:jc w:val="center"/>
        <w:rPr>
          <w:rFonts w:ascii="Arial" w:hAnsi="Arial" w:eastAsia="Arial" w:cs="Arial"/>
          <w:sz w:val="20"/>
          <w:szCs w:val="20"/>
        </w:rPr>
      </w:pPr>
      <w:r>
        <w:rPr>
          <w:rFonts w:eastAsia="Arial" w:cs="Arial" w:ascii="Arial" w:hAnsi="Arial"/>
          <w:sz w:val="20"/>
          <w:szCs w:val="20"/>
        </w:rPr>
      </w:r>
    </w:p>
    <w:p>
      <w:pPr>
        <w:pStyle w:val="Normal"/>
        <w:spacing w:lineRule="auto" w:line="312"/>
        <w:rPr>
          <w:rFonts w:ascii="Arial" w:hAnsi="Arial" w:eastAsia="Arial" w:cs="Arial"/>
          <w:sz w:val="20"/>
          <w:szCs w:val="20"/>
        </w:rPr>
      </w:pPr>
      <w:r>
        <w:rPr>
          <w:rFonts w:eastAsia="Arial" w:cs="Arial" w:ascii="Arial" w:hAnsi="Arial"/>
          <w:sz w:val="20"/>
          <w:szCs w:val="20"/>
        </w:rPr>
        <w:t>Aprovo o presente Termo de Referência:</w:t>
      </w:r>
    </w:p>
    <w:p>
      <w:pPr>
        <w:pStyle w:val="Normal"/>
        <w:spacing w:lineRule="auto" w:line="312"/>
        <w:rPr>
          <w:rFonts w:ascii="Arial" w:hAnsi="Arial" w:eastAsia="Arial" w:cs="Arial"/>
          <w:sz w:val="20"/>
          <w:szCs w:val="20"/>
        </w:rPr>
      </w:pPr>
      <w:r>
        <w:rPr>
          <w:rFonts w:eastAsia="Arial" w:cs="Arial" w:ascii="Arial" w:hAnsi="Arial"/>
          <w:sz w:val="20"/>
          <w:szCs w:val="20"/>
        </w:rPr>
      </w:r>
    </w:p>
    <w:p>
      <w:pPr>
        <w:pStyle w:val="Normal"/>
        <w:spacing w:lineRule="auto" w:line="312"/>
        <w:rPr>
          <w:rFonts w:ascii="Arial" w:hAnsi="Arial" w:eastAsia="Arial" w:cs="Arial"/>
          <w:sz w:val="20"/>
          <w:szCs w:val="20"/>
        </w:rPr>
      </w:pPr>
      <w:r>
        <w:rPr>
          <w:rFonts w:eastAsia="Arial" w:cs="Arial" w:ascii="Arial" w:hAnsi="Arial"/>
          <w:sz w:val="20"/>
          <w:szCs w:val="20"/>
        </w:rPr>
      </w:r>
    </w:p>
    <w:p>
      <w:pPr>
        <w:pStyle w:val="Normal"/>
        <w:spacing w:lineRule="auto" w:line="312"/>
        <w:rPr>
          <w:rFonts w:ascii="Arial" w:hAnsi="Arial" w:eastAsia="Arial" w:cs="Arial"/>
          <w:sz w:val="20"/>
          <w:szCs w:val="20"/>
        </w:rPr>
      </w:pPr>
      <w:r>
        <w:rPr>
          <w:rFonts w:eastAsia="Arial" w:cs="Arial" w:ascii="Arial" w:hAnsi="Arial"/>
          <w:sz w:val="20"/>
          <w:szCs w:val="20"/>
        </w:rPr>
      </w:r>
    </w:p>
    <w:p>
      <w:pPr>
        <w:pStyle w:val="Normal"/>
        <w:spacing w:lineRule="auto" w:line="312"/>
        <w:rPr/>
      </w:pPr>
      <w:r>
        <w:rPr/>
      </w:r>
    </w:p>
    <w:p>
      <w:pPr>
        <w:pStyle w:val="Normal"/>
        <w:spacing w:before="138" w:after="0"/>
        <w:ind w:left="-113" w:right="0" w:hanging="0"/>
        <w:contextualSpacing/>
        <w:jc w:val="center"/>
        <w:rPr>
          <w:rFonts w:ascii="Arial" w:hAnsi="Arial"/>
          <w:b/>
          <w:b/>
          <w:bCs/>
          <w:sz w:val="20"/>
          <w:szCs w:val="20"/>
        </w:rPr>
      </w:pPr>
      <w:r>
        <w:rPr>
          <w:rFonts w:ascii="Arial" w:hAnsi="Arial"/>
          <w:b/>
          <w:bCs/>
          <w:sz w:val="20"/>
          <w:szCs w:val="20"/>
        </w:rPr>
        <w:t>GUILHERME MARZULLO DE CARVALHO – Ten Cel</w:t>
      </w:r>
    </w:p>
    <w:p>
      <w:pPr>
        <w:pStyle w:val="Normal"/>
        <w:spacing w:before="138" w:after="0"/>
        <w:ind w:left="-113" w:right="0" w:hanging="0"/>
        <w:contextualSpacing/>
        <w:jc w:val="center"/>
        <w:rPr>
          <w:rFonts w:ascii="Arial" w:hAnsi="Arial"/>
          <w:b w:val="false"/>
          <w:b w:val="false"/>
          <w:bCs w:val="false"/>
          <w:sz w:val="20"/>
          <w:szCs w:val="20"/>
        </w:rPr>
      </w:pPr>
      <w:r>
        <w:rPr>
          <w:rFonts w:cs="Arial" w:ascii="Arial" w:hAnsi="Arial"/>
          <w:b w:val="false"/>
          <w:bCs w:val="false"/>
          <w:sz w:val="20"/>
          <w:szCs w:val="20"/>
        </w:rPr>
        <w:t>Respondendo pelo Ordenador de Despesas do 17º B Log L Mth</w:t>
      </w:r>
    </w:p>
    <w:p>
      <w:pPr>
        <w:pStyle w:val="Normal"/>
        <w:spacing w:lineRule="auto" w:line="312" w:before="120" w:after="288"/>
        <w:jc w:val="center"/>
        <w:rPr>
          <w:rFonts w:ascii="Arial" w:hAnsi="Arial" w:eastAsia="Arial" w:cs="Arial"/>
          <w:sz w:val="20"/>
          <w:szCs w:val="20"/>
        </w:rPr>
      </w:pPr>
      <w:r>
        <w:rPr>
          <w:rFonts w:eastAsia="Arial" w:cs="Arial" w:ascii="Arial" w:hAnsi="Arial"/>
          <w:sz w:val="20"/>
          <w:szCs w:val="20"/>
        </w:rPr>
      </w:r>
    </w:p>
    <w:p>
      <w:pPr>
        <w:pStyle w:val="Normal"/>
        <w:spacing w:lineRule="auto" w:line="312" w:before="120" w:after="288"/>
        <w:ind w:left="360" w:hanging="0"/>
        <w:jc w:val="center"/>
        <w:rPr/>
      </w:pPr>
      <w:r>
        <w:rPr/>
      </w:r>
    </w:p>
    <w:sectPr>
      <w:headerReference w:type="default" r:id="rId9"/>
      <w:footerReference w:type="default" r:id="rId10"/>
      <w:type w:val="nextPage"/>
      <w:pgSz w:orient="landscape" w:w="16838" w:h="11906"/>
      <w:pgMar w:left="1418" w:right="1418" w:header="709" w:top="1134" w:footer="709"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roman"/>
    <w:pitch w:val="variable"/>
  </w:font>
  <w:font w:name="Arial Unicode MS">
    <w:charset w:val="00"/>
    <w:family w:val="roman"/>
    <w:pitch w:val="variable"/>
  </w:font>
  <w:font w:name="Arial">
    <w:charset w:val="01"/>
    <w:family w:val="swiss"/>
    <w:pitch w:val="variable"/>
  </w:font>
  <w:font w:name="Rawline">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960978540"/>
    </w:sdtPr>
    <w:sdtContent>
      <w:p>
        <w:pPr>
          <w:pStyle w:val="Rodap"/>
          <w:rPr>
            <w:rFonts w:ascii="Arial" w:hAnsi="Arial" w:cs="Arial"/>
            <w:color w:val="548DD4" w:themeColor="text2" w:themeTint="99"/>
            <w:spacing w:val="60"/>
            <w:sz w:val="16"/>
            <w:szCs w:val="16"/>
          </w:rPr>
        </w:pPr>
        <w:r>
          <w:rPr>
            <w:rFonts w:cs="Arial" w:ascii="Arial" w:hAnsi="Arial"/>
            <w:color w:val="548DD4" w:themeColor="text2" w:themeTint="99"/>
            <w:spacing w:val="60"/>
            <w:sz w:val="22"/>
            <w:szCs w:val="22"/>
          </w:rPr>
          <w:tab/>
          <w:tab/>
        </w:r>
      </w:p>
      <w:p>
        <w:pPr>
          <w:pStyle w:val="Rodap"/>
          <w:rPr>
            <w:rFonts w:ascii="Arial" w:hAnsi="Arial" w:cs="Arial"/>
            <w:color w:val="7F7F7F" w:themeColor="text1" w:themeTint="80"/>
            <w:sz w:val="12"/>
          </w:rPr>
        </w:pPr>
        <w:r>
          <w:rPr>
            <w:rFonts w:cs="Arial" w:ascii="Arial" w:hAnsi="Arial"/>
            <w:color w:val="7F7F7F" w:themeColor="text1" w:themeTint="80"/>
            <w:spacing w:val="60"/>
            <w:sz w:val="22"/>
            <w:szCs w:val="22"/>
          </w:rPr>
          <w:tab/>
          <w:tab/>
        </w:r>
      </w:p>
      <w:p>
        <w:pPr>
          <w:pStyle w:val="Rodap"/>
          <w:jc w:val="center"/>
          <w:rPr/>
        </w:pPr>
        <w:r>
          <w:rPr>
            <w:rFonts w:cs="Arial" w:ascii="Arial" w:hAnsi="Arial"/>
            <w:sz w:val="16"/>
            <w:szCs w:val="16"/>
          </w:rPr>
          <w:t xml:space="preserve">(Termo de Referência para </w:t>
        </w:r>
        <w:r>
          <w:rPr>
            <w:rFonts w:cs="Arial" w:ascii="Arial" w:hAnsi="Arial"/>
            <w:sz w:val="16"/>
            <w:szCs w:val="16"/>
          </w:rPr>
          <w:t>contratação de cursos</w:t>
        </w:r>
        <w:r>
          <w:rPr>
            <w:rFonts w:cs="Arial" w:ascii="Arial" w:hAnsi="Arial"/>
            <w:sz w:val="16"/>
            <w:szCs w:val="16"/>
          </w:rPr>
          <w:t xml:space="preserve"> - </w:t>
        </w:r>
        <w:r>
          <w:rPr>
            <w:rFonts w:cs="Arial" w:ascii="Arial" w:hAnsi="Arial"/>
            <w:color w:val="595959" w:themeColor="text1" w:themeTint="a6"/>
            <w:spacing w:val="60"/>
            <w:sz w:val="16"/>
            <w:szCs w:val="16"/>
          </w:rPr>
          <w:t>Página</w:t>
        </w:r>
        <w:r>
          <w:rPr>
            <w:rFonts w:cs="Arial" w:ascii="Arial" w:hAnsi="Arial"/>
            <w:color w:val="595959" w:themeColor="text1" w:themeTint="a6"/>
            <w:sz w:val="16"/>
            <w:szCs w:val="16"/>
          </w:rPr>
          <w:t xml:space="preserve"> </w:t>
        </w:r>
        <w:r>
          <w:rPr>
            <w:rFonts w:cs="Arial" w:ascii="Arial" w:hAnsi="Arial"/>
            <w:sz w:val="16"/>
            <w:szCs w:val="16"/>
            <w:shd w:fill="E6E6E6" w:val="clear"/>
          </w:rPr>
          <w:fldChar w:fldCharType="begin"/>
        </w:r>
        <w:r>
          <w:rPr>
            <w:sz w:val="16"/>
            <w:shd w:fill="E6E6E6" w:val="clear"/>
            <w:szCs w:val="16"/>
            <w:rFonts w:cs="Arial" w:ascii="Arial" w:hAnsi="Arial"/>
          </w:rPr>
          <w:instrText> PAGE </w:instrText>
        </w:r>
        <w:r>
          <w:rPr>
            <w:sz w:val="16"/>
            <w:shd w:fill="E6E6E6" w:val="clear"/>
            <w:szCs w:val="16"/>
            <w:rFonts w:cs="Arial" w:ascii="Arial" w:hAnsi="Arial"/>
          </w:rPr>
          <w:fldChar w:fldCharType="separate"/>
        </w:r>
        <w:r>
          <w:rPr>
            <w:sz w:val="16"/>
            <w:shd w:fill="E6E6E6" w:val="clear"/>
            <w:szCs w:val="16"/>
            <w:rFonts w:cs="Arial" w:ascii="Arial" w:hAnsi="Arial"/>
          </w:rPr>
          <w:t>12</w:t>
        </w:r>
        <w:r>
          <w:rPr>
            <w:sz w:val="16"/>
            <w:shd w:fill="E6E6E6" w:val="clear"/>
            <w:szCs w:val="16"/>
            <w:rFonts w:cs="Arial" w:ascii="Arial" w:hAnsi="Arial"/>
          </w:rPr>
          <w:fldChar w:fldCharType="end"/>
        </w:r>
        <w:r>
          <w:rPr>
            <w:rFonts w:cs="Arial" w:ascii="Arial" w:hAnsi="Arial"/>
            <w:color w:val="595959" w:themeColor="text1" w:themeTint="a6"/>
            <w:sz w:val="16"/>
            <w:szCs w:val="16"/>
          </w:rPr>
          <w:t xml:space="preserve"> | </w:t>
        </w:r>
        <w:r>
          <w:rPr>
            <w:rFonts w:cs="Arial" w:ascii="Arial" w:hAnsi="Arial"/>
            <w:sz w:val="16"/>
            <w:szCs w:val="16"/>
            <w:shd w:fill="E6E6E6" w:val="clear"/>
          </w:rPr>
          <w:fldChar w:fldCharType="begin"/>
        </w:r>
        <w:r>
          <w:rPr>
            <w:sz w:val="16"/>
            <w:shd w:fill="E6E6E6" w:val="clear"/>
            <w:szCs w:val="16"/>
            <w:rFonts w:cs="Arial" w:ascii="Arial" w:hAnsi="Arial"/>
          </w:rPr>
          <w:instrText> NUMPAGES </w:instrText>
        </w:r>
        <w:r>
          <w:rPr>
            <w:sz w:val="16"/>
            <w:shd w:fill="E6E6E6" w:val="clear"/>
            <w:szCs w:val="16"/>
            <w:rFonts w:cs="Arial" w:ascii="Arial" w:hAnsi="Arial"/>
          </w:rPr>
          <w:fldChar w:fldCharType="separate"/>
        </w:r>
        <w:r>
          <w:rPr>
            <w:sz w:val="16"/>
            <w:shd w:fill="E6E6E6" w:val="clear"/>
            <w:szCs w:val="16"/>
            <w:rFonts w:cs="Arial" w:ascii="Arial" w:hAnsi="Arial"/>
          </w:rPr>
          <w:t>14</w:t>
        </w:r>
        <w:r>
          <w:rPr>
            <w:sz w:val="16"/>
            <w:shd w:fill="E6E6E6" w:val="clear"/>
            <w:szCs w:val="16"/>
            <w:rFonts w:cs="Arial" w:ascii="Arial" w:hAnsi="Arial"/>
          </w:rPr>
          <w:fldChar w:fldCharType="end"/>
        </w:r>
        <w:r>
          <w:rPr>
            <w:rFonts w:cs="Arial" w:ascii="Arial" w:hAnsi="Arial"/>
            <w:color w:val="595959"/>
            <w:sz w:val="16"/>
            <w:szCs w:val="16"/>
            <w:shd w:fill="E6E6E6" w:val="clear"/>
          </w:rPr>
          <w:t>)</w:t>
        </w:r>
      </w:p>
      <w:p>
        <w:pPr>
          <w:pStyle w:val="Rodap"/>
          <w:jc w:val="center"/>
          <w:rPr>
            <w:rFonts w:ascii="Rawline" w:hAnsi="Rawline"/>
          </w:rPr>
        </w:pPr>
        <w:r>
          <w:rPr>
            <w:rFonts w:ascii="Rawline" w:hAnsi="Rawline"/>
          </w:rPr>
        </w:r>
      </w:p>
    </w:sdtContent>
  </w:sdt>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center"/>
      <w:rPr/>
    </w:pPr>
    <w:r>
      <w:rPr>
        <w:rFonts w:cs="Arial" w:ascii="Arial" w:hAnsi="Arial"/>
        <w:sz w:val="20"/>
        <w:szCs w:val="20"/>
      </w:rPr>
      <w:t xml:space="preserve">TERMO DE REFERÊNCIA </w:t>
    </w:r>
  </w:p>
  <w:p>
    <w:pPr>
      <w:pStyle w:val="Cabealho"/>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Pr>
    </w:lvl>
    <w:lvl w:ilvl="1">
      <w:start w:val="1"/>
      <w:numFmt w:val="decimal"/>
      <w:lvlText w:val="%1.%2."/>
      <w:lvlJc w:val="left"/>
      <w:pPr>
        <w:ind w:left="999" w:hanging="432"/>
      </w:pPr>
      <w:rPr>
        <w:dstrike w:val="false"/>
        <w:strike w:val="false"/>
        <w:sz w:val="20"/>
        <w:i w:val="false"/>
        <w:u w:val="none"/>
        <w:b w:val="false"/>
        <w:szCs w:val="20"/>
        <w:color w:val="auto"/>
      </w:rPr>
    </w:lvl>
    <w:lvl w:ilvl="2">
      <w:start w:val="1"/>
      <w:numFmt w:val="decimal"/>
      <w:lvlText w:val="%1.%2.%3."/>
      <w:lvlJc w:val="left"/>
      <w:pPr>
        <w:ind w:left="1781" w:hanging="504"/>
      </w:pPr>
      <w:rPr>
        <w:dstrike w:val="false"/>
        <w:strike w:val="false"/>
        <w:sz w:val="20"/>
        <w:i w:val="false"/>
        <w:b w:val="false"/>
        <w:szCs w:val="2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1"/>
      <w:numFmt w:val="decimal"/>
      <w:lvlText w:val="%1."/>
      <w:lvlJc w:val="left"/>
      <w:pPr>
        <w:ind w:left="360" w:hanging="360"/>
      </w:pPr>
      <w:rPr>
        <w:b/>
      </w:rPr>
    </w:lvl>
    <w:lvl w:ilvl="1">
      <w:start w:val="1"/>
      <w:numFmt w:val="decimal"/>
      <w:lvlText w:val="%1.%2."/>
      <w:lvlJc w:val="left"/>
      <w:pPr>
        <w:ind w:left="999" w:hanging="432"/>
      </w:pPr>
      <w:rPr>
        <w:dstrike w:val="false"/>
        <w:strike w:val="false"/>
        <w:sz w:val="20"/>
        <w:i w:val="false"/>
        <w:u w:val="none"/>
        <w:b w:val="false"/>
        <w:szCs w:val="20"/>
        <w:color w:val="auto"/>
      </w:rPr>
    </w:lvl>
    <w:lvl w:ilvl="2">
      <w:start w:val="1"/>
      <w:numFmt w:val="decimal"/>
      <w:lvlText w:val="%1.%2.%3."/>
      <w:lvlJc w:val="left"/>
      <w:pPr>
        <w:ind w:left="1781" w:hanging="504"/>
      </w:pPr>
      <w:rPr>
        <w:dstrike w:val="false"/>
        <w:strike w:val="false"/>
        <w:sz w:val="20"/>
        <w:i w:val="false"/>
        <w:b w:val="false"/>
        <w:szCs w:val="2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mirrorMargins/>
  <w:defaultTabStop w:val="708"/>
  <w:autoHyphenation w:val="false"/>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eastAsiaTheme="minorEastAsia"/>
        <w:lang w:val="pt-BR" w:eastAsia="en-US" w:bidi="ar-SA"/>
      </w:rPr>
    </w:rPrDefault>
    <w:pPrDefault>
      <w:pPr/>
    </w:pPrDefault>
  </w:docDefaults>
  <w:latentStyles w:defLockedState="0" w:defUIPriority="0" w:defSemiHidden="1" w:defUnhideWhenUsed="1" w:defQFormat="0" w:count="267">
    <w:lsdException w:name="Normal" w:semiHidden="0" w:unhideWhenUsed="0"/>
    <w:lsdException w:name="heading 1" w:uiPriority="9"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Body Text" w:uiPriority="99"/>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uiPriority="22" w:semiHidden="0" w:unhideWhenUsed="0"/>
    <w:lsdException w:name="Emphasis" w:uiPriority="20" w:semiHidden="0" w:unhideWhenUsed="0"/>
    <w:lsdException w:name="Normal (Web)" w:uiPriority="99"/>
    <w:lsdException w:name="annotation subject" w:uiPriority="99"/>
    <w:lsdException w:name="No List" w:uiPriority="99"/>
    <w:lsdException w:name="Balloon Text" w:uiPriority="99"/>
    <w:lsdException w:name="Table Grid" w:uiPriority="39" w:semiHidden="0" w:unhideWhenUsed="0"/>
    <w:lsdException w:name="Placeholder Text" w:uiPriority="67" w:unhideWhenUsed="0"/>
    <w:lsdException w:name="No Spacing" w:uiPriority="68" w:semiHidden="0" w:unhideWhenUsed="0"/>
    <w:lsdException w:name="Light Shading" w:uiPriority="69" w:semiHidden="0" w:unhideWhenUsed="0"/>
    <w:lsdException w:name="Light List" w:uiPriority="70" w:semiHidden="0" w:unhideWhenUsed="0"/>
    <w:lsdException w:name="Light Grid" w:uiPriority="71" w:semiHidden="0" w:unhideWhenUsed="0"/>
    <w:lsdException w:name="Medium Shading 1" w:uiPriority="72" w:semiHidden="0" w:unhideWhenUsed="0"/>
    <w:lsdException w:name="Medium Shading 2" w:uiPriority="73" w:semiHidden="0" w:unhideWhenUsed="0"/>
    <w:lsdException w:name="Medium List 1" w:uiPriority="60" w:semiHidden="0" w:unhideWhenUsed="0"/>
    <w:lsdException w:name="Medium List 2" w:uiPriority="61" w:semiHidden="0" w:unhideWhenUsed="0"/>
    <w:lsdException w:name="Medium Grid 1" w:uiPriority="62" w:semiHidden="0" w:unhideWhenUsed="0"/>
    <w:lsdException w:name="Medium Grid 2" w:uiPriority="63" w:semiHidden="0" w:unhideWhenUsed="0"/>
    <w:lsdException w:name="Medium Grid 3" w:uiPriority="64" w:semiHidden="0" w:unhideWhenUsed="0"/>
    <w:lsdException w:name="Dark List" w:uiPriority="65" w:semiHidden="0" w:unhideWhenUsed="0"/>
    <w:lsdException w:name="Colorful Shading" w:uiPriority="99" w:semiHidden="0" w:unhideWhenUsed="0"/>
    <w:lsdException w:name="Colorful List" w:uiPriority="34" w:semiHidden="0" w:unhideWhenUsed="0" w:qFormat="1"/>
    <w:lsdException w:name="Colorful Grid" w:uiPriority="29" w:semiHidden="0" w:unhideWhenUsed="0" w:qFormat="1"/>
    <w:lsdException w:name="Light Shading Accent 1" w:uiPriority="30" w:semiHidden="0" w:unhideWhenUsed="0" w:qFormat="1"/>
    <w:lsdException w:name="Light List Accent 1" w:uiPriority="66" w:semiHidden="0" w:unhideWhenUsed="0"/>
    <w:lsdException w:name="Light Grid Accent 1" w:uiPriority="67" w:semiHidden="0" w:unhideWhenUsed="0"/>
    <w:lsdException w:name="Medium Shading 1 Accent 1" w:uiPriority="68" w:semiHidden="0" w:unhideWhenUsed="0"/>
    <w:lsdException w:name="Medium Shading 2 Accent 1" w:uiPriority="69" w:semiHidden="0" w:unhideWhenUsed="0"/>
    <w:lsdException w:name="Medium List 1 Accent 1" w:uiPriority="70" w:semiHidden="0" w:unhideWhenUsed="0"/>
    <w:lsdException w:name="Revision" w:uiPriority="99" w:unhideWhenUsed="0"/>
    <w:lsdException w:name="List Paragraph" w:uiPriority="34" w:semiHidden="0" w:unhideWhenUsed="0"/>
    <w:lsdException w:name="Quote" w:semiHidden="0" w:unhideWhenUsed="0"/>
    <w:lsdException w:name="Intense Quote" w:uiPriority="60" w:semiHidden="0" w:unhideWhenUsed="0"/>
    <w:lsdException w:name="Medium List 2 Accent 1" w:uiPriority="61" w:semiHidden="0" w:unhideWhenUsed="0"/>
    <w:lsdException w:name="Medium Grid 1 Accent 1" w:uiPriority="62" w:semiHidden="0" w:unhideWhenUsed="0"/>
    <w:lsdException w:name="Medium Grid 2 Accent 1" w:uiPriority="63" w:semiHidden="0" w:unhideWhenUsed="0"/>
    <w:lsdException w:name="Medium Grid 3 Accent 1" w:uiPriority="64" w:semiHidden="0" w:unhideWhenUsed="0"/>
    <w:lsdException w:name="Dark List Accent 1" w:uiPriority="65" w:semiHidden="0" w:unhideWhenUsed="0"/>
    <w:lsdException w:name="Colorful Shading Accent 1" w:uiPriority="66" w:semiHidden="0" w:unhideWhenUsed="0"/>
    <w:lsdException w:name="Colorful List Accent 1" w:uiPriority="67" w:semiHidden="0" w:unhideWhenUsed="0"/>
    <w:lsdException w:name="Colorful Grid Accent 1" w:uiPriority="68" w:semiHidden="0" w:unhideWhenUsed="0"/>
    <w:lsdException w:name="Light Shading Accent 2" w:uiPriority="69" w:semiHidden="0" w:unhideWhenUsed="0"/>
    <w:lsdException w:name="Light List Accent 2" w:uiPriority="70" w:semiHidden="0" w:unhideWhenUsed="0"/>
    <w:lsdException w:name="Light Grid Accent 2" w:uiPriority="71" w:semiHidden="0" w:unhideWhenUsed="0"/>
    <w:lsdException w:name="Medium Shading 1 Accent 2" w:uiPriority="72" w:semiHidden="0" w:unhideWhenUsed="0"/>
    <w:lsdException w:name="Medium Shading 2 Accent 2" w:uiPriority="73" w:semiHidden="0" w:unhideWhenUsed="0"/>
    <w:lsdException w:name="Medium List 1 Accent 2" w:uiPriority="60" w:semiHidden="0" w:unhideWhenUsed="0"/>
    <w:lsdException w:name="Medium List 2 Accent 2" w:uiPriority="61" w:semiHidden="0" w:unhideWhenUsed="0"/>
    <w:lsdException w:name="Medium Grid 1 Accent 2" w:uiPriority="62" w:semiHidden="0" w:unhideWhenUsed="0"/>
    <w:lsdException w:name="Medium Grid 2 Accent 2" w:uiPriority="63" w:semiHidden="0" w:unhideWhenUsed="0"/>
    <w:lsdException w:name="Medium Grid 3 Accent 2" w:uiPriority="64" w:semiHidden="0" w:unhideWhenUsed="0"/>
    <w:lsdException w:name="Dark List Accent 2" w:uiPriority="65" w:semiHidden="0" w:unhideWhenUsed="0"/>
    <w:lsdException w:name="Colorful Shading Accent 2" w:uiPriority="66" w:semiHidden="0" w:unhideWhenUsed="0"/>
    <w:lsdException w:name="Colorful List Accent 2" w:uiPriority="67" w:semiHidden="0" w:unhideWhenUsed="0"/>
    <w:lsdException w:name="Colorful Grid Accent 2" w:uiPriority="68" w:semiHidden="0" w:unhideWhenUsed="0"/>
    <w:lsdException w:name="Light Shading Accent 3" w:uiPriority="69" w:semiHidden="0" w:unhideWhenUsed="0"/>
    <w:lsdException w:name="Light List Accent 3" w:uiPriority="70" w:semiHidden="0" w:unhideWhenUsed="0"/>
    <w:lsdException w:name="Light Grid Accent 3" w:uiPriority="71" w:semiHidden="0" w:unhideWhenUsed="0"/>
    <w:lsdException w:name="Medium Shading 1 Accent 3" w:uiPriority="72" w:semiHidden="0" w:unhideWhenUsed="0"/>
    <w:lsdException w:name="Medium Shading 2 Accent 3" w:uiPriority="73" w:semiHidden="0" w:unhideWhenUsed="0"/>
    <w:lsdException w:name="Medium List 1 Accent 3" w:uiPriority="60" w:semiHidden="0" w:unhideWhenUsed="0"/>
    <w:lsdException w:name="Medium List 2 Accent 3" w:uiPriority="61" w:semiHidden="0" w:unhideWhenUsed="0"/>
    <w:lsdException w:name="Medium Grid 1 Accent 3" w:uiPriority="62" w:semiHidden="0" w:unhideWhenUsed="0"/>
    <w:lsdException w:name="Medium Grid 2 Accent 3" w:uiPriority="63" w:semiHidden="0" w:unhideWhenUsed="0"/>
    <w:lsdException w:name="Medium Grid 3 Accent 3" w:uiPriority="64" w:semiHidden="0" w:unhideWhenUsed="0"/>
    <w:lsdException w:name="Dark List Accent 3" w:uiPriority="65" w:semiHidden="0" w:unhideWhenUsed="0"/>
    <w:lsdException w:name="Colorful Shading Accent 3" w:uiPriority="66" w:semiHidden="0" w:unhideWhenUsed="0"/>
    <w:lsdException w:name="Colorful List Accent 3" w:uiPriority="67" w:semiHidden="0" w:unhideWhenUsed="0"/>
    <w:lsdException w:name="Colorful Grid Accent 3" w:uiPriority="68" w:semiHidden="0" w:unhideWhenUsed="0"/>
    <w:lsdException w:name="Light Shading Accent 4" w:uiPriority="69" w:semiHidden="0" w:unhideWhenUsed="0"/>
    <w:lsdException w:name="Light List Accent 4" w:uiPriority="70" w:semiHidden="0" w:unhideWhenUsed="0"/>
    <w:lsdException w:name="Light Grid Accent 4" w:uiPriority="71" w:semiHidden="0" w:unhideWhenUsed="0"/>
    <w:lsdException w:name="Medium Shading 1 Accent 4" w:uiPriority="72" w:semiHidden="0" w:unhideWhenUsed="0"/>
    <w:lsdException w:name="Medium Shading 2 Accent 4" w:uiPriority="73" w:semiHidden="0" w:unhideWhenUsed="0"/>
    <w:lsdException w:name="Medium List 1 Accent 4" w:uiPriority="60" w:semiHidden="0" w:unhideWhenUsed="0"/>
    <w:lsdException w:name="Medium List 2 Accent 4" w:uiPriority="61" w:semiHidden="0" w:unhideWhenUsed="0"/>
    <w:lsdException w:name="Medium Grid 1 Accent 4" w:uiPriority="62" w:semiHidden="0" w:unhideWhenUsed="0"/>
    <w:lsdException w:name="Medium Grid 2 Accent 4" w:uiPriority="63" w:semiHidden="0" w:unhideWhenUsed="0"/>
    <w:lsdException w:name="Medium Grid 3 Accent 4" w:uiPriority="64" w:semiHidden="0" w:unhideWhenUsed="0"/>
    <w:lsdException w:name="Dark List Accent 4" w:uiPriority="65" w:semiHidden="0" w:unhideWhenUsed="0"/>
    <w:lsdException w:name="Colorful Shading Accent 4" w:uiPriority="66" w:semiHidden="0" w:unhideWhenUsed="0"/>
    <w:lsdException w:name="Colorful List Accent 4" w:uiPriority="67" w:semiHidden="0" w:unhideWhenUsed="0"/>
    <w:lsdException w:name="Colorful Grid Accent 4" w:uiPriority="68" w:semiHidden="0" w:unhideWhenUsed="0"/>
    <w:lsdException w:name="Light Shading Accent 5" w:uiPriority="69" w:semiHidden="0" w:unhideWhenUsed="0"/>
    <w:lsdException w:name="Light List Accent 5" w:uiPriority="70" w:semiHidden="0" w:unhideWhenUsed="0"/>
    <w:lsdException w:name="Light Grid Accent 5" w:uiPriority="71" w:semiHidden="0" w:unhideWhenUsed="0"/>
    <w:lsdException w:name="Medium Shading 1 Accent 5" w:uiPriority="72" w:semiHidden="0" w:unhideWhenUsed="0"/>
    <w:lsdException w:name="Medium Shading 2 Accent 5" w:uiPriority="73" w:semiHidden="0" w:unhideWhenUsed="0"/>
    <w:lsdException w:name="Medium List 1 Accent 5" w:uiPriority="60" w:semiHidden="0" w:unhideWhenUsed="0"/>
    <w:lsdException w:name="Medium List 2 Accent 5" w:uiPriority="61" w:semiHidden="0" w:unhideWhenUsed="0"/>
    <w:lsdException w:name="Medium Grid 1 Accent 5" w:uiPriority="62" w:semiHidden="0" w:unhideWhenUsed="0"/>
    <w:lsdException w:name="Medium Grid 2 Accent 5" w:uiPriority="63" w:semiHidden="0" w:unhideWhenUsed="0"/>
    <w:lsdException w:name="Medium Grid 3 Accent 5" w:uiPriority="64" w:semiHidden="0" w:unhideWhenUsed="0"/>
    <w:lsdException w:name="Dark List Accent 5" w:uiPriority="65" w:semiHidden="0" w:unhideWhenUsed="0"/>
    <w:lsdException w:name="Colorful Shading Accent 5" w:uiPriority="66" w:semiHidden="0" w:unhideWhenUsed="0"/>
    <w:lsdException w:name="Colorful List Accent 5" w:uiPriority="67" w:semiHidden="0" w:unhideWhenUsed="0"/>
    <w:lsdException w:name="Colorful Grid Accent 5" w:uiPriority="68" w:semiHidden="0" w:unhideWhenUsed="0"/>
    <w:lsdException w:name="Light Shading Accent 6" w:uiPriority="69" w:semiHidden="0" w:unhideWhenUsed="0"/>
    <w:lsdException w:name="Light List Accent 6" w:uiPriority="70" w:semiHidden="0" w:unhideWhenUsed="0"/>
    <w:lsdException w:name="Light Grid Accent 6" w:uiPriority="71" w:semiHidden="0" w:unhideWhenUsed="0"/>
    <w:lsdException w:name="Medium Shading 1 Accent 6" w:uiPriority="72" w:semiHidden="0" w:unhideWhenUsed="0"/>
    <w:lsdException w:name="Medium Shading 2 Accent 6" w:uiPriority="73" w:semiHidden="0" w:unhideWhenUsed="0"/>
    <w:lsdException w:name="Medium List 1 Accent 6" w:uiPriority="19" w:semiHidden="0" w:unhideWhenUsed="0" w:qFormat="1"/>
    <w:lsdException w:name="Medium List 2 Accent 6" w:uiPriority="21" w:semiHidden="0" w:unhideWhenUsed="0" w:qFormat="1"/>
    <w:lsdException w:name="Medium Grid 1 Accent 6" w:uiPriority="31" w:semiHidden="0" w:unhideWhenUsed="0" w:qFormat="1"/>
    <w:lsdException w:name="Medium Grid 2 Accent 6" w:uiPriority="32" w:semiHidden="0" w:unhideWhenUsed="0" w:qFormat="1"/>
    <w:lsdException w:name="Medium Grid 3 Accent 6" w:uiPriority="33" w:semiHidden="0" w:unhideWhenUsed="0" w:qFormat="1"/>
    <w:lsdException w:name="Dark List Accent 6" w:uiPriority="37" w:semiHidden="0" w:unhideWhenUsed="0"/>
    <w:lsdException w:name="Colorful Shading Accent 6" w:uiPriority="39" w:semiHidden="0" w:unhideWhenUsed="0" w:qFormat="1"/>
    <w:lsdException w:name="Colorful List Accent 6" w:uiPriority="72" w:semiHidden="0" w:unhideWhenUsed="0"/>
    <w:lsdException w:name="Colorful Grid Accent 6" w:uiPriority="73" w:semiHidden="0" w:unhideWhenUsed="0"/>
    <w:lsdException w:name="Subtle Emphasis" w:uiPriority="19" w:semiHidden="0" w:unhideWhenUsed="0"/>
    <w:lsdException w:name="Intense Emphasis" w:uiPriority="21" w:semiHidden="0" w:unhideWhenUsed="0"/>
    <w:lsdException w:name="Subtle Reference" w:uiPriority="31" w:semiHidden="0" w:unhideWhenUsed="0"/>
    <w:lsdException w:name="Intense Reference" w:uiPriority="32" w:semiHidden="0" w:unhideWhenUsed="0"/>
    <w:lsdException w:name="Book Title" w:uiPriority="33" w:semiHidden="0" w:unhideWhenUsed="0"/>
    <w:lsdException w:name="Bibliography" w:uiPriority="37"/>
    <w:lsdException w:name="TOC Heading" w:uiPriority="39" w:qFormat="1"/>
  </w:latentStyles>
  <w:style w:type="paragraph" w:styleId="Normal" w:default="1">
    <w:name w:val="Normal"/>
    <w:qFormat/>
    <w:rsid w:val="00ea3333"/>
    <w:pPr>
      <w:widowControl/>
      <w:suppressAutoHyphens w:val="true"/>
      <w:bidi w:val="0"/>
      <w:jc w:val="left"/>
    </w:pPr>
    <w:rPr>
      <w:rFonts w:ascii="Ecofont_Spranq_eco_Sans" w:hAnsi="Ecofont_Spranq_eco_Sans" w:eastAsia="ＭＳ 明朝" w:cs="Tahoma" w:eastAsiaTheme="minorEastAsia"/>
      <w:color w:val="auto"/>
      <w:kern w:val="0"/>
      <w:sz w:val="24"/>
      <w:szCs w:val="24"/>
      <w:lang w:val="pt-BR" w:eastAsia="pt-BR" w:bidi="ar-SA"/>
    </w:rPr>
  </w:style>
  <w:style w:type="paragraph" w:styleId="Ttulo1">
    <w:name w:val="Heading 1"/>
    <w:basedOn w:val="Normal"/>
    <w:next w:val="Normal"/>
    <w:link w:val="Ttulo1Char"/>
    <w:uiPriority w:val="9"/>
    <w:qFormat/>
    <w:rsid w:val="007f77ad"/>
    <w:pPr>
      <w:keepNext w:val="true"/>
      <w:keepLines/>
      <w:spacing w:before="480" w:after="0"/>
      <w:outlineLvl w:val="0"/>
    </w:pPr>
    <w:rPr>
      <w:rFonts w:ascii="Calibri" w:hAnsi="Calibri" w:eastAsia="ＭＳ ゴシック" w:cs="Times New Roman"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Ttulo2Char"/>
    <w:qFormat/>
    <w:rsid w:val="004b460a"/>
    <w:pPr>
      <w:keepNext w:val="true"/>
      <w:tabs>
        <w:tab w:val="clear" w:pos="708"/>
        <w:tab w:val="left" w:pos="1701" w:leader="none"/>
      </w:tabs>
      <w:ind w:right="-1" w:hanging="0"/>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ＭＳ ゴシック" w:cs="Times New Roman" w:asciiTheme="majorHAnsi" w:cstheme="majorBidi" w:eastAsiaTheme="majorEastAsia" w:hAnsiTheme="majorHAnsi"/>
      <w:color w:val="243F60" w:themeColor="accent1" w:themeShade="7f"/>
      <w:lang w:eastAsia="en-US"/>
    </w:rPr>
  </w:style>
  <w:style w:type="paragraph" w:styleId="Ttulo4">
    <w:name w:val="Heading 4"/>
    <w:basedOn w:val="Normal"/>
    <w:next w:val="Normal"/>
    <w:link w:val="Ttulo4Char"/>
    <w:semiHidden/>
    <w:unhideWhenUsed/>
    <w:qFormat/>
    <w:rsid w:val="00a45a85"/>
    <w:pPr>
      <w:keepNext w:val="true"/>
      <w:keepLines/>
      <w:spacing w:before="40" w:after="0"/>
      <w:outlineLvl w:val="3"/>
    </w:pPr>
    <w:rPr>
      <w:rFonts w:ascii="Calibri" w:hAnsi="Calibri" w:eastAsia="ＭＳ ゴシック" w:cs="Times New Roman" w:asciiTheme="majorHAnsi" w:cstheme="majorBidi" w:eastAsiaTheme="majorEastAsia" w:hAnsiTheme="majorHAnsi"/>
      <w:i/>
      <w:iCs/>
      <w:color w:val="365F91" w:themeColor="accent1" w:themeShade="bf"/>
    </w:rPr>
  </w:style>
  <w:style w:type="paragraph" w:styleId="Ttulo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ＭＳ ゴシック" w:cs="Times New Roman" w:asciiTheme="majorHAnsi" w:cstheme="majorBidi" w:eastAsiaTheme="majorEastAsia" w:hAnsiTheme="majorHAnsi"/>
      <w:color w:val="243F60" w:themeColor="accent1" w:themeShade="7f"/>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Textodebalo"/>
    <w:uiPriority w:val="99"/>
    <w:qFormat/>
    <w:rsid w:val="003a73c1"/>
    <w:rPr>
      <w:rFonts w:ascii="Tahoma" w:hAnsi="Tahoma" w:cs="Tahoma"/>
      <w:sz w:val="16"/>
      <w:szCs w:val="16"/>
    </w:rPr>
  </w:style>
  <w:style w:type="character" w:styleId="Ttulo2Char" w:customStyle="1">
    <w:name w:val="Título 2 Char"/>
    <w:link w:val="Ttulo2"/>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LinkdaInternet" w:customStyle="1">
    <w:name w:val="Link da Internet"/>
    <w:basedOn w:val="DefaultParagraphFont"/>
    <w:uiPriority w:val="99"/>
    <w:unhideWhenUsed/>
    <w:rsid w:val="00dc41dd"/>
    <w:rPr>
      <w:color w:val="0000FF" w:themeColor="hyperlink"/>
      <w:u w:val="single"/>
    </w:rPr>
  </w:style>
  <w:style w:type="character" w:styleId="CitaoChar" w:customStyle="1">
    <w:name w:val="Citação Char"/>
    <w:link w:val="Citao"/>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link w:val="Cabealho"/>
    <w:uiPriority w:val="99"/>
    <w:qFormat/>
    <w:rsid w:val="00ca24fb"/>
    <w:rPr>
      <w:rFonts w:ascii="Ecofont_Spranq_eco_Sans" w:hAnsi="Ecofont_Spranq_eco_Sans" w:cs="Tahoma"/>
      <w:sz w:val="24"/>
      <w:szCs w:val="24"/>
    </w:rPr>
  </w:style>
  <w:style w:type="character" w:styleId="RodapChar" w:customStyle="1">
    <w:name w:val="Rodapé Char"/>
    <w:link w:val="Rodap"/>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link w:val="Textodecomentrio"/>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link w:val="Ttulo4"/>
    <w:qFormat/>
    <w:rsid w:val="00a45a85"/>
    <w:rPr>
      <w:rFonts w:ascii="Calibri" w:hAnsi="Calibri" w:eastAsia="ＭＳ ゴシック" w:cs="Times New Roman" w:asciiTheme="majorHAnsi" w:cstheme="majorBidi" w:eastAsiaTheme="majorEastAsia" w:hAnsiTheme="majorHAnsi"/>
      <w:i/>
      <w:iCs/>
      <w:color w:val="365F91" w:themeColor="accent1" w:themeShade="bf"/>
      <w:sz w:val="24"/>
      <w:szCs w:val="24"/>
      <w:lang w:eastAsia="pt-BR"/>
    </w:rPr>
  </w:style>
  <w:style w:type="character" w:styleId="TtuloChar" w:customStyle="1">
    <w:name w:val="Título Char"/>
    <w:basedOn w:val="DefaultParagraphFont"/>
    <w:link w:val="Ttulo"/>
    <w:qFormat/>
    <w:rsid w:val="007f77ad"/>
    <w:rPr>
      <w:rFonts w:ascii="Calibri" w:hAnsi="Calibri" w:eastAsia="ＭＳ ゴシック" w:cs="Times New Roman" w:asciiTheme="majorHAnsi" w:cstheme="majorBidi" w:eastAsiaTheme="majorEastAsia" w:hAnsiTheme="majorHAnsi"/>
      <w:color w:val="17365D" w:themeColor="text2" w:themeShade="bf"/>
      <w:spacing w:val="5"/>
      <w:kern w:val="2"/>
      <w:sz w:val="52"/>
      <w:szCs w:val="52"/>
      <w:lang w:eastAsia="pt-BR"/>
    </w:rPr>
  </w:style>
  <w:style w:type="character" w:styleId="Nivel01Char" w:customStyle="1">
    <w:name w:val="Nivel 01 Char"/>
    <w:basedOn w:val="TtuloChar"/>
    <w:link w:val="Nivel01"/>
    <w:qFormat/>
    <w:rsid w:val="00881f44"/>
    <w:rPr>
      <w:rFonts w:ascii="Arial" w:hAnsi="Arial" w:eastAsia="ＭＳ ゴシック" w:cs="Arial" w:eastAsiaTheme="majorEastAsia"/>
      <w:b/>
      <w:bCs/>
      <w:color w:val="17365D" w:themeColor="text2" w:themeShade="bf"/>
      <w:spacing w:val="5"/>
      <w:kern w:val="2"/>
      <w:sz w:val="52"/>
      <w:szCs w:val="52"/>
      <w:lang w:eastAsia="pt-BR"/>
    </w:rPr>
  </w:style>
  <w:style w:type="character" w:styleId="Ttulo1Char" w:customStyle="1">
    <w:name w:val="Título 1 Char"/>
    <w:basedOn w:val="DefaultParagraphFont"/>
    <w:link w:val="Ttulo1"/>
    <w:uiPriority w:val="9"/>
    <w:qFormat/>
    <w:rsid w:val="007f77ad"/>
    <w:rPr>
      <w:rFonts w:ascii="Calibri" w:hAnsi="Calibri" w:eastAsia="ＭＳ ゴシック" w:cs="Times New Roman" w:asciiTheme="majorHAnsi" w:cstheme="majorBidi" w:eastAsiaTheme="majorEastAsia" w:hAnsiTheme="majorHAnsi"/>
      <w:b/>
      <w:bCs/>
      <w:color w:val="365F91" w:themeColor="accent1" w:themeShade="bf"/>
      <w:sz w:val="28"/>
      <w:szCs w:val="28"/>
      <w:lang w:eastAsia="pt-BR"/>
    </w:rPr>
  </w:style>
  <w:style w:type="character" w:styleId="Nivel01TituloChar" w:customStyle="1">
    <w:name w:val="Nivel_01_Titulo Char"/>
    <w:basedOn w:val="Nivel01Char"/>
    <w:link w:val="Nivel01Titulo"/>
    <w:qFormat/>
    <w:rsid w:val="00e967ea"/>
    <w:rPr>
      <w:rFonts w:ascii="Arial" w:hAnsi="Arial" w:eastAsia="ＭＳ ゴシック" w:cs="Times New Roman" w:cstheme="majorBidi" w:eastAsiaTheme="majorEastAsia"/>
      <w:b/>
      <w:bCs/>
      <w:color w:val="000000" w:themeColor="text1"/>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link w:val="Corpodetexto"/>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ＭＳ ゴシック" w:cs="Arial" w:eastAsiaTheme="majorEastAsia"/>
      <w:b/>
      <w:bCs w:val="false"/>
      <w:color w:val="000000"/>
      <w:sz w:val="28"/>
      <w:szCs w:val="28"/>
      <w:lang w:eastAsia="pt-BR"/>
    </w:rPr>
  </w:style>
  <w:style w:type="character" w:styleId="Nivel4Char" w:customStyle="1">
    <w:name w:val="Nivel 4 Char"/>
    <w:basedOn w:val="DefaultParagraphFont"/>
    <w:link w:val="Nivel4"/>
    <w:qFormat/>
    <w:rsid w:val="00da3ef1"/>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Nfase">
    <w:name w:val="Ênfase"/>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Linkdainternetvisitado" w:customStyle="1">
    <w:name w:val="Link da internet visitado"/>
    <w:basedOn w:val="DefaultParagraphFont"/>
    <w:uiPriority w:val="99"/>
    <w:semiHidden/>
    <w:unhideWhenUsed/>
    <w:rsid w:val="00d30a43"/>
    <w:rPr>
      <w:color w:val="800080" w:themeColor="followedHyperlink"/>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507c01"/>
    <w:rPr>
      <w:rFonts w:ascii="Arial" w:hAnsi="Arial" w:eastAsia="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PargrafodaLista"/>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link w:val="Ttulo3"/>
    <w:uiPriority w:val="9"/>
    <w:semiHidden/>
    <w:qFormat/>
    <w:rsid w:val="00cb3192"/>
    <w:rPr>
      <w:rFonts w:ascii="Calibri" w:hAnsi="Calibri" w:eastAsia="ＭＳ ゴシック" w:cs="Times New Roman" w:asciiTheme="majorHAnsi" w:cstheme="majorBidi" w:eastAsiaTheme="majorEastAsia" w:hAnsiTheme="majorHAnsi"/>
      <w:color w:val="243F60" w:themeColor="accent1" w:themeShade="7f"/>
      <w:sz w:val="24"/>
      <w:szCs w:val="24"/>
    </w:rPr>
  </w:style>
  <w:style w:type="character" w:styleId="Ttulo6Char" w:customStyle="1">
    <w:name w:val="Título 6 Char"/>
    <w:basedOn w:val="DefaultParagraphFont"/>
    <w:link w:val="Ttulo6"/>
    <w:uiPriority w:val="9"/>
    <w:semiHidden/>
    <w:qFormat/>
    <w:rsid w:val="00cb3192"/>
    <w:rPr>
      <w:rFonts w:ascii="Calibri" w:hAnsi="Calibri" w:eastAsia="ＭＳ ゴシック" w:cs="Times New Roman" w:asciiTheme="majorHAnsi" w:cstheme="majorBidi" w:eastAsiaTheme="majorEastAsia" w:hAnsiTheme="majorHAnsi"/>
      <w:color w:val="243F60" w:themeColor="accent1" w:themeShade="7f"/>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qFormat/>
    <w:rsid w:val="00f93d80"/>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qFormat/>
    <w:rsid w:val="00da3ef1"/>
    <w:rPr>
      <w:rFonts w:ascii="Arial" w:hAnsi="Arial" w:eastAsia="Arial" w:cs="Arial"/>
      <w:i/>
      <w:iCs/>
      <w:color w:val="FF0000"/>
      <w:lang w:eastAsia="pt-BR"/>
    </w:rPr>
  </w:style>
  <w:style w:type="character" w:styleId="Nivel3Char" w:customStyle="1">
    <w:name w:val="Nivel 3 Char"/>
    <w:basedOn w:val="DefaultParagraphFont"/>
    <w:link w:val="Nivel3"/>
    <w:qFormat/>
    <w:rsid w:val="005d30b6"/>
    <w:rPr>
      <w:rFonts w:ascii="Arial" w:hAnsi="Arial" w:cs="Arial"/>
      <w:color w:val="000000"/>
      <w:lang w:eastAsia="pt-BR"/>
    </w:rPr>
  </w:style>
  <w:style w:type="character" w:styleId="Nvel3RChar" w:customStyle="1">
    <w:name w:val="Nível 3-R Char"/>
    <w:basedOn w:val="Nivel3Char"/>
    <w:qFormat/>
    <w:rsid w:val="00775cfb"/>
    <w:rPr>
      <w:rFonts w:ascii="Arial" w:hAnsi="Arial" w:cs="Arial"/>
      <w:i/>
      <w:iCs/>
      <w:color w:val="FF0000"/>
      <w:lang w:eastAsia="pt-BR"/>
    </w:rPr>
  </w:style>
  <w:style w:type="character" w:styleId="Nvel4RChar" w:customStyle="1">
    <w:name w:val="Nível 4-R Char"/>
    <w:basedOn w:val="Nivel4Char"/>
    <w:qFormat/>
    <w:rsid w:val="00da3ef1"/>
    <w:rPr>
      <w:rFonts w:ascii="Arial" w:hAnsi="Arial" w:cs="Arial"/>
      <w:i/>
      <w:iCs/>
      <w:color w:val="FF0000"/>
      <w:lang w:eastAsia="pt-BR"/>
    </w:rPr>
  </w:style>
  <w:style w:type="character" w:styleId="Nvel1SemNumChar" w:customStyle="1">
    <w:name w:val="Nível 1-Sem Num Char"/>
    <w:basedOn w:val="Nivel01Char"/>
    <w:qFormat/>
    <w:rsid w:val="00881f44"/>
    <w:rPr>
      <w:rFonts w:ascii="Arial" w:hAnsi="Arial" w:eastAsia="ＭＳ ゴシック" w:cs="Arial" w:eastAsiaTheme="majorEastAsia"/>
      <w:b/>
      <w:bCs/>
      <w:color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tionnonrsolue1" w:customStyle="1">
    <w:name w:val="Mention non résolue1"/>
    <w:basedOn w:val="DefaultParagraphFont"/>
    <w:uiPriority w:val="99"/>
    <w:semiHidden/>
    <w:unhideWhenUsed/>
    <w:qFormat/>
    <w:rsid w:val="008d252d"/>
    <w:rPr>
      <w:color w:val="605E5C"/>
      <w:shd w:fill="E1DFDD" w:val="clear"/>
    </w:rPr>
  </w:style>
  <w:style w:type="character" w:styleId="Findhit" w:customStyle="1">
    <w:name w:val="findhit"/>
    <w:basedOn w:val="DefaultParagraphFont"/>
    <w:qFormat/>
    <w:rsid w:val="00e66cc3"/>
    <w:rPr/>
  </w:style>
  <w:style w:type="character" w:styleId="Nivel3erroChar" w:customStyle="1">
    <w:name w:val="Nivel 3-erro Char"/>
    <w:basedOn w:val="DefaultParagraphFont"/>
    <w:qFormat/>
    <w:rsid w:val="005b0afb"/>
    <w:rPr>
      <w:rFonts w:ascii="Arial" w:hAnsi="Arial" w:cs="Tahoma"/>
      <w:szCs w:val="24"/>
      <w:lang w:eastAsia="pt-BR"/>
    </w:rPr>
  </w:style>
  <w:style w:type="character" w:styleId="AlteraesChar" w:customStyle="1">
    <w:name w:val="Alterações Char"/>
    <w:basedOn w:val="DefaultParagraphFont"/>
    <w:link w:val="Alteraes"/>
    <w:uiPriority w:val="1"/>
    <w:qFormat/>
    <w:rsid w:val="1414b7f7"/>
    <w:rPr>
      <w:rFonts w:ascii="Arial" w:hAnsi="Arial" w:cs="Arial"/>
      <w:i/>
      <w:iCs/>
      <w:color w:val="0000FF"/>
      <w:lang w:eastAsia="pt-BR"/>
    </w:rPr>
  </w:style>
  <w:style w:type="character" w:styleId="Mention" w:customStyle="1">
    <w:name w:val="Mention"/>
    <w:basedOn w:val="DefaultParagraphFont"/>
    <w:uiPriority w:val="99"/>
    <w:unhideWhenUsed/>
    <w:qFormat/>
    <w:rsid w:val="002804a7"/>
    <w:rPr>
      <w:color w:val="2B579A"/>
      <w:shd w:fill="E6E6E6" w:val="clear"/>
    </w:rPr>
  </w:style>
  <w:style w:type="character" w:styleId="UnresolvedMention" w:customStyle="1">
    <w:name w:val="Unresolved Mention"/>
    <w:basedOn w:val="DefaultParagraphFont"/>
    <w:uiPriority w:val="99"/>
    <w:semiHidden/>
    <w:unhideWhenUsed/>
    <w:qFormat/>
    <w:rsid w:val="00921a92"/>
    <w:rPr>
      <w:color w:val="605E5C"/>
      <w:shd w:fill="E1DFDD" w:val="clear"/>
    </w:rPr>
  </w:style>
  <w:style w:type="character" w:styleId="Nvel1SemNumPretoChar" w:customStyle="1">
    <w:name w:val="Nível 1-Sem Num Preto Char"/>
    <w:basedOn w:val="Nvel1SemNumChar"/>
    <w:qFormat/>
    <w:rsid w:val="00036ad7"/>
    <w:rPr>
      <w:rFonts w:ascii="Arial" w:hAnsi="Arial" w:eastAsia="ＭＳ ゴシック" w:cs="Arial" w:eastAsiaTheme="majorEastAsia"/>
      <w:b/>
      <w:bCs/>
      <w:color w:val="FF0000"/>
      <w:spacing w:val="5"/>
      <w:kern w:val="2"/>
      <w:sz w:val="52"/>
      <w:szCs w:val="52"/>
      <w:lang w:eastAsia="zh-CN" w:bidi="hi-IN"/>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Wingdings"/>
    </w:rPr>
  </w:style>
  <w:style w:type="character" w:styleId="ListLabel4">
    <w:name w:val="ListLabel 4"/>
    <w:qFormat/>
    <w:rPr>
      <w:rFonts w:cs="Symbol"/>
    </w:rPr>
  </w:style>
  <w:style w:type="character" w:styleId="ListLabel5">
    <w:name w:val="ListLabel 5"/>
    <w:qFormat/>
    <w:rPr>
      <w:rFonts w:cs="Courier New"/>
    </w:rPr>
  </w:style>
  <w:style w:type="character" w:styleId="ListLabel6">
    <w:name w:val="ListLabel 6"/>
    <w:qFormat/>
    <w:rPr>
      <w:rFonts w:cs="Wingdings"/>
    </w:rPr>
  </w:style>
  <w:style w:type="character" w:styleId="ListLabel7">
    <w:name w:val="ListLabel 7"/>
    <w:qFormat/>
    <w:rPr>
      <w:rFonts w:cs="Symbol"/>
    </w:rPr>
  </w:style>
  <w:style w:type="character" w:styleId="ListLabel8">
    <w:name w:val="ListLabel 8"/>
    <w:qFormat/>
    <w:rPr>
      <w:rFonts w:cs="Courier New"/>
    </w:rPr>
  </w:style>
  <w:style w:type="character" w:styleId="ListLabel9">
    <w:name w:val="ListLabel 9"/>
    <w:qFormat/>
    <w:rPr>
      <w:rFonts w:cs="Wingdings"/>
    </w:rPr>
  </w:style>
  <w:style w:type="character" w:styleId="ListLabel10">
    <w:name w:val="ListLabel 10"/>
    <w:qFormat/>
    <w:rPr>
      <w:rFonts w:cs="Symbol"/>
    </w:rPr>
  </w:style>
  <w:style w:type="character" w:styleId="ListLabel11">
    <w:name w:val="ListLabel 11"/>
    <w:qFormat/>
    <w:rPr>
      <w:b/>
    </w:rPr>
  </w:style>
  <w:style w:type="character" w:styleId="ListLabel12">
    <w:name w:val="ListLabel 12"/>
    <w:qFormat/>
    <w:rPr>
      <w:b w:val="false"/>
      <w:i w:val="false"/>
      <w:strike w:val="false"/>
      <w:dstrike w:val="false"/>
      <w:color w:val="auto"/>
      <w:sz w:val="20"/>
      <w:szCs w:val="20"/>
      <w:u w:val="none"/>
    </w:rPr>
  </w:style>
  <w:style w:type="character" w:styleId="ListLabel13">
    <w:name w:val="ListLabel 13"/>
    <w:qFormat/>
    <w:rPr>
      <w:b w:val="false"/>
      <w:i w:val="false"/>
      <w:strike w:val="false"/>
      <w:dstrike w:val="false"/>
      <w:color w:val="auto"/>
      <w:sz w:val="20"/>
      <w:szCs w:val="20"/>
    </w:rPr>
  </w:style>
  <w:style w:type="character" w:styleId="ListLabel14">
    <w:name w:val="ListLabel 14"/>
    <w:qFormat/>
    <w:rPr>
      <w:b/>
      <w:sz w:val="24"/>
    </w:rPr>
  </w:style>
  <w:style w:type="character" w:styleId="ListLabel15">
    <w:name w:val="ListLabel 15"/>
    <w:qFormat/>
    <w:rPr>
      <w:b w:val="false"/>
      <w:i w:val="false"/>
      <w:strike w:val="false"/>
      <w:dstrike w:val="false"/>
      <w:color w:val="auto"/>
      <w:sz w:val="20"/>
      <w:szCs w:val="20"/>
      <w:u w:val="none"/>
    </w:rPr>
  </w:style>
  <w:style w:type="character" w:styleId="ListLabel16">
    <w:name w:val="ListLabel 16"/>
    <w:qFormat/>
    <w:rPr>
      <w:b w:val="false"/>
      <w:i w:val="false"/>
      <w:strike w:val="false"/>
      <w:dstrike w:val="false"/>
      <w:color w:val="auto"/>
      <w:sz w:val="24"/>
      <w:szCs w:val="20"/>
    </w:rPr>
  </w:style>
  <w:style w:type="character" w:styleId="ListLabel17">
    <w:name w:val="ListLabel 17"/>
    <w:qFormat/>
    <w:rPr>
      <w:b/>
    </w:rPr>
  </w:style>
  <w:style w:type="character" w:styleId="ListLabel18">
    <w:name w:val="ListLabel 18"/>
    <w:qFormat/>
    <w:rPr>
      <w:b w:val="false"/>
      <w:i w:val="false"/>
      <w:strike w:val="false"/>
      <w:dstrike w:val="false"/>
      <w:color w:val="auto"/>
      <w:sz w:val="20"/>
      <w:szCs w:val="20"/>
      <w:u w:val="none"/>
    </w:rPr>
  </w:style>
  <w:style w:type="character" w:styleId="ListLabel19">
    <w:name w:val="ListLabel 19"/>
    <w:qFormat/>
    <w:rPr>
      <w:b w:val="false"/>
      <w:i w:val="false"/>
      <w:strike w:val="false"/>
      <w:dstrike w:val="false"/>
      <w:color w:val="auto"/>
      <w:sz w:val="20"/>
      <w:szCs w:val="20"/>
    </w:rPr>
  </w:style>
  <w:style w:type="character" w:styleId="ListLabel20">
    <w:name w:val="ListLabel 20"/>
    <w:qFormat/>
    <w:rPr>
      <w:b/>
    </w:rPr>
  </w:style>
  <w:style w:type="character" w:styleId="ListLabel21">
    <w:name w:val="ListLabel 21"/>
    <w:qFormat/>
    <w:rPr>
      <w:b w:val="false"/>
      <w:i w:val="false"/>
      <w:strike w:val="false"/>
      <w:dstrike w:val="false"/>
      <w:color w:val="auto"/>
      <w:sz w:val="20"/>
      <w:szCs w:val="20"/>
      <w:u w:val="none"/>
    </w:rPr>
  </w:style>
  <w:style w:type="character" w:styleId="ListLabel22">
    <w:name w:val="ListLabel 22"/>
    <w:qFormat/>
    <w:rPr>
      <w:b w:val="false"/>
      <w:i w:val="false"/>
      <w:strike w:val="false"/>
      <w:dstrike w:val="false"/>
      <w:color w:val="auto"/>
      <w:sz w:val="20"/>
      <w:szCs w:val="20"/>
    </w:rPr>
  </w:style>
  <w:style w:type="character" w:styleId="ListLabel23">
    <w:name w:val="ListLabel 23"/>
    <w:qFormat/>
    <w:rPr>
      <w:color w:val="000000"/>
    </w:rPr>
  </w:style>
  <w:style w:type="character" w:styleId="ListLabel24">
    <w:name w:val="ListLabel 24"/>
    <w:qFormat/>
    <w:rPr>
      <w:color w:val="000000"/>
      <w:lang w:eastAsia="en-US"/>
    </w:rPr>
  </w:style>
  <w:style w:type="character" w:styleId="ListLabel25">
    <w:name w:val="ListLabel 25"/>
    <w:qFormat/>
    <w:rPr>
      <w:lang w:eastAsia="en-US"/>
    </w:rPr>
  </w:style>
  <w:style w:type="character" w:styleId="ListLabel26">
    <w:name w:val="ListLabel 26"/>
    <w:qFormat/>
    <w:rPr/>
  </w:style>
  <w:style w:type="character" w:styleId="ListLabel27">
    <w:name w:val="ListLabel 27"/>
    <w:qFormat/>
    <w:rPr>
      <w:rFonts w:eastAsia="Arial"/>
      <w:color w:val="000000"/>
    </w:rPr>
  </w:style>
  <w:style w:type="character" w:styleId="ListLabel28">
    <w:name w:val="ListLabel 28"/>
    <w:qFormat/>
    <w:rPr>
      <w:b/>
    </w:rPr>
  </w:style>
  <w:style w:type="character" w:styleId="ListLabel29">
    <w:name w:val="ListLabel 29"/>
    <w:qFormat/>
    <w:rPr>
      <w:b w:val="false"/>
      <w:i w:val="false"/>
      <w:strike w:val="false"/>
      <w:dstrike w:val="false"/>
      <w:color w:val="auto"/>
      <w:sz w:val="20"/>
      <w:szCs w:val="20"/>
      <w:u w:val="none"/>
    </w:rPr>
  </w:style>
  <w:style w:type="character" w:styleId="ListLabel30">
    <w:name w:val="ListLabel 30"/>
    <w:qFormat/>
    <w:rPr>
      <w:b w:val="false"/>
      <w:i w:val="false"/>
      <w:strike w:val="false"/>
      <w:dstrike w:val="false"/>
      <w:color w:val="auto"/>
      <w:sz w:val="20"/>
      <w:szCs w:val="20"/>
    </w:rPr>
  </w:style>
  <w:style w:type="character" w:styleId="ListLabel31">
    <w:name w:val="ListLabel 31"/>
    <w:qFormat/>
    <w:rPr>
      <w:b/>
    </w:rPr>
  </w:style>
  <w:style w:type="character" w:styleId="ListLabel32">
    <w:name w:val="ListLabel 32"/>
    <w:qFormat/>
    <w:rPr>
      <w:b w:val="false"/>
      <w:i w:val="false"/>
      <w:strike w:val="false"/>
      <w:dstrike w:val="false"/>
      <w:color w:val="auto"/>
      <w:sz w:val="20"/>
      <w:szCs w:val="20"/>
      <w:u w:val="none"/>
    </w:rPr>
  </w:style>
  <w:style w:type="character" w:styleId="ListLabel33">
    <w:name w:val="ListLabel 33"/>
    <w:qFormat/>
    <w:rPr>
      <w:b w:val="false"/>
      <w:i w:val="false"/>
      <w:strike w:val="false"/>
      <w:dstrike w:val="false"/>
      <w:color w:val="auto"/>
      <w:sz w:val="20"/>
      <w:szCs w:val="20"/>
    </w:rPr>
  </w:style>
  <w:style w:type="character" w:styleId="ListLabel34">
    <w:name w:val="ListLabel 34"/>
    <w:qFormat/>
    <w:rPr>
      <w:color w:val="000000"/>
    </w:rPr>
  </w:style>
  <w:style w:type="character" w:styleId="ListLabel35">
    <w:name w:val="ListLabel 35"/>
    <w:qFormat/>
    <w:rPr>
      <w:color w:val="000000"/>
      <w:lang w:eastAsia="en-US"/>
    </w:rPr>
  </w:style>
  <w:style w:type="character" w:styleId="ListLabel36">
    <w:name w:val="ListLabel 36"/>
    <w:qFormat/>
    <w:rPr>
      <w:lang w:eastAsia="en-US"/>
    </w:rPr>
  </w:style>
  <w:style w:type="character" w:styleId="ListLabel37">
    <w:name w:val="ListLabel 37"/>
    <w:qFormat/>
    <w:rPr/>
  </w:style>
  <w:style w:type="character" w:styleId="ListLabel38">
    <w:name w:val="ListLabel 38"/>
    <w:qFormat/>
    <w:rPr>
      <w:rFonts w:eastAsia="Arial"/>
      <w:color w:val="000000"/>
    </w:rPr>
  </w:style>
  <w:style w:type="character" w:styleId="Fontepargpadro">
    <w:name w:val="Fonte parág. padrão"/>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a">
    <w:name w:val="List"/>
    <w:basedOn w:val="Corpodotexto"/>
    <w:rsid w:val="00be5e49"/>
    <w:pPr/>
    <w:rPr>
      <w:rFonts w:cs="Mangal"/>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rsid w:val="00be5e49"/>
    <w:pPr>
      <w:suppressLineNumbers/>
    </w:pPr>
    <w:rPr>
      <w:rFonts w:cs="Mangal"/>
    </w:rPr>
  </w:style>
  <w:style w:type="paragraph" w:styleId="Ttulododocumento">
    <w:name w:val="Title"/>
    <w:basedOn w:val="Normal"/>
    <w:next w:val="Corpodotexto"/>
    <w:link w:val="TtuloChar"/>
    <w:qFormat/>
    <w:rsid w:val="007f77ad"/>
    <w:pPr>
      <w:pBdr>
        <w:bottom w:val="single" w:sz="8" w:space="4" w:color="4F81BD"/>
      </w:pBdr>
      <w:spacing w:before="0" w:after="300"/>
      <w:contextualSpacing/>
    </w:pPr>
    <w:rPr>
      <w:rFonts w:ascii="Calibri" w:hAnsi="Calibri" w:eastAsia="ＭＳ ゴシック" w:cs="Times New Roman" w:asciiTheme="majorHAnsi" w:cstheme="majorBidi" w:eastAsiaTheme="majorEastAsia" w:hAnsiTheme="majorHAnsi"/>
      <w:color w:val="17365D" w:themeColor="text2" w:themeShade="bf"/>
      <w:spacing w:val="5"/>
      <w:kern w:val="2"/>
      <w:sz w:val="52"/>
      <w:szCs w:val="52"/>
    </w:rPr>
  </w:style>
  <w:style w:type="paragraph" w:styleId="Caption">
    <w:name w:val="caption"/>
    <w:basedOn w:val="Normal"/>
    <w:qFormat/>
    <w:rsid w:val="00be5e49"/>
    <w:pPr>
      <w:suppressLineNumbers/>
      <w:spacing w:before="120" w:after="120"/>
    </w:pPr>
    <w:rPr>
      <w:rFonts w:cs="Mangal"/>
      <w:i/>
      <w:iCs/>
    </w:rPr>
  </w:style>
  <w:style w:type="paragraph" w:styleId="ListParagraph">
    <w:name w:val="List Paragraph"/>
    <w:basedOn w:val="Normal"/>
    <w:link w:val="PargrafodaListaChar"/>
    <w:uiPriority w:val="34"/>
    <w:qFormat/>
    <w:rsid w:val="004773fc"/>
    <w:pPr>
      <w:spacing w:before="0" w:after="0"/>
      <w:ind w:left="720" w:hanging="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qFormat/>
    <w:rsid w:val="001a3a05"/>
    <w:pPr>
      <w:spacing w:before="0" w:after="0"/>
      <w:contextualSpacing/>
    </w:pPr>
    <w:rPr/>
  </w:style>
  <w:style w:type="paragraph" w:styleId="Notaexplicativa" w:customStyle="1">
    <w:name w:val="Nota explicativa"/>
    <w:basedOn w:val="Quote"/>
    <w:link w:val="NotaexplicativaChar"/>
    <w:qFormat/>
    <w:rsid w:val="00265fb6"/>
    <w:pPr>
      <w:shd w:val="clear" w:fill="FFFFCC"/>
    </w:pPr>
    <w:rPr>
      <w:szCs w:val="20"/>
    </w:rPr>
  </w:style>
  <w:style w:type="paragraph" w:styleId="CabealhoeRodap" w:customStyle="1">
    <w:name w:val="Cabeçalho e Rodapé"/>
    <w:basedOn w:val="Normal"/>
    <w:qFormat/>
    <w:rsid w:val="00be5e49"/>
    <w:pPr/>
    <w:rPr/>
  </w:style>
  <w:style w:type="paragraph" w:styleId="Cabealho">
    <w:name w:val="Header"/>
    <w:basedOn w:val="Normal"/>
    <w:link w:val="CabealhoChar"/>
    <w:uiPriority w:val="99"/>
    <w:rsid w:val="00ca24fb"/>
    <w:pPr>
      <w:tabs>
        <w:tab w:val="clear" w:pos="708"/>
        <w:tab w:val="center" w:pos="4252" w:leader="none"/>
        <w:tab w:val="right" w:pos="8504" w:leader="none"/>
      </w:tabs>
    </w:pPr>
    <w:rPr/>
  </w:style>
  <w:style w:type="paragraph" w:styleId="Rodap">
    <w:name w:val="Footer"/>
    <w:basedOn w:val="Normal"/>
    <w:link w:val="RodapChar"/>
    <w:uiPriority w:val="99"/>
    <w:rsid w:val="00ca24fb"/>
    <w:pPr>
      <w:tabs>
        <w:tab w:val="clear" w:pos="708"/>
        <w:tab w:val="center" w:pos="4252" w:leader="none"/>
        <w:tab w:val="right" w:pos="8504" w:leader="none"/>
      </w:tabs>
    </w:pPr>
    <w:rPr/>
  </w:style>
  <w:style w:type="paragraph" w:styleId="Annotationtext">
    <w:name w:val="annotation text"/>
    <w:basedOn w:val="Normal"/>
    <w:link w:val="TextodecomentrioChar"/>
    <w:uiPriority w:val="99"/>
    <w:unhideWhenUsed/>
    <w:qFormat/>
    <w:rsid w:val="00d30a43"/>
    <w:pPr/>
    <w:rPr>
      <w:sz w:val="20"/>
      <w:szCs w:val="20"/>
    </w:rPr>
  </w:style>
  <w:style w:type="paragraph" w:styleId="Annotationsubject">
    <w:name w:val="annotation subject"/>
    <w:basedOn w:val="Annotationtext"/>
    <w:next w:val="Annotationtext"/>
    <w:link w:val="AssuntodocomentrioChar"/>
    <w:uiPriority w:val="99"/>
    <w:semiHidden/>
    <w:unhideWhenUsed/>
    <w:qFormat/>
    <w:rsid w:val="00430fdb"/>
    <w:pPr/>
    <w:rPr>
      <w:b/>
      <w:bCs/>
    </w:rPr>
  </w:style>
  <w:style w:type="paragraph" w:styleId="Nivel01" w:customStyle="1">
    <w:name w:val="Nivel 01"/>
    <w:basedOn w:val="Ttulo1"/>
    <w:next w:val="Normal"/>
    <w:link w:val="Nivel01Char"/>
    <w:autoRedefine/>
    <w:qFormat/>
    <w:rsid w:val="00881f44"/>
    <w:pPr>
      <w:tabs>
        <w:tab w:val="clear" w:pos="708"/>
        <w:tab w:val="left" w:pos="567" w:leader="none"/>
      </w:tabs>
      <w:spacing w:lineRule="auto" w:line="276" w:before="240" w:after="120"/>
      <w:jc w:val="both"/>
    </w:pPr>
    <w:rPr>
      <w:rFonts w:ascii="Arial" w:hAnsi="Arial" w:cs="Arial"/>
      <w:color w:val="auto"/>
      <w:sz w:val="20"/>
      <w:szCs w:val="20"/>
    </w:rPr>
  </w:style>
  <w:style w:type="paragraph" w:styleId="Nivel01Titulo" w:customStyle="1">
    <w:name w:val="Nivel_01_Titulo"/>
    <w:basedOn w:val="Nivel01"/>
    <w:link w:val="Nivel01TituloChar"/>
    <w:qFormat/>
    <w:rsid w:val="00e967ea"/>
    <w:pPr>
      <w:jc w:val="left"/>
    </w:pPr>
    <w:rPr>
      <w:rFonts w:cs="Times New Roman" w:cstheme="majorBidi"/>
      <w:color w:val="000000" w:themeColor="text1"/>
      <w:spacing w:val="5"/>
      <w:kern w:val="2"/>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4"/>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Ttulo1"/>
    <w:link w:val="Nivel1Char"/>
    <w:qFormat/>
    <w:rsid w:val="00d30a43"/>
    <w:pPr>
      <w:spacing w:lineRule="auto" w:line="276"/>
      <w:ind w:left="357" w:hanging="357"/>
      <w:jc w:val="both"/>
    </w:pPr>
    <w:rPr>
      <w:rFonts w:ascii="Arial" w:hAnsi="Arial" w:cs="Arial"/>
      <w:bCs w:val="false"/>
      <w:color w:val="000000"/>
    </w:rPr>
  </w:style>
  <w:style w:type="paragraph" w:styleId="PargrafodaLista1" w:customStyle="1">
    <w:name w:val="Parágrafo da Lista1"/>
    <w:basedOn w:val="Normal"/>
    <w:qFormat/>
    <w:rsid w:val="00d30a43"/>
    <w:pPr>
      <w:ind w:left="720" w:hanging="0"/>
    </w:pPr>
    <w:rPr>
      <w:rFonts w:eastAsia="Times New Roman" w:cs="Ecofont_Spranq_eco_Sans"/>
    </w:rPr>
  </w:style>
  <w:style w:type="paragraph" w:styleId="Nivel2" w:customStyle="1">
    <w:name w:val="Nivel 2"/>
    <w:basedOn w:val="Normal"/>
    <w:link w:val="Nivel2Char"/>
    <w:autoRedefine/>
    <w:qFormat/>
    <w:rsid w:val="00507c01"/>
    <w:pPr>
      <w:spacing w:lineRule="auto" w:line="276" w:before="120" w:after="120"/>
      <w:jc w:val="both"/>
    </w:pPr>
    <w:rPr>
      <w:rFonts w:ascii="Arial" w:hAnsi="Arial" w:eastAsia="Arial" w:cs="Arial"/>
      <w:color w:val="000000"/>
      <w:sz w:val="20"/>
      <w:szCs w:val="20"/>
    </w:rPr>
  </w:style>
  <w:style w:type="paragraph" w:styleId="Nivel11" w:customStyle="1">
    <w:name w:val="Nivel 1"/>
    <w:basedOn w:val="Nivel2"/>
    <w:next w:val="Nivel2"/>
    <w:qFormat/>
    <w:rsid w:val="003629e4"/>
    <w:pPr>
      <w:ind w:left="360" w:hanging="360"/>
    </w:pPr>
    <w:rPr>
      <w:b/>
    </w:rPr>
  </w:style>
  <w:style w:type="paragraph" w:styleId="Nivel3" w:customStyle="1">
    <w:name w:val="Nivel 3"/>
    <w:basedOn w:val="Normal"/>
    <w:link w:val="Nivel3Char"/>
    <w:autoRedefine/>
    <w:qFormat/>
    <w:rsid w:val="005d30b6"/>
    <w:pPr>
      <w:tabs>
        <w:tab w:val="clear" w:pos="708"/>
        <w:tab w:val="left" w:pos="0" w:leader="none"/>
      </w:tabs>
      <w:spacing w:lineRule="auto" w:line="276" w:before="120" w:after="120"/>
      <w:ind w:left="284" w:hanging="0"/>
      <w:jc w:val="both"/>
    </w:pPr>
    <w:rPr>
      <w:rFonts w:ascii="Arial" w:hAnsi="Arial" w:cs="Arial"/>
      <w:color w:val="000000"/>
      <w:sz w:val="20"/>
      <w:szCs w:val="20"/>
    </w:rPr>
  </w:style>
  <w:style w:type="paragraph" w:styleId="Nivel4" w:customStyle="1">
    <w:name w:val="Nivel 4"/>
    <w:basedOn w:val="Nivel3"/>
    <w:link w:val="Nivel4Char"/>
    <w:autoRedefine/>
    <w:qFormat/>
    <w:rsid w:val="00da3ef1"/>
    <w:pPr>
      <w:ind w:left="567" w:hanging="0"/>
    </w:pPr>
    <w:rPr>
      <w:color w:val="auto"/>
    </w:rPr>
  </w:style>
  <w:style w:type="paragraph" w:styleId="Nivel5" w:customStyle="1">
    <w:name w:val="Nivel 5"/>
    <w:basedOn w:val="Nivel4"/>
    <w:autoRedefine/>
    <w:qFormat/>
    <w:rsid w:val="00da3ef1"/>
    <w:pPr>
      <w:ind w:left="851" w:hanging="0"/>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hanging="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ind w:left="432" w:hanging="432"/>
    </w:pPr>
    <w:rPr>
      <w:rFonts w:eastAsia="Times New Roman"/>
      <w:i/>
      <w:color w:val="FF0000"/>
    </w:rPr>
  </w:style>
  <w:style w:type="paragraph" w:styleId="Nvel3Opcional" w:customStyle="1">
    <w:name w:val="Nível 3 Opcional"/>
    <w:basedOn w:val="Nivel3"/>
    <w:link w:val="Nvel3OpcionalChar"/>
    <w:qFormat/>
    <w:rsid w:val="00a831d9"/>
    <w:pPr>
      <w:tabs>
        <w:tab w:val="clear" w:pos="0"/>
      </w:tabs>
      <w:ind w:left="1072" w:hanging="504"/>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jc w:val="lef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qFormat/>
    <w:rsid w:val="00f93d80"/>
    <w:pPr>
      <w:spacing w:lineRule="auto" w:line="259" w:before="60" w:after="60"/>
      <w:ind w:left="0" w:hanging="0"/>
      <w:contextualSpacing/>
      <w:jc w:val="center"/>
    </w:pPr>
    <w:rPr>
      <w:rFonts w:ascii="Arial" w:hAnsi="Arial" w:eastAsia="Cambria" w:cs="Arial" w:eastAsiaTheme="minorHAnsi"/>
      <w:b/>
      <w:bCs/>
      <w:i/>
      <w:iCs/>
      <w:color w:val="FF0000"/>
      <w:sz w:val="2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qFormat/>
    <w:rsid w:val="00da3ef1"/>
    <w:pPr/>
    <w:rPr>
      <w:i/>
      <w:iCs/>
      <w:color w:val="FF0000"/>
    </w:rPr>
  </w:style>
  <w:style w:type="paragraph" w:styleId="Nvel3R" w:customStyle="1">
    <w:name w:val="Nível 3-R"/>
    <w:basedOn w:val="Nivel3"/>
    <w:autoRedefine/>
    <w:qFormat/>
    <w:rsid w:val="00556bc2"/>
    <w:pPr>
      <w:ind w:left="284" w:hanging="0"/>
    </w:pPr>
    <w:rPr>
      <w:b/>
      <w:bCs/>
      <w:i/>
      <w:iCs/>
      <w:color w:val="auto"/>
      <w:lang w:eastAsia="en-US"/>
    </w:rPr>
  </w:style>
  <w:style w:type="paragraph" w:styleId="Nvel4R" w:customStyle="1">
    <w:name w:val="Nível 4-R"/>
    <w:basedOn w:val="Nivel4"/>
    <w:autoRedefine/>
    <w:qFormat/>
    <w:rsid w:val="00da3ef1"/>
    <w:pPr/>
    <w:rPr>
      <w:i/>
      <w:iCs/>
      <w:color w:val="FF0000"/>
    </w:rPr>
  </w:style>
  <w:style w:type="paragraph" w:styleId="Nvel1SemNum" w:customStyle="1">
    <w:name w:val="Nível 1-Sem Num"/>
    <w:basedOn w:val="Nivel01"/>
    <w:autoRedefine/>
    <w:qFormat/>
    <w:rsid w:val="00881f44"/>
    <w:pPr>
      <w:outlineLvl w:val="1"/>
    </w:pPr>
    <w:rPr>
      <w:color w:val="FF0000"/>
    </w:rPr>
  </w:style>
  <w:style w:type="paragraph" w:styleId="Citao2" w:customStyle="1">
    <w:name w:val="citação 2"/>
    <w:basedOn w:val="Quote"/>
    <w:qFormat/>
    <w:rsid w:val="00dc41dd"/>
    <w:pPr>
      <w:shd w:val="clear" w:fill="FFFFCC"/>
    </w:pPr>
    <w:rPr>
      <w:szCs w:val="20"/>
    </w:rPr>
  </w:style>
  <w:style w:type="paragraph" w:styleId="Prembulo" w:customStyle="1">
    <w:name w:val="Preâmbulo"/>
    <w:basedOn w:val="Normal"/>
    <w:link w:val="PrembuloChar"/>
    <w:qFormat/>
    <w:rsid w:val="00bb19e4"/>
    <w:pPr>
      <w:spacing w:lineRule="auto" w:line="360" w:before="480" w:after="120"/>
      <w:ind w:left="4253" w:right="-17" w:hanging="0"/>
      <w:jc w:val="both"/>
    </w:pPr>
    <w:rPr>
      <w:rFonts w:ascii="Arial" w:hAnsi="Arial" w:eastAsia="Arial" w:cs="Arial"/>
      <w:bCs/>
      <w:sz w:val="20"/>
      <w:szCs w:val="20"/>
    </w:rPr>
  </w:style>
  <w:style w:type="paragraph" w:styleId="Nivel3erro" w:customStyle="1">
    <w:name w:val="Nivel 3-erro"/>
    <w:basedOn w:val="Nivel3"/>
    <w:qFormat/>
    <w:rsid w:val="005b0afb"/>
    <w:pPr>
      <w:spacing w:lineRule="auto" w:line="240"/>
      <w:ind w:left="425" w:hanging="0"/>
    </w:pPr>
    <w:rPr>
      <w:rFonts w:cs="Tahoma"/>
      <w:color w:val="auto"/>
      <w:szCs w:val="24"/>
    </w:rPr>
  </w:style>
  <w:style w:type="paragraph" w:styleId="Alteraes" w:customStyle="1">
    <w:name w:val="Alterações"/>
    <w:basedOn w:val="Normal"/>
    <w:link w:val="AlteraesChar"/>
    <w:uiPriority w:val="1"/>
    <w:qFormat/>
    <w:rsid w:val="1414b7f7"/>
    <w:pPr>
      <w:spacing w:lineRule="auto" w:line="276" w:before="120" w:after="120"/>
      <w:jc w:val="both"/>
      <w:outlineLvl w:val="1"/>
    </w:pPr>
    <w:rPr>
      <w:rFonts w:ascii="Arial" w:hAnsi="Arial" w:cs="Arial"/>
      <w:i/>
      <w:iCs/>
      <w:color w:val="0000FF"/>
      <w:sz w:val="20"/>
      <w:szCs w:val="20"/>
    </w:rPr>
  </w:style>
  <w:style w:type="paragraph" w:styleId="Nvel1SemNumPreto" w:customStyle="1">
    <w:name w:val="Nível 1-Sem Num Preto"/>
    <w:basedOn w:val="Nvel1SemNum"/>
    <w:qFormat/>
    <w:rsid w:val="00036ad7"/>
    <w:pPr/>
    <w:rPr>
      <w:color w:val="auto"/>
      <w:lang w:eastAsia="zh-CN" w:bidi="hi-IN"/>
    </w:rPr>
  </w:style>
  <w:style w:type="paragraph" w:styleId="Contedodatabela" w:customStyle="1">
    <w:name w:val="Conteúdo da tabela"/>
    <w:basedOn w:val="Normal"/>
    <w:qFormat/>
    <w:rsid w:val="00be5e49"/>
    <w:pPr>
      <w:suppressLineNumbers/>
    </w:pPr>
    <w:rPr/>
  </w:style>
  <w:style w:type="paragraph" w:styleId="Western1" w:customStyle="1">
    <w:name w:val="western1"/>
    <w:basedOn w:val="Normal"/>
    <w:qFormat/>
    <w:rsid w:val="00d1551d"/>
    <w:pPr>
      <w:suppressAutoHyphens w:val="false"/>
      <w:spacing w:lineRule="auto" w:line="288" w:beforeAutospacing="1" w:after="0"/>
    </w:pPr>
    <w:rPr>
      <w:rFonts w:ascii="Arial" w:hAnsi="Arial" w:eastAsia="Times New Roman" w:cs="Arial"/>
      <w:color w:val="00000A"/>
      <w:sz w:val="20"/>
      <w:szCs w:val="20"/>
    </w:rPr>
  </w:style>
  <w:style w:type="paragraph" w:styleId="Ttulodetabela">
    <w:name w:val="Título de tabela"/>
    <w:basedOn w:val="Contedodatabela"/>
    <w:qFormat/>
    <w:pPr>
      <w:suppressLineNumbers/>
      <w:jc w:val="center"/>
    </w:pPr>
    <w:rPr>
      <w:b/>
      <w:bCs/>
    </w:rPr>
  </w:style>
  <w:style w:type="paragraph" w:styleId="LONormal">
    <w:name w:val="LO-Normal"/>
    <w:qFormat/>
    <w:pPr>
      <w:widowControl w:val="false"/>
      <w:suppressAutoHyphens w:val="true"/>
      <w:bidi w:val="0"/>
      <w:spacing w:before="0" w:after="0"/>
      <w:jc w:val="left"/>
      <w:textAlignment w:val="baseline"/>
    </w:pPr>
    <w:rPr>
      <w:rFonts w:ascii="Times New Roman" w:hAnsi="Times New Roman" w:eastAsia="ＭＳ 明朝" w:cs="Times New Roman" w:eastAsiaTheme="minorEastAsia"/>
      <w:color w:val="00000A"/>
      <w:kern w:val="0"/>
      <w:sz w:val="24"/>
      <w:szCs w:val="20"/>
      <w:lang w:eastAsia="zh-CN" w:val="pt-BR" w:bidi="ar-SA"/>
    </w:rPr>
  </w:style>
  <w:style w:type="paragraph" w:styleId="Western">
    <w:name w:val="western"/>
    <w:basedOn w:val="Normal"/>
    <w:qFormat/>
    <w:pPr>
      <w:suppressAutoHyphens w:val="false"/>
      <w:spacing w:before="100" w:after="119"/>
    </w:pPr>
    <w:rPr>
      <w:rFonts w:ascii="Arial Unicode MS" w:hAnsi="Arial Unicode MS" w:eastAsia="Arial Unicode MS" w:cs="Arial Unicode MS"/>
      <w:sz w:val="24"/>
      <w:szCs w:val="24"/>
    </w:rPr>
  </w:style>
  <w:style w:type="numbering" w:styleId="NoList" w:default="1">
    <w:name w:val="No List"/>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table" w:styleId="Tabelacomgrade">
    <w:name w:val="Table Grid"/>
    <w:basedOn w:val="Tabelanormal"/>
    <w:uiPriority w:val="39"/>
    <w:rsid w:val="00db5421"/>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in.gov.br/en/web/dou/-/instrucao-normativa-seges/me-n-77-de-4-de-novembro-de-2022-441681061" TargetMode="External"/><Relationship Id="rId4" Type="http://schemas.openxmlformats.org/officeDocument/2006/relationships/hyperlink" Target="https://www.planalto.gov.br/ccivil_03/leis/lcp/lcp123.htm" TargetMode="External"/><Relationship Id="rId5" Type="http://schemas.openxmlformats.org/officeDocument/2006/relationships/hyperlink" Target="https://www.gov.br/compras/pt-br/acesso-a-informacao/legislacao/instrucoes-normativas/instrucao-normativa-no-53-de-8-de-julho-de-2020" TargetMode="External"/><Relationship Id="rId6" Type="http://schemas.openxmlformats.org/officeDocument/2006/relationships/hyperlink" Target="http://www.planalto.gov.br/ccivil_03/AGU/Pareceres/2019-2022/PRC-JL-01-2020.htm" TargetMode="External"/><Relationship Id="rId7" Type="http://schemas.openxmlformats.org/officeDocument/2006/relationships/hyperlink" Target="https://www.gov.br/empresas-e-negocios/pt-br/empreendedor" TargetMode="External"/><Relationship Id="rId8" Type="http://schemas.openxmlformats.org/officeDocument/2006/relationships/hyperlink" Target="https://www.gov.br/economia/pt-br/assuntos/drei/legislacao/arquivos/legislacoes-federais/indrei772020.pdf"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6A088-106F-43A0-B359-1F7AF1E5D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Application>LibreOffice/6.2.4.2$Windows_X86_64 LibreOffice_project/2412653d852ce75f65fbfa83fb7e7b669a126d64</Application>
  <Pages>14</Pages>
  <Words>4544</Words>
  <Characters>25577</Characters>
  <CharactersWithSpaces>29810</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2023-05-23T14:56:00Z</dcterms:created>
  <dc:creator>ST José Geraldo OTHONI</dc:creator>
  <dc:description/>
  <dc:language>pt-BR</dc:language>
  <cp:lastModifiedBy/>
  <cp:lastPrinted>2023-07-06T16:45:04Z</cp:lastPrinted>
  <dcterms:modified xsi:type="dcterms:W3CDTF">2023-07-06T16:14:52Z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