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alho"/>
        <w:tabs>
          <w:tab w:val="center" w:pos="4252" w:leader="none"/>
          <w:tab w:val="left" w:pos="8100" w:leader="none"/>
          <w:tab w:val="right" w:pos="8504" w:leader="none"/>
          <w:tab w:val="left" w:pos="8820" w:leader="none"/>
        </w:tabs>
        <w:jc w:val="center"/>
        <w:rPr>
          <w:lang w:val="en-US"/>
        </w:rPr>
      </w:pPr>
      <w:r>
        <w:rPr/>
        <w:object w:dxaOrig="6465" w:dyaOrig="5505">
          <v:shape id="ole_rId2" style="width:68.05pt;height:56.7pt" o:ole="">
            <v:imagedata r:id="rId3" o:title=""/>
          </v:shape>
          <o:OLEObject Type="Embed" ProgID="PBrush" ShapeID="ole_rId2" DrawAspect="Content" ObjectID="_802756081" r:id="rId2"/>
        </w:object>
      </w:r>
    </w:p>
    <w:p>
      <w:pPr>
        <w:pStyle w:val="Normal"/>
        <w:spacing w:lineRule="auto" w:line="276"/>
        <w:jc w:val="center"/>
        <w:rPr>
          <w:rFonts w:cs="Arial"/>
          <w:b/>
          <w:b/>
          <w:bCs/>
          <w:iCs/>
          <w:szCs w:val="20"/>
        </w:rPr>
      </w:pPr>
      <w:r>
        <w:rPr>
          <w:rFonts w:cs="Arial"/>
          <w:b/>
          <w:bCs/>
          <w:iCs/>
          <w:szCs w:val="20"/>
        </w:rPr>
        <w:t>MINISTÉRIO DA DEFESA</w:t>
      </w:r>
    </w:p>
    <w:p>
      <w:pPr>
        <w:pStyle w:val="Normal"/>
        <w:spacing w:lineRule="auto" w:line="276"/>
        <w:jc w:val="center"/>
        <w:rPr>
          <w:rFonts w:cs="Arial"/>
          <w:b/>
          <w:b/>
          <w:bCs/>
          <w:iCs/>
          <w:szCs w:val="20"/>
        </w:rPr>
      </w:pPr>
      <w:r>
        <w:rPr>
          <w:rFonts w:cs="Arial"/>
          <w:b/>
          <w:bCs/>
          <w:iCs/>
          <w:szCs w:val="20"/>
        </w:rPr>
        <w:t>EXÉRCITO BRASILEIRO</w:t>
      </w:r>
    </w:p>
    <w:p>
      <w:pPr>
        <w:pStyle w:val="Normal"/>
        <w:spacing w:lineRule="auto" w:line="276"/>
        <w:jc w:val="center"/>
        <w:rPr>
          <w:rFonts w:cs="Arial"/>
          <w:b/>
          <w:b/>
          <w:bCs/>
          <w:iCs/>
          <w:szCs w:val="20"/>
        </w:rPr>
      </w:pPr>
      <w:r>
        <w:rPr>
          <w:rFonts w:cs="Arial"/>
          <w:b/>
          <w:bCs/>
          <w:iCs/>
          <w:szCs w:val="20"/>
        </w:rPr>
        <w:t>HOSPITAL GERAL DE SANTA MARIA</w:t>
      </w:r>
    </w:p>
    <w:p>
      <w:pPr>
        <w:pStyle w:val="Normal"/>
        <w:spacing w:lineRule="auto" w:line="276"/>
        <w:jc w:val="center"/>
        <w:rPr/>
      </w:pPr>
      <w:r>
        <w:rPr>
          <w:rFonts w:cs="Arial"/>
          <w:b/>
          <w:bCs/>
          <w:szCs w:val="20"/>
        </w:rPr>
        <w:t xml:space="preserve">AVISO DE DISPENSA ELETRÔNICA Nº </w:t>
      </w:r>
      <w:r>
        <w:rPr>
          <w:rFonts w:cs="Arial"/>
          <w:b/>
          <w:bCs/>
          <w:szCs w:val="20"/>
        </w:rPr>
        <w:t>2</w:t>
      </w:r>
      <w:r>
        <w:rPr>
          <w:rFonts w:cs="Arial"/>
          <w:b/>
          <w:bCs/>
          <w:szCs w:val="20"/>
        </w:rPr>
        <w:t>0/2023</w:t>
      </w:r>
    </w:p>
    <w:p>
      <w:pPr>
        <w:pStyle w:val="Corpodotexto"/>
        <w:jc w:val="center"/>
        <w:rPr/>
      </w:pPr>
      <w:r>
        <w:rPr>
          <w:rFonts w:cs="Arial"/>
          <w:b/>
          <w:bCs/>
          <w:szCs w:val="20"/>
        </w:rPr>
        <w:t>(Processo Administrativo n.° 64594.008807/2023-35</w:t>
      </w:r>
      <w:r>
        <w:rPr>
          <w:rFonts w:cs="Arial"/>
          <w:b/>
          <w:bCs/>
          <w:color w:val="00000A"/>
          <w:szCs w:val="20"/>
        </w:rPr>
        <w:t>)</w:t>
      </w:r>
    </w:p>
    <w:p>
      <w:pPr>
        <w:pStyle w:val="Normal"/>
        <w:rPr>
          <w:rFonts w:cs="Arial"/>
        </w:rPr>
      </w:pPr>
      <w:r>
        <w:rPr>
          <w:rFonts w:cs="Arial"/>
        </w:rPr>
      </w:r>
    </w:p>
    <w:p>
      <w:pPr>
        <w:pStyle w:val="Normal"/>
        <w:snapToGrid w:val="false"/>
        <w:spacing w:lineRule="auto" w:line="276" w:before="0" w:after="120"/>
        <w:ind w:right="-30" w:firstLine="540"/>
        <w:jc w:val="both"/>
        <w:rPr/>
      </w:pPr>
      <w:r>
        <w:rPr>
          <w:rFonts w:eastAsia="WenQuanYi Micro Hei" w:cs="Arial"/>
          <w:color w:val="00000A"/>
          <w:sz w:val="20"/>
          <w:szCs w:val="20"/>
          <w:lang w:val="pt-BR" w:eastAsia="zh-CN" w:bidi="hi-IN"/>
        </w:rPr>
        <w:t xml:space="preserve">Torna-se público que o Hospital Geral de Santa Maria, por meio do Setor de Almoxarifado, sediado na Rua Marechal Hermes, n° 190, Passo d’Areia, Santa Maria, RS, CEP: 97010-320, realizará Dispensa Eletrônica, </w:t>
      </w:r>
      <w:r>
        <w:rPr>
          <w:rFonts w:eastAsia="WenQuanYi Micro Hei" w:cs="Arial"/>
          <w:bCs/>
          <w:color w:val="00000A"/>
          <w:sz w:val="20"/>
          <w:szCs w:val="20"/>
          <w:lang w:val="pt-BR" w:eastAsia="zh-CN" w:bidi="hi-IN"/>
        </w:rPr>
        <w:t>com critério de julgamento</w:t>
      </w:r>
      <w:r>
        <w:rPr>
          <w:rFonts w:eastAsia="WenQuanYi Micro Hei" w:cs="Arial"/>
          <w:b/>
          <w:bCs/>
          <w:color w:val="00000A"/>
          <w:sz w:val="20"/>
          <w:szCs w:val="20"/>
          <w:lang w:val="pt-BR" w:eastAsia="zh-CN" w:bidi="hi-IN"/>
        </w:rPr>
        <w:t xml:space="preserve"> menor preço, </w:t>
      </w:r>
      <w:r>
        <w:rPr>
          <w:rFonts w:eastAsia="WenQuanYi Micro Hei" w:cs="Arial"/>
          <w:color w:val="00000A"/>
          <w:sz w:val="20"/>
          <w:szCs w:val="20"/>
          <w:lang w:val="pt-BR" w:eastAsia="zh-CN" w:bidi="hi-IN"/>
        </w:rPr>
        <w:t>na hipótese do art. 75</w:t>
      </w:r>
      <w:r>
        <w:rPr>
          <w:rFonts w:eastAsia="WenQuanYi Micro Hei" w:cs="Arial"/>
          <w:iCs/>
          <w:color w:val="00000A"/>
          <w:sz w:val="20"/>
          <w:szCs w:val="20"/>
          <w:lang w:val="pt-BR" w:eastAsia="zh-CN" w:bidi="hi-IN"/>
        </w:rPr>
        <w:t>, inciso II,</w:t>
      </w:r>
      <w:r>
        <w:rPr>
          <w:rFonts w:eastAsia="WenQuanYi Micro Hei" w:cs="Arial"/>
          <w:color w:val="00000A"/>
          <w:sz w:val="20"/>
          <w:szCs w:val="20"/>
          <w:lang w:val="pt-BR" w:eastAsia="zh-CN" w:bidi="hi-IN"/>
        </w:rPr>
        <w:t xml:space="preserve"> </w:t>
      </w:r>
      <w:r>
        <w:rPr>
          <w:rFonts w:eastAsia="WenQuanYi Micro Hei" w:cs="Arial"/>
          <w:bCs/>
          <w:color w:val="00000A"/>
          <w:sz w:val="20"/>
          <w:szCs w:val="20"/>
          <w:lang w:val="pt-BR" w:eastAsia="zh-CN" w:bidi="hi-IN"/>
        </w:rPr>
        <w:t>nos termos da Lei nº 14.133, de 1º de abril de 2021, da Instrução Normativa SEGES/ME nº 67/2021 e demais legislação aplicável</w:t>
      </w:r>
      <w:r>
        <w:rPr>
          <w:rFonts w:eastAsia="WenQuanYi Micro Hei" w:cs="Arial"/>
          <w:color w:val="00000A"/>
          <w:sz w:val="20"/>
          <w:szCs w:val="20"/>
          <w:lang w:val="pt-BR" w:eastAsia="zh-CN" w:bidi="hi-IN"/>
        </w:rPr>
        <w:t>.</w:t>
      </w:r>
    </w:p>
    <w:p>
      <w:pPr>
        <w:pStyle w:val="Normal"/>
        <w:spacing w:lineRule="auto" w:line="276"/>
        <w:jc w:val="both"/>
        <w:rPr/>
      </w:pPr>
      <w:r>
        <w:rPr>
          <w:rFonts w:eastAsia="WenQuanYi Micro Hei" w:cs="Arial"/>
          <w:color w:val="00000A"/>
          <w:sz w:val="20"/>
          <w:szCs w:val="20"/>
          <w:lang w:val="pt-BR" w:eastAsia="zh-CN" w:bidi="hi-IN"/>
        </w:rPr>
        <w:t>Data da sessão: 18/07/2023</w:t>
      </w:r>
    </w:p>
    <w:p>
      <w:pPr>
        <w:pStyle w:val="Normal"/>
        <w:rPr>
          <w:rFonts w:cs="Arial"/>
          <w:szCs w:val="20"/>
        </w:rPr>
      </w:pPr>
      <w:r>
        <w:rPr>
          <w:rFonts w:eastAsia="WenQuanYi Micro Hei" w:cs="Arial"/>
          <w:color w:val="00000A"/>
          <w:sz w:val="20"/>
          <w:szCs w:val="20"/>
          <w:lang w:val="pt-BR" w:eastAsia="zh-CN" w:bidi="hi-IN"/>
        </w:rPr>
        <w:t>Link: www.comprasgovernamentais.gov.br</w:t>
      </w:r>
    </w:p>
    <w:p>
      <w:pPr>
        <w:pStyle w:val="Normal"/>
        <w:rPr/>
      </w:pPr>
      <w:r>
        <w:rPr>
          <w:rFonts w:eastAsia="WenQuanYi Micro Hei" w:cs="Arial"/>
          <w:color w:val="00000A"/>
          <w:sz w:val="20"/>
          <w:szCs w:val="20"/>
          <w:lang w:val="pt-BR" w:eastAsia="zh-CN" w:bidi="hi-IN"/>
        </w:rPr>
        <w:t>Horário da Fase de Lances: 8:00 às 14:00.</w:t>
      </w:r>
    </w:p>
    <w:p>
      <w:pPr>
        <w:pStyle w:val="PADRO"/>
        <w:keepNext w:val="true"/>
        <w:widowControl/>
        <w:shd w:val="clear" w:color="auto" w:fill="auto"/>
        <w:spacing w:before="120" w:after="120"/>
        <w:ind w:left="360" w:hanging="0"/>
        <w:rPr>
          <w:rFonts w:ascii="Arial" w:hAnsi="Arial" w:cs="Arial"/>
          <w:b/>
          <w:b/>
        </w:rPr>
      </w:pPr>
      <w:r>
        <w:rPr>
          <w:rFonts w:cs="Arial" w:ascii="Arial" w:hAnsi="Arial"/>
          <w:b/>
        </w:rPr>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OBJETO DA CONTRATAÇÃO DIRETA</w:t>
      </w:r>
    </w:p>
    <w:p>
      <w:pPr>
        <w:pStyle w:val="PADRO"/>
        <w:keepNext w:val="true"/>
        <w:widowControl/>
        <w:numPr>
          <w:ilvl w:val="1"/>
          <w:numId w:val="1"/>
        </w:numPr>
        <w:shd w:val="clear" w:color="auto" w:fill="auto"/>
        <w:spacing w:before="120" w:after="120"/>
        <w:rPr/>
      </w:pPr>
      <w:r>
        <w:rPr>
          <w:rFonts w:cs="Arial" w:ascii="Arial" w:hAnsi="Arial"/>
          <w:szCs w:val="20"/>
        </w:rPr>
        <w:t xml:space="preserve">O objeto da presente dispensa é a escolha da proposta mais vantajosa para a contratação de serviço por dispensa de licitação de empresa especializada em realizar  manutenção corretiva e preventiva em equipamento de </w:t>
      </w:r>
      <w:r>
        <w:rPr>
          <w:rFonts w:cs="Arial" w:ascii="Arial" w:hAnsi="Arial"/>
          <w:szCs w:val="20"/>
        </w:rPr>
        <w:t>endoscópio</w:t>
      </w:r>
      <w:r>
        <w:rPr>
          <w:rFonts w:cs="Arial" w:ascii="Arial" w:hAnsi="Arial"/>
          <w:szCs w:val="20"/>
        </w:rPr>
        <w:t>/gastroscópio OLYMPUS, modelo GIF-Q180 conforme condições, quantidades e exigências estabelecidas neste Aviso de Contratação Direta e seus anexos.</w:t>
      </w:r>
    </w:p>
    <w:p>
      <w:pPr>
        <w:pStyle w:val="PADRO"/>
        <w:keepNext w:val="true"/>
        <w:widowControl/>
        <w:numPr>
          <w:ilvl w:val="1"/>
          <w:numId w:val="1"/>
        </w:numPr>
        <w:shd w:val="clear" w:color="auto" w:fill="auto"/>
        <w:spacing w:before="120" w:after="120"/>
        <w:rPr>
          <w:rFonts w:ascii="Arial" w:hAnsi="Arial" w:cs="Arial"/>
          <w:szCs w:val="20"/>
        </w:rPr>
      </w:pPr>
      <w:r>
        <w:rPr>
          <w:rFonts w:cs="Arial" w:ascii="Arial" w:hAnsi="Arial"/>
          <w:iCs/>
          <w:szCs w:val="20"/>
        </w:rPr>
        <w:t>A contratação será dividida em itens</w:t>
      </w:r>
      <w:r>
        <w:rPr>
          <w:rFonts w:cs="Arial" w:ascii="Arial" w:hAnsi="Arial"/>
          <w:b/>
          <w:bCs/>
          <w:iCs/>
          <w:szCs w:val="20"/>
        </w:rPr>
        <w:t>,</w:t>
      </w:r>
      <w:r>
        <w:rPr>
          <w:rFonts w:cs="Arial" w:ascii="Arial" w:hAnsi="Arial"/>
          <w:iCs/>
          <w:szCs w:val="20"/>
        </w:rPr>
        <w:t xml:space="preserve"> conforme tabela constante abaixo.</w:t>
      </w:r>
    </w:p>
    <w:tbl>
      <w:tblPr>
        <w:tblW w:w="10036" w:type="dxa"/>
        <w:jc w:val="left"/>
        <w:tblInd w:w="-547" w:type="dxa"/>
        <w:tblCellMar>
          <w:top w:w="0" w:type="dxa"/>
          <w:left w:w="58" w:type="dxa"/>
          <w:bottom w:w="0" w:type="dxa"/>
          <w:right w:w="108" w:type="dxa"/>
        </w:tblCellMar>
        <w:tblLook w:firstRow="1" w:noVBand="1" w:lastRow="0" w:firstColumn="1" w:lastColumn="0" w:noHBand="0" w:val="04a0"/>
      </w:tblPr>
      <w:tblGrid>
        <w:gridCol w:w="816"/>
        <w:gridCol w:w="4637"/>
        <w:gridCol w:w="1091"/>
        <w:gridCol w:w="1217"/>
        <w:gridCol w:w="920"/>
        <w:gridCol w:w="1354"/>
      </w:tblGrid>
      <w:tr>
        <w:trPr/>
        <w:tc>
          <w:tcPr>
            <w:tcW w:w="816"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cs="Arial"/>
                <w:b/>
                <w:b/>
                <w:bCs/>
                <w:sz w:val="14"/>
                <w:szCs w:val="14"/>
              </w:rPr>
            </w:pPr>
            <w:r>
              <w:rPr>
                <w:rFonts w:eastAsia="WenQuanYi Micro Hei" w:cs="Arial"/>
                <w:b/>
                <w:bCs/>
                <w:color w:val="00000A"/>
                <w:kern w:val="0"/>
                <w:sz w:val="18"/>
                <w:szCs w:val="18"/>
                <w:lang w:val="pt-BR" w:eastAsia="zh-CN" w:bidi="hi-IN"/>
              </w:rPr>
              <w:t>ITEM</w:t>
            </w:r>
          </w:p>
          <w:p>
            <w:pPr>
              <w:pStyle w:val="Normal"/>
              <w:widowControl w:val="false"/>
              <w:suppressAutoHyphens w:val="true"/>
              <w:jc w:val="center"/>
              <w:rPr>
                <w:rFonts w:cs="Arial"/>
                <w:b/>
                <w:b/>
                <w:sz w:val="14"/>
                <w:szCs w:val="14"/>
              </w:rPr>
            </w:pPr>
            <w:r>
              <w:rPr>
                <w:rFonts w:cs="Arial"/>
                <w:b/>
                <w:sz w:val="14"/>
                <w:szCs w:val="14"/>
              </w:rPr>
            </w:r>
          </w:p>
        </w:tc>
        <w:tc>
          <w:tcPr>
            <w:tcW w:w="463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jc w:val="center"/>
              <w:rPr>
                <w:rFonts w:cs="Arial"/>
                <w:b/>
                <w:b/>
                <w:bCs/>
                <w:sz w:val="14"/>
                <w:szCs w:val="14"/>
              </w:rPr>
            </w:pPr>
            <w:r>
              <w:rPr>
                <w:rFonts w:eastAsia="WenQuanYi Micro Hei" w:cs="Arial"/>
                <w:b/>
                <w:bCs/>
                <w:color w:val="00000A"/>
                <w:kern w:val="0"/>
                <w:sz w:val="18"/>
                <w:szCs w:val="18"/>
                <w:lang w:val="pt-BR" w:eastAsia="zh-CN" w:bidi="hi-IN"/>
              </w:rPr>
              <w:t>DESCRIÇÃO/</w:t>
            </w:r>
          </w:p>
          <w:p>
            <w:pPr>
              <w:pStyle w:val="Normal"/>
              <w:widowControl w:val="false"/>
              <w:suppressAutoHyphens w:val="true"/>
              <w:jc w:val="center"/>
              <w:rPr>
                <w:rFonts w:cs="Arial"/>
                <w:sz w:val="14"/>
                <w:szCs w:val="14"/>
              </w:rPr>
            </w:pPr>
            <w:r>
              <w:rPr>
                <w:rFonts w:eastAsia="WenQuanYi Micro Hei" w:cs="Arial"/>
                <w:b/>
                <w:bCs/>
                <w:color w:val="00000A"/>
                <w:kern w:val="0"/>
                <w:sz w:val="18"/>
                <w:szCs w:val="18"/>
                <w:lang w:val="pt-BR" w:eastAsia="zh-CN" w:bidi="hi-IN"/>
              </w:rPr>
              <w:t>ESPECIFICAÇÃO</w:t>
            </w:r>
          </w:p>
        </w:tc>
        <w:tc>
          <w:tcPr>
            <w:tcW w:w="1091"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cs="Arial"/>
              </w:rPr>
            </w:pPr>
            <w:r>
              <w:rPr>
                <w:rFonts w:eastAsia="WenQuanYi Micro Hei" w:cs="Arial"/>
                <w:b/>
                <w:bCs/>
                <w:color w:val="00000A"/>
                <w:kern w:val="0"/>
                <w:sz w:val="18"/>
                <w:szCs w:val="18"/>
                <w:lang w:val="pt-BR" w:eastAsia="zh-CN" w:bidi="hi-IN"/>
              </w:rPr>
              <w:t>CATMAT/ CATSER</w:t>
            </w:r>
          </w:p>
        </w:tc>
        <w:tc>
          <w:tcPr>
            <w:tcW w:w="121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cs="Arial"/>
                <w:sz w:val="14"/>
                <w:szCs w:val="14"/>
              </w:rPr>
            </w:pPr>
            <w:r>
              <w:rPr>
                <w:rFonts w:eastAsia="WenQuanYi Micro Hei" w:cs="Arial"/>
                <w:b/>
                <w:bCs/>
                <w:color w:val="00000A"/>
                <w:kern w:val="0"/>
                <w:sz w:val="18"/>
                <w:szCs w:val="18"/>
                <w:lang w:val="pt-BR" w:eastAsia="zh-CN" w:bidi="hi-IN"/>
              </w:rPr>
              <w:t>UNIDADE DE MEDIDA</w:t>
            </w:r>
          </w:p>
        </w:tc>
        <w:tc>
          <w:tcPr>
            <w:tcW w:w="920"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cs="Arial"/>
                <w:sz w:val="14"/>
                <w:szCs w:val="14"/>
              </w:rPr>
            </w:pPr>
            <w:r>
              <w:rPr>
                <w:rFonts w:eastAsia="WenQuanYi Micro Hei" w:cs="Arial"/>
                <w:b/>
                <w:bCs/>
                <w:color w:val="00000A"/>
                <w:kern w:val="0"/>
                <w:sz w:val="18"/>
                <w:szCs w:val="18"/>
                <w:lang w:val="pt-BR" w:eastAsia="zh-CN" w:bidi="hi-IN"/>
              </w:rPr>
              <w:t>QUANT.</w:t>
            </w:r>
          </w:p>
        </w:tc>
        <w:tc>
          <w:tcPr>
            <w:tcW w:w="1354"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cs="Arial"/>
                <w:b/>
                <w:b/>
                <w:bCs/>
                <w:sz w:val="14"/>
                <w:szCs w:val="14"/>
              </w:rPr>
            </w:pPr>
            <w:r>
              <w:rPr>
                <w:rFonts w:eastAsia="WenQuanYi Micro Hei" w:cs="Arial"/>
                <w:b/>
                <w:bCs/>
                <w:color w:val="00000A"/>
                <w:kern w:val="0"/>
                <w:sz w:val="18"/>
                <w:szCs w:val="18"/>
                <w:lang w:val="pt-BR" w:eastAsia="zh-CN" w:bidi="hi-IN"/>
              </w:rPr>
              <w:t>PREÇO UNITÁRIO ESTIMADO</w:t>
            </w:r>
          </w:p>
        </w:tc>
      </w:tr>
      <w:tr>
        <w:trPr>
          <w:trHeight w:val="302" w:hRule="atLeast"/>
        </w:trPr>
        <w:tc>
          <w:tcPr>
            <w:tcW w:w="81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120"/>
              <w:jc w:val="center"/>
              <w:rPr>
                <w:rFonts w:cs="Arial"/>
                <w:b/>
                <w:b/>
                <w:sz w:val="16"/>
                <w:szCs w:val="16"/>
              </w:rPr>
            </w:pPr>
            <w:r>
              <w:rPr>
                <w:rFonts w:eastAsia="WenQuanYi Micro Hei" w:cs="Arial"/>
                <w:b w:val="false"/>
                <w:bCs w:val="false"/>
                <w:color w:val="00000A"/>
                <w:kern w:val="0"/>
                <w:sz w:val="18"/>
                <w:szCs w:val="18"/>
                <w:lang w:val="pt-BR" w:eastAsia="zh-CN" w:bidi="hi-IN"/>
              </w:rPr>
              <w:t>1</w:t>
            </w:r>
          </w:p>
        </w:tc>
        <w:tc>
          <w:tcPr>
            <w:tcW w:w="463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tabs>
                <w:tab w:val="clear" w:pos="720"/>
                <w:tab w:val="left" w:pos="2369" w:leader="none"/>
              </w:tabs>
              <w:suppressAutoHyphens w:val="false"/>
              <w:snapToGrid w:val="false"/>
              <w:jc w:val="both"/>
              <w:rPr>
                <w:rFonts w:ascii="Arial" w:hAnsi="Arial" w:eastAsia="WenQuanYi Micro Hei" w:cs="Arial"/>
                <w:color w:val="00000A"/>
                <w:kern w:val="0"/>
                <w:sz w:val="20"/>
                <w:szCs w:val="20"/>
                <w:lang w:val="pt-BR" w:eastAsia="zh-CN" w:bidi="hi-IN"/>
              </w:rPr>
            </w:pPr>
            <w:r>
              <w:rPr>
                <w:rFonts w:eastAsia="WenQuanYi Micro Hei" w:cs="Arial"/>
                <w:color w:val="00000A"/>
                <w:kern w:val="0"/>
                <w:sz w:val="18"/>
                <w:szCs w:val="18"/>
                <w:lang w:val="pt-BR" w:eastAsia="zh-CN" w:bidi="hi-IN"/>
              </w:rPr>
              <w:t>Manutenção corretiva em equipamento endoscópio/ gastrocópio marca OLYMPUS, modelo GIF-Q180</w:t>
            </w:r>
          </w:p>
          <w:p>
            <w:pPr>
              <w:pStyle w:val="Normal"/>
              <w:numPr>
                <w:ilvl w:val="0"/>
                <w:numId w:val="6"/>
              </w:numPr>
              <w:tabs>
                <w:tab w:val="clear" w:pos="720"/>
                <w:tab w:val="left" w:pos="2369" w:leader="none"/>
              </w:tabs>
              <w:suppressAutoHyphens w:val="false"/>
              <w:snapToGrid w:val="false"/>
              <w:jc w:val="both"/>
              <w:rPr>
                <w:rFonts w:ascii="Arial" w:hAnsi="Arial" w:eastAsia="WenQuanYi Micro Hei" w:cs="Arial"/>
                <w:color w:val="00000A"/>
                <w:kern w:val="0"/>
                <w:sz w:val="20"/>
                <w:szCs w:val="20"/>
                <w:lang w:val="pt-BR" w:eastAsia="zh-CN" w:bidi="hi-IN"/>
              </w:rPr>
            </w:pPr>
            <w:r>
              <w:rPr>
                <w:rFonts w:eastAsia="WenQuanYi Micro Hei" w:cs="Arial"/>
                <w:color w:val="00000A"/>
                <w:kern w:val="0"/>
                <w:sz w:val="18"/>
                <w:szCs w:val="18"/>
                <w:lang w:val="pt-BR" w:eastAsia="zh-CN" w:bidi="hi-IN"/>
              </w:rPr>
              <w:t>Borracha da ponta flexivel</w:t>
            </w:r>
          </w:p>
          <w:p>
            <w:pPr>
              <w:pStyle w:val="Normal"/>
              <w:numPr>
                <w:ilvl w:val="0"/>
                <w:numId w:val="0"/>
              </w:numPr>
              <w:tabs>
                <w:tab w:val="clear" w:pos="720"/>
                <w:tab w:val="left" w:pos="2369" w:leader="none"/>
              </w:tabs>
              <w:suppressAutoHyphens w:val="false"/>
              <w:snapToGrid w:val="false"/>
              <w:ind w:left="720" w:hanging="0"/>
              <w:jc w:val="both"/>
              <w:rPr>
                <w:rFonts w:ascii="Arial" w:hAnsi="Arial" w:eastAsia="WenQuanYi Micro Hei" w:cs="Arial"/>
                <w:color w:val="00000A"/>
                <w:kern w:val="0"/>
                <w:sz w:val="20"/>
                <w:szCs w:val="20"/>
                <w:lang w:val="pt-BR" w:eastAsia="zh-CN" w:bidi="hi-IN"/>
              </w:rPr>
            </w:pPr>
            <w:r>
              <w:rPr>
                <w:rFonts w:eastAsia="WenQuanYi Micro Hei" w:cs="Arial"/>
                <w:color w:val="00000A"/>
                <w:kern w:val="0"/>
                <w:sz w:val="20"/>
                <w:szCs w:val="20"/>
                <w:lang w:val="pt-BR" w:eastAsia="zh-CN" w:bidi="hi-IN"/>
              </w:rPr>
            </w:r>
          </w:p>
        </w:tc>
        <w:tc>
          <w:tcPr>
            <w:tcW w:w="1091"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sz w:val="16"/>
                <w:szCs w:val="16"/>
              </w:rPr>
            </w:pPr>
            <w:r>
              <w:rPr>
                <w:rFonts w:eastAsia="WenQuanYi Micro Hei" w:cs="Arial"/>
                <w:color w:val="00000A"/>
                <w:kern w:val="0"/>
                <w:sz w:val="18"/>
                <w:szCs w:val="18"/>
                <w:lang w:val="pt-BR" w:eastAsia="zh-CN" w:bidi="hi-IN"/>
              </w:rPr>
              <w:t>408084</w:t>
            </w:r>
          </w:p>
        </w:tc>
        <w:tc>
          <w:tcPr>
            <w:tcW w:w="121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rPr>
            </w:pPr>
            <w:r>
              <w:rPr>
                <w:rFonts w:eastAsia="WenQuanYi Micro Hei" w:cs="Arial"/>
                <w:color w:val="00000A"/>
                <w:kern w:val="0"/>
                <w:sz w:val="18"/>
                <w:szCs w:val="18"/>
                <w:lang w:val="pt-BR" w:eastAsia="zh-CN" w:bidi="hi-IN"/>
              </w:rPr>
              <w:t>Und</w:t>
            </w:r>
          </w:p>
        </w:tc>
        <w:tc>
          <w:tcPr>
            <w:tcW w:w="920"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tabs>
                <w:tab w:val="clear" w:pos="720"/>
                <w:tab w:val="left" w:pos="2369" w:leader="none"/>
              </w:tabs>
              <w:suppressAutoHyphens w:val="false"/>
              <w:snapToGrid w:val="false"/>
              <w:jc w:val="center"/>
              <w:rPr>
                <w:rFonts w:ascii="Arial" w:hAnsi="Arial" w:eastAsia="WenQuanYi Micro Hei" w:cs="Arial"/>
                <w:color w:val="00000A"/>
                <w:kern w:val="0"/>
                <w:sz w:val="18"/>
                <w:szCs w:val="18"/>
                <w:lang w:val="pt-BR" w:eastAsia="zh-CN" w:bidi="hi-IN"/>
              </w:rPr>
            </w:pPr>
            <w:r>
              <w:rPr>
                <w:rFonts w:eastAsia="WenQuanYi Micro Hei" w:cs="Arial"/>
                <w:color w:val="00000A"/>
                <w:kern w:val="0"/>
                <w:sz w:val="18"/>
                <w:szCs w:val="18"/>
                <w:lang w:val="pt-BR" w:eastAsia="zh-CN" w:bidi="hi-IN"/>
              </w:rPr>
              <w:t>1</w:t>
            </w:r>
          </w:p>
        </w:tc>
        <w:tc>
          <w:tcPr>
            <w:tcW w:w="1354"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tabs>
                <w:tab w:val="clear" w:pos="720"/>
                <w:tab w:val="left" w:pos="2369" w:leader="none"/>
              </w:tabs>
              <w:suppressAutoHyphens w:val="false"/>
              <w:snapToGrid w:val="false"/>
              <w:jc w:val="center"/>
              <w:rPr>
                <w:rFonts w:ascii="Arial" w:hAnsi="Arial" w:eastAsia="WenQuanYi Micro Hei" w:cs="Arial"/>
                <w:color w:val="00000A"/>
                <w:kern w:val="0"/>
                <w:sz w:val="18"/>
                <w:szCs w:val="18"/>
                <w:lang w:val="pt-BR" w:eastAsia="zh-CN" w:bidi="hi-IN"/>
              </w:rPr>
            </w:pPr>
            <w:r>
              <w:rPr>
                <w:rFonts w:eastAsia="WenQuanYi Micro Hei" w:cs="Arial"/>
                <w:color w:val="00000A"/>
                <w:kern w:val="0"/>
                <w:sz w:val="18"/>
                <w:szCs w:val="18"/>
                <w:lang w:val="pt-BR" w:eastAsia="zh-CN" w:bidi="hi-IN"/>
              </w:rPr>
              <w:t>1</w:t>
            </w:r>
            <w:r>
              <w:rPr>
                <w:rFonts w:eastAsia="WenQuanYi Micro Hei" w:cs="Arial"/>
                <w:color w:val="00000A"/>
                <w:kern w:val="0"/>
                <w:sz w:val="18"/>
                <w:szCs w:val="18"/>
                <w:lang w:val="pt-BR" w:eastAsia="zh-CN" w:bidi="hi-IN"/>
              </w:rPr>
              <w:t>.</w:t>
            </w:r>
            <w:r>
              <w:rPr>
                <w:rFonts w:eastAsia="WenQuanYi Micro Hei" w:cs="Arial"/>
                <w:color w:val="00000A"/>
                <w:kern w:val="0"/>
                <w:sz w:val="18"/>
                <w:szCs w:val="18"/>
                <w:lang w:val="pt-BR" w:eastAsia="zh-CN" w:bidi="hi-IN"/>
              </w:rPr>
              <w:t>0</w:t>
            </w:r>
            <w:r>
              <w:rPr>
                <w:rFonts w:eastAsia="WenQuanYi Micro Hei" w:cs="Arial"/>
                <w:color w:val="00000A"/>
                <w:kern w:val="0"/>
                <w:sz w:val="18"/>
                <w:szCs w:val="18"/>
                <w:lang w:val="pt-BR" w:eastAsia="zh-CN" w:bidi="hi-IN"/>
              </w:rPr>
              <w:t>33,33</w:t>
            </w:r>
          </w:p>
        </w:tc>
      </w:tr>
      <w:tr>
        <w:trPr>
          <w:trHeight w:val="302" w:hRule="atLeast"/>
        </w:trPr>
        <w:tc>
          <w:tcPr>
            <w:tcW w:w="816" w:type="dxa"/>
            <w:tcBorders>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120"/>
              <w:jc w:val="center"/>
              <w:rPr>
                <w:rFonts w:cs="Arial"/>
                <w:b/>
                <w:b/>
                <w:sz w:val="16"/>
                <w:szCs w:val="16"/>
              </w:rPr>
            </w:pPr>
            <w:r>
              <w:rPr>
                <w:rFonts w:eastAsia="WenQuanYi Micro Hei" w:cs="Arial"/>
                <w:b w:val="false"/>
                <w:bCs w:val="false"/>
                <w:color w:val="00000A"/>
                <w:kern w:val="0"/>
                <w:sz w:val="18"/>
                <w:szCs w:val="18"/>
                <w:lang w:val="pt-BR" w:eastAsia="zh-CN" w:bidi="hi-IN"/>
              </w:rPr>
              <w:t>1</w:t>
            </w:r>
          </w:p>
        </w:tc>
        <w:tc>
          <w:tcPr>
            <w:tcW w:w="4637" w:type="dxa"/>
            <w:tcBorders>
              <w:left w:val="single" w:sz="4" w:space="0" w:color="000001"/>
              <w:bottom w:val="single" w:sz="4" w:space="0" w:color="000001"/>
              <w:right w:val="single" w:sz="4" w:space="0" w:color="000001"/>
            </w:tcBorders>
            <w:shd w:fill="auto" w:val="clear"/>
            <w:vAlign w:val="center"/>
          </w:tcPr>
          <w:p>
            <w:pPr>
              <w:pStyle w:val="Normal"/>
              <w:tabs>
                <w:tab w:val="clear" w:pos="720"/>
                <w:tab w:val="left" w:pos="2369" w:leader="none"/>
              </w:tabs>
              <w:suppressAutoHyphens w:val="false"/>
              <w:snapToGrid w:val="false"/>
              <w:jc w:val="both"/>
              <w:rPr>
                <w:rFonts w:ascii="Arial" w:hAnsi="Arial" w:eastAsia="WenQuanYi Micro Hei" w:cs="Arial"/>
                <w:color w:val="00000A"/>
                <w:kern w:val="0"/>
                <w:sz w:val="20"/>
                <w:szCs w:val="20"/>
                <w:lang w:val="pt-BR" w:eastAsia="zh-CN" w:bidi="hi-IN"/>
              </w:rPr>
            </w:pPr>
            <w:r>
              <w:rPr>
                <w:rFonts w:eastAsia="WenQuanYi Micro Hei" w:cs="Arial"/>
                <w:color w:val="00000A"/>
                <w:kern w:val="0"/>
                <w:sz w:val="18"/>
                <w:szCs w:val="18"/>
                <w:lang w:val="pt-BR" w:eastAsia="zh-CN" w:bidi="hi-IN"/>
              </w:rPr>
              <w:t>Manutenção corretiva em equipamento endoscópio/ gastrocópio marca OLYMPUS, modelo GIF-Q180</w:t>
            </w:r>
          </w:p>
          <w:p>
            <w:pPr>
              <w:pStyle w:val="Normal"/>
              <w:numPr>
                <w:ilvl w:val="0"/>
                <w:numId w:val="6"/>
              </w:numPr>
              <w:tabs>
                <w:tab w:val="clear" w:pos="720"/>
                <w:tab w:val="left" w:pos="2369" w:leader="none"/>
              </w:tabs>
              <w:suppressAutoHyphens w:val="false"/>
              <w:snapToGrid w:val="false"/>
              <w:jc w:val="both"/>
              <w:rPr>
                <w:rFonts w:ascii="Arial" w:hAnsi="Arial" w:eastAsia="WenQuanYi Micro Hei" w:cs="Arial"/>
                <w:color w:val="00000A"/>
                <w:kern w:val="0"/>
                <w:sz w:val="20"/>
                <w:szCs w:val="20"/>
                <w:lang w:val="pt-BR" w:eastAsia="zh-CN" w:bidi="hi-IN"/>
              </w:rPr>
            </w:pPr>
            <w:r>
              <w:rPr>
                <w:rFonts w:eastAsia="WenQuanYi Micro Hei" w:cs="Arial"/>
                <w:color w:val="00000A"/>
                <w:kern w:val="0"/>
                <w:sz w:val="18"/>
                <w:szCs w:val="18"/>
                <w:lang w:val="pt-BR" w:eastAsia="zh-CN" w:bidi="hi-IN"/>
              </w:rPr>
              <w:t>Mão de obra de revisão;</w:t>
            </w:r>
          </w:p>
          <w:p>
            <w:pPr>
              <w:pStyle w:val="Normal"/>
              <w:numPr>
                <w:ilvl w:val="0"/>
                <w:numId w:val="0"/>
              </w:numPr>
              <w:tabs>
                <w:tab w:val="clear" w:pos="720"/>
                <w:tab w:val="left" w:pos="2369" w:leader="none"/>
              </w:tabs>
              <w:suppressAutoHyphens w:val="false"/>
              <w:snapToGrid w:val="false"/>
              <w:ind w:left="720" w:hanging="0"/>
              <w:jc w:val="both"/>
              <w:rPr>
                <w:rFonts w:ascii="Arial" w:hAnsi="Arial" w:eastAsia="WenQuanYi Micro Hei" w:cs="Arial"/>
                <w:color w:val="00000A"/>
                <w:kern w:val="0"/>
                <w:sz w:val="20"/>
                <w:szCs w:val="20"/>
                <w:lang w:val="pt-BR" w:eastAsia="zh-CN" w:bidi="hi-IN"/>
              </w:rPr>
            </w:pPr>
            <w:r>
              <w:rPr>
                <w:rFonts w:eastAsia="WenQuanYi Micro Hei" w:cs="Arial"/>
                <w:color w:val="00000A"/>
                <w:kern w:val="0"/>
                <w:sz w:val="20"/>
                <w:szCs w:val="20"/>
                <w:lang w:val="pt-BR" w:eastAsia="zh-CN" w:bidi="hi-IN"/>
              </w:rPr>
            </w:r>
          </w:p>
        </w:tc>
        <w:tc>
          <w:tcPr>
            <w:tcW w:w="1091"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sz w:val="16"/>
                <w:szCs w:val="16"/>
              </w:rPr>
            </w:pPr>
            <w:r>
              <w:rPr>
                <w:rFonts w:eastAsia="WenQuanYi Micro Hei" w:cs="Arial"/>
                <w:color w:val="00000A"/>
                <w:kern w:val="0"/>
                <w:sz w:val="18"/>
                <w:szCs w:val="18"/>
                <w:lang w:val="pt-BR" w:eastAsia="zh-CN" w:bidi="hi-IN"/>
              </w:rPr>
              <w:t>408084/ 5428</w:t>
            </w:r>
          </w:p>
        </w:tc>
        <w:tc>
          <w:tcPr>
            <w:tcW w:w="1217"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rPr>
            </w:pPr>
            <w:r>
              <w:rPr>
                <w:rFonts w:eastAsia="WenQuanYi Micro Hei" w:cs="Arial"/>
                <w:color w:val="00000A"/>
                <w:kern w:val="0"/>
                <w:sz w:val="18"/>
                <w:szCs w:val="18"/>
                <w:lang w:val="pt-BR" w:eastAsia="zh-CN" w:bidi="hi-IN"/>
              </w:rPr>
              <w:t>Und</w:t>
            </w:r>
          </w:p>
        </w:tc>
        <w:tc>
          <w:tcPr>
            <w:tcW w:w="920" w:type="dxa"/>
            <w:tcBorders>
              <w:left w:val="single" w:sz="4" w:space="0" w:color="000001"/>
              <w:bottom w:val="single" w:sz="4" w:space="0" w:color="000001"/>
              <w:right w:val="single" w:sz="4" w:space="0" w:color="000001"/>
            </w:tcBorders>
            <w:shd w:fill="auto" w:val="clear"/>
            <w:vAlign w:val="center"/>
          </w:tcPr>
          <w:p>
            <w:pPr>
              <w:pStyle w:val="Normal"/>
              <w:tabs>
                <w:tab w:val="clear" w:pos="720"/>
                <w:tab w:val="left" w:pos="2369" w:leader="none"/>
              </w:tabs>
              <w:suppressAutoHyphens w:val="false"/>
              <w:snapToGrid w:val="false"/>
              <w:jc w:val="center"/>
              <w:rPr>
                <w:rFonts w:ascii="Arial" w:hAnsi="Arial" w:eastAsia="WenQuanYi Micro Hei" w:cs="Arial"/>
                <w:color w:val="00000A"/>
                <w:kern w:val="0"/>
                <w:sz w:val="18"/>
                <w:szCs w:val="18"/>
                <w:lang w:val="pt-BR" w:eastAsia="zh-CN" w:bidi="hi-IN"/>
              </w:rPr>
            </w:pPr>
            <w:r>
              <w:rPr>
                <w:rFonts w:eastAsia="WenQuanYi Micro Hei" w:cs="Arial"/>
                <w:color w:val="00000A"/>
                <w:kern w:val="0"/>
                <w:sz w:val="18"/>
                <w:szCs w:val="18"/>
                <w:lang w:val="pt-BR" w:eastAsia="zh-CN" w:bidi="hi-IN"/>
              </w:rPr>
              <w:t>1</w:t>
            </w:r>
          </w:p>
        </w:tc>
        <w:tc>
          <w:tcPr>
            <w:tcW w:w="1354" w:type="dxa"/>
            <w:tcBorders>
              <w:left w:val="single" w:sz="4" w:space="0" w:color="000001"/>
              <w:bottom w:val="single" w:sz="4" w:space="0" w:color="000001"/>
              <w:right w:val="single" w:sz="4" w:space="0" w:color="000001"/>
            </w:tcBorders>
            <w:shd w:fill="auto" w:val="clear"/>
            <w:vAlign w:val="center"/>
          </w:tcPr>
          <w:p>
            <w:pPr>
              <w:pStyle w:val="Normal"/>
              <w:tabs>
                <w:tab w:val="clear" w:pos="720"/>
                <w:tab w:val="left" w:pos="2369" w:leader="none"/>
              </w:tabs>
              <w:suppressAutoHyphens w:val="false"/>
              <w:snapToGrid w:val="false"/>
              <w:jc w:val="center"/>
              <w:rPr>
                <w:rFonts w:ascii="Arial" w:hAnsi="Arial" w:eastAsia="WenQuanYi Micro Hei" w:cs="Arial"/>
                <w:color w:val="00000A"/>
                <w:kern w:val="0"/>
                <w:sz w:val="18"/>
                <w:szCs w:val="18"/>
                <w:lang w:val="pt-BR" w:eastAsia="zh-CN" w:bidi="hi-IN"/>
              </w:rPr>
            </w:pPr>
            <w:r>
              <w:rPr>
                <w:rFonts w:eastAsia="WenQuanYi Micro Hei" w:cs="Arial"/>
                <w:color w:val="00000A"/>
                <w:kern w:val="0"/>
                <w:sz w:val="18"/>
                <w:szCs w:val="18"/>
                <w:lang w:val="pt-BR" w:eastAsia="zh-CN" w:bidi="hi-IN"/>
              </w:rPr>
              <w:t>1</w:t>
            </w:r>
            <w:r>
              <w:rPr>
                <w:rFonts w:eastAsia="WenQuanYi Micro Hei" w:cs="Arial"/>
                <w:color w:val="00000A"/>
                <w:kern w:val="0"/>
                <w:sz w:val="18"/>
                <w:szCs w:val="18"/>
                <w:lang w:val="pt-BR" w:eastAsia="zh-CN" w:bidi="hi-IN"/>
              </w:rPr>
              <w:t>.5</w:t>
            </w:r>
            <w:r>
              <w:rPr>
                <w:rFonts w:eastAsia="WenQuanYi Micro Hei" w:cs="Arial"/>
                <w:color w:val="00000A"/>
                <w:kern w:val="0"/>
                <w:sz w:val="18"/>
                <w:szCs w:val="18"/>
                <w:lang w:val="pt-BR" w:eastAsia="zh-CN" w:bidi="hi-IN"/>
              </w:rPr>
              <w:t>00</w:t>
            </w:r>
            <w:r>
              <w:rPr>
                <w:rFonts w:eastAsia="WenQuanYi Micro Hei" w:cs="Arial"/>
                <w:color w:val="00000A"/>
                <w:kern w:val="0"/>
                <w:sz w:val="18"/>
                <w:szCs w:val="18"/>
                <w:lang w:val="pt-BR" w:eastAsia="zh-CN" w:bidi="hi-IN"/>
              </w:rPr>
              <w:t>,</w:t>
            </w:r>
            <w:r>
              <w:rPr>
                <w:rFonts w:eastAsia="WenQuanYi Micro Hei" w:cs="Arial"/>
                <w:color w:val="00000A"/>
                <w:kern w:val="0"/>
                <w:sz w:val="18"/>
                <w:szCs w:val="18"/>
                <w:lang w:val="pt-BR" w:eastAsia="zh-CN" w:bidi="hi-IN"/>
              </w:rPr>
              <w:t>00</w:t>
            </w:r>
          </w:p>
        </w:tc>
      </w:tr>
    </w:tbl>
    <w:p>
      <w:pPr>
        <w:pStyle w:val="PADRO"/>
        <w:keepNext w:val="true"/>
        <w:widowControl/>
        <w:numPr>
          <w:ilvl w:val="1"/>
          <w:numId w:val="1"/>
        </w:numPr>
        <w:shd w:val="clear" w:color="auto" w:fill="auto"/>
        <w:spacing w:before="120" w:after="120"/>
        <w:rPr>
          <w:rFonts w:ascii="Arial" w:hAnsi="Arial" w:cs="Arial"/>
          <w:szCs w:val="20"/>
        </w:rPr>
      </w:pPr>
      <w:r>
        <w:rPr>
          <w:rFonts w:eastAsia="WenQuanYi Micro Hei" w:cs="Arial" w:ascii="Arial" w:hAnsi="Arial"/>
          <w:color w:val="00000A"/>
          <w:kern w:val="0"/>
          <w:sz w:val="18"/>
          <w:szCs w:val="18"/>
          <w:lang w:val="pt-BR" w:eastAsia="zh-CN" w:bidi="hi-IN"/>
        </w:rPr>
        <w:t>O crité</w:t>
      </w:r>
      <w:r>
        <w:rPr>
          <w:rFonts w:cs="Arial" w:ascii="Arial" w:hAnsi="Arial"/>
          <w:szCs w:val="20"/>
        </w:rPr>
        <w:t>rio de julgamento adotado será o</w:t>
      </w:r>
      <w:r>
        <w:rPr>
          <w:rFonts w:cs="Arial" w:ascii="Arial" w:hAnsi="Arial"/>
          <w:iCs/>
          <w:szCs w:val="20"/>
        </w:rPr>
        <w:t xml:space="preserve"> menor preço,</w:t>
      </w:r>
      <w:r>
        <w:rPr>
          <w:rFonts w:cs="Arial" w:ascii="Arial" w:hAnsi="Arial"/>
          <w:szCs w:val="20"/>
        </w:rPr>
        <w:t xml:space="preserve"> observadas as exigências contidas neste Aviso de Contratação Direta e seus Anexos quanto às especificações do objeto.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szCs w:val="20"/>
        </w:rPr>
      </w:pPr>
      <w:r>
        <w:rPr>
          <w:rFonts w:cs="Arial"/>
          <w:szCs w:val="20"/>
        </w:rPr>
        <w:t>Não poderão participar desta dispensa os fornecedores:</w:t>
      </w:r>
    </w:p>
    <w:p>
      <w:pPr>
        <w:pStyle w:val="Normal"/>
        <w:numPr>
          <w:ilvl w:val="2"/>
          <w:numId w:val="1"/>
        </w:numPr>
        <w:spacing w:lineRule="auto" w:line="276" w:before="120" w:after="120"/>
        <w:jc w:val="both"/>
        <w:rPr>
          <w:rFonts w:cs="Arial"/>
          <w:szCs w:val="20"/>
        </w:rPr>
      </w:pPr>
      <w:r>
        <w:rPr>
          <w:rFonts w:cs="Arial"/>
          <w:szCs w:val="20"/>
        </w:rPr>
        <w:t>que não atendam às condições deste Aviso de Contratação Direta e seu(s) anexo(s);</w:t>
      </w:r>
    </w:p>
    <w:p>
      <w:pPr>
        <w:pStyle w:val="Normal"/>
        <w:numPr>
          <w:ilvl w:val="2"/>
          <w:numId w:val="1"/>
        </w:numPr>
        <w:spacing w:lineRule="auto" w:line="276" w:before="120" w:after="120"/>
        <w:jc w:val="both"/>
        <w:rPr>
          <w:rFonts w:cs="Arial"/>
          <w:szCs w:val="20"/>
        </w:rPr>
      </w:pPr>
      <w:r>
        <w:rPr>
          <w:rFonts w:cs="Arial"/>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szCs w:val="20"/>
        </w:rPr>
      </w:pPr>
      <w:r>
        <w:rPr>
          <w:rFonts w:cs="Arial"/>
          <w:szCs w:val="20"/>
        </w:rPr>
        <w:t>Que se enquadrem nas seguintes vedações:</w:t>
      </w:r>
    </w:p>
    <w:p>
      <w:pPr>
        <w:pStyle w:val="Normal"/>
        <w:numPr>
          <w:ilvl w:val="3"/>
          <w:numId w:val="4"/>
        </w:numPr>
        <w:spacing w:lineRule="auto" w:line="276" w:before="120" w:after="120"/>
        <w:jc w:val="both"/>
        <w:rPr>
          <w:rFonts w:cs="Arial"/>
          <w:szCs w:val="20"/>
        </w:rPr>
      </w:pPr>
      <w:r>
        <w:rPr>
          <w:rFonts w:cs="Arial"/>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szCs w:val="20"/>
        </w:rPr>
      </w:pPr>
      <w:r>
        <w:rPr>
          <w:rFonts w:cs="Arial"/>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szCs w:val="20"/>
        </w:rPr>
      </w:pPr>
      <w:r>
        <w:rPr>
          <w:rFonts w:cs="Arial"/>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szCs w:val="20"/>
        </w:rPr>
      </w:pPr>
      <w:r>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szCs w:val="20"/>
        </w:rPr>
        <w:t>empresas controladoras, controladas ou coligadas, nos termos da </w:t>
      </w:r>
      <w:hyperlink r:id="rId4">
        <w:r>
          <w:rPr>
            <w:rStyle w:val="LinkdaInternet"/>
            <w:rFonts w:eastAsia="Calibri" w:cs="Arial"/>
            <w:color w:val="00000A"/>
            <w:szCs w:val="20"/>
          </w:rPr>
          <w:t>Lei nº 6.404, de 15 de dezembro de 1976</w:t>
        </w:r>
      </w:hyperlink>
      <w:r>
        <w:rPr>
          <w:rFonts w:cs="Arial"/>
          <w:szCs w:val="20"/>
        </w:rPr>
        <w:t>, concorrendo entre si;</w:t>
      </w:r>
    </w:p>
    <w:p>
      <w:pPr>
        <w:pStyle w:val="Normal"/>
        <w:numPr>
          <w:ilvl w:val="3"/>
          <w:numId w:val="4"/>
        </w:numPr>
        <w:spacing w:lineRule="auto" w:line="276" w:before="120" w:after="120"/>
        <w:jc w:val="both"/>
        <w:rPr>
          <w:rFonts w:cs="Arial"/>
          <w:szCs w:val="20"/>
        </w:rPr>
      </w:pPr>
      <w:r>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szCs w:val="20"/>
        </w:rPr>
      </w:pPr>
      <w:r>
        <w:rPr>
          <w:rFonts w:cs="Arial"/>
          <w:szCs w:val="20"/>
        </w:rPr>
        <w:t>Equiparam-se aos autores do projeto as empresas integrantes do mesmo grupo econômico;</w:t>
      </w:r>
    </w:p>
    <w:p>
      <w:pPr>
        <w:pStyle w:val="Normal"/>
        <w:numPr>
          <w:ilvl w:val="3"/>
          <w:numId w:val="1"/>
        </w:numPr>
        <w:spacing w:lineRule="auto" w:line="276" w:before="120" w:after="120"/>
        <w:jc w:val="both"/>
        <w:rPr>
          <w:rFonts w:cs="Arial"/>
          <w:szCs w:val="20"/>
        </w:rPr>
      </w:pPr>
      <w:r>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szCs w:val="20"/>
        </w:rPr>
      </w:pPr>
      <w:r>
        <w:rPr>
          <w:rFonts w:cs="Arial"/>
          <w:szCs w:val="20"/>
        </w:rPr>
        <w:t xml:space="preserve">Organizações da Sociedade Civil de Interesse Público - OSCIP, atuando nessa condição (Acórdão nº 746/2014-TCU-Plenário); </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szCs w:val="20"/>
        </w:rPr>
      </w:pPr>
      <w:r>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Todas as especificações do objeto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 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p>
    <w:p>
      <w:pPr>
        <w:pStyle w:val="Normal"/>
        <w:numPr>
          <w:ilvl w:val="1"/>
          <w:numId w:val="1"/>
        </w:numPr>
        <w:spacing w:lineRule="auto" w:line="276" w:before="120" w:after="120"/>
        <w:ind w:left="425" w:hanging="0"/>
        <w:jc w:val="both"/>
        <w:rPr>
          <w:rFonts w:cs="Arial"/>
          <w:szCs w:val="20"/>
        </w:rPr>
      </w:pPr>
      <w:r>
        <w:rPr>
          <w:rFonts w:cs="Arial"/>
          <w:szCs w:val="20"/>
        </w:rPr>
        <w:t>No cadastramento da proposta inicial, o fornecedor deverá, também, assinalar “sim” ou “não” em campo próprio do sistema eletrônico, às seguintes declarações:</w:t>
      </w:r>
      <w:r>
        <w:rPr>
          <w:rFonts w:eastAsia="Zurich BT" w:cs="Arial"/>
          <w:szCs w:val="20"/>
        </w:rPr>
        <w:t xml:space="preserve"> </w:t>
      </w:r>
    </w:p>
    <w:p>
      <w:pPr>
        <w:pStyle w:val="ListParagraph"/>
        <w:numPr>
          <w:ilvl w:val="0"/>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Normal"/>
        <w:numPr>
          <w:ilvl w:val="2"/>
          <w:numId w:val="1"/>
        </w:numPr>
        <w:spacing w:lineRule="auto" w:line="276" w:before="120" w:after="120"/>
        <w:jc w:val="both"/>
        <w:rPr>
          <w:rFonts w:cs="Arial"/>
          <w:szCs w:val="20"/>
        </w:rPr>
      </w:pPr>
      <w:r>
        <w:rPr>
          <w:rFonts w:cs="Arial"/>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szCs w:val="20"/>
        </w:rPr>
      </w:pPr>
      <w:r>
        <w:rPr>
          <w:rFonts w:cs="Arial"/>
          <w:szCs w:val="20"/>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szCs w:val="20"/>
        </w:rPr>
      </w:pPr>
      <w:r>
        <w:rPr>
          <w:rFonts w:cs="Arial"/>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szCs w:val="20"/>
        </w:rPr>
      </w:pPr>
      <w:r>
        <w:rPr>
          <w:rFonts w:cs="Arial"/>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szCs w:val="20"/>
        </w:rPr>
      </w:pPr>
      <w:r>
        <w:rPr>
          <w:rFonts w:cs="Arial"/>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szCs w:val="20"/>
        </w:rPr>
      </w:pPr>
      <w:r>
        <w:rPr>
          <w:rFonts w:cs="Arial"/>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szCs w:val="20"/>
        </w:rPr>
      </w:pPr>
      <w:r>
        <w:rPr>
          <w:rFonts w:cs="Arial"/>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szCs w:val="20"/>
        </w:rPr>
      </w:pPr>
      <w:r>
        <w:rPr>
          <w:rFonts w:cs="Arial"/>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szCs w:val="20"/>
        </w:rPr>
      </w:pPr>
      <w:r>
        <w:rPr>
          <w:rFonts w:cs="Arial"/>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szCs w:val="20"/>
        </w:rPr>
      </w:pPr>
      <w:r>
        <w:rPr>
          <w:rFonts w:cs="Arial"/>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szCs w:val="20"/>
        </w:rPr>
      </w:pPr>
      <w:r>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A partir das 8:00 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cs="Arial"/>
          <w:szCs w:val="20"/>
          <w:lang w:eastAsia="en-US"/>
        </w:rPr>
      </w:pPr>
      <w:r>
        <w:rPr>
          <w:rFonts w:cs="Arial"/>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szCs w:val="20"/>
          <w:lang w:eastAsia="en-US"/>
        </w:rPr>
      </w:pPr>
      <w:r>
        <w:rPr>
          <w:rFonts w:cs="Arial"/>
          <w:iCs/>
          <w:szCs w:val="20"/>
        </w:rPr>
        <w:t>O lance deverá ser ofertado pelo valor unitário do item.</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Cs/>
          <w:szCs w:val="20"/>
        </w:rPr>
        <w:t xml:space="preserve"> R$ 1,00 (um real).</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szCs w:val="20"/>
        </w:rPr>
      </w:pPr>
      <w:r>
        <w:rPr>
          <w:rFonts w:cs="Arial"/>
          <w:szCs w:val="20"/>
        </w:rPr>
        <w:t>O prazo de validade da proposta não será inferior a 90 (novennta) dias</w:t>
      </w:r>
      <w:r>
        <w:rPr>
          <w:rFonts w:cs="Arial"/>
          <w:b/>
          <w:bCs/>
          <w:szCs w:val="20"/>
        </w:rPr>
        <w:t>,</w:t>
      </w:r>
      <w:r>
        <w:rPr>
          <w:rFonts w:cs="Arial"/>
          <w:szCs w:val="20"/>
        </w:rPr>
        <w:t xml:space="preserve"> a contar da data de sua apresentação.</w:t>
      </w:r>
    </w:p>
    <w:p>
      <w:pPr>
        <w:pStyle w:val="ListParagraph"/>
        <w:numPr>
          <w:ilvl w:val="1"/>
          <w:numId w:val="1"/>
        </w:numPr>
        <w:spacing w:lineRule="auto" w:line="276" w:before="120" w:after="120"/>
        <w:contextualSpacing/>
        <w:jc w:val="both"/>
        <w:rPr>
          <w:rFonts w:cs="Arial"/>
          <w:szCs w:val="20"/>
        </w:rPr>
      </w:pPr>
      <w:r>
        <w:rPr>
          <w:rFonts w:cs="Arial"/>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szCs w:val="20"/>
        </w:rPr>
      </w:pPr>
      <w:r>
        <w:rPr>
          <w:rFonts w:cs="Arial"/>
          <w:szCs w:val="20"/>
        </w:rPr>
        <w:t>Contiver vícios insanáveis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Não obedecer às especificações técnicas pormenorizadas neste aviso ou em seus anexos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szCs w:val="20"/>
        </w:rPr>
      </w:pPr>
      <w:r>
        <w:rPr>
          <w:rFonts w:cs="Arial"/>
          <w:szCs w:val="20"/>
        </w:rPr>
        <w:t>Não tiverem sua exequibilidade demonstrada, quando exigido pela Administração</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szCs w:val="20"/>
        </w:rPr>
      </w:pPr>
      <w:r>
        <w:rPr>
          <w:rFonts w:cs="Arial"/>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szCs w:val="20"/>
          <w:lang w:eastAsia="en-US"/>
        </w:rPr>
      </w:pPr>
      <w:r>
        <w:rPr>
          <w:rFonts w:cs="Arial"/>
          <w:szCs w:val="20"/>
          <w:lang w:eastAsia="en-US"/>
        </w:rPr>
        <w:t xml:space="preserve">Se houver indícios de inexequibilidade da proposta de preço, ou em caso da necessidade de esclarecimentos </w:t>
      </w:r>
      <w:r>
        <w:rPr>
          <w:rFonts w:cs="Arial"/>
          <w:szCs w:val="20"/>
        </w:rPr>
        <w:t>complementares</w:t>
      </w:r>
      <w:r>
        <w:rPr>
          <w:rFonts w:cs="Arial"/>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Erros no preenchimento da planilha não constituem motivo para a desclassificação da proposta. A planilha </w:t>
      </w:r>
      <w:r>
        <w:rPr>
          <w:rFonts w:cs="Arial"/>
          <w:szCs w:val="20"/>
        </w:rPr>
        <w:t>poderá</w:t>
      </w:r>
      <w:r>
        <w:rPr>
          <w:rFonts w:cs="Arial"/>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Encerrada a análise quanto à aceitação da proposta, se iniciará a fase de habilitação, observado o disposto neste Aviso de Contratação Direta. </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5">
        <w:r>
          <w:rPr>
            <w:rStyle w:val="LinkdaInternet"/>
            <w:rFonts w:eastAsia="Calibri" w:cs="Arial"/>
            <w:color w:val="00000A"/>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6">
        <w:r>
          <w:rPr>
            <w:rStyle w:val="LinkdaInternet"/>
            <w:rFonts w:eastAsia="Calibri" w:cs="Arial"/>
            <w:color w:val="00000A"/>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rPr>
      </w:pPr>
      <w:r>
        <w:rPr>
          <w:rFonts w:cs="Arial"/>
          <w:szCs w:val="20"/>
          <w:lang w:eastAsia="ar-SA"/>
        </w:rPr>
        <w:t xml:space="preserve">Para a consulta de </w:t>
      </w:r>
      <w:r>
        <w:rPr>
          <w:rFonts w:cs="Arial"/>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Cs w:val="20"/>
        </w:rPr>
      </w:pPr>
      <w:r>
        <w:rPr>
          <w:rFonts w:cs="Arial"/>
          <w:szCs w:val="20"/>
        </w:rPr>
        <w:t xml:space="preserve">A consulta aos </w:t>
      </w:r>
      <w:r>
        <w:rPr>
          <w:rFonts w:cs="Arial"/>
          <w:szCs w:val="20"/>
          <w:lang w:eastAsia="ar-SA"/>
        </w:rPr>
        <w:t>cadastros</w:t>
      </w:r>
      <w:r>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szCs w:val="20"/>
        </w:rPr>
      </w:pPr>
      <w:r>
        <w:rPr>
          <w:rFonts w:cs="Arial"/>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cs="Arial"/>
          <w:szCs w:val="20"/>
        </w:rPr>
      </w:pPr>
      <w:r>
        <w:rPr>
          <w:rFonts w:cs="Arial"/>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szCs w:val="20"/>
        </w:rPr>
      </w:pPr>
      <w:r>
        <w:rPr>
          <w:rFonts w:cs="Arial"/>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2"/>
          <w:numId w:val="1"/>
        </w:numPr>
        <w:spacing w:lineRule="auto" w:line="276" w:before="120" w:after="120"/>
        <w:contextualSpacing/>
        <w:jc w:val="both"/>
        <w:rPr>
          <w:rFonts w:cs="Arial"/>
          <w:szCs w:val="20"/>
        </w:rPr>
      </w:pPr>
      <w:r>
        <w:rPr>
          <w:rFonts w:cs="Arial"/>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 xml:space="preserve">Será inabilitado o fornecedor que não comprovar sua habilitação, seja por não apresentar </w:t>
      </w:r>
      <w:r>
        <w:rPr>
          <w:rFonts w:cs="Arial"/>
          <w:iCs/>
          <w:lang w:eastAsia="en-US"/>
        </w:rPr>
        <w:t>quaisquer</w:t>
      </w:r>
      <w:r>
        <w:rPr>
          <w:rFonts w:cs="Arial"/>
          <w:szCs w:val="20"/>
        </w:rPr>
        <w:t xml:space="preserve"> dos </w:t>
      </w:r>
      <w:r>
        <w:rPr>
          <w:rFonts w:cs="Arial"/>
          <w:bCs/>
          <w:szCs w:val="20"/>
        </w:rPr>
        <w:t>documentos</w:t>
      </w:r>
      <w:r>
        <w:rPr>
          <w:rFonts w:cs="Arial"/>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szCs w:val="20"/>
        </w:rPr>
      </w:pPr>
      <w:r>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szCs w:val="20"/>
        </w:rPr>
      </w:pPr>
      <w:r>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(dias) dias, a contar da data de seu recebimento. </w:t>
      </w:r>
    </w:p>
    <w:p>
      <w:pPr>
        <w:pStyle w:val="Normal"/>
        <w:numPr>
          <w:ilvl w:val="2"/>
          <w:numId w:val="1"/>
        </w:numPr>
        <w:spacing w:lineRule="auto" w:line="276" w:before="120" w:after="120"/>
        <w:jc w:val="both"/>
        <w:rPr>
          <w:rFonts w:eastAsia="Arial" w:cs="Arial"/>
          <w:szCs w:val="20"/>
        </w:rPr>
      </w:pPr>
      <w:r>
        <w:rPr>
          <w:rFonts w:eastAsia="Arial" w:cs="Arial"/>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szCs w:val="20"/>
        </w:rPr>
      </w:pPr>
      <w:r>
        <w:rPr>
          <w:rFonts w:eastAsia="Arial" w:cs="Arial"/>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szCs w:val="20"/>
        </w:rPr>
      </w:pPr>
      <w:r>
        <w:rPr>
          <w:rFonts w:eastAsia="Arial" w:cs="Arial"/>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szCs w:val="20"/>
        </w:rPr>
      </w:pPr>
      <w:r>
        <w:rPr>
          <w:rFonts w:eastAsia="Arial" w:cs="Arial"/>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prazo de vigência da contratação é de 90 (noventa) dias prorrogáveis conforme previsão nos anexos a este Aviso de Contratação Direta. </w:t>
      </w:r>
    </w:p>
    <w:p>
      <w:pPr>
        <w:pStyle w:val="Normal"/>
        <w:numPr>
          <w:ilvl w:val="1"/>
          <w:numId w:val="1"/>
        </w:numPr>
        <w:spacing w:lineRule="auto" w:line="276" w:before="120" w:after="120"/>
        <w:ind w:left="425" w:hanging="0"/>
        <w:jc w:val="both"/>
        <w:rPr>
          <w:rFonts w:eastAsia="Arial" w:cs="Arial"/>
          <w:szCs w:val="20"/>
        </w:rPr>
      </w:pPr>
      <w:r>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szCs w:val="20"/>
        </w:rPr>
        <w:t>Dar causa à inexecução total do contrato;</w:t>
      </w:r>
    </w:p>
    <w:p>
      <w:pPr>
        <w:pStyle w:val="Normal"/>
        <w:numPr>
          <w:ilvl w:val="2"/>
          <w:numId w:val="1"/>
        </w:numPr>
        <w:spacing w:lineRule="auto" w:line="276" w:before="120" w:after="120"/>
        <w:jc w:val="both"/>
        <w:rPr>
          <w:rFonts w:cs="Arial"/>
        </w:rPr>
      </w:pPr>
      <w:r>
        <w:rPr>
          <w:rFonts w:cs="Arial"/>
          <w:szCs w:val="20"/>
        </w:rPr>
        <w:t>Deixar de entregar a documentação exigida para o certame;</w:t>
      </w:r>
    </w:p>
    <w:p>
      <w:pPr>
        <w:pStyle w:val="Normal"/>
        <w:numPr>
          <w:ilvl w:val="2"/>
          <w:numId w:val="1"/>
        </w:numPr>
        <w:spacing w:lineRule="auto" w:line="276" w:before="120" w:after="120"/>
        <w:jc w:val="both"/>
        <w:rPr>
          <w:rFonts w:cs="Arial"/>
        </w:rPr>
      </w:pPr>
      <w:r>
        <w:rPr>
          <w:rFonts w:cs="Arial"/>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szCs w:val="20"/>
        </w:rPr>
        <w:t> </w:t>
      </w:r>
      <w:r>
        <w:rPr>
          <w:rFonts w:cs="Arial"/>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szCs w:val="20"/>
        </w:rPr>
        <w:t> </w:t>
      </w:r>
      <w:r>
        <w:rPr>
          <w:rFonts w:cs="Arial"/>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szCs w:val="20"/>
        </w:rPr>
        <w:t> </w:t>
      </w:r>
      <w:r>
        <w:rPr>
          <w:rFonts w:cs="Arial"/>
          <w:szCs w:val="20"/>
        </w:rPr>
        <w:t>praticar atos ilícitos com vistas a frustrar os objetivos deste certame.</w:t>
      </w:r>
    </w:p>
    <w:p>
      <w:pPr>
        <w:pStyle w:val="Normal"/>
        <w:numPr>
          <w:ilvl w:val="2"/>
          <w:numId w:val="1"/>
        </w:numPr>
        <w:spacing w:lineRule="auto" w:line="276" w:before="120" w:after="120"/>
        <w:jc w:val="both"/>
        <w:rPr/>
      </w:pPr>
      <w:r>
        <w:rPr>
          <w:rFonts w:cs="Arial"/>
          <w:szCs w:val="20"/>
        </w:rPr>
        <w:t>praticar ato lesivo previsto no </w:t>
      </w:r>
      <w:r>
        <w:fldChar w:fldCharType="begin"/>
      </w:r>
      <w:r>
        <w:rPr>
          <w:rStyle w:val="LinkdaInternet"/>
        </w:rPr>
        <w:instrText> HYPERLINK "http://www.planalto.gov.br/ccivil_03/_Ato2011-2014/2013/Lei/L12846.htm"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Multa de 30 % (trinta por cento) 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szCs w:val="20"/>
        </w:rPr>
        <w:t>Impedimento de licitar e contratar</w:t>
      </w:r>
      <w:r>
        <w:rPr>
          <w:rFonts w:cs="Arial"/>
        </w:rPr>
        <w:t xml:space="preserve"> </w:t>
      </w:r>
      <w:r>
        <w:rPr>
          <w:rFonts w:cs="Arial"/>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0" w:name="art156§6"/>
      <w:bookmarkStart w:id="1" w:name="art156§7"/>
      <w:bookmarkStart w:id="2" w:name="art156§8"/>
      <w:bookmarkEnd w:id="0"/>
      <w:bookmarkEnd w:id="1"/>
      <w:bookmarkEnd w:id="2"/>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3" w:name="art156§9"/>
      <w:bookmarkEnd w:id="3"/>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szCs w:val="20"/>
        </w:rPr>
      </w:pPr>
      <w:r>
        <w:rPr>
          <w:rFonts w:cs="Arial"/>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szCs w:val="20"/>
        </w:rPr>
      </w:pPr>
      <w:r>
        <w:rPr>
          <w:rFonts w:cs="Arial"/>
          <w:szCs w:val="20"/>
        </w:rPr>
        <w:t>republicar o presente aviso com uma nova data;</w:t>
      </w:r>
    </w:p>
    <w:p>
      <w:pPr>
        <w:pStyle w:val="Normal"/>
        <w:numPr>
          <w:ilvl w:val="2"/>
          <w:numId w:val="1"/>
        </w:numPr>
        <w:spacing w:lineRule="auto" w:line="276" w:before="120" w:after="120"/>
        <w:jc w:val="both"/>
        <w:rPr>
          <w:rFonts w:cs="Arial"/>
          <w:szCs w:val="20"/>
        </w:rPr>
      </w:pPr>
      <w:r>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szCs w:val="20"/>
        </w:rPr>
      </w:pPr>
      <w:r>
        <w:rPr>
          <w:rFonts w:cs="Arial"/>
          <w:szCs w:val="20"/>
        </w:rPr>
        <w:t>No caso do subitem anterior, a contratação será operacionalizada fora deste procedimento.</w:t>
      </w:r>
    </w:p>
    <w:p>
      <w:pPr>
        <w:pStyle w:val="Normal"/>
        <w:numPr>
          <w:ilvl w:val="2"/>
          <w:numId w:val="1"/>
        </w:numPr>
        <w:spacing w:lineRule="auto" w:line="276" w:before="120" w:after="120"/>
        <w:jc w:val="both"/>
        <w:rPr>
          <w:rFonts w:cs="Arial"/>
          <w:szCs w:val="20"/>
        </w:rPr>
      </w:pPr>
      <w:r>
        <w:rPr>
          <w:rFonts w:cs="Arial"/>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szCs w:val="20"/>
        </w:rPr>
      </w:pPr>
      <w:r>
        <w:rPr>
          <w:rFonts w:cs="Arial"/>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szCs w:val="20"/>
        </w:rPr>
      </w:pPr>
      <w:r>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szCs w:val="20"/>
        </w:rPr>
      </w:pPr>
      <w:r>
        <w:rPr>
          <w:rFonts w:cs="Arial"/>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szCs w:val="20"/>
        </w:rPr>
      </w:pPr>
      <w:r>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szCs w:val="20"/>
        </w:rPr>
      </w:pPr>
      <w:r>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szCs w:val="20"/>
        </w:rPr>
      </w:pPr>
      <w:r>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szCs w:val="20"/>
        </w:rPr>
      </w:pPr>
      <w:r>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szCs w:val="20"/>
        </w:rPr>
      </w:pPr>
      <w:r>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szCs w:val="20"/>
        </w:rPr>
      </w:pPr>
      <w:r>
        <w:rPr>
          <w:rFonts w:cs="Arial"/>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szCs w:val="20"/>
        </w:rPr>
      </w:pPr>
      <w:r>
        <w:rPr>
          <w:rFonts w:cs="Arial"/>
          <w:szCs w:val="20"/>
        </w:rPr>
        <w:t>Da sessão pública será divulgada Ata no sistema eletrônico.</w:t>
      </w:r>
    </w:p>
    <w:p>
      <w:pPr>
        <w:pStyle w:val="Normal"/>
        <w:numPr>
          <w:ilvl w:val="1"/>
          <w:numId w:val="1"/>
        </w:numPr>
        <w:spacing w:lineRule="auto" w:line="276" w:before="120" w:after="120"/>
        <w:ind w:left="425" w:hanging="0"/>
        <w:jc w:val="both"/>
        <w:rPr>
          <w:rFonts w:cs="Arial"/>
          <w:szCs w:val="20"/>
        </w:rPr>
      </w:pPr>
      <w:r>
        <w:rPr>
          <w:rFonts w:cs="Arial"/>
          <w:szCs w:val="20"/>
        </w:rPr>
        <w:t>Integram este Aviso de Contratação Direta, para todos os fins e efeitos, os seguintes anexos:</w:t>
      </w:r>
    </w:p>
    <w:p>
      <w:pPr>
        <w:pStyle w:val="Normal"/>
        <w:numPr>
          <w:ilvl w:val="2"/>
          <w:numId w:val="1"/>
        </w:numPr>
        <w:spacing w:lineRule="auto" w:line="276" w:before="120" w:after="120"/>
        <w:jc w:val="both"/>
        <w:rPr>
          <w:rFonts w:cs="Arial"/>
          <w:szCs w:val="20"/>
        </w:rPr>
      </w:pPr>
      <w:r>
        <w:rPr>
          <w:rFonts w:cs="Arial"/>
          <w:szCs w:val="20"/>
        </w:rPr>
        <w:t>ANEXO I – Documentação exigida para Habilitação</w:t>
      </w:r>
    </w:p>
    <w:p>
      <w:pPr>
        <w:pStyle w:val="Normal"/>
        <w:numPr>
          <w:ilvl w:val="2"/>
          <w:numId w:val="1"/>
        </w:numPr>
        <w:spacing w:lineRule="auto" w:line="276" w:before="120" w:after="120"/>
        <w:jc w:val="both"/>
        <w:rPr/>
      </w:pPr>
      <w:r>
        <w:rPr/>
        <w:t>O serviço deverá ser realizado no Hospital Geral de Santa Maria localizado na Rua Marechal Hermes, n° 190, passo da Areia, Santa Maria, RS, CEP: 97010-320, no Setor de Fonoaudiologia, ou a empresa vencedora do certame deverá arcar com todos os custos de retirada e envio dos aparelhos, não causando ônus à UNIÃO.</w:t>
      </w:r>
    </w:p>
    <w:p>
      <w:pPr>
        <w:pStyle w:val="Normal"/>
        <w:numPr>
          <w:ilvl w:val="2"/>
          <w:numId w:val="1"/>
        </w:numPr>
        <w:spacing w:lineRule="auto" w:line="276" w:before="120" w:after="120"/>
        <w:jc w:val="both"/>
        <w:rPr/>
      </w:pPr>
      <w:r>
        <w:rPr/>
        <w:t>A empresa deverá prestar o serviço no prazo máximo de 30 (trinta) dias corridos, contados a partir da retirada/recebimento da nota de empenho pela contratada;</w:t>
      </w:r>
    </w:p>
    <w:p>
      <w:pPr>
        <w:pStyle w:val="Normal"/>
        <w:numPr>
          <w:ilvl w:val="2"/>
          <w:numId w:val="1"/>
        </w:numPr>
        <w:spacing w:lineRule="auto" w:line="276" w:before="120" w:after="120"/>
        <w:jc w:val="both"/>
        <w:rPr/>
      </w:pPr>
      <w:r>
        <w:rPr/>
        <w:t>A prestação do serviço deverá ser atestada pelo Almoxarifado, que aferirá a sua conformidade com as especificações constantes do Pedido;</w:t>
      </w:r>
    </w:p>
    <w:p>
      <w:pPr>
        <w:pStyle w:val="Normal"/>
        <w:numPr>
          <w:ilvl w:val="2"/>
          <w:numId w:val="1"/>
        </w:numPr>
        <w:spacing w:lineRule="auto" w:line="276" w:before="120" w:after="120"/>
        <w:jc w:val="both"/>
        <w:rPr/>
      </w:pPr>
      <w:r>
        <w:rPr/>
        <w:t>O responsável pelo Almoxarifado, designado para acompanhar a execução do serviço, formalizará o seu recebimento na própria nota fiscal e/ou fatura correspondente, no prazo máximo de dois dias úteis contados da data da entrega do objeto, pela Contratada.</w:t>
      </w:r>
    </w:p>
    <w:p>
      <w:pPr>
        <w:pStyle w:val="Normal"/>
        <w:numPr>
          <w:ilvl w:val="2"/>
          <w:numId w:val="1"/>
        </w:numPr>
        <w:spacing w:lineRule="auto" w:line="276" w:before="120" w:after="120"/>
        <w:jc w:val="both"/>
        <w:rPr/>
      </w:pPr>
      <w:r>
        <w:rPr/>
        <w:t>A Contratada se obriga a efetuar a qualquer tempo, a realizar nova afiação de instrumentais cirúrgicos dentro do prazo de garantia legal.</w:t>
      </w:r>
    </w:p>
    <w:p>
      <w:pPr>
        <w:pStyle w:val="Normal"/>
        <w:numPr>
          <w:ilvl w:val="2"/>
          <w:numId w:val="1"/>
        </w:numPr>
        <w:spacing w:lineRule="auto" w:line="276" w:before="120" w:after="120"/>
        <w:jc w:val="both"/>
        <w:rPr/>
      </w:pPr>
      <w:r>
        <w:rPr/>
        <w:t xml:space="preserve">O serviço será </w:t>
      </w:r>
      <w:r>
        <w:rPr>
          <w:b/>
        </w:rPr>
        <w:t>rejeitado</w:t>
      </w:r>
      <w:r>
        <w:rPr/>
        <w:t xml:space="preserve"> caso não esteja em conformidade com as descrições previstas neste instrumento.</w:t>
      </w:r>
    </w:p>
    <w:p>
      <w:pPr>
        <w:pStyle w:val="Normal"/>
        <w:spacing w:lineRule="auto" w:line="276" w:before="120" w:after="120"/>
        <w:ind w:left="1224" w:hanging="0"/>
        <w:jc w:val="both"/>
        <w:rPr/>
      </w:pPr>
      <w:r>
        <w:rPr/>
      </w:r>
    </w:p>
    <w:p>
      <w:pPr>
        <w:pStyle w:val="Normal"/>
        <w:spacing w:lineRule="auto" w:line="276" w:before="0" w:after="120"/>
        <w:ind w:left="360" w:right="-15" w:hanging="0"/>
        <w:jc w:val="center"/>
        <w:rPr/>
      </w:pPr>
      <w:r>
        <w:rPr>
          <w:rFonts w:cs="Arial"/>
          <w:szCs w:val="20"/>
        </w:rPr>
        <w:t>Santa Maria - RS, 13 de julho de 2023.</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b/>
          <w:b/>
          <w:bCs/>
        </w:rPr>
      </w:pPr>
      <w:r>
        <w:rPr>
          <w:rFonts w:cs="Arial"/>
          <w:b/>
          <w:bCs/>
          <w:szCs w:val="20"/>
        </w:rPr>
        <w:t xml:space="preserve">VINICIUS DE AMORIM </w:t>
      </w:r>
      <w:r>
        <w:rPr>
          <w:rFonts w:eastAsia="Times New Roman" w:cs="Arial"/>
          <w:b/>
          <w:bCs/>
          <w:color w:val="00000A"/>
          <w:kern w:val="0"/>
          <w:sz w:val="20"/>
          <w:szCs w:val="20"/>
          <w:lang w:val="pt-BR" w:eastAsia="pt-BR" w:bidi="ar-SA"/>
        </w:rPr>
        <w:t>COSTA</w:t>
      </w:r>
      <w:r>
        <w:rPr>
          <w:rFonts w:cs="Arial"/>
          <w:b/>
          <w:bCs/>
          <w:szCs w:val="20"/>
        </w:rPr>
        <w:t xml:space="preserve"> - Cap</w:t>
      </w:r>
    </w:p>
    <w:p>
      <w:pPr>
        <w:pStyle w:val="Normal"/>
        <w:spacing w:lineRule="auto" w:line="276" w:before="0" w:after="120"/>
        <w:ind w:left="360" w:right="-15" w:hanging="0"/>
        <w:jc w:val="center"/>
        <w:rPr>
          <w:b/>
          <w:b/>
          <w:bCs/>
        </w:rPr>
      </w:pPr>
      <w:r>
        <w:rPr>
          <w:rFonts w:eastAsia="Times New Roman" w:cs="Arial"/>
          <w:b/>
          <w:bCs/>
          <w:color w:val="00000A"/>
          <w:kern w:val="0"/>
          <w:sz w:val="20"/>
          <w:szCs w:val="20"/>
          <w:lang w:val="pt-BR" w:eastAsia="pt-BR" w:bidi="ar-SA"/>
        </w:rPr>
        <w:t>Chefe do Almoxarifado</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jc w:val="center"/>
        <w:rPr>
          <w:rFonts w:cs="Arial"/>
          <w:b/>
          <w:b/>
          <w:bCs/>
          <w:iCs/>
          <w:szCs w:val="20"/>
        </w:rPr>
      </w:pPr>
      <w:r>
        <w:rPr>
          <w:rFonts w:eastAsia="Times New Roman" w:cs="Arial"/>
          <w:b/>
          <w:bCs/>
          <w:iCs/>
          <w:color w:val="00000A"/>
          <w:kern w:val="0"/>
          <w:sz w:val="20"/>
          <w:szCs w:val="20"/>
          <w:lang w:val="pt-BR" w:eastAsia="pt-BR" w:bidi="ar-SA"/>
        </w:rPr>
        <w:t>JOSÉ ALOISIO MESQUITA KLOECKNER</w:t>
      </w:r>
      <w:r>
        <w:rPr>
          <w:rFonts w:cs="Arial"/>
          <w:b/>
          <w:bCs/>
          <w:iCs/>
          <w:szCs w:val="20"/>
        </w:rPr>
        <w:t xml:space="preserve"> – </w:t>
      </w:r>
      <w:r>
        <w:rPr>
          <w:rFonts w:eastAsia="Times New Roman" w:cs="Arial"/>
          <w:b/>
          <w:bCs/>
          <w:iCs/>
          <w:color w:val="00000A"/>
          <w:kern w:val="0"/>
          <w:sz w:val="20"/>
          <w:szCs w:val="20"/>
          <w:lang w:val="pt-BR" w:eastAsia="pt-BR" w:bidi="ar-SA"/>
        </w:rPr>
        <w:t>TC</w:t>
      </w:r>
    </w:p>
    <w:p>
      <w:pPr>
        <w:pStyle w:val="Normal"/>
        <w:spacing w:lineRule="auto" w:line="276"/>
        <w:jc w:val="center"/>
        <w:rPr>
          <w:rFonts w:cs="Arial"/>
          <w:szCs w:val="20"/>
        </w:rPr>
      </w:pPr>
      <w:r>
        <w:rPr>
          <w:rFonts w:cs="Arial"/>
          <w:b/>
          <w:bCs/>
          <w:iCs/>
          <w:szCs w:val="20"/>
        </w:rPr>
        <w:t>Respondendo pela Direção do HGeSM</w:t>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t>ANEXO I – DOCUMENTAÇÃO EXIGIDA PARA HABILITAÇÃO</w:t>
      </w:r>
    </w:p>
    <w:p>
      <w:pPr>
        <w:pStyle w:val="PADRO"/>
        <w:keepNext w:val="true"/>
        <w:widowControl/>
        <w:numPr>
          <w:ilvl w:val="0"/>
          <w:numId w:val="3"/>
        </w:numPr>
        <w:shd w:val="clear" w:fill="FFFFFF"/>
        <w:spacing w:before="120" w:after="120"/>
        <w:rPr>
          <w:rFonts w:ascii="Arial" w:hAnsi="Arial" w:cs="Arial"/>
          <w:szCs w:val="20"/>
        </w:rPr>
      </w:pPr>
      <w:r>
        <w:rPr>
          <w:rFonts w:cs="Arial" w:ascii="Arial" w:hAnsi="Arial"/>
          <w:b/>
          <w:bCs/>
          <w:szCs w:val="20"/>
        </w:rPr>
        <w:t xml:space="preserve">Habilitação jurídica: </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no caso de empresário individual, inscrição no Registro Público de Empresas Mercantis, a cargo da Junta Comercial da respectiva sede;</w:t>
      </w:r>
    </w:p>
    <w:p>
      <w:pPr>
        <w:pStyle w:val="ListParagraph"/>
        <w:numPr>
          <w:ilvl w:val="1"/>
          <w:numId w:val="3"/>
        </w:numPr>
        <w:tabs>
          <w:tab w:val="clear" w:pos="720"/>
          <w:tab w:val="left" w:pos="1440" w:leader="none"/>
        </w:tabs>
        <w:snapToGrid w:val="false"/>
        <w:spacing w:lineRule="auto" w:line="276" w:before="120" w:after="120"/>
        <w:contextualSpacing/>
        <w:jc w:val="both"/>
        <w:rPr>
          <w:rFonts w:cs="Arial"/>
          <w:szCs w:val="20"/>
        </w:rPr>
      </w:pPr>
      <w:r>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 xml:space="preserve">decreto de autorização, em se tratando de sociedade empresária estrangeira em funcionamento no País; </w:t>
      </w:r>
    </w:p>
    <w:p>
      <w:pPr>
        <w:pStyle w:val="ListParagraph"/>
        <w:numPr>
          <w:ilvl w:val="1"/>
          <w:numId w:val="3"/>
        </w:numPr>
        <w:spacing w:lineRule="auto" w:line="276" w:before="120" w:after="120"/>
        <w:contextualSpacing/>
        <w:jc w:val="both"/>
        <w:rPr>
          <w:rFonts w:cs="Arial"/>
          <w:bCs/>
          <w:szCs w:val="20"/>
        </w:rPr>
      </w:pPr>
      <w:r>
        <w:rPr>
          <w:rFonts w:cs="Arial"/>
          <w:bCs/>
          <w:szCs w:val="20"/>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szCs w:val="20"/>
        </w:rPr>
      </w:pPr>
      <w:r>
        <w:rPr>
          <w:rFonts w:cs="Arial"/>
          <w:bCs/>
          <w:szCs w:val="20"/>
        </w:rPr>
      </w:r>
    </w:p>
    <w:p>
      <w:pPr>
        <w:pStyle w:val="PADRO"/>
        <w:keepNext w:val="true"/>
        <w:widowControl/>
        <w:numPr>
          <w:ilvl w:val="0"/>
          <w:numId w:val="3"/>
        </w:numPr>
        <w:shd w:val="clear" w:fill="FFFFFF"/>
        <w:spacing w:before="120" w:after="120"/>
        <w:rPr>
          <w:rFonts w:ascii="Arial" w:hAnsi="Arial" w:cs="Arial"/>
          <w:szCs w:val="20"/>
        </w:rPr>
      </w:pPr>
      <w:r>
        <w:rPr>
          <w:rFonts w:cs="Arial" w:ascii="Arial" w:hAnsi="Arial"/>
          <w:b/>
          <w:bCs/>
          <w:szCs w:val="20"/>
        </w:rPr>
        <w:t xml:space="preserve"> </w:t>
      </w:r>
      <w:r>
        <w:rPr>
          <w:rFonts w:cs="Arial" w:ascii="Arial" w:hAnsi="Arial"/>
          <w:b/>
          <w:bCs/>
          <w:szCs w:val="20"/>
        </w:rPr>
        <w:t>Regularidade fiscal, social e trabalhista:</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regularidade com o Fundo de Garantia do Tempo de Serviço (FGTS);</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20"/>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szCs w:val="20"/>
        </w:rPr>
        <w:t xml:space="preserve">inscrição no cadastro de contribuintes </w:t>
      </w:r>
      <w:r>
        <w:rPr>
          <w:rFonts w:cs="Arial"/>
          <w:iCs/>
          <w:szCs w:val="20"/>
        </w:rPr>
        <w:t>estadual e/ou municipal</w:t>
      </w:r>
      <w:r>
        <w:rPr>
          <w:rFonts w:cs="Arial"/>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clear" w:pos="720"/>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Cs/>
          <w:szCs w:val="20"/>
        </w:rPr>
        <w:t>Estadual e/ou Municipal</w:t>
      </w:r>
      <w:r>
        <w:rPr>
          <w:rFonts w:cs="Arial"/>
          <w:szCs w:val="20"/>
        </w:rPr>
        <w:t xml:space="preserve"> do domicílio ou sede do fornecedor, relativa à atividade em cujo exercício contrata ou concorre; </w:t>
      </w:r>
    </w:p>
    <w:p>
      <w:pPr>
        <w:pStyle w:val="Normal"/>
        <w:numPr>
          <w:ilvl w:val="1"/>
          <w:numId w:val="3"/>
        </w:numPr>
        <w:tabs>
          <w:tab w:val="clear" w:pos="720"/>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estaduais </w:t>
      </w:r>
      <w:r>
        <w:rPr>
          <w:rFonts w:cs="Arial"/>
          <w:b/>
          <w:szCs w:val="20"/>
          <w:u w:val="single"/>
        </w:rPr>
        <w:t>ou</w:t>
      </w:r>
      <w:r>
        <w:rPr>
          <w:rFonts w:cs="Arial"/>
          <w:szCs w:val="20"/>
        </w:rPr>
        <w:t xml:space="preserve"> municipais relacionados ao objeto contratual, deverá comprovar tal condição mediante a apresentação de declaração da Fazenda respectiva do seu domicílio ou sede, ou outra equivalente, na forma da lei; </w:t>
      </w:r>
    </w:p>
    <w:p>
      <w:pPr>
        <w:pStyle w:val="PADRO"/>
        <w:keepNext w:val="true"/>
        <w:widowControl/>
        <w:numPr>
          <w:ilvl w:val="0"/>
          <w:numId w:val="3"/>
        </w:numPr>
        <w:shd w:val="clear" w:fill="FFFFFF"/>
        <w:spacing w:before="120" w:after="120"/>
        <w:rPr>
          <w:rFonts w:cs="Arial"/>
          <w:b/>
          <w:b/>
          <w:bCs/>
          <w:szCs w:val="20"/>
        </w:rPr>
      </w:pPr>
      <w:r>
        <w:rPr>
          <w:rFonts w:cs="Arial" w:ascii="Arial" w:hAnsi="Arial"/>
          <w:b/>
          <w:szCs w:val="20"/>
        </w:rPr>
        <w:t>Qualificação Econômico-Financeira:</w:t>
      </w:r>
      <w:r>
        <w:rPr>
          <w:rFonts w:cs="Arial" w:ascii="Arial" w:hAnsi="Arial"/>
          <w:b/>
          <w:bCs/>
          <w:iCs/>
          <w:szCs w:val="20"/>
        </w:rPr>
        <w:t xml:space="preserve"> </w:t>
      </w:r>
    </w:p>
    <w:p>
      <w:pPr>
        <w:pStyle w:val="ListParagraph"/>
        <w:numPr>
          <w:ilvl w:val="1"/>
          <w:numId w:val="3"/>
        </w:numPr>
        <w:tabs>
          <w:tab w:val="clear" w:pos="720"/>
          <w:tab w:val="left" w:pos="1440" w:leader="none"/>
        </w:tabs>
        <w:snapToGrid w:val="false"/>
        <w:spacing w:lineRule="auto" w:line="276" w:before="120" w:after="120"/>
        <w:contextualSpacing/>
        <w:jc w:val="both"/>
        <w:rPr>
          <w:rFonts w:cs="Arial"/>
          <w:szCs w:val="20"/>
        </w:rPr>
      </w:pPr>
      <w:r>
        <w:rPr>
          <w:rFonts w:cs="Arial"/>
          <w:szCs w:val="20"/>
        </w:rPr>
        <w:t>certidão negativa de falência expedida pelo distribuidor da sede do fornecedor;</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balanço patrimonial, demonstração de resultado de exercício e demais demonstrações contábeis dos 2 (dois) últimos exercícios sociais;</w:t>
      </w:r>
    </w:p>
    <w:p>
      <w:pPr>
        <w:pStyle w:val="Normal"/>
        <w:numPr>
          <w:ilvl w:val="2"/>
          <w:numId w:val="3"/>
        </w:numPr>
        <w:spacing w:lineRule="auto" w:line="276" w:before="120" w:after="120"/>
        <w:jc w:val="both"/>
        <w:rPr>
          <w:rFonts w:cs="Arial"/>
          <w:szCs w:val="20"/>
        </w:rPr>
      </w:pPr>
      <w:r>
        <w:rPr>
          <w:rFonts w:cs="Arial"/>
          <w:szCs w:val="20"/>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120" w:after="120"/>
        <w:jc w:val="both"/>
        <w:rPr>
          <w:rFonts w:cs="Arial"/>
          <w:szCs w:val="20"/>
        </w:rPr>
      </w:pPr>
      <w:r>
        <w:rPr>
          <w:rFonts w:cs="Arial"/>
          <w:szCs w:val="20"/>
        </w:rPr>
        <w:t>Os documentos referidos acima limitar-se-ão ao último exercício no caso de a pessoa jurídica ter sido constituída há menos de 2 (dois) anos.</w:t>
      </w:r>
    </w:p>
    <w:p>
      <w:pPr>
        <w:pStyle w:val="Normal"/>
        <w:numPr>
          <w:ilvl w:val="1"/>
          <w:numId w:val="3"/>
        </w:numPr>
        <w:tabs>
          <w:tab w:val="clear" w:pos="720"/>
          <w:tab w:val="left" w:pos="1440" w:leader="none"/>
        </w:tabs>
        <w:snapToGrid w:val="false"/>
        <w:spacing w:lineRule="auto" w:line="276" w:before="120" w:after="120"/>
        <w:jc w:val="both"/>
        <w:rPr/>
      </w:pPr>
      <w:r>
        <w:rPr>
          <w:rFonts w:cs="Arial"/>
          <w:szCs w:val="20"/>
        </w:rPr>
        <w:t xml:space="preserve">comprovação da boa situação financeira da empresa mediante obtenção de índices de Liquidez Geral (LG), Solvência Geral (SG) e Liquidez Corrente (LC), superiores a 1 (um), obtidos pela aplicação das seguintes fórmulas: </w:t>
      </w:r>
    </w:p>
    <w:p>
      <w:pPr>
        <w:pStyle w:val="Normal"/>
        <w:tabs>
          <w:tab w:val="clear" w:pos="720"/>
          <w:tab w:val="left" w:pos="1440" w:leader="none"/>
        </w:tabs>
        <w:snapToGrid w:val="false"/>
        <w:spacing w:lineRule="auto" w:line="276" w:before="120" w:after="120"/>
        <w:jc w:val="both"/>
        <w:rPr>
          <w:rFonts w:cs="Arial"/>
          <w:szCs w:val="20"/>
        </w:rPr>
      </w:pPr>
      <w:r>
        <w:rPr>
          <w:rFonts w:cs="Arial"/>
          <w:szCs w:val="20"/>
        </w:rPr>
      </w:r>
    </w:p>
    <w:tbl>
      <w:tblPr>
        <w:tblStyle w:val="Tabelacomgrade"/>
        <w:tblW w:w="6487" w:type="dxa"/>
        <w:jc w:val="left"/>
        <w:tblInd w:w="1133" w:type="dxa"/>
        <w:tblCellMar>
          <w:top w:w="0" w:type="dxa"/>
          <w:left w:w="13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shd w:fill="auto" w:val="clear"/>
            <w:vAlign w:val="center"/>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LG =</w:t>
            </w:r>
          </w:p>
        </w:tc>
        <w:tc>
          <w:tcPr>
            <w:tcW w:w="4252" w:type="dxa"/>
            <w:tcBorders>
              <w:top w:val="nil"/>
              <w:left w:val="nil"/>
              <w:right w:val="nil"/>
            </w:tcBorders>
            <w:shd w:fill="auto" w:val="clear"/>
            <w:vAlign w:val="bottom"/>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Ativo Circulante + Realizável a Longo Prazo</w:t>
            </w:r>
          </w:p>
        </w:tc>
      </w:tr>
      <w:tr>
        <w:trPr/>
        <w:tc>
          <w:tcPr>
            <w:tcW w:w="2234" w:type="dxa"/>
            <w:vMerge w:val="continue"/>
            <w:tcBorders>
              <w:top w:val="nil"/>
              <w:left w:val="nil"/>
              <w:bottom w:val="nil"/>
              <w:right w:val="nil"/>
            </w:tcBorders>
            <w:shd w:fill="auto" w:val="clear"/>
          </w:tcPr>
          <w:p>
            <w:pPr>
              <w:pStyle w:val="Normal"/>
              <w:tabs>
                <w:tab w:val="clear" w:pos="720"/>
                <w:tab w:val="left" w:pos="1440" w:leader="none"/>
              </w:tabs>
              <w:snapToGrid w:val="false"/>
              <w:spacing w:lineRule="auto" w:line="276" w:before="0" w:after="0"/>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252" w:type="dxa"/>
            <w:tcBorders>
              <w:top w:val="nil"/>
              <w:left w:val="nil"/>
              <w:bottom w:val="nil"/>
              <w:right w:val="nil"/>
            </w:tcBorders>
            <w:shd w:fill="auto" w:val="clear"/>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720"/>
          <w:tab w:val="left" w:pos="1440" w:leader="none"/>
        </w:tabs>
        <w:snapToGrid w:val="false"/>
        <w:spacing w:lineRule="auto" w:line="276"/>
        <w:ind w:left="1134" w:hanging="0"/>
        <w:jc w:val="both"/>
        <w:rPr>
          <w:rFonts w:cs="Arial"/>
          <w:szCs w:val="20"/>
        </w:rPr>
      </w:pPr>
      <w:r>
        <w:rPr>
          <w:rFonts w:cs="Arial"/>
          <w:szCs w:val="20"/>
        </w:rPr>
      </w:r>
    </w:p>
    <w:tbl>
      <w:tblPr>
        <w:tblStyle w:val="Tabelacomgrade"/>
        <w:tblW w:w="6629" w:type="dxa"/>
        <w:jc w:val="left"/>
        <w:tblInd w:w="1133" w:type="dxa"/>
        <w:tblCellMar>
          <w:top w:w="0" w:type="dxa"/>
          <w:left w:w="138" w:type="dxa"/>
          <w:bottom w:w="0" w:type="dxa"/>
          <w:right w:w="108" w:type="dxa"/>
        </w:tblCellMar>
        <w:tblLook w:firstRow="1" w:noVBand="1" w:lastRow="0" w:firstColumn="1" w:lastColumn="0" w:noHBand="0" w:val="04a0"/>
      </w:tblPr>
      <w:tblGrid>
        <w:gridCol w:w="2234"/>
        <w:gridCol w:w="4394"/>
      </w:tblGrid>
      <w:tr>
        <w:trPr>
          <w:cantSplit w:val="true"/>
        </w:trPr>
        <w:tc>
          <w:tcPr>
            <w:tcW w:w="2234" w:type="dxa"/>
            <w:vMerge w:val="restart"/>
            <w:tcBorders>
              <w:top w:val="nil"/>
              <w:left w:val="nil"/>
              <w:bottom w:val="nil"/>
              <w:right w:val="nil"/>
            </w:tcBorders>
            <w:shd w:fill="auto" w:val="clear"/>
            <w:vAlign w:val="center"/>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SG =</w:t>
            </w:r>
          </w:p>
        </w:tc>
        <w:tc>
          <w:tcPr>
            <w:tcW w:w="4394" w:type="dxa"/>
            <w:tcBorders>
              <w:top w:val="nil"/>
              <w:left w:val="nil"/>
              <w:right w:val="nil"/>
            </w:tcBorders>
            <w:shd w:fill="auto" w:val="clear"/>
            <w:vAlign w:val="bottom"/>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Ativo Total</w:t>
            </w:r>
          </w:p>
        </w:tc>
      </w:tr>
      <w:tr>
        <w:trPr>
          <w:cantSplit w:val="true"/>
        </w:trPr>
        <w:tc>
          <w:tcPr>
            <w:tcW w:w="2234" w:type="dxa"/>
            <w:vMerge w:val="continue"/>
            <w:tcBorders>
              <w:top w:val="nil"/>
              <w:left w:val="nil"/>
              <w:bottom w:val="nil"/>
              <w:right w:val="nil"/>
            </w:tcBorders>
            <w:shd w:fill="auto" w:val="clear"/>
          </w:tcPr>
          <w:p>
            <w:pPr>
              <w:pStyle w:val="Normal"/>
              <w:tabs>
                <w:tab w:val="clear" w:pos="720"/>
                <w:tab w:val="left" w:pos="1440" w:leader="none"/>
              </w:tabs>
              <w:snapToGrid w:val="false"/>
              <w:spacing w:lineRule="auto" w:line="276" w:before="0" w:after="0"/>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394" w:type="dxa"/>
            <w:tcBorders>
              <w:top w:val="nil"/>
              <w:left w:val="nil"/>
              <w:bottom w:val="nil"/>
              <w:right w:val="nil"/>
            </w:tcBorders>
            <w:shd w:fill="auto" w:val="clear"/>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720"/>
          <w:tab w:val="left" w:pos="1440" w:leader="none"/>
        </w:tabs>
        <w:snapToGrid w:val="false"/>
        <w:spacing w:lineRule="auto" w:line="276"/>
        <w:ind w:left="1134" w:hanging="0"/>
        <w:jc w:val="both"/>
        <w:rPr>
          <w:rFonts w:cs="Arial"/>
          <w:szCs w:val="20"/>
        </w:rPr>
      </w:pPr>
      <w:r>
        <w:rPr>
          <w:rFonts w:cs="Arial"/>
          <w:szCs w:val="20"/>
        </w:rPr>
      </w:r>
    </w:p>
    <w:tbl>
      <w:tblPr>
        <w:tblStyle w:val="Tabelacomgrade"/>
        <w:tblW w:w="4786" w:type="dxa"/>
        <w:jc w:val="left"/>
        <w:tblInd w:w="1133" w:type="dxa"/>
        <w:tblCellMar>
          <w:top w:w="0" w:type="dxa"/>
          <w:left w:w="13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shd w:fill="auto" w:val="clear"/>
            <w:vAlign w:val="center"/>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LC =</w:t>
            </w:r>
          </w:p>
        </w:tc>
        <w:tc>
          <w:tcPr>
            <w:tcW w:w="2550" w:type="dxa"/>
            <w:tcBorders>
              <w:top w:val="nil"/>
              <w:left w:val="nil"/>
              <w:right w:val="nil"/>
            </w:tcBorders>
            <w:shd w:fill="auto" w:val="clear"/>
            <w:vAlign w:val="bottom"/>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Ativo Circulante</w:t>
            </w:r>
          </w:p>
        </w:tc>
      </w:tr>
      <w:tr>
        <w:trPr/>
        <w:tc>
          <w:tcPr>
            <w:tcW w:w="2235" w:type="dxa"/>
            <w:vMerge w:val="continue"/>
            <w:tcBorders>
              <w:top w:val="nil"/>
              <w:left w:val="nil"/>
              <w:bottom w:val="nil"/>
              <w:right w:val="nil"/>
            </w:tcBorders>
            <w:shd w:fill="auto" w:val="clear"/>
          </w:tcPr>
          <w:p>
            <w:pPr>
              <w:pStyle w:val="Normal"/>
              <w:tabs>
                <w:tab w:val="clear" w:pos="720"/>
                <w:tab w:val="left" w:pos="1440" w:leader="none"/>
              </w:tabs>
              <w:snapToGrid w:val="false"/>
              <w:spacing w:lineRule="auto" w:line="276" w:before="0" w:after="0"/>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2550" w:type="dxa"/>
            <w:tcBorders>
              <w:top w:val="nil"/>
              <w:left w:val="nil"/>
              <w:bottom w:val="nil"/>
              <w:right w:val="nil"/>
            </w:tcBorders>
            <w:shd w:fill="auto" w:val="clear"/>
          </w:tcPr>
          <w:p>
            <w:pPr>
              <w:pStyle w:val="Normal"/>
              <w:tabs>
                <w:tab w:val="clear" w:pos="720"/>
                <w:tab w:val="left" w:pos="1440" w:leader="none"/>
              </w:tabs>
              <w:snapToGrid w:val="false"/>
              <w:spacing w:lineRule="auto" w:line="276" w:before="0" w:after="0"/>
              <w:jc w:val="both"/>
              <w:rPr>
                <w:rFonts w:cs="Arial"/>
                <w:szCs w:val="20"/>
              </w:rPr>
            </w:pPr>
            <w:r>
              <w:rPr>
                <w:rFonts w:eastAsia="" w:cs="Arial" w:ascii="Times New Roman" w:hAnsi="Times New Roman" w:eastAsiaTheme="minorEastAsia"/>
                <w:szCs w:val="20"/>
              </w:rPr>
              <w:t>Passivo Circulante</w:t>
            </w:r>
          </w:p>
        </w:tc>
      </w:tr>
    </w:tbl>
    <w:p>
      <w:pPr>
        <w:pStyle w:val="Normal"/>
        <w:numPr>
          <w:ilvl w:val="0"/>
          <w:numId w:val="0"/>
        </w:numPr>
        <w:tabs>
          <w:tab w:val="clear" w:pos="720"/>
          <w:tab w:val="left" w:pos="1440" w:leader="none"/>
        </w:tabs>
        <w:snapToGrid w:val="false"/>
        <w:spacing w:lineRule="auto" w:line="276" w:before="120" w:after="120"/>
        <w:ind w:left="1854" w:hanging="0"/>
        <w:jc w:val="both"/>
        <w:rPr>
          <w:rFonts w:cs="Arial"/>
          <w:szCs w:val="20"/>
        </w:rPr>
      </w:pPr>
      <w:r>
        <w:rPr>
          <w:rFonts w:cs="Arial"/>
          <w:szCs w:val="20"/>
        </w:rPr>
      </w:r>
    </w:p>
    <w:p>
      <w:pPr>
        <w:pStyle w:val="Normal"/>
        <w:numPr>
          <w:ilvl w:val="2"/>
          <w:numId w:val="3"/>
        </w:numPr>
        <w:tabs>
          <w:tab w:val="clear" w:pos="720"/>
          <w:tab w:val="left" w:pos="1440" w:leader="none"/>
        </w:tabs>
        <w:snapToGrid w:val="false"/>
        <w:spacing w:lineRule="auto" w:line="276" w:before="120" w:after="120"/>
        <w:jc w:val="both"/>
        <w:rPr/>
      </w:pPr>
      <w:r>
        <w:rPr>
          <w:rFonts w:cs="Arial"/>
          <w:szCs w:val="20"/>
        </w:rPr>
        <w:t>As empresas, que apresentarem resultado inferior ou igual a 1(um) em qualquer dos índices de Liquidez Geral (LG), Solvência Geral (SG) e Liquidez Corrente (LC), deverão comprovar capital ou patrimônio líquido mínimo de</w:t>
      </w:r>
      <w:r>
        <w:rPr>
          <w:rFonts w:cs="Arial"/>
          <w:iCs/>
          <w:szCs w:val="20"/>
        </w:rPr>
        <w:t xml:space="preserve"> 10% (</w:t>
      </w:r>
      <w:r>
        <w:rPr>
          <w:rFonts w:cs="Arial"/>
          <w:szCs w:val="20"/>
        </w:rPr>
        <w:t>dez por cento</w:t>
      </w:r>
      <w:r>
        <w:rPr>
          <w:rFonts w:cs="Arial"/>
          <w:iCs/>
          <w:szCs w:val="20"/>
        </w:rPr>
        <w:t xml:space="preserve">) </w:t>
      </w:r>
      <w:r>
        <w:rPr>
          <w:rFonts w:cs="Arial"/>
          <w:szCs w:val="20"/>
        </w:rPr>
        <w:t xml:space="preserve">do valor total estimado da contratação ou do item pertinente. </w:t>
      </w:r>
    </w:p>
    <w:p>
      <w:pPr>
        <w:pStyle w:val="PADRO"/>
        <w:keepNext w:val="true"/>
        <w:widowControl/>
        <w:numPr>
          <w:ilvl w:val="0"/>
          <w:numId w:val="3"/>
        </w:numPr>
        <w:shd w:val="clear" w:fill="FFFFFF"/>
        <w:spacing w:before="120" w:after="120"/>
        <w:rPr/>
      </w:pPr>
      <w:r>
        <w:rPr>
          <w:rFonts w:cs="Arial" w:ascii="Arial" w:hAnsi="Arial"/>
          <w:b/>
          <w:szCs w:val="20"/>
        </w:rPr>
        <w:t>Qualificação</w:t>
      </w:r>
      <w:r>
        <w:rPr>
          <w:rFonts w:cs="Arial" w:ascii="Arial" w:hAnsi="Arial"/>
          <w:b/>
        </w:rPr>
        <w:t xml:space="preserve"> Técnica</w:t>
      </w:r>
    </w:p>
    <w:p>
      <w:pPr>
        <w:pStyle w:val="PADRO"/>
        <w:keepNext w:val="true"/>
        <w:widowControl/>
        <w:numPr>
          <w:ilvl w:val="1"/>
          <w:numId w:val="3"/>
        </w:numPr>
        <w:shd w:val="clear" w:fill="FFFFFF"/>
        <w:spacing w:before="120" w:after="120"/>
        <w:rPr>
          <w:rFonts w:cs="Arial"/>
          <w:bCs/>
          <w:szCs w:val="20"/>
        </w:rPr>
      </w:pPr>
      <w:r>
        <w:rPr>
          <w:rFonts w:cs="Arial" w:ascii="Arial" w:hAnsi="Arial"/>
          <w:iCs/>
        </w:rPr>
        <w:t xml:space="preserve">Registro ou inscrição </w:t>
      </w:r>
      <w:r>
        <w:rPr>
          <w:rFonts w:cs="Arial" w:ascii="Arial" w:hAnsi="Arial"/>
          <w:iCs/>
          <w:szCs w:val="20"/>
        </w:rPr>
        <w:t>da</w:t>
      </w:r>
      <w:r>
        <w:rPr>
          <w:rFonts w:cs="Arial" w:ascii="Arial" w:hAnsi="Arial"/>
          <w:iCs/>
        </w:rPr>
        <w:t xml:space="preserve"> empresa na entidade profissional </w:t>
      </w:r>
      <w:r>
        <w:rPr>
          <w:rFonts w:cs="Arial" w:ascii="Arial" w:hAnsi="Arial"/>
          <w:iCs/>
          <w:szCs w:val="20"/>
        </w:rPr>
        <w:t>Agencia Nacional de Vigilância Sanitária (ANVISA)</w:t>
      </w:r>
      <w:r>
        <w:rPr>
          <w:rFonts w:cs="Arial" w:ascii="Arial" w:hAnsi="Arial"/>
          <w:iCs/>
        </w:rPr>
        <w:t>, em plena validade;</w:t>
      </w:r>
    </w:p>
    <w:p>
      <w:pPr>
        <w:pStyle w:val="PADRO"/>
        <w:keepNext w:val="true"/>
        <w:widowControl/>
        <w:numPr>
          <w:ilvl w:val="1"/>
          <w:numId w:val="3"/>
        </w:numPr>
        <w:shd w:val="clear" w:fill="FFFFFF"/>
        <w:spacing w:before="120" w:after="120"/>
        <w:rPr>
          <w:rFonts w:ascii="Arial" w:hAnsi="Arial" w:cs="Arial"/>
          <w:bCs/>
          <w:szCs w:val="20"/>
        </w:rPr>
      </w:pPr>
      <w:bookmarkStart w:id="4" w:name="_Hlk519176340"/>
      <w:bookmarkEnd w:id="4"/>
      <w:r>
        <w:rPr>
          <w:rFonts w:cs="Arial" w:ascii="Arial" w:hAnsi="Arial"/>
          <w:szCs w:val="20"/>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pPr>
        <w:pStyle w:val="PADRO"/>
        <w:keepNext w:val="true"/>
        <w:widowControl/>
        <w:numPr>
          <w:ilvl w:val="2"/>
          <w:numId w:val="3"/>
        </w:numPr>
        <w:shd w:val="clear" w:fill="FFFFFF"/>
        <w:spacing w:before="120" w:after="120"/>
        <w:rPr>
          <w:rFonts w:ascii="Arial" w:hAnsi="Arial" w:cs="Arial"/>
          <w:bCs/>
          <w:szCs w:val="20"/>
        </w:rPr>
      </w:pPr>
      <w:r>
        <w:rPr>
          <w:rFonts w:cs="Arial" w:ascii="Arial" w:hAnsi="Arial"/>
          <w:szCs w:val="20"/>
        </w:rPr>
        <w:t>Para fins da comprovação de que trata este subitem, os atestados deverão dizer respeito a contratos executados com as seguintes características mínimas:</w:t>
      </w:r>
    </w:p>
    <w:p>
      <w:pPr>
        <w:pStyle w:val="PADRO"/>
        <w:keepNext w:val="true"/>
        <w:widowControl/>
        <w:numPr>
          <w:ilvl w:val="3"/>
          <w:numId w:val="3"/>
        </w:numPr>
        <w:shd w:val="clear" w:fill="FFFFFF"/>
        <w:spacing w:before="120" w:after="120"/>
        <w:rPr>
          <w:rFonts w:ascii="Arial" w:hAnsi="Arial" w:cs="Arial"/>
          <w:szCs w:val="20"/>
        </w:rPr>
      </w:pPr>
      <w:bookmarkStart w:id="5" w:name="_Hlk519177818"/>
      <w:bookmarkStart w:id="6" w:name="_Hlk5191763401"/>
      <w:bookmarkEnd w:id="5"/>
      <w:bookmarkEnd w:id="6"/>
      <w:r>
        <w:rPr>
          <w:rFonts w:cs="Arial" w:ascii="Arial" w:hAnsi="Arial"/>
          <w:szCs w:val="20"/>
        </w:rPr>
        <w:t xml:space="preserve">Os atestados deverão referir-se a serviços prestados no âmbito de sua atividade econômica principal ou secundária especificadas no contrato social vigente; </w:t>
      </w:r>
    </w:p>
    <w:p>
      <w:pPr>
        <w:pStyle w:val="PADRO"/>
        <w:keepNext w:val="true"/>
        <w:widowControl/>
        <w:numPr>
          <w:ilvl w:val="3"/>
          <w:numId w:val="3"/>
        </w:numPr>
        <w:shd w:val="clear" w:fill="FFFFFF"/>
        <w:spacing w:before="120" w:after="120"/>
        <w:rPr>
          <w:rFonts w:ascii="Arial" w:hAnsi="Arial" w:cs="Arial"/>
          <w:szCs w:val="20"/>
        </w:rPr>
      </w:pPr>
      <w:bookmarkStart w:id="7" w:name="_Hlk519177062"/>
      <w:bookmarkEnd w:id="7"/>
      <w:r>
        <w:rPr>
          <w:rFonts w:cs="Arial" w:ascii="Arial" w:hAnsi="Arial"/>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pPr>
        <w:pStyle w:val="PADRO"/>
        <w:keepNext w:val="true"/>
        <w:widowControl/>
        <w:numPr>
          <w:ilvl w:val="3"/>
          <w:numId w:val="3"/>
        </w:numPr>
        <w:shd w:val="clear" w:fill="FFFFFF"/>
        <w:spacing w:before="120" w:after="120"/>
        <w:rPr/>
      </w:pPr>
      <w:r>
        <w:rPr>
          <w:rFonts w:cs="Arial" w:ascii="Arial" w:hAnsi="Arial"/>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footerReference w:type="default" r:id="rId7"/>
      <w:type w:val="nextPage"/>
      <w:pgSz w:w="11906" w:h="16838"/>
      <w:pgMar w:left="1701" w:right="1701" w:header="0" w:top="1417" w:footer="708" w:bottom="1417"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9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Ttulo2">
    <w:name w:val="Heading 2"/>
    <w:basedOn w:val="Normal"/>
    <w:next w:val="Normal"/>
    <w:link w:val="Ttulo2Char"/>
    <w:uiPriority w:val="9"/>
    <w:unhideWhenUsed/>
    <w:qFormat/>
    <w:rsid w:val="00f42215"/>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Ttulo3">
    <w:name w:val="Heading 3"/>
    <w:basedOn w:val="Normal"/>
    <w:next w:val="Normal"/>
    <w:link w:val="Ttulo3Char"/>
    <w:uiPriority w:val="9"/>
    <w:semiHidden/>
    <w:unhideWhenUsed/>
    <w:qFormat/>
    <w:rsid w:val="00f85c2f"/>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Ttulo2Char" w:customStyle="1">
    <w:name w:val="Título 2 Char"/>
    <w:basedOn w:val="DefaultParagraphFont"/>
    <w:link w:val="Ttulo2"/>
    <w:uiPriority w:val="9"/>
    <w:qFormat/>
    <w:rsid w:val="00f42215"/>
    <w:rPr>
      <w:rFonts w:ascii="Calibri Light" w:hAnsi="Calibri Light" w:eastAsia="" w:cs="" w:asciiTheme="majorHAnsi" w:cstheme="majorBidi" w:eastAsiaTheme="majorEastAsia" w:hAnsiTheme="majorHAnsi"/>
      <w:color w:val="2F5496" w:themeColor="accent1" w:themeShade="bf"/>
      <w:sz w:val="26"/>
      <w:szCs w:val="26"/>
      <w:lang w:eastAsia="pt-BR"/>
    </w:rPr>
  </w:style>
  <w:style w:type="character" w:styleId="Ttulo3Char" w:customStyle="1">
    <w:name w:val="Título 3 Char"/>
    <w:basedOn w:val="DefaultParagraphFont"/>
    <w:link w:val="Ttulo3"/>
    <w:uiPriority w:val="9"/>
    <w:semiHidden/>
    <w:qFormat/>
    <w:rsid w:val="00f85c2f"/>
    <w:rPr>
      <w:rFonts w:ascii="Calibri Light" w:hAnsi="Calibri Light" w:eastAsia="" w:cs="" w:asciiTheme="majorHAnsi" w:cstheme="majorBidi" w:eastAsiaTheme="majorEastAsia" w:hAnsiTheme="majorHAnsi"/>
      <w:color w:val="1F3763" w:themeColor="accent1" w:themeShade="7f"/>
      <w:sz w:val="24"/>
      <w:szCs w:val="24"/>
      <w:lang w:eastAsia="pt-BR"/>
    </w:rPr>
  </w:style>
  <w:style w:type="character" w:styleId="Marcas">
    <w:name w:val="Marca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DejaVu Sans" w:cs="FreeSans"/>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FreeSans"/>
    </w:rPr>
  </w:style>
  <w:style w:type="paragraph" w:styleId="Leg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720"/>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nhideWhenUsed/>
    <w:rsid w:val="00805244"/>
    <w:pPr>
      <w:tabs>
        <w:tab w:val="clear" w:pos="720"/>
        <w:tab w:val="center" w:pos="4252" w:leader="none"/>
        <w:tab w:val="right" w:pos="8504" w:leader="none"/>
      </w:tabs>
    </w:pPr>
    <w:rPr/>
  </w:style>
  <w:style w:type="paragraph" w:styleId="Rodap">
    <w:name w:val="Footer"/>
    <w:basedOn w:val="Normal"/>
    <w:link w:val="RodapChar"/>
    <w:uiPriority w:val="99"/>
    <w:unhideWhenUsed/>
    <w:rsid w:val="00805244"/>
    <w:pPr>
      <w:tabs>
        <w:tab w:val="clear" w:pos="720"/>
        <w:tab w:val="center" w:pos="4252" w:leader="none"/>
        <w:tab w:val="right" w:pos="8504" w:leader="none"/>
      </w:tabs>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3A8CB-5D37-4182-A8A7-EA9C6423F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Application>LibreOffice/6.4.1.2$Windows_X86_64 LibreOffice_project/4d224e95b98b138af42a64d84056446d09082932</Application>
  <Pages>14</Pages>
  <Words>5573</Words>
  <Characters>32188</Characters>
  <CharactersWithSpaces>37354</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2021-11-22T14:08:00Z</dcterms:created>
  <dc:creator>Hugo Sales</dc:creator>
  <dc:description/>
  <dc:language>pt-BR</dc:language>
  <cp:lastModifiedBy/>
  <cp:lastPrinted>2023-07-13T11:12:35Z</cp:lastPrinted>
  <dcterms:modified xsi:type="dcterms:W3CDTF">2023-07-13T11:17:09Z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