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footer1.xml" ContentType="application/vnd.openxmlformats-officedocument.wordprocessingml.footer+xml"/>
  <Override PartName="/word/styles.xml" ContentType="application/vnd.openxmlformats-officedocument.wordprocessingml.styles+xml"/>
  <Override PartName="/word/media/image1.wmf" ContentType="image/x-wmf"/>
  <Override PartName="/word/header2.xml" ContentType="application/vnd.openxmlformats-officedocument.wordprocessingml.header+xml"/>
  <Override PartName="/word/comments.xml" ContentType="application/vnd.openxmlformats-officedocument.wordprocessingml.comments+xml"/>
  <Override PartName="/word/header1.xml" ContentType="application/vnd.openxmlformats-officedocument.wordprocessingml.header+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word/_rels/document.xml.rels" ContentType="application/vnd.openxmlformats-package.relationships+xml"/>
  <Override PartName="/word/_rels/comments.xml.rels" ContentType="application/vnd.openxmlformats-package.relationships+xml"/>
  <Override PartName="/customXml/item1.xml" ContentType="application/xml"/>
  <Override PartName="/customXml/itemProps1.xml" ContentType="application/vnd.openxmlformats-officedocument.customXmlProperties+xml"/>
  <Override PartName="/customXml/_rels/item1.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suppressAutoHyphens w:val="false"/>
        <w:spacing w:lineRule="auto" w:line="259" w:before="0" w:after="160"/>
        <w:rPr>
          <w:rFonts w:cs="Arial"/>
          <w:b/>
          <w:b/>
          <w:bCs/>
          <w:i/>
          <w:i/>
          <w:iCs/>
          <w:color w:val="FF0000"/>
          <w:szCs w:val="20"/>
        </w:rPr>
      </w:pPr>
      <w:r>
        <w:rPr>
          <w:rFonts w:cs="Arial"/>
          <w:b/>
          <w:bCs/>
          <w:i/>
          <w:iCs/>
          <w:color w:val="FF0000"/>
          <w:szCs w:val="20"/>
        </w:rPr>
      </w:r>
    </w:p>
    <w:p>
      <w:pPr>
        <w:pStyle w:val="Normal"/>
        <w:suppressAutoHyphens w:val="false"/>
        <w:spacing w:lineRule="auto" w:line="259" w:before="0" w:after="160"/>
        <w:rPr>
          <w:rFonts w:cs="Arial"/>
          <w:b/>
          <w:b/>
          <w:bCs/>
          <w:i/>
          <w:i/>
          <w:iCs/>
          <w:color w:val="FF0000"/>
          <w:szCs w:val="20"/>
        </w:rPr>
      </w:pPr>
      <w:r>
        <w:rPr>
          <w:rFonts w:cs="Arial"/>
          <w:b/>
          <w:bCs/>
          <w:i/>
          <w:iCs/>
          <w:color w:val="FF0000"/>
          <w:szCs w:val="20"/>
        </w:rPr>
      </w:r>
    </w:p>
    <w:p>
      <w:pPr>
        <w:pStyle w:val="Normal"/>
        <w:rPr>
          <w:rFonts w:cs="Arial"/>
          <w:b/>
          <w:b/>
          <w:bCs/>
          <w:i/>
          <w:i/>
          <w:iCs/>
          <w:color w:val="FF0000"/>
          <w:szCs w:val="18"/>
        </w:rPr>
      </w:pPr>
      <w:commentRangeStart w:id="0"/>
      <w:r>
        <w:rPr>
          <w:rFonts w:cs="Arial"/>
          <w:color w:val="5B5B5F"/>
          <w:sz w:val="36"/>
          <w:szCs w:val="36"/>
        </w:rPr>
        <w:t>Aviso de</w:t>
      </w:r>
      <w:r>
        <w:rPr>
          <w:rFonts w:cs="Arial"/>
          <w:color w:val="FF0000"/>
          <w:szCs w:val="18"/>
        </w:rPr>
        <w:t xml:space="preserve"> </w:t>
      </w:r>
    </w:p>
    <w:p>
      <w:pPr>
        <w:pStyle w:val="Normal"/>
        <w:rPr>
          <w:rFonts w:cs="Arial"/>
          <w:color w:val="405CA1"/>
          <w:sz w:val="56"/>
          <w:szCs w:val="56"/>
        </w:rPr>
      </w:pPr>
      <w:r>
        <w:rPr>
          <w:rFonts w:cs="Arial"/>
          <w:color w:val="405CA1"/>
          <w:sz w:val="56"/>
          <w:szCs w:val="56"/>
        </w:rPr>
        <w:t>CONTRATAÇÃO</w:t>
      </w:r>
    </w:p>
    <w:p>
      <w:pPr>
        <w:pStyle w:val="Normal"/>
        <w:rPr>
          <w:rFonts w:cs="Arial"/>
          <w:color w:val="405CA1"/>
          <w:sz w:val="56"/>
          <w:szCs w:val="56"/>
        </w:rPr>
      </w:pPr>
      <w:r>
        <w:rPr>
          <w:rFonts w:cs="Arial"/>
          <w:color w:val="405CA1"/>
          <w:sz w:val="56"/>
          <w:szCs w:val="56"/>
        </w:rPr>
        <w:t>DIRETA</w:t>
      </w:r>
      <w:commentRangeEnd w:id="0"/>
      <w:r>
        <w:commentReference w:id="0"/>
      </w:r>
      <w:r>
        <w:rPr>
          <w:rFonts w:cs="Arial"/>
          <w:color w:val="405CA1"/>
          <w:sz w:val="56"/>
          <w:szCs w:val="56"/>
        </w:rPr>
      </w:r>
    </w:p>
    <w:p>
      <w:pPr>
        <w:pStyle w:val="Normal"/>
        <w:rPr>
          <w:rFonts w:cs="Arial"/>
          <w:b/>
          <w:b/>
          <w:bCs/>
          <w:color w:val="5B5B5F"/>
          <w:sz w:val="28"/>
          <w:szCs w:val="28"/>
        </w:rPr>
      </w:pPr>
      <w:r>
        <w:rPr>
          <w:rFonts w:cs="Arial"/>
          <w:bCs/>
          <w:color w:val="5B5B5F"/>
          <w:sz w:val="28"/>
          <w:szCs w:val="28"/>
        </w:rPr>
        <w:t>134/2023</w:t>
      </w:r>
    </w:p>
    <w:p>
      <w:pPr>
        <w:pStyle w:val="Normal"/>
        <w:spacing w:lineRule="auto" w:line="259"/>
        <w:rPr>
          <w:rFonts w:cs="Arial"/>
          <w:b/>
          <w:b/>
          <w:bCs/>
          <w:color w:val="405CA1"/>
          <w:sz w:val="32"/>
          <w:szCs w:val="32"/>
        </w:rPr>
      </w:pPr>
      <w:r>
        <w:rPr>
          <w:rFonts w:cs="Arial"/>
          <w:b/>
          <w:bCs/>
          <w:color w:val="405CA1"/>
          <w:sz w:val="32"/>
          <w:szCs w:val="32"/>
        </w:rPr>
      </w:r>
    </w:p>
    <w:p>
      <w:pPr>
        <w:pStyle w:val="Normal"/>
        <w:spacing w:lineRule="auto" w:line="259"/>
        <w:rPr>
          <w:rFonts w:cs="Arial"/>
          <w:b/>
          <w:b/>
          <w:bCs/>
          <w:color w:val="405CA1"/>
          <w:sz w:val="32"/>
          <w:szCs w:val="32"/>
        </w:rPr>
      </w:pPr>
      <w:r>
        <w:rPr>
          <w:rFonts w:cs="Arial"/>
          <w:b/>
          <w:bCs/>
          <w:color w:val="405CA1"/>
          <w:sz w:val="32"/>
          <w:szCs w:val="32"/>
        </w:rPr>
        <w:t>CONTRATANTE (UASG)</w:t>
      </w:r>
    </w:p>
    <w:p>
      <w:pPr>
        <w:pStyle w:val="Normal"/>
        <w:rPr>
          <w:rFonts w:cs="Arial"/>
          <w:bCs/>
          <w:color w:val="5B5B5F"/>
          <w:sz w:val="28"/>
          <w:szCs w:val="28"/>
        </w:rPr>
      </w:pPr>
      <w:r>
        <w:rPr>
          <w:rFonts w:cs="Arial"/>
          <w:bCs/>
          <w:color w:val="5B5B5F"/>
          <w:sz w:val="28"/>
          <w:szCs w:val="28"/>
        </w:rPr>
        <w:t>160111 – Cmdo 4ª Bda Inf L Mth</w:t>
      </w:r>
    </w:p>
    <w:p>
      <w:pPr>
        <w:pStyle w:val="Normal"/>
        <w:rPr>
          <w:rFonts w:cs="Arial"/>
          <w:b/>
          <w:b/>
          <w:bCs/>
          <w:color w:val="405CA1"/>
          <w:sz w:val="32"/>
          <w:szCs w:val="32"/>
        </w:rPr>
      </w:pPr>
      <w:r>
        <w:rPr>
          <w:rFonts w:cs="Arial"/>
          <w:b/>
          <w:bCs/>
          <w:color w:val="405CA1"/>
          <w:sz w:val="32"/>
          <w:szCs w:val="32"/>
        </w:rPr>
      </w:r>
    </w:p>
    <w:p>
      <w:pPr>
        <w:pStyle w:val="Normal"/>
        <w:rPr>
          <w:rFonts w:cs="Arial"/>
          <w:b/>
          <w:b/>
          <w:bCs/>
          <w:color w:val="5B5B5F"/>
          <w:szCs w:val="20"/>
        </w:rPr>
      </w:pPr>
      <w:r>
        <w:rPr>
          <w:rFonts w:cs="Arial"/>
          <w:b/>
          <w:bCs/>
          <w:color w:val="405CA1"/>
          <w:sz w:val="32"/>
          <w:szCs w:val="32"/>
        </w:rPr>
        <w:t>OBJETO</w:t>
      </w:r>
    </w:p>
    <w:p>
      <w:pPr>
        <w:pStyle w:val="Normal"/>
        <w:rPr>
          <w:rFonts w:cs="Arial"/>
          <w:color w:val="5B5B5F"/>
          <w:sz w:val="28"/>
          <w:szCs w:val="28"/>
        </w:rPr>
      </w:pPr>
      <w:r>
        <w:rPr>
          <w:rFonts w:cs="Arial"/>
          <w:color w:val="5B5B5F"/>
          <w:sz w:val="28"/>
          <w:szCs w:val="28"/>
        </w:rPr>
        <w:t>Contratação de empresa ou entidade educacional para ministrar curso profissionalizante de eletricista instalador predial de baixa tensão para militares na guarnição de Juiz de Fora/MG.</w:t>
      </w:r>
    </w:p>
    <w:p>
      <w:pPr>
        <w:pStyle w:val="Normal"/>
        <w:rPr>
          <w:rFonts w:cs="Arial"/>
          <w:color w:val="5B5B5F"/>
          <w:sz w:val="32"/>
          <w:szCs w:val="32"/>
        </w:rPr>
      </w:pPr>
      <w:r>
        <w:rPr>
          <w:rFonts w:cs="Arial"/>
          <w:color w:val="5B5B5F"/>
          <w:sz w:val="32"/>
          <w:szCs w:val="32"/>
        </w:rPr>
      </w:r>
    </w:p>
    <w:p>
      <w:pPr>
        <w:pStyle w:val="Normal"/>
        <w:rPr>
          <w:rFonts w:cs="Arial"/>
          <w:b/>
          <w:b/>
          <w:bCs/>
          <w:color w:val="405CA1"/>
          <w:sz w:val="32"/>
          <w:szCs w:val="32"/>
        </w:rPr>
      </w:pPr>
      <w:r>
        <w:rPr>
          <w:rFonts w:cs="Arial"/>
          <w:b/>
          <w:bCs/>
          <w:color w:val="405CA1"/>
          <w:sz w:val="32"/>
          <w:szCs w:val="32"/>
        </w:rPr>
        <w:t>VALOR TOTAL DA CONTRATAÇÃO</w:t>
      </w:r>
    </w:p>
    <w:p>
      <w:pPr>
        <w:pStyle w:val="Normal"/>
        <w:rPr>
          <w:rFonts w:cs="Arial"/>
          <w:b/>
          <w:b/>
          <w:bCs/>
          <w:color w:val="5B5B5F"/>
          <w:sz w:val="28"/>
          <w:szCs w:val="28"/>
        </w:rPr>
      </w:pPr>
      <w:r>
        <w:rPr>
          <w:rFonts w:cs="Arial"/>
          <w:b/>
          <w:bCs/>
          <w:color w:val="5B5B5F"/>
          <w:sz w:val="28"/>
          <w:szCs w:val="28"/>
        </w:rPr>
        <w:t>R$ 29.915,00</w:t>
      </w:r>
    </w:p>
    <w:p>
      <w:pPr>
        <w:pStyle w:val="Normal"/>
        <w:rPr>
          <w:rFonts w:cs="Arial"/>
          <w:color w:val="5B5B5F"/>
          <w:sz w:val="32"/>
          <w:szCs w:val="32"/>
        </w:rPr>
      </w:pPr>
      <w:r>
        <w:rPr>
          <w:rFonts w:cs="Arial"/>
          <w:color w:val="5B5B5F"/>
          <w:sz w:val="32"/>
          <w:szCs w:val="32"/>
        </w:rPr>
      </w:r>
    </w:p>
    <w:p>
      <w:pPr>
        <w:pStyle w:val="Normal"/>
        <w:rPr>
          <w:rFonts w:cs="Arial"/>
          <w:b/>
          <w:b/>
          <w:bCs/>
          <w:color w:val="405CA1"/>
          <w:sz w:val="32"/>
          <w:szCs w:val="32"/>
        </w:rPr>
      </w:pPr>
      <w:r>
        <w:rPr>
          <w:rFonts w:cs="Arial"/>
          <w:b/>
          <w:bCs/>
          <w:color w:val="405CA1"/>
          <w:sz w:val="32"/>
          <w:szCs w:val="32"/>
        </w:rPr>
        <w:t xml:space="preserve">DATA DA SESSÃO </w:t>
      </w:r>
    </w:p>
    <w:p>
      <w:pPr>
        <w:pStyle w:val="Normal"/>
        <w:rPr>
          <w:rFonts w:cs="Arial"/>
          <w:color w:val="5B5B5F"/>
          <w:sz w:val="28"/>
          <w:szCs w:val="28"/>
        </w:rPr>
      </w:pPr>
      <w:r>
        <w:rPr>
          <w:rFonts w:cs="Arial"/>
          <w:color w:val="5B5B5F"/>
          <w:sz w:val="28"/>
          <w:szCs w:val="28"/>
        </w:rPr>
        <w:t>De 0</w:t>
      </w:r>
      <w:r>
        <w:rPr>
          <w:rFonts w:cs="Arial"/>
          <w:color w:val="5B5B5F"/>
          <w:sz w:val="28"/>
          <w:szCs w:val="28"/>
        </w:rPr>
        <w:t>2</w:t>
      </w:r>
      <w:r>
        <w:rPr>
          <w:rFonts w:cs="Arial"/>
          <w:color w:val="5B5B5F"/>
          <w:sz w:val="28"/>
          <w:szCs w:val="28"/>
        </w:rPr>
        <w:t>/08/2023</w:t>
      </w:r>
    </w:p>
    <w:p>
      <w:pPr>
        <w:pStyle w:val="Normal"/>
        <w:rPr>
          <w:rFonts w:cs="Arial"/>
          <w:color w:val="5B5B5F"/>
          <w:sz w:val="32"/>
          <w:szCs w:val="32"/>
        </w:rPr>
      </w:pPr>
      <w:r>
        <w:rPr>
          <w:rFonts w:cs="Arial"/>
          <w:color w:val="5B5B5F"/>
          <w:sz w:val="32"/>
          <w:szCs w:val="32"/>
        </w:rPr>
      </w:r>
    </w:p>
    <w:p>
      <w:pPr>
        <w:pStyle w:val="Normal"/>
        <w:rPr>
          <w:rFonts w:cs="Arial"/>
          <w:b/>
          <w:b/>
          <w:bCs/>
          <w:color w:val="405CA1"/>
          <w:sz w:val="32"/>
          <w:szCs w:val="32"/>
        </w:rPr>
      </w:pPr>
      <w:commentRangeStart w:id="1"/>
      <w:r>
        <w:rPr>
          <w:rFonts w:cs="Arial"/>
          <w:b/>
          <w:bCs/>
          <w:color w:val="405CA1"/>
          <w:sz w:val="32"/>
          <w:szCs w:val="32"/>
        </w:rPr>
        <w:t>HORÁRIO DA FASE DE LANCES</w:t>
      </w:r>
    </w:p>
    <w:p>
      <w:pPr>
        <w:pStyle w:val="Normal"/>
        <w:rPr>
          <w:rFonts w:cs="Arial"/>
          <w:color w:val="5B5B5F"/>
          <w:sz w:val="28"/>
          <w:szCs w:val="28"/>
        </w:rPr>
      </w:pPr>
      <w:r>
        <w:rPr>
          <w:rFonts w:cs="Arial"/>
          <w:color w:val="5B5B5F"/>
          <w:sz w:val="28"/>
          <w:szCs w:val="28"/>
        </w:rPr>
        <w:t>Das 0</w:t>
      </w:r>
      <w:r>
        <w:rPr>
          <w:rFonts w:cs="Arial"/>
          <w:color w:val="5B5B5F"/>
          <w:sz w:val="28"/>
          <w:szCs w:val="28"/>
        </w:rPr>
        <w:t>8</w:t>
      </w:r>
      <w:r>
        <w:rPr>
          <w:rFonts w:cs="Arial"/>
          <w:color w:val="5B5B5F"/>
          <w:sz w:val="28"/>
          <w:szCs w:val="28"/>
        </w:rPr>
        <w:t xml:space="preserve">:00h até </w:t>
      </w:r>
      <w:r>
        <w:rPr>
          <w:rFonts w:cs="Arial"/>
          <w:color w:val="5B5B5F"/>
          <w:sz w:val="28"/>
          <w:szCs w:val="28"/>
        </w:rPr>
        <w:t>14:00</w:t>
      </w:r>
      <w:r>
        <w:rPr>
          <w:rFonts w:cs="Arial"/>
          <w:color w:val="5B5B5F"/>
          <w:sz w:val="28"/>
          <w:szCs w:val="28"/>
        </w:rPr>
        <w:t>h</w:t>
      </w:r>
      <w:commentRangeEnd w:id="1"/>
      <w:r>
        <w:commentReference w:id="1"/>
      </w:r>
      <w:r>
        <w:rPr>
          <w:rFonts w:cs="Arial"/>
          <w:color w:val="5B5B5F"/>
          <w:sz w:val="28"/>
          <w:szCs w:val="28"/>
        </w:rPr>
      </w:r>
    </w:p>
    <w:p>
      <w:pPr>
        <w:pStyle w:val="Normal"/>
        <w:rPr>
          <w:rFonts w:cs="Arial"/>
          <w:b/>
          <w:b/>
          <w:bCs/>
          <w:color w:val="405CA1"/>
          <w:sz w:val="32"/>
          <w:szCs w:val="32"/>
        </w:rPr>
      </w:pPr>
      <w:r>
        <w:rPr>
          <w:rFonts w:cs="Arial"/>
          <w:b/>
          <w:bCs/>
          <w:color w:val="405CA1"/>
          <w:sz w:val="32"/>
          <w:szCs w:val="32"/>
        </w:rPr>
      </w:r>
    </w:p>
    <w:p>
      <w:pPr>
        <w:pStyle w:val="Normal"/>
        <w:suppressAutoHyphens w:val="false"/>
        <w:spacing w:lineRule="auto" w:line="259" w:before="0" w:after="160"/>
        <w:rPr>
          <w:rFonts w:cs="Arial"/>
          <w:b/>
          <w:b/>
          <w:bCs/>
          <w:color w:val="405CA1"/>
          <w:sz w:val="32"/>
          <w:szCs w:val="32"/>
        </w:rPr>
      </w:pPr>
      <w:r>
        <w:rPr>
          <w:rFonts w:cs="Arial"/>
          <w:b/>
          <w:bCs/>
          <w:color w:val="405CA1"/>
          <w:sz w:val="32"/>
          <w:szCs w:val="32"/>
        </w:rPr>
        <w:t>PREFERÊNCIA ME/EPP/EQUIPARADAS</w:t>
        <w:br/>
      </w:r>
      <w:r>
        <w:rPr>
          <w:rFonts w:cs="Arial"/>
          <w:b/>
          <w:bCs/>
          <w:color w:val="5B5B5F"/>
          <w:sz w:val="28"/>
          <w:szCs w:val="28"/>
        </w:rPr>
        <w:t>SIM/NÃO</w:t>
      </w:r>
    </w:p>
    <w:p>
      <w:pPr>
        <w:pStyle w:val="Normal"/>
        <w:suppressAutoHyphens w:val="false"/>
        <w:spacing w:lineRule="auto" w:line="259" w:before="0" w:after="160"/>
        <w:rPr>
          <w:rFonts w:cs="Arial"/>
          <w:b/>
          <w:b/>
          <w:bCs/>
          <w:i/>
          <w:i/>
          <w:iCs/>
          <w:color w:val="FF0000"/>
          <w:szCs w:val="20"/>
        </w:rPr>
      </w:pPr>
      <w:r>
        <w:rPr>
          <w:rFonts w:cs="Arial"/>
          <w:b/>
          <w:bCs/>
          <w:i/>
          <w:iCs/>
          <w:color w:val="FF0000"/>
          <w:szCs w:val="20"/>
        </w:rPr>
      </w:r>
    </w:p>
    <w:p>
      <w:pPr>
        <w:pStyle w:val="Normal"/>
        <w:suppressAutoHyphens w:val="false"/>
        <w:spacing w:lineRule="auto" w:line="259" w:before="0" w:after="160"/>
        <w:rPr>
          <w:rFonts w:cs="Arial"/>
          <w:b/>
          <w:b/>
          <w:bCs/>
          <w:i/>
          <w:i/>
          <w:iCs/>
          <w:color w:val="FF0000"/>
          <w:szCs w:val="20"/>
        </w:rPr>
      </w:pPr>
      <w:r>
        <w:rPr>
          <w:rFonts w:cs="Arial"/>
          <w:b/>
          <w:bCs/>
          <w:i/>
          <w:iCs/>
          <w:color w:val="FF0000"/>
          <w:szCs w:val="20"/>
        </w:rPr>
      </w:r>
    </w:p>
    <w:p>
      <w:pPr>
        <w:pStyle w:val="Normal"/>
        <w:suppressAutoHyphens w:val="false"/>
        <w:spacing w:lineRule="auto" w:line="259" w:before="0" w:after="160"/>
        <w:rPr>
          <w:rFonts w:cs="Arial"/>
          <w:b/>
          <w:b/>
          <w:bCs/>
          <w:i/>
          <w:i/>
          <w:iCs/>
          <w:color w:val="FF0000"/>
          <w:szCs w:val="20"/>
        </w:rPr>
      </w:pPr>
      <w:r>
        <w:rPr>
          <w:rFonts w:cs="Arial"/>
          <w:b/>
          <w:bCs/>
          <w:i/>
          <w:iCs/>
          <w:color w:val="FF0000"/>
          <w:szCs w:val="20"/>
        </w:rPr>
      </w:r>
    </w:p>
    <w:p>
      <w:pPr>
        <w:pStyle w:val="Normal"/>
        <w:suppressAutoHyphens w:val="false"/>
        <w:spacing w:lineRule="auto" w:line="259" w:before="0" w:after="160"/>
        <w:rPr>
          <w:rFonts w:cs="Arial"/>
          <w:b/>
          <w:b/>
          <w:bCs/>
          <w:i/>
          <w:i/>
          <w:iCs/>
          <w:color w:val="FF0000"/>
          <w:szCs w:val="20"/>
        </w:rPr>
      </w:pPr>
      <w:r>
        <w:rPr>
          <w:rFonts w:cs="Arial"/>
          <w:b/>
          <w:bCs/>
          <w:i/>
          <w:iCs/>
          <w:color w:val="FF0000"/>
          <w:szCs w:val="20"/>
        </w:rPr>
      </w:r>
    </w:p>
    <w:p>
      <w:pPr>
        <w:pStyle w:val="Normal"/>
        <w:suppressAutoHyphens w:val="false"/>
        <w:spacing w:lineRule="auto" w:line="259" w:before="0" w:after="160"/>
        <w:rPr>
          <w:rFonts w:cs="Arial"/>
          <w:b/>
          <w:b/>
          <w:bCs/>
          <w:i/>
          <w:i/>
          <w:iCs/>
          <w:color w:val="FF0000"/>
          <w:szCs w:val="20"/>
        </w:rPr>
      </w:pPr>
      <w:r>
        <w:rPr>
          <w:rFonts w:cs="Arial"/>
          <w:b/>
          <w:bCs/>
          <w:i/>
          <w:iCs/>
          <w:color w:val="FF0000"/>
          <w:szCs w:val="20"/>
        </w:rPr>
      </w:r>
    </w:p>
    <w:p>
      <w:pPr>
        <w:pStyle w:val="Normal"/>
        <w:suppressAutoHyphens w:val="false"/>
        <w:spacing w:lineRule="auto" w:line="259" w:before="0" w:after="160"/>
        <w:rPr>
          <w:rFonts w:cs="Arial"/>
          <w:b/>
          <w:b/>
          <w:bCs/>
          <w:i/>
          <w:i/>
          <w:iCs/>
          <w:color w:val="FF0000"/>
          <w:szCs w:val="20"/>
        </w:rPr>
      </w:pPr>
      <w:r>
        <w:rPr>
          <w:rFonts w:cs="Arial"/>
          <w:b/>
          <w:bCs/>
          <w:i/>
          <w:iCs/>
          <w:color w:val="FF0000"/>
          <w:szCs w:val="20"/>
        </w:rPr>
      </w:r>
    </w:p>
    <w:p>
      <w:pPr>
        <w:pStyle w:val="Normal"/>
        <w:suppressAutoHyphens w:val="false"/>
        <w:spacing w:lineRule="auto" w:line="259" w:before="0" w:after="160"/>
        <w:rPr>
          <w:rFonts w:cs="Arial"/>
          <w:b/>
          <w:b/>
          <w:bCs/>
          <w:i/>
          <w:i/>
          <w:iCs/>
          <w:color w:val="FF0000"/>
          <w:szCs w:val="20"/>
        </w:rPr>
      </w:pPr>
      <w:r>
        <w:rPr>
          <w:rFonts w:cs="Arial"/>
          <w:b/>
          <w:bCs/>
          <w:i/>
          <w:iCs/>
          <w:color w:val="FF0000"/>
          <w:szCs w:val="20"/>
        </w:rPr>
      </w:r>
      <w:r>
        <w:br w:type="page"/>
      </w:r>
    </w:p>
    <w:p>
      <w:pPr>
        <w:pStyle w:val="Normal"/>
        <w:spacing w:lineRule="auto" w:line="276"/>
        <w:jc w:val="center"/>
        <w:rPr>
          <w:rFonts w:cs="Arial"/>
          <w:b/>
          <w:b/>
          <w:bCs/>
          <w:i/>
          <w:i/>
          <w:iCs/>
          <w:color w:val="FF0000"/>
          <w:szCs w:val="20"/>
        </w:rPr>
      </w:pPr>
      <w:r>
        <w:rPr>
          <w:rFonts w:cs="Arial"/>
          <w:b/>
          <w:bCs/>
          <w:i/>
          <w:iCs/>
          <w:color w:val="FF0000"/>
          <w:szCs w:val="20"/>
        </w:rPr>
      </w:r>
    </w:p>
    <w:p>
      <w:pPr>
        <w:pStyle w:val="Normal"/>
        <w:suppressAutoHyphens w:val="false"/>
        <w:spacing w:lineRule="auto" w:line="259" w:before="0" w:after="160"/>
        <w:rPr>
          <w:rFonts w:cs="Arial"/>
          <w:b/>
          <w:b/>
          <w:bCs/>
          <w:i/>
          <w:i/>
          <w:iCs/>
          <w:color w:val="FF0000"/>
          <w:szCs w:val="20"/>
        </w:rPr>
      </w:pPr>
      <w:r>
        <w:rPr>
          <w:rFonts w:cs="Arial"/>
          <w:b/>
          <w:bCs/>
          <w:i/>
          <w:iCs/>
          <w:color w:val="FF0000"/>
          <w:szCs w:val="20"/>
        </w:rPr>
      </w:r>
    </w:p>
    <w:sdt>
      <w:sdtPr>
        <w:docPartObj>
          <w:docPartGallery w:val="Table of Contents"/>
          <w:docPartUnique w:val="true"/>
        </w:docPartObj>
      </w:sdtPr>
      <w:sdtContent>
        <w:p>
          <w:pPr>
            <w:pStyle w:val="TOCHeading"/>
            <w:rPr/>
          </w:pPr>
          <w:r>
            <w:rPr/>
            <w:t>Sumário</w:t>
          </w:r>
        </w:p>
        <w:p>
          <w:pPr>
            <w:pStyle w:val="Sumrio1"/>
            <w:tabs>
              <w:tab w:val="clear" w:pos="720"/>
              <w:tab w:val="left" w:pos="440" w:leader="none"/>
              <w:tab w:val="right" w:pos="8494" w:leader="dot"/>
            </w:tabs>
            <w:rPr/>
          </w:pPr>
          <w:r>
            <w:fldChar w:fldCharType="begin"/>
          </w:r>
          <w:r>
            <w:rPr>
              <w:webHidden/>
              <w:rStyle w:val="Vnculodendice"/>
              <w:vanish w:val="false"/>
              <w:rFonts w:eastAsia="Arial Unicode MS"/>
              <w:lang w:bidi="hi-IN"/>
            </w:rPr>
            <w:instrText> TOC \z \o "1-3" \u \h</w:instrText>
          </w:r>
          <w:r>
            <w:rPr>
              <w:webHidden/>
              <w:rStyle w:val="Vnculodendice"/>
              <w:vanish w:val="false"/>
              <w:rFonts w:eastAsia="Arial Unicode MS"/>
              <w:lang w:bidi="hi-IN"/>
            </w:rPr>
            <w:fldChar w:fldCharType="separate"/>
          </w:r>
          <w:hyperlink w:anchor="_Toc118380899">
            <w:r>
              <w:rPr>
                <w:webHidden/>
                <w:rStyle w:val="Vnculodendice"/>
                <w:rFonts w:eastAsia="Arial Unicode MS"/>
                <w:vanish w:val="false"/>
                <w:lang w:bidi="hi-IN"/>
              </w:rPr>
              <w:t>1.</w:t>
            </w:r>
            <w:r>
              <w:rPr>
                <w:rStyle w:val="Vnculodendice"/>
              </w:rPr>
              <w:tab/>
            </w:r>
            <w:r>
              <w:rPr>
                <w:rStyle w:val="Vnculodendice"/>
                <w:rFonts w:eastAsia="Arial Unicode MS"/>
                <w:lang w:bidi="hi-IN"/>
              </w:rPr>
              <w:t>OBJETO DA CONTRATAÇÃO DIRETA</w:t>
            </w:r>
            <w:r>
              <w:rPr>
                <w:webHidden/>
              </w:rPr>
              <w:fldChar w:fldCharType="begin"/>
            </w:r>
            <w:r>
              <w:rPr>
                <w:webHidden/>
              </w:rPr>
              <w:instrText>PAGEREF _Toc118380899 \h</w:instrText>
            </w:r>
            <w:r>
              <w:rPr>
                <w:webHidden/>
              </w:rPr>
              <w:fldChar w:fldCharType="separate"/>
            </w:r>
            <w:r>
              <w:rPr>
                <w:rStyle w:val="Vnculodendice"/>
                <w:vanish w:val="false"/>
              </w:rPr>
              <w:tab/>
              <w:t>3</w:t>
            </w:r>
            <w:r>
              <w:rPr>
                <w:webHidden/>
              </w:rPr>
              <w:fldChar w:fldCharType="end"/>
            </w:r>
          </w:hyperlink>
        </w:p>
        <w:p>
          <w:pPr>
            <w:pStyle w:val="Sumrio1"/>
            <w:tabs>
              <w:tab w:val="clear" w:pos="720"/>
              <w:tab w:val="left" w:pos="440" w:leader="none"/>
              <w:tab w:val="right" w:pos="8494" w:leader="dot"/>
            </w:tabs>
            <w:rPr/>
          </w:pPr>
          <w:hyperlink w:anchor="_Toc118380900">
            <w:r>
              <w:rPr>
                <w:webHidden/>
                <w:rStyle w:val="Vnculodendice"/>
                <w:rFonts w:eastAsia="Arial Unicode MS"/>
                <w:vanish w:val="false"/>
                <w:lang w:bidi="hi-IN"/>
              </w:rPr>
              <w:t>2.</w:t>
            </w:r>
            <w:r>
              <w:rPr>
                <w:rStyle w:val="Vnculodendice"/>
              </w:rPr>
              <w:tab/>
            </w:r>
            <w:r>
              <w:rPr>
                <w:rStyle w:val="Vnculodendice"/>
                <w:rFonts w:eastAsia="Arial Unicode MS"/>
                <w:lang w:bidi="hi-IN"/>
              </w:rPr>
              <w:t>PARTICIPAÇÃO NA DISPENSA ELETRÔNICA.</w:t>
            </w:r>
            <w:r>
              <w:rPr>
                <w:rStyle w:val="Vnculodendice"/>
                <w:vanish w:val="false"/>
              </w:rPr>
              <w:tab/>
            </w:r>
          </w:hyperlink>
          <w:r>
            <w:rPr>
              <w:vanish w:val="false"/>
            </w:rPr>
            <w:t>4</w:t>
          </w:r>
        </w:p>
        <w:p>
          <w:pPr>
            <w:pStyle w:val="Sumrio1"/>
            <w:tabs>
              <w:tab w:val="clear" w:pos="720"/>
              <w:tab w:val="left" w:pos="440" w:leader="none"/>
              <w:tab w:val="right" w:pos="8494" w:leader="dot"/>
            </w:tabs>
            <w:rPr/>
          </w:pPr>
          <w:hyperlink w:anchor="_Toc118380901">
            <w:r>
              <w:rPr>
                <w:webHidden/>
                <w:rStyle w:val="Vnculodendice"/>
                <w:rFonts w:eastAsia="Arial Unicode MS"/>
                <w:vanish w:val="false"/>
                <w:lang w:bidi="hi-IN"/>
              </w:rPr>
              <w:t>3.</w:t>
            </w:r>
            <w:r>
              <w:rPr>
                <w:rStyle w:val="Vnculodendice"/>
              </w:rPr>
              <w:tab/>
            </w:r>
            <w:r>
              <w:rPr>
                <w:rStyle w:val="Vnculodendice"/>
                <w:rFonts w:eastAsia="Arial Unicode MS"/>
                <w:lang w:bidi="hi-IN"/>
              </w:rPr>
              <w:t>INGRESSO NA DISPENSA ELETRÔNICA E CADASTRAMENTO DA PROPOSTA INICIAL</w:t>
            </w:r>
            <w:r>
              <w:rPr>
                <w:webHidden/>
              </w:rPr>
              <w:fldChar w:fldCharType="begin"/>
            </w:r>
            <w:r>
              <w:rPr>
                <w:webHidden/>
              </w:rPr>
              <w:instrText>PAGEREF _Toc118380901 \h</w:instrText>
            </w:r>
            <w:r>
              <w:rPr>
                <w:webHidden/>
              </w:rPr>
              <w:fldChar w:fldCharType="separate"/>
            </w:r>
            <w:r>
              <w:rPr>
                <w:rStyle w:val="Vnculodendice"/>
                <w:vanish w:val="false"/>
              </w:rPr>
              <w:tab/>
              <w:t>5</w:t>
            </w:r>
            <w:r>
              <w:rPr>
                <w:webHidden/>
              </w:rPr>
              <w:fldChar w:fldCharType="end"/>
            </w:r>
          </w:hyperlink>
        </w:p>
        <w:p>
          <w:pPr>
            <w:pStyle w:val="Sumrio1"/>
            <w:tabs>
              <w:tab w:val="clear" w:pos="720"/>
              <w:tab w:val="left" w:pos="440" w:leader="none"/>
              <w:tab w:val="right" w:pos="8494" w:leader="dot"/>
            </w:tabs>
            <w:rPr/>
          </w:pPr>
          <w:hyperlink w:anchor="_Toc118380902">
            <w:r>
              <w:rPr>
                <w:webHidden/>
                <w:rStyle w:val="Vnculodendice"/>
                <w:rFonts w:eastAsia="Arial Unicode MS"/>
                <w:vanish w:val="false"/>
                <w:lang w:bidi="hi-IN"/>
              </w:rPr>
              <w:t>4.</w:t>
            </w:r>
            <w:r>
              <w:rPr>
                <w:rStyle w:val="Vnculodendice"/>
              </w:rPr>
              <w:tab/>
            </w:r>
            <w:r>
              <w:rPr>
                <w:rStyle w:val="Vnculodendice"/>
                <w:rFonts w:eastAsia="Arial Unicode MS"/>
                <w:lang w:bidi="hi-IN"/>
              </w:rPr>
              <w:t>FASE DE LANCES</w:t>
            </w:r>
            <w:r>
              <w:rPr>
                <w:rStyle w:val="Vnculodendice"/>
                <w:vanish w:val="false"/>
              </w:rPr>
              <w:tab/>
            </w:r>
          </w:hyperlink>
          <w:r>
            <w:rPr>
              <w:vanish w:val="false"/>
            </w:rPr>
            <w:t>6</w:t>
          </w:r>
        </w:p>
        <w:p>
          <w:pPr>
            <w:pStyle w:val="Sumrio1"/>
            <w:tabs>
              <w:tab w:val="clear" w:pos="720"/>
              <w:tab w:val="left" w:pos="440" w:leader="none"/>
              <w:tab w:val="right" w:pos="8494" w:leader="dot"/>
            </w:tabs>
            <w:rPr/>
          </w:pPr>
          <w:hyperlink w:anchor="_Toc118380903">
            <w:r>
              <w:rPr>
                <w:webHidden/>
                <w:rStyle w:val="Vnculodendice"/>
                <w:rFonts w:eastAsia="Arial Unicode MS"/>
                <w:vanish w:val="false"/>
                <w:lang w:bidi="hi-IN"/>
              </w:rPr>
              <w:t>5.</w:t>
            </w:r>
            <w:r>
              <w:rPr>
                <w:rStyle w:val="Vnculodendice"/>
              </w:rPr>
              <w:tab/>
            </w:r>
            <w:r>
              <w:rPr>
                <w:rStyle w:val="Vnculodendice"/>
                <w:rFonts w:eastAsia="Arial Unicode MS"/>
                <w:lang w:bidi="hi-IN"/>
              </w:rPr>
              <w:t>JULGAMENTO DAS PROPOSTAS DE PREÇO</w:t>
            </w:r>
            <w:r>
              <w:rPr>
                <w:webHidden/>
              </w:rPr>
              <w:fldChar w:fldCharType="begin"/>
            </w:r>
            <w:r>
              <w:rPr>
                <w:webHidden/>
              </w:rPr>
              <w:instrText>PAGEREF _Toc118380903 \h</w:instrText>
            </w:r>
            <w:r>
              <w:rPr>
                <w:webHidden/>
              </w:rPr>
              <w:fldChar w:fldCharType="separate"/>
            </w:r>
            <w:r>
              <w:rPr>
                <w:rStyle w:val="Vnculodendice"/>
                <w:vanish w:val="false"/>
              </w:rPr>
              <w:tab/>
              <w:t>7</w:t>
            </w:r>
            <w:r>
              <w:rPr>
                <w:webHidden/>
              </w:rPr>
              <w:fldChar w:fldCharType="end"/>
            </w:r>
          </w:hyperlink>
        </w:p>
        <w:p>
          <w:pPr>
            <w:pStyle w:val="Sumrio1"/>
            <w:tabs>
              <w:tab w:val="clear" w:pos="720"/>
              <w:tab w:val="left" w:pos="440" w:leader="none"/>
              <w:tab w:val="right" w:pos="8494" w:leader="dot"/>
            </w:tabs>
            <w:rPr/>
          </w:pPr>
          <w:hyperlink w:anchor="_Toc118380904">
            <w:r>
              <w:rPr>
                <w:webHidden/>
                <w:rStyle w:val="Vnculodendice"/>
                <w:rFonts w:eastAsia="Arial Unicode MS"/>
                <w:vanish w:val="false"/>
                <w:lang w:bidi="hi-IN"/>
              </w:rPr>
              <w:t>6.</w:t>
            </w:r>
            <w:r>
              <w:rPr>
                <w:rStyle w:val="Vnculodendice"/>
              </w:rPr>
              <w:tab/>
            </w:r>
            <w:r>
              <w:rPr>
                <w:rStyle w:val="Vnculodendice"/>
                <w:rFonts w:eastAsia="Arial Unicode MS"/>
                <w:lang w:bidi="hi-IN"/>
              </w:rPr>
              <w:t>HABILITAÇÃO</w:t>
            </w:r>
            <w:r>
              <w:rPr>
                <w:rStyle w:val="Vnculodendice"/>
                <w:vanish w:val="false"/>
              </w:rPr>
              <w:tab/>
            </w:r>
          </w:hyperlink>
          <w:r>
            <w:rPr>
              <w:vanish w:val="false"/>
            </w:rPr>
            <w:t>8</w:t>
          </w:r>
        </w:p>
        <w:p>
          <w:pPr>
            <w:pStyle w:val="Sumrio1"/>
            <w:tabs>
              <w:tab w:val="clear" w:pos="720"/>
              <w:tab w:val="left" w:pos="440" w:leader="none"/>
              <w:tab w:val="right" w:pos="8494" w:leader="dot"/>
            </w:tabs>
            <w:rPr/>
          </w:pPr>
          <w:hyperlink w:anchor="_Toc118380905">
            <w:r>
              <w:rPr>
                <w:webHidden/>
                <w:rStyle w:val="Vnculodendice"/>
                <w:rFonts w:eastAsia="Arial Unicode MS"/>
                <w:vanish w:val="false"/>
                <w:lang w:bidi="hi-IN"/>
              </w:rPr>
              <w:t>7.</w:t>
            </w:r>
            <w:r>
              <w:rPr>
                <w:rStyle w:val="Vnculodendice"/>
              </w:rPr>
              <w:tab/>
            </w:r>
            <w:r>
              <w:rPr>
                <w:rStyle w:val="Vnculodendice"/>
                <w:rFonts w:eastAsia="Arial Unicode MS"/>
                <w:lang w:bidi="hi-IN"/>
              </w:rPr>
              <w:t>CONTRATAÇÃO</w:t>
            </w:r>
            <w:r>
              <w:rPr>
                <w:rStyle w:val="Vnculodendice"/>
                <w:vanish w:val="false"/>
              </w:rPr>
              <w:tab/>
              <w:t>1</w:t>
            </w:r>
          </w:hyperlink>
          <w:r>
            <w:rPr>
              <w:vanish w:val="false"/>
            </w:rPr>
            <w:t>0</w:t>
          </w:r>
        </w:p>
        <w:p>
          <w:pPr>
            <w:pStyle w:val="Sumrio1"/>
            <w:tabs>
              <w:tab w:val="clear" w:pos="720"/>
              <w:tab w:val="left" w:pos="440" w:leader="none"/>
              <w:tab w:val="right" w:pos="8494" w:leader="dot"/>
            </w:tabs>
            <w:rPr/>
          </w:pPr>
          <w:hyperlink w:anchor="_Toc118380906">
            <w:r>
              <w:rPr>
                <w:webHidden/>
                <w:rStyle w:val="Vnculodendice"/>
                <w:rFonts w:eastAsia="Arial Unicode MS"/>
                <w:vanish w:val="false"/>
                <w:lang w:bidi="hi-IN"/>
              </w:rPr>
              <w:t>8.</w:t>
            </w:r>
            <w:r>
              <w:rPr>
                <w:rStyle w:val="Vnculodendice"/>
              </w:rPr>
              <w:tab/>
            </w:r>
            <w:r>
              <w:rPr>
                <w:rStyle w:val="Vnculodendice"/>
                <w:rFonts w:eastAsia="Arial Unicode MS"/>
                <w:lang w:bidi="hi-IN"/>
              </w:rPr>
              <w:t>INFRAÇÕES E SANÇÕES ADMINISTRATIVAS</w:t>
            </w:r>
            <w:r>
              <w:rPr>
                <w:rStyle w:val="Vnculodendice"/>
                <w:vanish w:val="false"/>
              </w:rPr>
              <w:tab/>
              <w:t>1</w:t>
            </w:r>
          </w:hyperlink>
          <w:r>
            <w:rPr>
              <w:vanish w:val="false"/>
            </w:rPr>
            <w:t>0</w:t>
          </w:r>
        </w:p>
        <w:p>
          <w:pPr>
            <w:pStyle w:val="Sumrio1"/>
            <w:tabs>
              <w:tab w:val="clear" w:pos="720"/>
              <w:tab w:val="left" w:pos="440" w:leader="none"/>
              <w:tab w:val="right" w:pos="8494" w:leader="dot"/>
            </w:tabs>
            <w:rPr/>
          </w:pPr>
          <w:hyperlink w:anchor="_Toc118380907">
            <w:r>
              <w:rPr>
                <w:webHidden/>
                <w:rStyle w:val="Vnculodendice"/>
                <w:rFonts w:eastAsia="Arial Unicode MS"/>
                <w:vanish w:val="false"/>
                <w:lang w:bidi="hi-IN"/>
              </w:rPr>
              <w:t>9.</w:t>
            </w:r>
            <w:r>
              <w:rPr>
                <w:rStyle w:val="Vnculodendice"/>
              </w:rPr>
              <w:tab/>
            </w:r>
            <w:r>
              <w:rPr>
                <w:rStyle w:val="Vnculodendice"/>
                <w:rFonts w:eastAsia="Arial Unicode MS"/>
                <w:lang w:bidi="hi-IN"/>
              </w:rPr>
              <w:t>DAS DISPOSIÇÕES GERAIS</w:t>
            </w:r>
            <w:r>
              <w:rPr>
                <w:rStyle w:val="Vnculodendice"/>
                <w:vanish w:val="false"/>
              </w:rPr>
              <w:tab/>
              <w:t>1</w:t>
            </w:r>
          </w:hyperlink>
          <w:r>
            <w:rPr>
              <w:vanish w:val="false"/>
            </w:rPr>
            <w:t>2</w:t>
          </w:r>
        </w:p>
        <w:p>
          <w:pPr>
            <w:pStyle w:val="Normal"/>
            <w:rPr/>
          </w:pPr>
          <w:r>
            <w:rPr/>
          </w:r>
          <w:r>
            <w:rPr/>
            <w:fldChar w:fldCharType="end"/>
          </w:r>
        </w:p>
      </w:sdtContent>
    </w:sdt>
    <w:p>
      <w:pPr>
        <w:pStyle w:val="Normal"/>
        <w:suppressAutoHyphens w:val="false"/>
        <w:spacing w:lineRule="auto" w:line="259" w:before="0" w:after="160"/>
        <w:rPr>
          <w:rFonts w:cs="Arial"/>
          <w:b/>
          <w:b/>
          <w:bCs/>
          <w:i/>
          <w:i/>
          <w:iCs/>
          <w:color w:val="FF0000"/>
          <w:szCs w:val="20"/>
        </w:rPr>
      </w:pPr>
      <w:r>
        <w:rPr>
          <w:rFonts w:cs="Arial"/>
          <w:b/>
          <w:bCs/>
          <w:i/>
          <w:iCs/>
          <w:color w:val="FF0000"/>
          <w:szCs w:val="20"/>
        </w:rPr>
      </w:r>
    </w:p>
    <w:p>
      <w:pPr>
        <w:pStyle w:val="Normal"/>
        <w:suppressAutoHyphens w:val="false"/>
        <w:spacing w:lineRule="auto" w:line="259" w:before="0" w:after="160"/>
        <w:rPr>
          <w:rFonts w:cs="Arial"/>
          <w:b/>
          <w:b/>
          <w:bCs/>
          <w:i/>
          <w:i/>
          <w:iCs/>
          <w:color w:val="FF0000"/>
          <w:szCs w:val="20"/>
        </w:rPr>
      </w:pPr>
      <w:r>
        <w:rPr>
          <w:rFonts w:cs="Arial"/>
          <w:b/>
          <w:bCs/>
          <w:i/>
          <w:iCs/>
          <w:color w:val="FF0000"/>
          <w:szCs w:val="20"/>
        </w:rPr>
      </w:r>
      <w:r>
        <w:br w:type="page"/>
      </w:r>
    </w:p>
    <w:p>
      <w:pPr>
        <w:pStyle w:val="Normal"/>
        <w:spacing w:lineRule="auto" w:line="276" w:before="0" w:after="0"/>
        <w:jc w:val="center"/>
        <w:rPr>
          <w:rFonts w:ascii="Arial" w:hAnsi="Arial" w:cs="Arial"/>
          <w:b/>
          <w:b/>
          <w:bCs/>
          <w:color w:val="000000"/>
          <w:sz w:val="20"/>
          <w:szCs w:val="20"/>
        </w:rPr>
      </w:pPr>
      <w:r>
        <w:rPr/>
        <w:drawing>
          <wp:inline distT="0" distB="0" distL="0" distR="0">
            <wp:extent cx="739140" cy="807720"/>
            <wp:effectExtent l="0" t="0" r="0" b="0"/>
            <wp:docPr id="1" name="Imagem 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 descr=""/>
                    <pic:cNvPicPr>
                      <a:picLocks noChangeAspect="1" noChangeArrowheads="1"/>
                    </pic:cNvPicPr>
                  </pic:nvPicPr>
                  <pic:blipFill>
                    <a:blip r:embed="rId2"/>
                    <a:stretch>
                      <a:fillRect/>
                    </a:stretch>
                  </pic:blipFill>
                  <pic:spPr bwMode="auto">
                    <a:xfrm>
                      <a:off x="0" y="0"/>
                      <a:ext cx="739140" cy="807720"/>
                    </a:xfrm>
                    <a:prstGeom prst="rect">
                      <a:avLst/>
                    </a:prstGeom>
                  </pic:spPr>
                </pic:pic>
              </a:graphicData>
            </a:graphic>
          </wp:inline>
        </w:drawing>
      </w:r>
    </w:p>
    <w:p>
      <w:pPr>
        <w:pStyle w:val="Normal"/>
        <w:spacing w:lineRule="auto" w:line="276" w:before="0" w:after="0"/>
        <w:jc w:val="center"/>
        <w:rPr>
          <w:rFonts w:ascii="Arial" w:hAnsi="Arial" w:cs="Arial"/>
          <w:b/>
          <w:b/>
          <w:bCs/>
          <w:color w:val="000000"/>
          <w:sz w:val="20"/>
          <w:szCs w:val="20"/>
        </w:rPr>
      </w:pPr>
      <w:r>
        <w:rPr>
          <w:rFonts w:eastAsia="Times New Roman" w:cs="Times New Roman"/>
          <w:b/>
          <w:color w:val="000000"/>
          <w:sz w:val="16"/>
          <w:szCs w:val="16"/>
          <w:shd w:fill="auto" w:val="clear"/>
          <w:lang w:val="pt-BR" w:eastAsia="pt-BR" w:bidi="zxx"/>
        </w:rPr>
        <w:t>MINISTÉRIO DA DEFESA</w:t>
      </w:r>
    </w:p>
    <w:p>
      <w:pPr>
        <w:pStyle w:val="Normal"/>
        <w:spacing w:before="0" w:after="0"/>
        <w:ind w:left="0" w:right="0" w:hanging="0"/>
        <w:jc w:val="center"/>
        <w:rPr>
          <w:rFonts w:ascii="Arial" w:hAnsi="Arial" w:eastAsia="Times New Roman" w:cs="Times New Roman"/>
          <w:b/>
          <w:b/>
          <w:color w:val="auto"/>
          <w:sz w:val="16"/>
          <w:szCs w:val="16"/>
          <w:shd w:fill="auto" w:val="clear"/>
          <w:lang w:val="pt-BR" w:eastAsia="zxx" w:bidi="zxx"/>
        </w:rPr>
      </w:pPr>
      <w:r>
        <w:rPr>
          <w:rFonts w:eastAsia="Times New Roman" w:cs="Times New Roman"/>
          <w:b/>
          <w:color w:val="000000"/>
          <w:sz w:val="16"/>
          <w:szCs w:val="16"/>
          <w:shd w:fill="auto" w:val="clear"/>
          <w:lang w:val="pt-BR" w:eastAsia="zxx" w:bidi="zxx"/>
        </w:rPr>
        <w:t>EXÉRCITO BRASILEIRO</w:t>
      </w:r>
    </w:p>
    <w:p>
      <w:pPr>
        <w:pStyle w:val="Normal"/>
        <w:spacing w:before="0" w:after="0"/>
        <w:ind w:left="0" w:right="0" w:hanging="0"/>
        <w:jc w:val="center"/>
        <w:rPr>
          <w:rFonts w:ascii="Arial" w:hAnsi="Arial" w:eastAsia="Times New Roman" w:cs="Times New Roman"/>
          <w:b/>
          <w:b/>
          <w:color w:val="auto"/>
          <w:sz w:val="16"/>
          <w:szCs w:val="16"/>
          <w:shd w:fill="auto" w:val="clear"/>
          <w:lang w:val="pt-BR" w:eastAsia="zxx" w:bidi="zxx"/>
        </w:rPr>
      </w:pPr>
      <w:r>
        <w:rPr>
          <w:rFonts w:eastAsia="Times New Roman" w:cs="Times New Roman"/>
          <w:b/>
          <w:color w:val="000000"/>
          <w:sz w:val="16"/>
          <w:szCs w:val="16"/>
          <w:shd w:fill="auto" w:val="clear"/>
          <w:lang w:val="pt-BR" w:eastAsia="zxx" w:bidi="zxx"/>
        </w:rPr>
        <w:t>4ª BRIGADA DE INFANTARIA LEVE DE MONTANHA</w:t>
      </w:r>
    </w:p>
    <w:p>
      <w:pPr>
        <w:pStyle w:val="Normal"/>
        <w:spacing w:before="0" w:after="0"/>
        <w:ind w:left="0" w:right="0" w:hanging="0"/>
        <w:jc w:val="center"/>
        <w:rPr>
          <w:rFonts w:ascii="Arial" w:hAnsi="Arial" w:eastAsia="Times New Roman" w:cs="Times New Roman"/>
          <w:b/>
          <w:b/>
          <w:color w:val="auto"/>
          <w:sz w:val="16"/>
          <w:szCs w:val="16"/>
          <w:shd w:fill="auto" w:val="clear"/>
          <w:lang w:val="pt-BR" w:eastAsia="zxx" w:bidi="zxx"/>
        </w:rPr>
      </w:pPr>
      <w:r>
        <w:rPr>
          <w:rFonts w:eastAsia="Times New Roman" w:cs="Times New Roman"/>
          <w:b/>
          <w:color w:val="000000"/>
          <w:sz w:val="16"/>
          <w:szCs w:val="16"/>
          <w:shd w:fill="auto" w:val="clear"/>
          <w:lang w:val="pt-BR" w:eastAsia="zxx" w:bidi="zxx"/>
        </w:rPr>
        <w:t>(4ª Bda Estrt/1908)</w:t>
      </w:r>
    </w:p>
    <w:p>
      <w:pPr>
        <w:pStyle w:val="Normal"/>
        <w:spacing w:lineRule="auto" w:line="276" w:before="0" w:after="0"/>
        <w:jc w:val="center"/>
        <w:rPr>
          <w:rFonts w:cs="Arial"/>
          <w:b/>
          <w:b/>
          <w:bCs/>
          <w:color w:val="5B5B5F"/>
          <w:sz w:val="28"/>
          <w:szCs w:val="28"/>
        </w:rPr>
      </w:pPr>
      <w:r>
        <w:rPr>
          <w:rFonts w:eastAsia="Times New Roman" w:cs="Arial"/>
          <w:b/>
          <w:bCs/>
          <w:color w:val="000000"/>
          <w:sz w:val="16"/>
          <w:szCs w:val="20"/>
          <w:shd w:fill="auto" w:val="clear"/>
          <w:lang w:val="pt-BR" w:eastAsia="zxx" w:bidi="zxx"/>
        </w:rPr>
        <w:t>“</w:t>
      </w:r>
      <w:r>
        <w:rPr>
          <w:rFonts w:eastAsia="Times New Roman" w:cs="Arial"/>
          <w:b/>
          <w:bCs/>
          <w:color w:val="000000"/>
          <w:sz w:val="16"/>
          <w:szCs w:val="20"/>
          <w:shd w:fill="auto" w:val="clear"/>
          <w:lang w:val="pt-BR" w:eastAsia="zxx" w:bidi="zxx"/>
        </w:rPr>
        <w:t>BRIGADA 31 DE MARÇ</w:t>
      </w:r>
      <w:r>
        <w:rPr>
          <w:rFonts w:eastAsia="Times New Roman" w:cs="Arial"/>
          <w:b/>
          <w:bCs/>
          <w:color w:val="000000"/>
          <w:sz w:val="16"/>
          <w:szCs w:val="20"/>
          <w:shd w:fill="auto" w:val="clear"/>
          <w:lang w:val="pt-BR" w:eastAsia="zxx" w:bidi="zxx"/>
        </w:rPr>
        <w:t>O”</w:t>
      </w:r>
    </w:p>
    <w:p>
      <w:pPr>
        <w:pStyle w:val="Normal"/>
        <w:jc w:val="center"/>
        <w:rPr>
          <w:rFonts w:cs="Arial"/>
          <w:b/>
          <w:b/>
          <w:bCs/>
          <w:color w:val="5B5B5F"/>
          <w:sz w:val="28"/>
          <w:szCs w:val="28"/>
        </w:rPr>
      </w:pPr>
      <w:r>
        <w:rPr>
          <w:rFonts w:cs="Arial"/>
          <w:b/>
          <w:bCs/>
          <w:color w:val="5B5B5F"/>
          <w:sz w:val="28"/>
          <w:szCs w:val="28"/>
        </w:rPr>
      </w:r>
    </w:p>
    <w:p>
      <w:pPr>
        <w:pStyle w:val="Normal"/>
        <w:jc w:val="center"/>
        <w:rPr>
          <w:rFonts w:cs="Arial"/>
          <w:b/>
          <w:b/>
          <w:bCs/>
          <w:color w:val="5B5B5F"/>
          <w:sz w:val="28"/>
          <w:szCs w:val="28"/>
        </w:rPr>
      </w:pPr>
      <w:r>
        <w:rPr>
          <w:rFonts w:cs="Arial"/>
          <w:b/>
          <w:bCs/>
          <w:color w:val="5B5B5F"/>
          <w:sz w:val="28"/>
          <w:szCs w:val="28"/>
        </w:rPr>
      </w:r>
    </w:p>
    <w:p>
      <w:pPr>
        <w:pStyle w:val="Normal"/>
        <w:jc w:val="center"/>
        <w:rPr>
          <w:rFonts w:cs="Arial"/>
          <w:b/>
          <w:b/>
          <w:bCs/>
          <w:color w:val="5B5B5F"/>
          <w:sz w:val="28"/>
          <w:szCs w:val="28"/>
        </w:rPr>
      </w:pPr>
      <w:r>
        <w:rPr>
          <w:rFonts w:cs="Arial"/>
          <w:b/>
          <w:bCs/>
          <w:color w:val="000000" w:themeColor="text1"/>
          <w:szCs w:val="20"/>
        </w:rPr>
        <w:t xml:space="preserve">AVISO DE CONTRATAÇÃO DIRETA Nº 134/2023 – DALC  </w:t>
      </w:r>
    </w:p>
    <w:p>
      <w:pPr>
        <w:pStyle w:val="Normal"/>
        <w:spacing w:lineRule="auto" w:line="276" w:before="0" w:after="120"/>
        <w:ind w:right="-15" w:hanging="0"/>
        <w:jc w:val="center"/>
        <w:rPr>
          <w:rFonts w:cs="Arial"/>
          <w:b/>
          <w:b/>
          <w:bCs/>
          <w:color w:val="000000"/>
          <w:szCs w:val="20"/>
        </w:rPr>
      </w:pPr>
      <w:r>
        <w:rPr>
          <w:rFonts w:cs="Arial"/>
          <w:b/>
          <w:bCs/>
          <w:color w:val="000000" w:themeColor="text1"/>
          <w:szCs w:val="20"/>
        </w:rPr>
        <w:t>(Processo Administrativo n° 64301.010919/2023-02)</w:t>
      </w:r>
    </w:p>
    <w:p>
      <w:pPr>
        <w:pStyle w:val="Normal"/>
        <w:rPr>
          <w:rFonts w:cs="Arial"/>
        </w:rPr>
      </w:pPr>
      <w:r>
        <w:rPr>
          <w:rFonts w:cs="Arial"/>
        </w:rPr>
      </w:r>
    </w:p>
    <w:p>
      <w:pPr>
        <w:pStyle w:val="Normal"/>
        <w:snapToGrid w:val="false"/>
        <w:spacing w:lineRule="auto" w:line="276" w:before="0" w:after="120"/>
        <w:ind w:right="-30" w:firstLine="540"/>
        <w:jc w:val="both"/>
        <w:rPr/>
      </w:pPr>
      <w:commentRangeStart w:id="2"/>
      <w:r>
        <w:rPr>
          <w:rFonts w:cs="Arial"/>
          <w:i w:val="false"/>
          <w:iCs w:val="false"/>
          <w:color w:val="000000" w:themeColor="text1"/>
          <w:szCs w:val="20"/>
          <w:u w:val="none"/>
        </w:rPr>
        <w:t xml:space="preserve">Torna-se público que o Comando da 4ª Brigada de Infantaria Leve de Montanha (Cmdo 4ª Bda Inf L Mth), por meio da Divisão de Aquisições, Licitações e Contratos (DALC), realizará Dispensa Eletrônica, </w:t>
      </w:r>
      <w:r>
        <w:rPr>
          <w:rFonts w:cs="Arial"/>
          <w:bCs/>
          <w:i w:val="false"/>
          <w:iCs w:val="false"/>
          <w:color w:val="000000" w:themeColor="text1"/>
          <w:szCs w:val="20"/>
          <w:u w:val="none"/>
        </w:rPr>
        <w:t xml:space="preserve">com critério de julgamento menor preço, </w:t>
      </w:r>
      <w:r>
        <w:rPr>
          <w:rFonts w:cs="Arial"/>
          <w:i w:val="false"/>
          <w:iCs w:val="false"/>
          <w:color w:val="000000" w:themeColor="text1"/>
          <w:szCs w:val="20"/>
          <w:u w:val="none"/>
        </w:rPr>
        <w:t xml:space="preserve">na hipótese do </w:t>
      </w:r>
      <w:r>
        <w:fldChar w:fldCharType="begin"/>
      </w:r>
      <w:r>
        <w:rPr>
          <w:rStyle w:val="LinkdaInternet"/>
          <w:i w:val="false"/>
          <w:u w:val="none"/>
          <w:szCs w:val="20"/>
          <w:iCs w:val="false"/>
          <w:rFonts w:cs="Arial"/>
          <w:color w:val="000000"/>
        </w:rPr>
        <w:instrText> HYPERLINK "http://www.planalto.gov.br/ccivil_03/_ato2019-2022/2021/lei/L14133.htm" \l "art75"</w:instrText>
      </w:r>
      <w:r>
        <w:rPr>
          <w:rStyle w:val="LinkdaInternet"/>
          <w:i w:val="false"/>
          <w:u w:val="none"/>
          <w:szCs w:val="20"/>
          <w:iCs w:val="false"/>
          <w:rFonts w:cs="Arial"/>
          <w:color w:val="000000"/>
        </w:rPr>
        <w:fldChar w:fldCharType="separate"/>
      </w:r>
      <w:r>
        <w:rPr>
          <w:rStyle w:val="LinkdaInternet"/>
          <w:rFonts w:cs="Arial"/>
          <w:i w:val="false"/>
          <w:iCs w:val="false"/>
          <w:color w:val="000000"/>
          <w:szCs w:val="20"/>
          <w:u w:val="none"/>
        </w:rPr>
        <w:t>art. 75</w:t>
      </w:r>
      <w:r>
        <w:rPr>
          <w:rStyle w:val="LinkdaInternet"/>
          <w:i w:val="false"/>
          <w:u w:val="none"/>
          <w:szCs w:val="20"/>
          <w:iCs w:val="false"/>
          <w:rFonts w:cs="Arial"/>
          <w:color w:val="000000"/>
        </w:rPr>
        <w:fldChar w:fldCharType="end"/>
      </w:r>
      <w:r>
        <w:rPr>
          <w:rFonts w:cs="Arial"/>
          <w:i w:val="false"/>
          <w:iCs w:val="false"/>
          <w:color w:val="000000" w:themeColor="text1"/>
          <w:szCs w:val="20"/>
          <w:u w:val="none"/>
        </w:rPr>
        <w:t xml:space="preserve">, </w:t>
      </w:r>
      <w:r>
        <w:rPr>
          <w:rFonts w:cs="Arial"/>
          <w:i w:val="false"/>
          <w:iCs w:val="false"/>
          <w:color w:val="000000"/>
          <w:szCs w:val="20"/>
          <w:u w:val="none"/>
        </w:rPr>
        <w:t xml:space="preserve">inciso II, </w:t>
      </w:r>
      <w:r>
        <w:rPr>
          <w:rFonts w:cs="Arial"/>
          <w:bCs/>
          <w:i w:val="false"/>
          <w:iCs w:val="false"/>
          <w:color w:val="000000"/>
          <w:szCs w:val="20"/>
          <w:u w:val="none"/>
        </w:rPr>
        <w:t xml:space="preserve">nos termos da </w:t>
      </w:r>
      <w:hyperlink r:id="rId3">
        <w:r>
          <w:rPr>
            <w:rStyle w:val="LinkdaInternet"/>
            <w:rFonts w:cs="Arial"/>
            <w:bCs/>
            <w:i w:val="false"/>
            <w:iCs w:val="false"/>
            <w:color w:val="000000"/>
            <w:szCs w:val="20"/>
            <w:u w:val="none"/>
          </w:rPr>
          <w:t>Lei n.º 14.133, de 1º de abril de 2021</w:t>
        </w:r>
      </w:hyperlink>
      <w:r>
        <w:rPr>
          <w:rFonts w:cs="Arial"/>
          <w:bCs/>
          <w:i w:val="false"/>
          <w:iCs w:val="false"/>
          <w:color w:val="000000"/>
          <w:szCs w:val="20"/>
          <w:u w:val="none"/>
        </w:rPr>
        <w:t xml:space="preserve">, da </w:t>
      </w:r>
      <w:hyperlink r:id="rId4">
        <w:r>
          <w:rPr>
            <w:rStyle w:val="LinkdaInternet"/>
            <w:rFonts w:cs="Arial"/>
            <w:bCs/>
            <w:i w:val="false"/>
            <w:iCs w:val="false"/>
            <w:color w:val="000000"/>
            <w:szCs w:val="20"/>
            <w:u w:val="none"/>
          </w:rPr>
          <w:t>Instrução Normativa Seges/ME nº 67, de 2021</w:t>
        </w:r>
      </w:hyperlink>
      <w:r>
        <w:rPr>
          <w:rFonts w:cs="Arial"/>
          <w:bCs/>
          <w:i w:val="false"/>
          <w:iCs w:val="false"/>
          <w:color w:val="000000"/>
          <w:szCs w:val="20"/>
          <w:u w:val="none"/>
        </w:rPr>
        <w:t>, e demais normas aplicáveis</w:t>
      </w:r>
      <w:r>
        <w:rPr>
          <w:rFonts w:cs="Arial"/>
          <w:i w:val="false"/>
          <w:iCs w:val="false"/>
          <w:color w:val="000000"/>
          <w:szCs w:val="20"/>
          <w:u w:val="none"/>
        </w:rPr>
        <w:t>.</w:t>
      </w:r>
      <w:commentRangeEnd w:id="2"/>
      <w:r>
        <w:commentReference w:id="2"/>
      </w:r>
      <w:r>
        <w:rPr>
          <w:rFonts w:cs="Arial"/>
          <w:i w:val="false"/>
          <w:iCs w:val="false"/>
          <w:color w:val="000000"/>
          <w:szCs w:val="20"/>
          <w:u w:val="none"/>
        </w:rPr>
      </w:r>
    </w:p>
    <w:p>
      <w:pPr>
        <w:pStyle w:val="Normal"/>
        <w:spacing w:lineRule="auto" w:line="276"/>
        <w:jc w:val="both"/>
        <w:rPr>
          <w:rFonts w:cs="Arial"/>
          <w:i w:val="false"/>
          <w:i w:val="false"/>
          <w:iCs w:val="false"/>
          <w:color w:val="000000" w:themeColor="text1"/>
          <w:szCs w:val="20"/>
        </w:rPr>
      </w:pPr>
      <w:r>
        <w:rPr>
          <w:rFonts w:cs="Arial"/>
          <w:i w:val="false"/>
          <w:iCs w:val="false"/>
          <w:color w:val="000000" w:themeColor="text1"/>
          <w:szCs w:val="20"/>
        </w:rPr>
      </w:r>
    </w:p>
    <w:p>
      <w:pPr>
        <w:pStyle w:val="Normal"/>
        <w:spacing w:lineRule="auto" w:line="276"/>
        <w:jc w:val="both"/>
        <w:rPr>
          <w:rFonts w:cs="Arial"/>
          <w:color w:val="000000" w:themeColor="text1"/>
          <w:szCs w:val="20"/>
        </w:rPr>
      </w:pPr>
      <w:r>
        <w:rPr>
          <w:rFonts w:cs="Arial"/>
          <w:color w:val="000000" w:themeColor="text1"/>
          <w:szCs w:val="20"/>
        </w:rPr>
      </w:r>
    </w:p>
    <w:p>
      <w:pPr>
        <w:pStyle w:val="Normal"/>
        <w:spacing w:lineRule="auto" w:line="276"/>
        <w:jc w:val="both"/>
        <w:rPr>
          <w:color w:val="000000"/>
        </w:rPr>
      </w:pPr>
      <w:r>
        <w:rPr>
          <w:rFonts w:cs="Arial"/>
          <w:b/>
          <w:bCs/>
          <w:color w:val="000000" w:themeColor="text1"/>
          <w:szCs w:val="20"/>
        </w:rPr>
        <w:t>Data da sessão: 0</w:t>
      </w:r>
      <w:r>
        <w:rPr>
          <w:rFonts w:cs="Arial"/>
          <w:b/>
          <w:bCs/>
          <w:color w:val="000000" w:themeColor="text1"/>
          <w:szCs w:val="20"/>
        </w:rPr>
        <w:t>2</w:t>
      </w:r>
      <w:r>
        <w:rPr>
          <w:rFonts w:cs="Arial"/>
          <w:b/>
          <w:bCs/>
          <w:color w:val="000000" w:themeColor="text1"/>
          <w:szCs w:val="20"/>
        </w:rPr>
        <w:t>/08/2023</w:t>
      </w:r>
    </w:p>
    <w:p>
      <w:pPr>
        <w:pStyle w:val="Normal"/>
        <w:rPr>
          <w:color w:val="000000"/>
        </w:rPr>
      </w:pPr>
      <w:commentRangeStart w:id="3"/>
      <w:r>
        <w:rPr>
          <w:rFonts w:cs="Arial"/>
          <w:b/>
          <w:bCs/>
          <w:color w:val="000000" w:themeColor="text1"/>
          <w:szCs w:val="20"/>
        </w:rPr>
        <w:t>Horário da Fase de Lances:</w:t>
      </w:r>
      <w:r>
        <w:rPr>
          <w:rFonts w:cs="Arial"/>
          <w:color w:val="000000" w:themeColor="text1"/>
          <w:szCs w:val="20"/>
        </w:rPr>
        <w:t xml:space="preserve"> 0</w:t>
      </w:r>
      <w:r>
        <w:rPr>
          <w:rFonts w:cs="Arial"/>
          <w:color w:val="000000" w:themeColor="text1"/>
          <w:szCs w:val="20"/>
        </w:rPr>
        <w:t>8</w:t>
      </w:r>
      <w:r>
        <w:rPr>
          <w:rFonts w:cs="Arial"/>
          <w:color w:val="000000" w:themeColor="text1"/>
          <w:szCs w:val="20"/>
        </w:rPr>
        <w:t>:00</w:t>
      </w:r>
      <w:r>
        <w:rPr>
          <w:rFonts w:cs="Arial"/>
          <w:color w:val="000000"/>
          <w:szCs w:val="20"/>
        </w:rPr>
        <w:t xml:space="preserve"> </w:t>
      </w:r>
      <w:r>
        <w:rPr>
          <w:rFonts w:cs="Arial"/>
          <w:color w:val="000000" w:themeColor="text1"/>
          <w:szCs w:val="20"/>
        </w:rPr>
        <w:t xml:space="preserve">às </w:t>
      </w:r>
      <w:r>
        <w:rPr>
          <w:rFonts w:cs="Arial"/>
          <w:color w:val="000000" w:themeColor="text1"/>
          <w:szCs w:val="20"/>
        </w:rPr>
        <w:t>14:00 horas</w:t>
      </w:r>
      <w:commentRangeEnd w:id="3"/>
      <w:r>
        <w:commentReference w:id="3"/>
      </w:r>
      <w:r>
        <w:rPr>
          <w:rFonts w:cs="Arial"/>
          <w:i/>
          <w:color w:val="000000"/>
          <w:szCs w:val="20"/>
        </w:rPr>
      </w:r>
    </w:p>
    <w:p>
      <w:pPr>
        <w:pStyle w:val="Normal"/>
        <w:rPr>
          <w:color w:val="000000"/>
        </w:rPr>
      </w:pPr>
      <w:r>
        <w:rPr>
          <w:rFonts w:cs="Arial"/>
          <w:b/>
          <w:bCs/>
          <w:color w:val="000000" w:themeColor="text1"/>
          <w:szCs w:val="20"/>
        </w:rPr>
        <w:t>Link</w:t>
      </w:r>
      <w:r>
        <w:rPr>
          <w:rFonts w:cs="Arial"/>
          <w:color w:val="000000" w:themeColor="text1"/>
          <w:szCs w:val="20"/>
        </w:rPr>
        <w:t>: https://www.gov.br/compras/pt-br/</w:t>
      </w:r>
    </w:p>
    <w:p>
      <w:pPr>
        <w:pStyle w:val="Normal"/>
        <w:spacing w:lineRule="auto" w:line="276"/>
        <w:ind w:right="-15" w:hanging="0"/>
        <w:jc w:val="both"/>
        <w:rPr>
          <w:color w:val="000000"/>
        </w:rPr>
      </w:pPr>
      <w:r>
        <w:rPr>
          <w:rFonts w:cs="Arial"/>
          <w:b/>
          <w:bCs/>
          <w:i/>
          <w:iCs/>
          <w:color w:val="000000"/>
          <w:szCs w:val="20"/>
        </w:rPr>
        <w:t>Critério de Julgamento:</w:t>
      </w:r>
      <w:r>
        <w:rPr>
          <w:rFonts w:cs="Arial"/>
          <w:color w:val="000000"/>
          <w:szCs w:val="20"/>
        </w:rPr>
        <w:t xml:space="preserve"> </w:t>
      </w:r>
      <w:r>
        <w:rPr>
          <w:rFonts w:cs="Arial"/>
          <w:i/>
          <w:iCs/>
          <w:color w:val="000000"/>
          <w:szCs w:val="20"/>
        </w:rPr>
        <w:t>menor preço</w:t>
      </w:r>
    </w:p>
    <w:p>
      <w:pPr>
        <w:pStyle w:val="Normal"/>
        <w:spacing w:lineRule="auto" w:line="276"/>
        <w:ind w:right="-15" w:hanging="0"/>
        <w:jc w:val="both"/>
        <w:rPr>
          <w:color w:val="000000"/>
        </w:rPr>
      </w:pPr>
      <w:r>
        <w:rPr>
          <w:rFonts w:cs="Arial"/>
          <w:b/>
          <w:bCs/>
          <w:i/>
          <w:iCs/>
          <w:color w:val="000000"/>
        </w:rPr>
        <w:t>Regime de Execução:</w:t>
      </w:r>
      <w:r>
        <w:rPr>
          <w:rFonts w:cs="Arial"/>
          <w:i/>
          <w:iCs/>
          <w:color w:val="000000"/>
        </w:rPr>
        <w:t xml:space="preserve"> Empreitada por Preço Unitário</w:t>
      </w:r>
    </w:p>
    <w:p>
      <w:pPr>
        <w:pStyle w:val="Normal"/>
        <w:spacing w:lineRule="auto" w:line="276"/>
        <w:ind w:right="-15" w:hanging="0"/>
        <w:jc w:val="both"/>
        <w:rPr>
          <w:rFonts w:cs="Arial"/>
          <w:b/>
          <w:b/>
          <w:bCs/>
          <w:i/>
          <w:i/>
          <w:iCs/>
          <w:color w:val="FF0000"/>
        </w:rPr>
      </w:pPr>
      <w:r>
        <w:rPr>
          <w:rFonts w:cs="Arial"/>
          <w:b/>
          <w:bCs/>
          <w:i/>
          <w:iCs/>
          <w:color w:val="FF0000"/>
        </w:rPr>
      </w:r>
    </w:p>
    <w:p>
      <w:pPr>
        <w:pStyle w:val="Normal"/>
        <w:rPr/>
      </w:pPr>
      <w:r>
        <w:rPr/>
      </w:r>
    </w:p>
    <w:p>
      <w:pPr>
        <w:pStyle w:val="Ttulo1"/>
        <w:rPr/>
      </w:pPr>
      <w:bookmarkStart w:id="0" w:name="_Toc118380899"/>
      <w:r>
        <w:rPr/>
        <w:t>OBJETO DA CONTRATAÇÃO DIRETA</w:t>
      </w:r>
      <w:bookmarkEnd w:id="0"/>
    </w:p>
    <w:p>
      <w:pPr>
        <w:pStyle w:val="PADRO"/>
        <w:keepNext w:val="false"/>
        <w:widowControl/>
        <w:numPr>
          <w:ilvl w:val="1"/>
          <w:numId w:val="9"/>
        </w:numPr>
        <w:shd w:val="clear" w:color="auto" w:fill="auto"/>
        <w:spacing w:before="120" w:after="120"/>
        <w:rPr>
          <w:rFonts w:ascii="Arial" w:hAnsi="Arial" w:cs="Arial"/>
          <w:szCs w:val="20"/>
        </w:rPr>
      </w:pPr>
      <w:r>
        <w:rPr>
          <w:rFonts w:cs="Arial" w:ascii="Arial" w:hAnsi="Arial"/>
          <w:color w:val="000000" w:themeColor="text1"/>
          <w:szCs w:val="20"/>
        </w:rPr>
        <w:t xml:space="preserve">O objeto da presente dispensa é a escolha da proposta mais vantajosa para a </w:t>
      </w:r>
      <w:r>
        <w:rPr>
          <w:rFonts w:cs="Arial" w:ascii="Arial" w:hAnsi="Arial"/>
          <w:szCs w:val="20"/>
        </w:rPr>
        <w:t xml:space="preserve">contratação, </w:t>
      </w:r>
      <w:r>
        <w:rPr>
          <w:rFonts w:cs="Arial" w:ascii="Arial" w:hAnsi="Arial"/>
          <w:color w:val="000000" w:themeColor="text1"/>
          <w:szCs w:val="20"/>
        </w:rPr>
        <w:t>por dispensa de licitação, de Contratação de empresa ou entidade educacional para ministrar curso profissionalizante de eletricista instalador predial de baixa tensão para militares na guarnição de Juiz de Fora/MG</w:t>
      </w:r>
      <w:r>
        <w:rPr>
          <w:rFonts w:cs="Arial" w:ascii="Arial" w:hAnsi="Arial"/>
          <w:b/>
          <w:bCs/>
          <w:color w:val="000000" w:themeColor="text1"/>
          <w:szCs w:val="20"/>
        </w:rPr>
        <w:t>,</w:t>
      </w:r>
      <w:r>
        <w:rPr>
          <w:rFonts w:cs="Arial" w:ascii="Arial" w:hAnsi="Arial"/>
          <w:color w:val="000000" w:themeColor="text1"/>
          <w:szCs w:val="20"/>
        </w:rPr>
        <w:t xml:space="preserve"> conforme condições, quantidades e exigências estabelecidas neste Aviso de Contratação Direta e seus anexos.</w:t>
      </w:r>
    </w:p>
    <w:p>
      <w:pPr>
        <w:pStyle w:val="PADRO"/>
        <w:keepNext w:val="false"/>
        <w:widowControl/>
        <w:numPr>
          <w:ilvl w:val="1"/>
          <w:numId w:val="9"/>
        </w:numPr>
        <w:shd w:val="clear" w:color="auto" w:fill="auto"/>
        <w:spacing w:before="120" w:after="120"/>
        <w:rPr>
          <w:rFonts w:ascii="Arial" w:hAnsi="Arial" w:cs="Arial"/>
          <w:szCs w:val="20"/>
        </w:rPr>
      </w:pPr>
      <w:commentRangeStart w:id="4"/>
      <w:r>
        <w:rPr>
          <w:rFonts w:cs="Arial" w:ascii="Arial" w:hAnsi="Arial"/>
          <w:szCs w:val="20"/>
        </w:rPr>
        <w:t>A contratação ocorrerá conforme tabela abaixo.</w:t>
      </w:r>
      <w:commentRangeEnd w:id="4"/>
      <w:r>
        <w:commentReference w:id="4"/>
      </w:r>
      <w:r>
        <w:rPr>
          <w:rFonts w:cs="Arial" w:ascii="Arial" w:hAnsi="Arial"/>
          <w:szCs w:val="20"/>
        </w:rPr>
      </w:r>
    </w:p>
    <w:tbl>
      <w:tblPr>
        <w:tblW w:w="8222" w:type="dxa"/>
        <w:jc w:val="left"/>
        <w:tblInd w:w="250" w:type="dxa"/>
        <w:tblLayout w:type="fixed"/>
        <w:tblCellMar>
          <w:top w:w="0" w:type="dxa"/>
          <w:left w:w="108" w:type="dxa"/>
          <w:bottom w:w="0" w:type="dxa"/>
          <w:right w:w="108" w:type="dxa"/>
        </w:tblCellMar>
        <w:tblLook w:firstRow="1" w:noVBand="1" w:lastRow="0" w:firstColumn="1" w:lastColumn="0" w:noHBand="0" w:val="04a0"/>
      </w:tblPr>
      <w:tblGrid>
        <w:gridCol w:w="707"/>
        <w:gridCol w:w="3686"/>
        <w:gridCol w:w="1136"/>
        <w:gridCol w:w="1134"/>
        <w:gridCol w:w="1559"/>
      </w:tblGrid>
      <w:tr>
        <w:trPr/>
        <w:tc>
          <w:tcPr>
            <w:tcW w:w="707"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76"/>
              <w:jc w:val="center"/>
              <w:rPr>
                <w:rFonts w:cs="Arial"/>
                <w:b/>
                <w:b/>
                <w:bCs/>
                <w:color w:val="000000"/>
                <w:szCs w:val="20"/>
              </w:rPr>
            </w:pPr>
            <w:r>
              <w:rPr>
                <w:rFonts w:cs="Arial"/>
                <w:b/>
                <w:bCs/>
                <w:color w:val="000000"/>
                <w:szCs w:val="20"/>
              </w:rPr>
              <w:t>ITEM</w:t>
            </w:r>
          </w:p>
          <w:p>
            <w:pPr>
              <w:pStyle w:val="Normal"/>
              <w:widowControl w:val="false"/>
              <w:spacing w:lineRule="auto" w:line="276"/>
              <w:jc w:val="center"/>
              <w:rPr>
                <w:rFonts w:cs="Arial"/>
                <w:b/>
                <w:b/>
                <w:color w:val="000000"/>
                <w:szCs w:val="20"/>
              </w:rPr>
            </w:pPr>
            <w:r>
              <w:rPr>
                <w:rFonts w:cs="Arial"/>
                <w:b/>
                <w:color w:val="000000"/>
                <w:szCs w:val="20"/>
              </w:rPr>
            </w:r>
          </w:p>
        </w:tc>
        <w:tc>
          <w:tcPr>
            <w:tcW w:w="3686"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76"/>
              <w:jc w:val="center"/>
              <w:rPr>
                <w:rFonts w:cs="Arial"/>
                <w:color w:val="000000"/>
                <w:szCs w:val="20"/>
              </w:rPr>
            </w:pPr>
            <w:r>
              <w:rPr>
                <w:rFonts w:cs="Arial"/>
                <w:b/>
                <w:bCs/>
                <w:color w:val="000000"/>
                <w:szCs w:val="20"/>
              </w:rPr>
              <w:t>ESPECIFICAÇÃO</w:t>
            </w:r>
          </w:p>
        </w:tc>
        <w:tc>
          <w:tcPr>
            <w:tcW w:w="1136"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76"/>
              <w:jc w:val="center"/>
              <w:rPr>
                <w:rFonts w:cs="Arial"/>
                <w:color w:val="000000"/>
                <w:szCs w:val="20"/>
              </w:rPr>
            </w:pPr>
            <w:r>
              <w:rPr>
                <w:rFonts w:cs="Arial"/>
                <w:b/>
                <w:bCs/>
                <w:color w:val="000000"/>
                <w:szCs w:val="20"/>
              </w:rPr>
              <w:t>CATSER/CATMAT</w:t>
            </w:r>
          </w:p>
        </w:tc>
        <w:tc>
          <w:tcPr>
            <w:tcW w:w="1134"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76"/>
              <w:jc w:val="center"/>
              <w:rPr>
                <w:rFonts w:cs="Arial"/>
                <w:color w:val="000000"/>
                <w:szCs w:val="20"/>
              </w:rPr>
            </w:pPr>
            <w:r>
              <w:rPr>
                <w:rFonts w:cs="Arial"/>
                <w:b/>
                <w:bCs/>
                <w:color w:val="000000"/>
                <w:szCs w:val="20"/>
              </w:rPr>
              <w:t>UNIDADE DE MEDIDA</w:t>
            </w:r>
          </w:p>
        </w:tc>
        <w:tc>
          <w:tcPr>
            <w:tcW w:w="1559"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76"/>
              <w:jc w:val="center"/>
              <w:rPr>
                <w:rFonts w:cs="Arial"/>
                <w:b/>
                <w:b/>
                <w:bCs/>
                <w:szCs w:val="20"/>
              </w:rPr>
            </w:pPr>
            <w:r>
              <w:rPr>
                <w:rFonts w:cs="Arial"/>
                <w:b/>
                <w:bCs/>
                <w:szCs w:val="20"/>
              </w:rPr>
              <w:t>QUANTIDADE</w:t>
            </w:r>
          </w:p>
        </w:tc>
      </w:tr>
      <w:tr>
        <w:trPr/>
        <w:tc>
          <w:tcPr>
            <w:tcW w:w="707"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spacing w:lineRule="auto" w:line="276" w:before="0" w:after="0"/>
              <w:jc w:val="center"/>
              <w:rPr>
                <w:rFonts w:ascii="Arial" w:hAnsi="Arial" w:cs="Arial"/>
                <w:b/>
                <w:b/>
                <w:color w:val="000000"/>
                <w:sz w:val="20"/>
                <w:szCs w:val="20"/>
              </w:rPr>
            </w:pPr>
            <w:r>
              <w:rPr>
                <w:rFonts w:cs="Arial"/>
                <w:b/>
                <w:color w:val="000000"/>
                <w:sz w:val="20"/>
                <w:szCs w:val="20"/>
              </w:rPr>
              <w:t>1</w:t>
            </w:r>
          </w:p>
        </w:tc>
        <w:tc>
          <w:tcPr>
            <w:tcW w:w="3686"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spacing w:lineRule="auto" w:line="276" w:before="0" w:after="0"/>
              <w:jc w:val="both"/>
              <w:rPr>
                <w:rFonts w:ascii="Arial" w:hAnsi="Arial" w:cs="Arial"/>
                <w:color w:val="000000"/>
                <w:sz w:val="20"/>
                <w:szCs w:val="20"/>
              </w:rPr>
            </w:pPr>
            <w:r>
              <w:rPr>
                <w:rFonts w:cs="Arial"/>
                <w:color w:val="000000"/>
                <w:sz w:val="20"/>
                <w:szCs w:val="20"/>
              </w:rPr>
              <w:t>Serviço de capacitação e realização de curso profissionalizante</w:t>
            </w:r>
          </w:p>
          <w:p>
            <w:pPr>
              <w:pStyle w:val="Normal"/>
              <w:widowControl w:val="false"/>
              <w:suppressAutoHyphens w:val="true"/>
              <w:spacing w:lineRule="auto" w:line="276" w:before="0" w:after="0"/>
              <w:jc w:val="both"/>
              <w:rPr>
                <w:rFonts w:ascii="Arial" w:hAnsi="Arial" w:cs="Arial"/>
                <w:color w:val="000000"/>
                <w:sz w:val="20"/>
                <w:szCs w:val="20"/>
              </w:rPr>
            </w:pPr>
            <w:r>
              <w:rPr>
                <w:rFonts w:cs="Arial"/>
                <w:color w:val="000000"/>
                <w:sz w:val="20"/>
                <w:szCs w:val="20"/>
              </w:rPr>
              <w:t>do Projeto Soldado Cidadão/2023.</w:t>
            </w:r>
          </w:p>
          <w:p>
            <w:pPr>
              <w:pStyle w:val="Normal"/>
              <w:widowControl w:val="false"/>
              <w:suppressAutoHyphens w:val="true"/>
              <w:spacing w:lineRule="auto" w:line="276" w:before="0" w:after="0"/>
              <w:jc w:val="both"/>
              <w:rPr>
                <w:rFonts w:ascii="Arial" w:hAnsi="Arial" w:cs="Arial"/>
                <w:color w:val="000000"/>
                <w:sz w:val="20"/>
                <w:szCs w:val="20"/>
              </w:rPr>
            </w:pPr>
            <w:r>
              <w:rPr>
                <w:rFonts w:cs="Arial"/>
                <w:color w:val="000000"/>
                <w:sz w:val="20"/>
                <w:szCs w:val="20"/>
              </w:rPr>
              <w:t xml:space="preserve">Área: </w:t>
            </w:r>
            <w:r>
              <w:rPr>
                <w:rFonts w:cs="Arial"/>
                <w:color w:val="000000"/>
                <w:sz w:val="20"/>
                <w:szCs w:val="20"/>
                <w:u w:val="none"/>
              </w:rPr>
              <w:t>eletricista instalador predial de baixa tensão.</w:t>
            </w:r>
          </w:p>
          <w:p>
            <w:pPr>
              <w:pStyle w:val="Normal"/>
              <w:widowControl w:val="false"/>
              <w:suppressAutoHyphens w:val="true"/>
              <w:spacing w:lineRule="auto" w:line="276" w:before="0" w:after="0"/>
              <w:jc w:val="both"/>
              <w:rPr>
                <w:rFonts w:ascii="Arial" w:hAnsi="Arial" w:cs="Arial"/>
                <w:color w:val="000000"/>
                <w:sz w:val="20"/>
                <w:szCs w:val="20"/>
              </w:rPr>
            </w:pPr>
            <w:r>
              <w:rPr>
                <w:rFonts w:cs="Arial"/>
                <w:color w:val="000000"/>
                <w:sz w:val="20"/>
                <w:szCs w:val="20"/>
                <w:u w:val="none"/>
              </w:rPr>
              <w:t>Local de execução do curso: JUIZ DE FORA/MG (deverá haver imóvel na referida cidade com toda infraestrutura para realização do referido curso).</w:t>
            </w:r>
          </w:p>
          <w:p>
            <w:pPr>
              <w:pStyle w:val="Normal"/>
              <w:widowControl w:val="false"/>
              <w:suppressAutoHyphens w:val="true"/>
              <w:spacing w:lineRule="auto" w:line="276" w:before="0" w:after="0"/>
              <w:jc w:val="both"/>
              <w:rPr>
                <w:rFonts w:ascii="Arial" w:hAnsi="Arial" w:cs="Arial"/>
                <w:color w:val="000000"/>
                <w:sz w:val="20"/>
                <w:szCs w:val="20"/>
              </w:rPr>
            </w:pPr>
            <w:r>
              <w:rPr>
                <w:rFonts w:cs="Arial"/>
                <w:color w:val="000000"/>
                <w:sz w:val="20"/>
                <w:szCs w:val="20"/>
                <w:u w:val="none"/>
              </w:rPr>
              <w:t>Tipo de curso: PRESENCIAL.</w:t>
            </w:r>
          </w:p>
          <w:p>
            <w:pPr>
              <w:pStyle w:val="Normal"/>
              <w:widowControl w:val="false"/>
              <w:suppressAutoHyphens w:val="true"/>
              <w:spacing w:lineRule="auto" w:line="276" w:before="0" w:after="0"/>
              <w:jc w:val="both"/>
              <w:rPr/>
            </w:pPr>
            <w:r>
              <w:rPr>
                <w:rFonts w:cs="Arial"/>
                <w:color w:val="000000"/>
                <w:sz w:val="20"/>
                <w:szCs w:val="20"/>
                <w:u w:val="none"/>
              </w:rPr>
              <w:t>Carga horária: 200 (duzentas) horas.</w:t>
            </w:r>
          </w:p>
        </w:tc>
        <w:tc>
          <w:tcPr>
            <w:tcW w:w="1136"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spacing w:lineRule="auto" w:line="276" w:before="0" w:after="0"/>
              <w:jc w:val="center"/>
              <w:rPr>
                <w:rFonts w:ascii="Arial" w:hAnsi="Arial" w:cs="Arial"/>
                <w:color w:val="000000"/>
                <w:sz w:val="20"/>
                <w:szCs w:val="20"/>
              </w:rPr>
            </w:pPr>
            <w:r>
              <w:rPr>
                <w:rFonts w:cs="Arial"/>
                <w:color w:val="000000"/>
                <w:sz w:val="20"/>
                <w:szCs w:val="20"/>
              </w:rPr>
            </w:r>
          </w:p>
        </w:tc>
        <w:tc>
          <w:tcPr>
            <w:tcW w:w="113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spacing w:lineRule="auto" w:line="276" w:before="0" w:after="0"/>
              <w:jc w:val="center"/>
              <w:rPr>
                <w:rFonts w:ascii="Arial" w:hAnsi="Arial" w:cs="Arial"/>
                <w:color w:val="000000"/>
                <w:sz w:val="20"/>
                <w:szCs w:val="20"/>
              </w:rPr>
            </w:pPr>
            <w:r>
              <w:rPr>
                <w:rFonts w:cs="Arial"/>
                <w:color w:val="000000"/>
                <w:sz w:val="20"/>
                <w:szCs w:val="20"/>
              </w:rPr>
              <w:t>Serviço</w:t>
            </w:r>
          </w:p>
        </w:tc>
        <w:tc>
          <w:tcPr>
            <w:tcW w:w="1559"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spacing w:lineRule="auto" w:line="276" w:before="0" w:after="0"/>
              <w:jc w:val="center"/>
              <w:rPr>
                <w:rFonts w:ascii="Arial" w:hAnsi="Arial" w:cs="Arial"/>
                <w:color w:val="000000"/>
                <w:sz w:val="20"/>
                <w:szCs w:val="20"/>
              </w:rPr>
            </w:pPr>
            <w:r>
              <w:rPr>
                <w:rFonts w:cs="Arial"/>
                <w:color w:val="000000"/>
                <w:sz w:val="20"/>
                <w:szCs w:val="20"/>
              </w:rPr>
              <w:t>20</w:t>
            </w:r>
          </w:p>
        </w:tc>
      </w:tr>
    </w:tbl>
    <w:p>
      <w:pPr>
        <w:pStyle w:val="PADRO"/>
        <w:keepNext w:val="false"/>
        <w:widowControl/>
        <w:shd w:val="clear" w:color="auto" w:fill="auto"/>
        <w:spacing w:before="120" w:after="120"/>
        <w:rPr>
          <w:rFonts w:ascii="Arial" w:hAnsi="Arial" w:cs="Arial"/>
          <w:szCs w:val="20"/>
        </w:rPr>
      </w:pPr>
      <w:r>
        <w:rPr>
          <w:rFonts w:cs="Arial" w:ascii="Arial" w:hAnsi="Arial"/>
          <w:szCs w:val="20"/>
        </w:rPr>
      </w:r>
    </w:p>
    <w:p>
      <w:pPr>
        <w:pStyle w:val="PADRO"/>
        <w:keepNext w:val="false"/>
        <w:widowControl/>
        <w:numPr>
          <w:ilvl w:val="2"/>
          <w:numId w:val="9"/>
        </w:numPr>
        <w:shd w:val="clear" w:color="auto" w:fill="auto"/>
        <w:spacing w:before="120" w:after="120"/>
        <w:rPr>
          <w:rFonts w:ascii="Arial" w:hAnsi="Arial" w:cs="Arial"/>
        </w:rPr>
      </w:pPr>
      <w:r>
        <w:rPr>
          <w:rFonts w:cs="Arial" w:ascii="Arial" w:hAnsi="Arial"/>
          <w:szCs w:val="20"/>
        </w:rPr>
        <w:t>Havendo mais de um item, faculta-se ao fornecedor a participação em quantos forem de seu interesse.</w:t>
      </w:r>
    </w:p>
    <w:p>
      <w:pPr>
        <w:pStyle w:val="PADRO"/>
        <w:keepNext w:val="false"/>
        <w:widowControl/>
        <w:numPr>
          <w:ilvl w:val="1"/>
          <w:numId w:val="9"/>
        </w:numPr>
        <w:shd w:val="clear" w:color="auto" w:fill="auto"/>
        <w:spacing w:before="120" w:after="120"/>
        <w:rPr>
          <w:color w:val="000000"/>
        </w:rPr>
      </w:pPr>
      <w:r>
        <w:rPr>
          <w:rFonts w:cs="Arial" w:ascii="Arial" w:hAnsi="Arial"/>
          <w:color w:val="000000"/>
          <w:szCs w:val="20"/>
        </w:rPr>
        <w:t>O critério de julgamento adotado será o</w:t>
      </w:r>
      <w:r>
        <w:rPr>
          <w:rFonts w:cs="Arial" w:ascii="Arial" w:hAnsi="Arial"/>
          <w:i/>
          <w:iCs/>
          <w:color w:val="000000"/>
          <w:szCs w:val="20"/>
        </w:rPr>
        <w:t xml:space="preserve"> menor preço,</w:t>
      </w:r>
      <w:r>
        <w:rPr>
          <w:rFonts w:cs="Arial" w:ascii="Arial" w:hAnsi="Arial"/>
          <w:color w:val="000000"/>
          <w:szCs w:val="20"/>
        </w:rPr>
        <w:t xml:space="preserve"> observadas as exigências contidas neste Aviso de Contratação Direta e seus Anexos quanto às especificações do objeto.</w:t>
      </w:r>
    </w:p>
    <w:p>
      <w:pPr>
        <w:pStyle w:val="Ttulo1"/>
        <w:rPr/>
      </w:pPr>
      <w:bookmarkStart w:id="1" w:name="_Toc118380900"/>
      <w:r>
        <w:rPr/>
        <w:t>PARTICIPAÇÃO NA DISPENSA ELETRÔNICA.</w:t>
      </w:r>
      <w:bookmarkEnd w:id="1"/>
    </w:p>
    <w:p>
      <w:pPr>
        <w:pStyle w:val="Normal"/>
        <w:numPr>
          <w:ilvl w:val="1"/>
          <w:numId w:val="9"/>
        </w:numPr>
        <w:spacing w:lineRule="auto" w:line="276" w:before="120" w:after="120"/>
        <w:ind w:left="425" w:hanging="0"/>
        <w:jc w:val="both"/>
        <w:rPr>
          <w:rFonts w:cs="Arial"/>
          <w:szCs w:val="20"/>
        </w:rPr>
      </w:pPr>
      <w:r>
        <w:rPr>
          <w:rFonts w:cs="Arial"/>
          <w:szCs w:val="20"/>
        </w:rPr>
        <w:t xml:space="preserve">A </w:t>
      </w:r>
      <w:r>
        <w:rPr>
          <w:rFonts w:cs="Arial"/>
          <w:color w:val="000000" w:themeColor="text1"/>
          <w:szCs w:val="20"/>
        </w:rPr>
        <w:t>participação</w:t>
      </w:r>
      <w:r>
        <w:rPr>
          <w:rFonts w:cs="Arial"/>
          <w:szCs w:val="20"/>
        </w:rPr>
        <w:t xml:space="preserve"> na presente dispensa eletrônica ocorrerá por meio do </w:t>
      </w:r>
      <w:r>
        <w:rPr>
          <w:rFonts w:cs="Arial"/>
          <w:bCs/>
          <w:szCs w:val="20"/>
        </w:rPr>
        <w:t>Sistema de Dispensa Eletrônica, ferramenta informatizada</w:t>
      </w:r>
      <w:r>
        <w:rPr>
          <w:rFonts w:cs="Arial"/>
          <w:szCs w:val="20"/>
        </w:rPr>
        <w:t xml:space="preserve"> integrante do Sistema de Compras do Governo Federal – Compras.gov.br, disponível no </w:t>
      </w:r>
      <w:r>
        <w:rPr>
          <w:rFonts w:cs="Arial"/>
          <w:bCs/>
          <w:szCs w:val="20"/>
        </w:rPr>
        <w:t xml:space="preserve">Portal de Compras do Governo Federal, no endereço eletrônico </w:t>
      </w:r>
      <w:hyperlink r:id="rId5">
        <w:r>
          <w:rPr>
            <w:rStyle w:val="LinkdaInternet"/>
            <w:rFonts w:cs="Arial"/>
            <w:bCs/>
            <w:szCs w:val="20"/>
          </w:rPr>
          <w:t>www.gov.br/compras</w:t>
        </w:r>
      </w:hyperlink>
      <w:r>
        <w:rPr>
          <w:rFonts w:cs="Arial"/>
          <w:bCs/>
          <w:szCs w:val="20"/>
        </w:rPr>
        <w:t>.</w:t>
      </w:r>
      <w:r>
        <w:rPr>
          <w:rFonts w:cs="Arial"/>
          <w:szCs w:val="20"/>
        </w:rPr>
        <w:t xml:space="preserve"> </w:t>
      </w:r>
    </w:p>
    <w:p>
      <w:pPr>
        <w:pStyle w:val="Normal"/>
        <w:numPr>
          <w:ilvl w:val="2"/>
          <w:numId w:val="9"/>
        </w:numPr>
        <w:spacing w:lineRule="auto" w:line="276" w:before="120" w:after="120"/>
        <w:jc w:val="both"/>
        <w:rPr>
          <w:rFonts w:cs="Arial"/>
          <w:szCs w:val="20"/>
        </w:rPr>
      </w:pPr>
      <w:r>
        <w:rPr>
          <w:rFonts w:cs="Arial"/>
          <w:szCs w:val="20"/>
        </w:rPr>
        <w:t xml:space="preserve">O procedimento será divulgado no Compras.gov.br e no </w:t>
      </w:r>
      <w:hyperlink r:id="rId6">
        <w:r>
          <w:rPr>
            <w:rStyle w:val="LinkdaInternet"/>
            <w:rFonts w:cs="Arial"/>
            <w:szCs w:val="20"/>
          </w:rPr>
          <w:t>Portal Nacional de Contratações Públicas - PNCP</w:t>
        </w:r>
      </w:hyperlink>
      <w:r>
        <w:rPr>
          <w:rFonts w:cs="Arial"/>
          <w:szCs w:val="20"/>
        </w:rPr>
        <w:t>, e encaminhado automaticamente aos fornecedores registrados no Sistema de Registro Cadastral Unificado - Sicaf, por mensagem eletrônica, na correspondente linha de fornecimento que pretende atender.</w:t>
      </w:r>
    </w:p>
    <w:p>
      <w:pPr>
        <w:pStyle w:val="Normal"/>
        <w:numPr>
          <w:ilvl w:val="2"/>
          <w:numId w:val="9"/>
        </w:numPr>
        <w:spacing w:lineRule="auto" w:line="276" w:before="120" w:after="120"/>
        <w:jc w:val="both"/>
        <w:rPr>
          <w:rFonts w:cs="Arial"/>
          <w:szCs w:val="20"/>
        </w:rPr>
      </w:pPr>
      <w:r>
        <w:rPr>
          <w:rFonts w:cs="Arial"/>
          <w:szCs w:val="20"/>
        </w:rPr>
        <w:t xml:space="preserve">O Compras.gov.br poderá ser acessado pela web ou pelo </w:t>
      </w:r>
      <w:hyperlink r:id="rId7">
        <w:r>
          <w:rPr>
            <w:rStyle w:val="LinkdaInternet"/>
            <w:rFonts w:cs="Arial"/>
            <w:szCs w:val="20"/>
          </w:rPr>
          <w:t>aplicativo Compras.gov.br.</w:t>
        </w:r>
      </w:hyperlink>
    </w:p>
    <w:p>
      <w:pPr>
        <w:pStyle w:val="Normal"/>
        <w:numPr>
          <w:ilvl w:val="2"/>
          <w:numId w:val="9"/>
        </w:numPr>
        <w:snapToGrid w:val="false"/>
        <w:spacing w:lineRule="auto" w:line="276" w:before="120" w:after="120"/>
        <w:jc w:val="both"/>
        <w:rPr>
          <w:rFonts w:cs="Arial"/>
          <w:szCs w:val="20"/>
        </w:rPr>
      </w:pPr>
      <w:r>
        <w:rPr>
          <w:rFonts w:cs="Arial"/>
          <w:szCs w:val="20"/>
        </w:rPr>
        <w:t>O fornecedor é o responsável por qualquer transação efetuada diretamente ou por seu representante no Sistema de Dispensa Eletrônica, não cabendo ao provedor do Sistema ou ao órgão entidade promotor do procedimento a responsabilidade por eventuais danos decorrentes de uso indevido da senha, ainda que por terceiros não autorizados.</w:t>
      </w:r>
    </w:p>
    <w:p>
      <w:pPr>
        <w:pStyle w:val="Normal"/>
        <w:numPr>
          <w:ilvl w:val="1"/>
          <w:numId w:val="9"/>
        </w:numPr>
        <w:spacing w:lineRule="auto" w:line="276" w:before="120" w:after="120"/>
        <w:ind w:left="425" w:hanging="0"/>
        <w:jc w:val="both"/>
        <w:rPr>
          <w:rFonts w:cs="Arial"/>
          <w:color w:val="000000" w:themeColor="text1"/>
          <w:szCs w:val="20"/>
        </w:rPr>
      </w:pPr>
      <w:r>
        <w:rPr>
          <w:rFonts w:cs="Arial"/>
          <w:color w:val="000000" w:themeColor="text1"/>
          <w:szCs w:val="20"/>
        </w:rPr>
        <w:t>Não poderão participar desta dispensa de licitação os fornecedores:</w:t>
      </w:r>
    </w:p>
    <w:p>
      <w:pPr>
        <w:pStyle w:val="Normal"/>
        <w:numPr>
          <w:ilvl w:val="2"/>
          <w:numId w:val="9"/>
        </w:numPr>
        <w:spacing w:lineRule="auto" w:line="276" w:before="120" w:after="120"/>
        <w:jc w:val="both"/>
        <w:rPr>
          <w:rFonts w:cs="Arial"/>
          <w:color w:val="000000" w:themeColor="text1"/>
          <w:szCs w:val="20"/>
        </w:rPr>
      </w:pPr>
      <w:r>
        <w:rPr>
          <w:rFonts w:cs="Arial"/>
          <w:color w:val="000000" w:themeColor="text1"/>
          <w:szCs w:val="20"/>
        </w:rPr>
        <w:t>que não atendam às condições deste Aviso de Contratação Direta e seu(s) anexo(s);</w:t>
      </w:r>
    </w:p>
    <w:p>
      <w:pPr>
        <w:pStyle w:val="Normal"/>
        <w:numPr>
          <w:ilvl w:val="2"/>
          <w:numId w:val="9"/>
        </w:numPr>
        <w:spacing w:lineRule="auto" w:line="276" w:before="120" w:after="120"/>
        <w:jc w:val="both"/>
        <w:rPr>
          <w:rFonts w:cs="Arial"/>
          <w:color w:val="000000" w:themeColor="text1"/>
          <w:szCs w:val="20"/>
        </w:rPr>
      </w:pPr>
      <w:r>
        <w:rPr>
          <w:rFonts w:cs="Arial"/>
          <w:color w:val="000000" w:themeColor="text1"/>
          <w:szCs w:val="20"/>
        </w:rPr>
        <w:t>estrangeiros que não tenham representação legal no Brasil com poderes expressos para receber citação e responder administrativa ou judicialmente;</w:t>
      </w:r>
    </w:p>
    <w:p>
      <w:pPr>
        <w:pStyle w:val="Normal"/>
        <w:numPr>
          <w:ilvl w:val="2"/>
          <w:numId w:val="9"/>
        </w:numPr>
        <w:spacing w:lineRule="auto" w:line="276" w:before="120" w:after="120"/>
        <w:jc w:val="both"/>
        <w:rPr>
          <w:rFonts w:cs="Arial"/>
          <w:color w:val="000000" w:themeColor="text1"/>
          <w:szCs w:val="20"/>
        </w:rPr>
      </w:pPr>
      <w:r>
        <w:rPr>
          <w:rFonts w:cs="Arial"/>
          <w:color w:val="000000" w:themeColor="text1"/>
          <w:szCs w:val="20"/>
        </w:rPr>
        <w:t>que se enquadrem nas seguintes vedações:</w:t>
      </w:r>
    </w:p>
    <w:p>
      <w:pPr>
        <w:pStyle w:val="Normal"/>
        <w:numPr>
          <w:ilvl w:val="3"/>
          <w:numId w:val="4"/>
        </w:numPr>
        <w:spacing w:lineRule="auto" w:line="276" w:before="120" w:after="120"/>
        <w:jc w:val="both"/>
        <w:rPr>
          <w:rFonts w:cs="Arial"/>
          <w:color w:val="000000" w:themeColor="text1"/>
          <w:szCs w:val="20"/>
        </w:rPr>
      </w:pPr>
      <w:r>
        <w:rPr>
          <w:rFonts w:cs="Arial"/>
          <w:color w:val="000000"/>
          <w:szCs w:val="20"/>
        </w:rPr>
        <w:t>autor do anteprojeto, do projeto básico ou do projeto executivo, pessoa física ou jurídica, quando a contratação versar sobre obra, serviços ou fornecimento de bens a ele relacionados;</w:t>
      </w:r>
    </w:p>
    <w:p>
      <w:pPr>
        <w:pStyle w:val="Normal"/>
        <w:numPr>
          <w:ilvl w:val="3"/>
          <w:numId w:val="4"/>
        </w:numPr>
        <w:spacing w:lineRule="auto" w:line="276" w:before="120" w:after="120"/>
        <w:jc w:val="both"/>
        <w:rPr>
          <w:rFonts w:cs="Arial"/>
          <w:color w:val="000000" w:themeColor="text1"/>
          <w:szCs w:val="20"/>
        </w:rPr>
      </w:pPr>
      <w:r>
        <w:rPr>
          <w:rFonts w:cs="Arial"/>
          <w:color w:val="000000"/>
          <w:szCs w:val="20"/>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 versar sobre obra, serviços ou fornecimento de bens a ela necessários;</w:t>
      </w:r>
    </w:p>
    <w:p>
      <w:pPr>
        <w:pStyle w:val="Normal"/>
        <w:numPr>
          <w:ilvl w:val="3"/>
          <w:numId w:val="4"/>
        </w:numPr>
        <w:spacing w:lineRule="auto" w:line="276" w:before="120" w:after="120"/>
        <w:jc w:val="both"/>
        <w:rPr>
          <w:rFonts w:cs="Arial"/>
          <w:color w:val="000000" w:themeColor="text1"/>
          <w:szCs w:val="20"/>
        </w:rPr>
      </w:pPr>
      <w:r>
        <w:rPr>
          <w:rFonts w:cs="Arial"/>
          <w:color w:val="000000"/>
          <w:szCs w:val="20"/>
        </w:rPr>
        <w:t>pessoa física ou jurídica que se encontre, ao tempo da contratação, impossibilitada de contratar em decorrência de sanção que lhe foi imposta;</w:t>
      </w:r>
    </w:p>
    <w:p>
      <w:pPr>
        <w:pStyle w:val="Normal"/>
        <w:numPr>
          <w:ilvl w:val="3"/>
          <w:numId w:val="4"/>
        </w:numPr>
        <w:spacing w:lineRule="auto" w:line="276" w:before="120" w:after="120"/>
        <w:jc w:val="both"/>
        <w:rPr>
          <w:rFonts w:cs="Arial"/>
          <w:color w:val="000000" w:themeColor="text1"/>
          <w:szCs w:val="20"/>
        </w:rPr>
      </w:pPr>
      <w:r>
        <w:rPr>
          <w:rFonts w:cs="Arial"/>
          <w:color w:val="000000"/>
          <w:szCs w:val="20"/>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pPr>
        <w:pStyle w:val="Normal"/>
        <w:numPr>
          <w:ilvl w:val="3"/>
          <w:numId w:val="4"/>
        </w:numPr>
        <w:spacing w:lineRule="auto" w:line="276" w:before="120" w:after="120"/>
        <w:jc w:val="both"/>
        <w:rPr>
          <w:rFonts w:cs="Arial"/>
          <w:color w:val="000000" w:themeColor="text1"/>
          <w:szCs w:val="20"/>
        </w:rPr>
      </w:pPr>
      <w:r>
        <w:rPr>
          <w:rFonts w:cs="Arial"/>
          <w:color w:val="000000"/>
          <w:szCs w:val="20"/>
        </w:rPr>
        <w:t>empresas controladoras, controladas ou coligadas, nos termos da </w:t>
      </w:r>
      <w:hyperlink r:id="rId8">
        <w:r>
          <w:rPr>
            <w:rStyle w:val="LinkdaInternet"/>
            <w:rFonts w:eastAsia="Calibri" w:cs="Arial"/>
            <w:szCs w:val="20"/>
          </w:rPr>
          <w:t>Lei nº 6.404, de 15 de dezembro de 1976</w:t>
        </w:r>
      </w:hyperlink>
      <w:r>
        <w:rPr>
          <w:rFonts w:cs="Arial"/>
          <w:color w:val="000000"/>
          <w:szCs w:val="20"/>
        </w:rPr>
        <w:t>, concorrendo entre si;</w:t>
      </w:r>
    </w:p>
    <w:p>
      <w:pPr>
        <w:pStyle w:val="Normal"/>
        <w:numPr>
          <w:ilvl w:val="3"/>
          <w:numId w:val="4"/>
        </w:numPr>
        <w:spacing w:lineRule="auto" w:line="276" w:before="120" w:after="120"/>
        <w:jc w:val="both"/>
        <w:rPr>
          <w:rFonts w:cs="Arial"/>
          <w:color w:val="000000" w:themeColor="text1"/>
          <w:szCs w:val="20"/>
        </w:rPr>
      </w:pPr>
      <w:r>
        <w:rPr>
          <w:rFonts w:cs="Arial"/>
          <w:color w:val="000000"/>
          <w:szCs w:val="20"/>
        </w:rPr>
        <w:t>pessoa física ou jurídica que, nos 5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 trabalhista.</w:t>
      </w:r>
    </w:p>
    <w:p>
      <w:pPr>
        <w:pStyle w:val="Normal"/>
        <w:numPr>
          <w:ilvl w:val="3"/>
          <w:numId w:val="9"/>
        </w:numPr>
        <w:spacing w:lineRule="auto" w:line="276" w:before="120" w:after="120"/>
        <w:jc w:val="both"/>
        <w:rPr>
          <w:rFonts w:cs="Arial"/>
          <w:color w:val="000000" w:themeColor="text1"/>
          <w:szCs w:val="20"/>
        </w:rPr>
      </w:pPr>
      <w:r>
        <w:rPr>
          <w:rFonts w:cs="Arial"/>
          <w:color w:val="000000"/>
          <w:szCs w:val="20"/>
        </w:rPr>
        <w:t>Equiparam-se aos autores do projeto as empresas integrantes do mesmo grupo econômico;</w:t>
      </w:r>
    </w:p>
    <w:p>
      <w:pPr>
        <w:pStyle w:val="Normal"/>
        <w:numPr>
          <w:ilvl w:val="3"/>
          <w:numId w:val="9"/>
        </w:numPr>
        <w:spacing w:lineRule="auto" w:line="276" w:before="120" w:after="120"/>
        <w:jc w:val="both"/>
        <w:rPr>
          <w:rFonts w:cs="Arial"/>
          <w:color w:val="000000" w:themeColor="text1"/>
          <w:szCs w:val="20"/>
        </w:rPr>
      </w:pPr>
      <w:r>
        <w:rPr>
          <w:rFonts w:cs="Arial"/>
          <w:color w:val="000000"/>
          <w:szCs w:val="20"/>
        </w:rPr>
        <w:t xml:space="preserve"> </w:t>
      </w:r>
      <w:r>
        <w:rPr>
          <w:rFonts w:cs="Arial"/>
          <w:color w:val="000000"/>
          <w:szCs w:val="20"/>
        </w:rPr>
        <w:t>O disposto na alínea “c” aplica-se também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w:t>
      </w:r>
    </w:p>
    <w:p>
      <w:pPr>
        <w:pStyle w:val="Normal"/>
        <w:numPr>
          <w:ilvl w:val="2"/>
          <w:numId w:val="9"/>
        </w:numPr>
        <w:spacing w:lineRule="auto" w:line="276" w:before="120" w:after="120"/>
        <w:jc w:val="both"/>
        <w:rPr>
          <w:rFonts w:cs="Arial"/>
          <w:color w:val="000000" w:themeColor="text1"/>
          <w:szCs w:val="20"/>
        </w:rPr>
      </w:pPr>
      <w:r>
        <w:rPr>
          <w:rFonts w:cs="Arial"/>
          <w:color w:val="000000"/>
          <w:szCs w:val="20"/>
        </w:rPr>
        <w:t>organizações da Sociedade Civil de Interesse Público - OSCIP, atuando nessa condição (Acórdão nº 746/2014-TCU-Plenário); e</w:t>
      </w:r>
    </w:p>
    <w:p>
      <w:pPr>
        <w:pStyle w:val="Normal"/>
        <w:numPr>
          <w:ilvl w:val="1"/>
          <w:numId w:val="9"/>
        </w:numPr>
        <w:spacing w:lineRule="auto" w:line="276" w:before="120" w:after="120"/>
        <w:ind w:left="425" w:hanging="0"/>
        <w:jc w:val="both"/>
        <w:rPr>
          <w:rFonts w:cs="Arial"/>
          <w:bCs/>
        </w:rPr>
      </w:pPr>
      <w:r>
        <w:rPr>
          <w:rFonts w:cs="Arial"/>
          <w:bCs/>
        </w:rPr>
        <w:t xml:space="preserve">Não poderá participar, direta ou indiretamente, da dispensa eletrônica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r>
        <w:fldChar w:fldCharType="begin"/>
      </w:r>
      <w:r>
        <w:rPr>
          <w:rStyle w:val="LinkdaInternet"/>
          <w:bCs/>
          <w:rFonts w:cs="Arial"/>
        </w:rPr>
        <w:instrText> HYPERLINK "http://www.planalto.gov.br/ccivil_03/_ato2019-2022/2021/lei/L14133.htm" \l "art9§1"</w:instrText>
      </w:r>
      <w:r>
        <w:rPr>
          <w:rStyle w:val="LinkdaInternet"/>
          <w:bCs/>
          <w:rFonts w:cs="Arial"/>
        </w:rPr>
        <w:fldChar w:fldCharType="separate"/>
      </w:r>
      <w:r>
        <w:rPr>
          <w:rStyle w:val="LinkdaInternet"/>
          <w:rFonts w:cs="Arial"/>
          <w:bCs/>
        </w:rPr>
        <w:t>§ 1º do art. 9º da Lei n.º 14.133, de 2021</w:t>
      </w:r>
      <w:r>
        <w:rPr>
          <w:rStyle w:val="LinkdaInternet"/>
          <w:bCs/>
          <w:rFonts w:cs="Arial"/>
        </w:rPr>
        <w:fldChar w:fldCharType="end"/>
      </w:r>
      <w:r>
        <w:rPr>
          <w:rFonts w:cs="Arial"/>
          <w:bCs/>
        </w:rPr>
        <w:t>.</w:t>
      </w:r>
    </w:p>
    <w:p>
      <w:pPr>
        <w:pStyle w:val="Ttulo1"/>
        <w:rPr/>
      </w:pPr>
      <w:bookmarkStart w:id="2" w:name="_Toc118380901"/>
      <w:r>
        <w:rPr/>
        <w:t>INGRESSO NA DISPENSA ELETRÔNICA E CADASTRAMENTO DA PROPOSTA INICIAL</w:t>
      </w:r>
      <w:bookmarkEnd w:id="2"/>
    </w:p>
    <w:p>
      <w:pPr>
        <w:pStyle w:val="Normal"/>
        <w:numPr>
          <w:ilvl w:val="1"/>
          <w:numId w:val="9"/>
        </w:numPr>
        <w:snapToGrid w:val="false"/>
        <w:spacing w:lineRule="auto" w:line="276" w:before="120" w:after="120"/>
        <w:ind w:left="425" w:hanging="0"/>
        <w:jc w:val="both"/>
        <w:rPr>
          <w:rFonts w:cs="Arial"/>
        </w:rPr>
      </w:pPr>
      <w:r>
        <w:rPr>
          <w:rFonts w:cs="Arial"/>
          <w:color w:val="000000" w:themeColor="text1"/>
          <w:szCs w:val="20"/>
        </w:rPr>
        <w:t>O ingresso do fornecedor na disputa da dispensa eletrônica ocorrerá com o cadastramento de sua proposta inicial, na forma deste item.</w:t>
      </w:r>
    </w:p>
    <w:p>
      <w:pPr>
        <w:pStyle w:val="Normal"/>
        <w:numPr>
          <w:ilvl w:val="1"/>
          <w:numId w:val="9"/>
        </w:numPr>
        <w:snapToGrid w:val="false"/>
        <w:spacing w:lineRule="auto" w:line="276" w:before="120" w:after="120"/>
        <w:ind w:left="425" w:hanging="0"/>
        <w:jc w:val="both"/>
        <w:rPr>
          <w:rFonts w:cs="Arial"/>
          <w:color w:val="000000" w:themeColor="text1"/>
          <w:szCs w:val="20"/>
        </w:rPr>
      </w:pPr>
      <w:r>
        <w:rPr>
          <w:rFonts w:cs="Arial"/>
          <w:color w:val="000000" w:themeColor="text1"/>
          <w:szCs w:val="20"/>
        </w:rPr>
        <w:t>O fornecedor interessado, após a divulgação do Aviso de Contratação Direta, encaminhará, exclusivamente por meio do Sistema de Dispensa Eletrônica, a proposta com a descrição do objeto ofertado, a marca do produto, quando for o caso, e o preço ou o desconto, até a data e o horário estabelecidos para abertura do procedimento.</w:t>
      </w:r>
    </w:p>
    <w:p>
      <w:pPr>
        <w:pStyle w:val="Normal"/>
        <w:numPr>
          <w:ilvl w:val="1"/>
          <w:numId w:val="9"/>
        </w:numPr>
        <w:spacing w:lineRule="auto" w:line="276" w:before="120" w:after="120"/>
        <w:ind w:left="425" w:hanging="0"/>
        <w:jc w:val="both"/>
        <w:rPr>
          <w:rFonts w:cs="Arial"/>
          <w:szCs w:val="20"/>
        </w:rPr>
      </w:pPr>
      <w:r>
        <w:rPr>
          <w:rFonts w:cs="Arial"/>
          <w:szCs w:val="20"/>
        </w:rPr>
        <w:t xml:space="preserve">Todas as especificações do </w:t>
      </w:r>
      <w:r>
        <w:rPr>
          <w:rFonts w:cs="Arial"/>
          <w:color w:val="000000" w:themeColor="text1"/>
          <w:szCs w:val="20"/>
        </w:rPr>
        <w:t>objeto</w:t>
      </w:r>
      <w:r>
        <w:rPr>
          <w:rFonts w:cs="Arial"/>
          <w:szCs w:val="20"/>
        </w:rPr>
        <w:t xml:space="preserve"> contidas na proposta, em especial o preço ou o desconto ofertados, vinculam a Contratada.</w:t>
      </w:r>
    </w:p>
    <w:p>
      <w:pPr>
        <w:pStyle w:val="Normal"/>
        <w:numPr>
          <w:ilvl w:val="1"/>
          <w:numId w:val="9"/>
        </w:numPr>
        <w:spacing w:lineRule="auto" w:line="276" w:before="120" w:after="120"/>
        <w:ind w:left="425" w:hanging="0"/>
        <w:jc w:val="both"/>
        <w:rPr>
          <w:rFonts w:cs="Arial"/>
          <w:szCs w:val="20"/>
        </w:rPr>
      </w:pPr>
      <w:r>
        <w:rPr>
          <w:rFonts w:cs="Arial"/>
          <w:szCs w:val="20"/>
        </w:rPr>
        <w:t>Nos valores propostos estarão inclusos todos os custos operacionais, encargos previdenciários, trabalhistas, tributários, comerciais e quaisquer outros que incidam direta ou indiretamente na execução do objeto;</w:t>
      </w:r>
    </w:p>
    <w:p>
      <w:pPr>
        <w:pStyle w:val="Normal"/>
        <w:numPr>
          <w:ilvl w:val="2"/>
          <w:numId w:val="9"/>
        </w:numPr>
        <w:spacing w:lineRule="auto" w:line="276" w:before="120" w:after="120"/>
        <w:jc w:val="both"/>
        <w:rPr>
          <w:rFonts w:cs="Arial"/>
          <w:szCs w:val="20"/>
        </w:rPr>
      </w:pPr>
      <w:r>
        <w:rPr>
          <w:rFonts w:cs="Arial"/>
          <w:szCs w:val="20"/>
        </w:rPr>
        <w:t xml:space="preserve"> </w:t>
      </w:r>
      <w:r>
        <w:rPr>
          <w:rFonts w:cs="Arial"/>
          <w:szCs w:val="20"/>
        </w:rPr>
        <w:t>A proposta deverá conter declaração de que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pPr>
        <w:pStyle w:val="Normal"/>
        <w:numPr>
          <w:ilvl w:val="2"/>
          <w:numId w:val="9"/>
        </w:numPr>
        <w:spacing w:lineRule="auto" w:line="276" w:before="120" w:after="120"/>
        <w:jc w:val="both"/>
        <w:rPr>
          <w:rFonts w:cs="Arial"/>
          <w:szCs w:val="20"/>
        </w:rPr>
      </w:pPr>
      <w:r>
        <w:rPr>
          <w:rFonts w:cs="Arial"/>
          <w:szCs w:val="20"/>
        </w:rPr>
        <w:t>Os preços ofertados, tanto na proposta inicial, quanto na etapa de lances, serão de exclusiva responsabilidade do fornecedor, não lhe assistindo o direito de pleitear qualquer alteração, sob alegação de erro, omissão ou qualquer outro pretexto.</w:t>
      </w:r>
    </w:p>
    <w:p>
      <w:pPr>
        <w:pStyle w:val="Normal"/>
        <w:numPr>
          <w:ilvl w:val="1"/>
          <w:numId w:val="9"/>
        </w:numPr>
        <w:spacing w:lineRule="auto" w:line="276" w:before="120" w:after="120"/>
        <w:ind w:left="425" w:hanging="0"/>
        <w:jc w:val="both"/>
        <w:rPr>
          <w:rFonts w:cs="Arial"/>
          <w:szCs w:val="20"/>
        </w:rPr>
      </w:pPr>
      <w:r>
        <w:rPr>
          <w:rFonts w:cs="Arial"/>
          <w:szCs w:val="20"/>
        </w:rPr>
        <w:t xml:space="preserve">Se o regime tributário da empresa implicar o recolhimento de tributos em percentuais variáveis, a cotação adequada será aquela correspondente à média dos efetivos recolhimentos da empresa nos últimos doze meses. </w:t>
      </w:r>
    </w:p>
    <w:p>
      <w:pPr>
        <w:pStyle w:val="Normal"/>
        <w:numPr>
          <w:ilvl w:val="1"/>
          <w:numId w:val="9"/>
        </w:numPr>
        <w:spacing w:lineRule="auto" w:line="276" w:before="120" w:after="120"/>
        <w:ind w:left="425" w:hanging="0"/>
        <w:jc w:val="both"/>
        <w:rPr>
          <w:rFonts w:cs="Arial"/>
          <w:szCs w:val="20"/>
        </w:rPr>
      </w:pPr>
      <w:r>
        <w:rPr>
          <w:rFonts w:cs="Arial"/>
          <w:szCs w:val="20"/>
        </w:rPr>
        <w:t>Independentemente do percentual do tributo que constar da planilha, no pagamento serão retidos na fonte os percentuais estabelecidos pela legislação vigente.</w:t>
      </w:r>
    </w:p>
    <w:p>
      <w:pPr>
        <w:pStyle w:val="Normal"/>
        <w:numPr>
          <w:ilvl w:val="1"/>
          <w:numId w:val="9"/>
        </w:numPr>
        <w:spacing w:lineRule="auto" w:line="276" w:before="120" w:after="120"/>
        <w:ind w:left="425" w:hanging="0"/>
        <w:jc w:val="both"/>
        <w:rPr>
          <w:rFonts w:cs="Arial"/>
          <w:szCs w:val="20"/>
        </w:rPr>
      </w:pPr>
      <w:commentRangeStart w:id="5"/>
      <w:r>
        <w:rPr>
          <w:rFonts w:cs="Arial"/>
          <w:szCs w:val="20"/>
        </w:rPr>
        <w:t xml:space="preserve">A apresentação das propostas implica obrigatoriedade do cumprimento das disposições nelas contidas, em conformidade com o que dispõe o </w:t>
      </w:r>
      <w:r>
        <w:rPr>
          <w:rFonts w:cs="Arial"/>
          <w:iCs/>
          <w:szCs w:val="20"/>
        </w:rPr>
        <w:t>Termo de Referência</w:t>
      </w:r>
      <w:r>
        <w:rPr>
          <w:rFonts w:cs="Arial"/>
          <w:i/>
          <w:szCs w:val="20"/>
        </w:rPr>
        <w:t xml:space="preserve">, </w:t>
      </w:r>
      <w:r>
        <w:rPr>
          <w:rFonts w:cs="Arial"/>
          <w:szCs w:val="20"/>
        </w:rPr>
        <w:t>assumindo o proponente o compromisso de executar os serviços nos seus termos, bem como de fornecer os materiais, equipamentos, ferramentas e utensílios necessários, em quantidades e qualidades adequadas à perfeita execução contratual, promovendo, quando requerido, sua substituição.</w:t>
      </w:r>
      <w:commentRangeEnd w:id="5"/>
      <w:r>
        <w:commentReference w:id="5"/>
      </w:r>
      <w:r>
        <w:rPr>
          <w:rFonts w:cs="Arial"/>
          <w:szCs w:val="20"/>
        </w:rPr>
      </w:r>
    </w:p>
    <w:p>
      <w:pPr>
        <w:pStyle w:val="Normal"/>
        <w:numPr>
          <w:ilvl w:val="1"/>
          <w:numId w:val="9"/>
        </w:numPr>
        <w:spacing w:lineRule="auto" w:line="276" w:before="120" w:after="120"/>
        <w:ind w:left="425" w:hanging="0"/>
        <w:jc w:val="both"/>
        <w:rPr>
          <w:rFonts w:cs="Arial"/>
          <w:color w:val="000000" w:themeColor="text1"/>
          <w:szCs w:val="20"/>
        </w:rPr>
      </w:pPr>
      <w:r>
        <w:rPr>
          <w:rFonts w:cs="Arial"/>
          <w:color w:val="000000" w:themeColor="text1"/>
          <w:szCs w:val="20"/>
        </w:rPr>
        <w:t>No cadastramento da proposta inicial, o fornecedor deverá, também, assinalar Termo de Aceitação, em campo próprio do sistema eletrônico, relativo às seguintes declarações:</w:t>
      </w:r>
      <w:r>
        <w:rPr>
          <w:rFonts w:eastAsia="Zurich BT" w:cs="Arial"/>
          <w:color w:val="000000" w:themeColor="text1"/>
          <w:szCs w:val="20"/>
        </w:rPr>
        <w:t xml:space="preserve"> </w:t>
      </w:r>
    </w:p>
    <w:p>
      <w:pPr>
        <w:pStyle w:val="ListParagraph"/>
        <w:numPr>
          <w:ilvl w:val="0"/>
          <w:numId w:val="2"/>
        </w:numPr>
        <w:tabs>
          <w:tab w:val="clear" w:pos="720"/>
          <w:tab w:val="left" w:pos="1440" w:leader="none"/>
        </w:tabs>
        <w:snapToGrid w:val="false"/>
        <w:spacing w:lineRule="auto" w:line="276" w:before="120" w:after="120"/>
        <w:contextualSpacing/>
        <w:jc w:val="both"/>
        <w:rPr>
          <w:rFonts w:cs="Arial"/>
          <w:bCs/>
          <w:vanish/>
          <w:color w:val="000000" w:themeColor="text1"/>
          <w:szCs w:val="20"/>
        </w:rPr>
      </w:pPr>
      <w:r>
        <w:rPr>
          <w:rFonts w:cs="Arial"/>
          <w:bCs/>
          <w:vanish/>
          <w:color w:val="000000" w:themeColor="text1"/>
          <w:szCs w:val="20"/>
        </w:rPr>
      </w:r>
    </w:p>
    <w:p>
      <w:pPr>
        <w:pStyle w:val="ListParagraph"/>
        <w:numPr>
          <w:ilvl w:val="1"/>
          <w:numId w:val="2"/>
        </w:numPr>
        <w:tabs>
          <w:tab w:val="clear" w:pos="720"/>
          <w:tab w:val="left" w:pos="1440" w:leader="none"/>
        </w:tabs>
        <w:snapToGrid w:val="false"/>
        <w:spacing w:lineRule="auto" w:line="276" w:before="120" w:after="120"/>
        <w:contextualSpacing/>
        <w:jc w:val="both"/>
        <w:rPr>
          <w:rFonts w:cs="Arial"/>
          <w:bCs/>
          <w:vanish/>
          <w:color w:val="000000" w:themeColor="text1"/>
          <w:szCs w:val="20"/>
        </w:rPr>
      </w:pPr>
      <w:r>
        <w:rPr>
          <w:rFonts w:cs="Arial"/>
          <w:bCs/>
          <w:vanish/>
          <w:color w:val="000000" w:themeColor="text1"/>
          <w:szCs w:val="20"/>
        </w:rPr>
      </w:r>
    </w:p>
    <w:p>
      <w:pPr>
        <w:pStyle w:val="ListParagraph"/>
        <w:numPr>
          <w:ilvl w:val="1"/>
          <w:numId w:val="2"/>
        </w:numPr>
        <w:tabs>
          <w:tab w:val="clear" w:pos="720"/>
          <w:tab w:val="left" w:pos="1440" w:leader="none"/>
        </w:tabs>
        <w:snapToGrid w:val="false"/>
        <w:spacing w:lineRule="auto" w:line="276" w:before="120" w:after="120"/>
        <w:contextualSpacing/>
        <w:jc w:val="both"/>
        <w:rPr>
          <w:rFonts w:cs="Arial"/>
          <w:bCs/>
          <w:vanish/>
          <w:color w:val="000000" w:themeColor="text1"/>
          <w:szCs w:val="20"/>
        </w:rPr>
      </w:pPr>
      <w:r>
        <w:rPr>
          <w:rFonts w:cs="Arial"/>
          <w:bCs/>
          <w:vanish/>
          <w:color w:val="000000" w:themeColor="text1"/>
          <w:szCs w:val="20"/>
        </w:rPr>
      </w:r>
    </w:p>
    <w:p>
      <w:pPr>
        <w:pStyle w:val="ListParagraph"/>
        <w:numPr>
          <w:ilvl w:val="1"/>
          <w:numId w:val="2"/>
        </w:numPr>
        <w:tabs>
          <w:tab w:val="clear" w:pos="720"/>
          <w:tab w:val="left" w:pos="1440" w:leader="none"/>
        </w:tabs>
        <w:snapToGrid w:val="false"/>
        <w:spacing w:lineRule="auto" w:line="276" w:before="120" w:after="120"/>
        <w:contextualSpacing/>
        <w:jc w:val="both"/>
        <w:rPr>
          <w:rFonts w:cs="Arial"/>
          <w:bCs/>
          <w:vanish/>
          <w:color w:val="000000" w:themeColor="text1"/>
          <w:szCs w:val="20"/>
        </w:rPr>
      </w:pPr>
      <w:r>
        <w:rPr>
          <w:rFonts w:cs="Arial"/>
          <w:bCs/>
          <w:vanish/>
          <w:color w:val="000000" w:themeColor="text1"/>
          <w:szCs w:val="20"/>
        </w:rPr>
      </w:r>
    </w:p>
    <w:p>
      <w:pPr>
        <w:pStyle w:val="Normal"/>
        <w:numPr>
          <w:ilvl w:val="2"/>
          <w:numId w:val="9"/>
        </w:numPr>
        <w:spacing w:lineRule="auto" w:line="276" w:before="120" w:after="120"/>
        <w:jc w:val="both"/>
        <w:rPr>
          <w:rFonts w:cs="Arial"/>
          <w:color w:val="000000" w:themeColor="text1"/>
          <w:szCs w:val="20"/>
        </w:rPr>
      </w:pPr>
      <w:r>
        <w:rPr>
          <w:rFonts w:cs="Arial"/>
          <w:color w:val="000000" w:themeColor="text1"/>
          <w:szCs w:val="20"/>
        </w:rPr>
        <w:t>que inexistem fatos impeditivos para sua habilitação no certame, ciente da obrigatoriedade de declarar ocorrências posteriores;</w:t>
      </w:r>
    </w:p>
    <w:p>
      <w:pPr>
        <w:pStyle w:val="Normal"/>
        <w:numPr>
          <w:ilvl w:val="2"/>
          <w:numId w:val="9"/>
        </w:numPr>
        <w:spacing w:lineRule="auto" w:line="276" w:before="120" w:after="120"/>
        <w:jc w:val="both"/>
        <w:rPr>
          <w:rFonts w:cs="Arial"/>
          <w:color w:val="000000" w:themeColor="text1"/>
          <w:szCs w:val="20"/>
        </w:rPr>
      </w:pPr>
      <w:r>
        <w:rPr>
          <w:rFonts w:cs="Arial"/>
          <w:color w:val="000000" w:themeColor="text1"/>
          <w:szCs w:val="20"/>
        </w:rPr>
        <w:t>que está ciente e concorda com as condições contidas no Aviso de Contratação Direta e seus anexos;</w:t>
      </w:r>
    </w:p>
    <w:p>
      <w:pPr>
        <w:pStyle w:val="Normal"/>
        <w:numPr>
          <w:ilvl w:val="2"/>
          <w:numId w:val="9"/>
        </w:numPr>
        <w:spacing w:lineRule="auto" w:line="276" w:before="120" w:after="120"/>
        <w:jc w:val="both"/>
        <w:rPr>
          <w:rFonts w:cs="Arial"/>
          <w:color w:val="000000" w:themeColor="text1"/>
          <w:szCs w:val="20"/>
        </w:rPr>
      </w:pPr>
      <w:r>
        <w:rPr>
          <w:rFonts w:cs="Arial"/>
          <w:color w:val="000000" w:themeColor="text1"/>
          <w:szCs w:val="20"/>
        </w:rPr>
        <w:t>que se responsabiliza pelas transações que forem efetuadas no sistema, assumindo-as como firmes e verdadeiras;</w:t>
      </w:r>
    </w:p>
    <w:p>
      <w:pPr>
        <w:pStyle w:val="Normal"/>
        <w:numPr>
          <w:ilvl w:val="2"/>
          <w:numId w:val="9"/>
        </w:numPr>
        <w:spacing w:lineRule="auto" w:line="276" w:before="120" w:after="120"/>
        <w:jc w:val="both"/>
        <w:rPr>
          <w:rFonts w:cs="Arial"/>
          <w:color w:val="000000" w:themeColor="text1"/>
          <w:szCs w:val="20"/>
        </w:rPr>
      </w:pPr>
      <w:r>
        <w:rPr>
          <w:rFonts w:cs="Arial"/>
          <w:color w:val="000000" w:themeColor="text1"/>
          <w:szCs w:val="20"/>
        </w:rPr>
        <w:t xml:space="preserve">que cumpre as exigências de reserva de cargos para pessoa com deficiência e para reabilitado da Previdência Social, de que trata </w:t>
      </w:r>
      <w:r>
        <w:fldChar w:fldCharType="begin"/>
      </w:r>
      <w:r>
        <w:rPr>
          <w:rStyle w:val="LinkdaInternet"/>
          <w:szCs w:val="20"/>
          <w:rFonts w:cs="Arial"/>
        </w:rPr>
        <w:instrText> HYPERLINK "https://www.planalto.gov.br/ccivil_03/leis/l8213cons.htm" \l "art93"</w:instrText>
      </w:r>
      <w:r>
        <w:rPr>
          <w:rStyle w:val="LinkdaInternet"/>
          <w:szCs w:val="20"/>
          <w:rFonts w:cs="Arial"/>
        </w:rPr>
        <w:fldChar w:fldCharType="separate"/>
      </w:r>
      <w:r>
        <w:rPr>
          <w:rStyle w:val="LinkdaInternet"/>
          <w:rFonts w:cs="Arial"/>
          <w:szCs w:val="20"/>
        </w:rPr>
        <w:t>o art. 93 da Lei nº 8.213/91</w:t>
      </w:r>
      <w:r>
        <w:rPr>
          <w:rStyle w:val="LinkdaInternet"/>
          <w:szCs w:val="20"/>
          <w:rFonts w:cs="Arial"/>
        </w:rPr>
        <w:fldChar w:fldCharType="end"/>
      </w:r>
      <w:r>
        <w:rPr>
          <w:rFonts w:cs="Arial"/>
          <w:color w:val="000000" w:themeColor="text1"/>
          <w:szCs w:val="20"/>
        </w:rPr>
        <w:t>.</w:t>
      </w:r>
    </w:p>
    <w:p>
      <w:pPr>
        <w:pStyle w:val="Normal"/>
        <w:numPr>
          <w:ilvl w:val="2"/>
          <w:numId w:val="9"/>
        </w:numPr>
        <w:spacing w:lineRule="auto" w:line="276" w:before="120" w:after="120"/>
        <w:jc w:val="both"/>
        <w:rPr>
          <w:rFonts w:cs="Arial"/>
          <w:color w:val="000000" w:themeColor="text1"/>
          <w:szCs w:val="20"/>
        </w:rPr>
      </w:pPr>
      <w:r>
        <w:rPr>
          <w:rFonts w:cs="Arial"/>
          <w:color w:val="000000" w:themeColor="text1"/>
          <w:szCs w:val="20"/>
        </w:rPr>
        <w:t xml:space="preserve">que não emprega menor de 18 anos em trabalho noturno, perigoso ou insalubre e não emprega menor de 16 anos, salvo menor, a partir de 14 anos, na condição de aprendiz, nos termos do </w:t>
      </w:r>
      <w:r>
        <w:fldChar w:fldCharType="begin"/>
      </w:r>
      <w:r>
        <w:rPr>
          <w:rStyle w:val="LinkdaInternet"/>
          <w:szCs w:val="20"/>
          <w:rFonts w:cs="Arial"/>
        </w:rPr>
        <w:instrText> HYPERLINK "https://normas.leg.br/?urn=urn:lex:br:federal:constituicao:1988-10-05;1988" \l "art7"</w:instrText>
      </w:r>
      <w:r>
        <w:rPr>
          <w:rStyle w:val="LinkdaInternet"/>
          <w:szCs w:val="20"/>
          <w:rFonts w:cs="Arial"/>
        </w:rPr>
        <w:fldChar w:fldCharType="separate"/>
      </w:r>
      <w:r>
        <w:rPr>
          <w:rStyle w:val="LinkdaInternet"/>
          <w:rFonts w:cs="Arial"/>
          <w:szCs w:val="20"/>
        </w:rPr>
        <w:t>artigo 7°, XXXIII, da Constituição</w:t>
      </w:r>
      <w:r>
        <w:rPr>
          <w:rStyle w:val="LinkdaInternet"/>
          <w:szCs w:val="20"/>
          <w:rFonts w:cs="Arial"/>
        </w:rPr>
        <w:fldChar w:fldCharType="end"/>
      </w:r>
      <w:r>
        <w:rPr>
          <w:rFonts w:cs="Arial"/>
          <w:color w:val="000000" w:themeColor="text1"/>
          <w:szCs w:val="20"/>
        </w:rPr>
        <w:t>;</w:t>
      </w:r>
    </w:p>
    <w:p>
      <w:pPr>
        <w:pStyle w:val="Normal"/>
        <w:numPr>
          <w:ilvl w:val="1"/>
          <w:numId w:val="9"/>
        </w:numPr>
        <w:spacing w:lineRule="auto" w:line="276" w:before="120" w:after="120"/>
        <w:jc w:val="both"/>
        <w:rPr>
          <w:rFonts w:cs="Arial"/>
          <w:color w:val="000000" w:themeColor="text1"/>
          <w:szCs w:val="20"/>
        </w:rPr>
      </w:pPr>
      <w:r>
        <w:rPr>
          <w:rFonts w:cs="Arial"/>
          <w:color w:val="000000" w:themeColor="text1"/>
          <w:szCs w:val="20"/>
        </w:rPr>
        <w:t xml:space="preserve">O licitante organizado em cooperativa deverá declarar, ainda, em campo próprio do sistema eletrônico, que cumpre os requisitos estabelecidos no </w:t>
      </w:r>
      <w:r>
        <w:fldChar w:fldCharType="begin"/>
      </w:r>
      <w:r>
        <w:rPr>
          <w:rStyle w:val="LinkdaInternet"/>
          <w:szCs w:val="20"/>
          <w:rFonts w:cs="Arial"/>
        </w:rPr>
        <w:instrText> HYPERLINK "http://www.planalto.gov.br/ccivil_03/_ato2019-2022/2021/lei/L14133.htm" \l "art16"</w:instrText>
      </w:r>
      <w:r>
        <w:rPr>
          <w:rStyle w:val="LinkdaInternet"/>
          <w:szCs w:val="20"/>
          <w:rFonts w:cs="Arial"/>
        </w:rPr>
        <w:fldChar w:fldCharType="separate"/>
      </w:r>
      <w:r>
        <w:rPr>
          <w:rStyle w:val="LinkdaInternet"/>
          <w:rFonts w:cs="Arial"/>
          <w:szCs w:val="20"/>
        </w:rPr>
        <w:t>artigo 16 da Lei nº 14.133, de 2021.</w:t>
      </w:r>
      <w:r>
        <w:rPr>
          <w:rStyle w:val="LinkdaInternet"/>
          <w:szCs w:val="20"/>
          <w:rFonts w:cs="Arial"/>
        </w:rPr>
        <w:fldChar w:fldCharType="end"/>
      </w:r>
    </w:p>
    <w:p>
      <w:pPr>
        <w:pStyle w:val="Normal"/>
        <w:numPr>
          <w:ilvl w:val="1"/>
          <w:numId w:val="9"/>
        </w:numPr>
        <w:spacing w:lineRule="auto" w:line="276" w:before="120" w:after="120"/>
        <w:jc w:val="both"/>
        <w:rPr>
          <w:rFonts w:cs="Arial"/>
          <w:color w:val="000000" w:themeColor="text1"/>
          <w:szCs w:val="20"/>
        </w:rPr>
      </w:pPr>
      <w:commentRangeStart w:id="6"/>
      <w:r>
        <w:rPr>
          <w:rFonts w:cs="Arial"/>
          <w:color w:val="000000" w:themeColor="text1"/>
          <w:szCs w:val="20"/>
        </w:rPr>
        <w:t xml:space="preserve">O fornecedor enquadrado como microempresa, empresa de pequeno porte ou sociedade cooperativa deverá declarar, ainda, em campo próprio do sistema eletrônico, que cumpre os requisitos estabelecidos no </w:t>
      </w:r>
      <w:r>
        <w:fldChar w:fldCharType="begin"/>
      </w:r>
      <w:r>
        <w:rPr>
          <w:rStyle w:val="LinkdaInternet"/>
          <w:szCs w:val="20"/>
          <w:rFonts w:cs="Arial"/>
        </w:rPr>
        <w:instrText> HYPERLINK "https://www.planalto.gov.br/ccivil_03/leis/lcp/lcp123.htm" \l "art3"</w:instrText>
      </w:r>
      <w:r>
        <w:rPr>
          <w:rStyle w:val="LinkdaInternet"/>
          <w:szCs w:val="20"/>
          <w:rFonts w:cs="Arial"/>
        </w:rPr>
        <w:fldChar w:fldCharType="separate"/>
      </w:r>
      <w:r>
        <w:rPr>
          <w:rStyle w:val="LinkdaInternet"/>
          <w:rFonts w:cs="Arial"/>
          <w:szCs w:val="20"/>
        </w:rPr>
        <w:t>artigo 3° da Lei Complementar nº 123, de 2006</w:t>
      </w:r>
      <w:r>
        <w:rPr>
          <w:rStyle w:val="LinkdaInternet"/>
          <w:szCs w:val="20"/>
          <w:rFonts w:cs="Arial"/>
        </w:rPr>
        <w:fldChar w:fldCharType="end"/>
      </w:r>
      <w:r>
        <w:rPr>
          <w:rFonts w:cs="Arial"/>
          <w:color w:val="000000" w:themeColor="text1"/>
          <w:szCs w:val="20"/>
        </w:rPr>
        <w:t xml:space="preserve">, estando apto a usufruir do tratamento favorecido estabelecido em seus arts. 42 a 49, observado o disposto nos </w:t>
      </w:r>
      <w:r>
        <w:fldChar w:fldCharType="begin"/>
      </w:r>
      <w:r>
        <w:rPr>
          <w:rStyle w:val="LinkdaInternet"/>
          <w:szCs w:val="20"/>
          <w:rFonts w:cs="Arial"/>
        </w:rPr>
        <w:instrText> HYPERLINK "http://www.planalto.gov.br/ccivil_03/_ato2019-2022/2021/lei/L14133.htm" \l "art4§1"</w:instrText>
      </w:r>
      <w:r>
        <w:rPr>
          <w:rStyle w:val="LinkdaInternet"/>
          <w:szCs w:val="20"/>
          <w:rFonts w:cs="Arial"/>
        </w:rPr>
        <w:fldChar w:fldCharType="separate"/>
      </w:r>
      <w:r>
        <w:rPr>
          <w:rStyle w:val="LinkdaInternet"/>
          <w:rFonts w:cs="Arial"/>
          <w:szCs w:val="20"/>
        </w:rPr>
        <w:t>§§ 1º ao 3º do art. 4º, da Lei n.º 14.133, de 2021.</w:t>
      </w:r>
      <w:r>
        <w:rPr>
          <w:rStyle w:val="LinkdaInternet"/>
          <w:szCs w:val="20"/>
          <w:rFonts w:cs="Arial"/>
        </w:rPr>
        <w:fldChar w:fldCharType="end"/>
      </w:r>
      <w:commentRangeEnd w:id="6"/>
      <w:r>
        <w:commentReference w:id="6"/>
      </w:r>
      <w:r>
        <w:rPr>
          <w:rStyle w:val="LinkdaInternet"/>
          <w:rFonts w:cs="Arial"/>
          <w:szCs w:val="20"/>
        </w:rPr>
      </w:r>
    </w:p>
    <w:p>
      <w:pPr>
        <w:pStyle w:val="Ttulo1"/>
        <w:rPr/>
      </w:pPr>
      <w:bookmarkStart w:id="3" w:name="_Toc118380902"/>
      <w:r>
        <w:rPr/>
        <w:t>FASE DE LANCES</w:t>
      </w:r>
      <w:bookmarkEnd w:id="3"/>
    </w:p>
    <w:p>
      <w:pPr>
        <w:pStyle w:val="ListParagraph"/>
        <w:numPr>
          <w:ilvl w:val="1"/>
          <w:numId w:val="9"/>
        </w:numPr>
        <w:spacing w:lineRule="auto" w:line="276" w:before="120" w:after="120"/>
        <w:contextualSpacing/>
        <w:jc w:val="both"/>
        <w:rPr>
          <w:rFonts w:cs="Arial"/>
          <w:color w:val="000000" w:themeColor="text1"/>
          <w:szCs w:val="20"/>
          <w:lang w:eastAsia="en-US"/>
        </w:rPr>
      </w:pPr>
      <w:r>
        <w:rPr>
          <w:rFonts w:cs="Arial"/>
          <w:color w:val="000000" w:themeColor="text1"/>
          <w:szCs w:val="20"/>
          <w:lang w:eastAsia="en-US"/>
        </w:rPr>
        <w:t xml:space="preserve">A partir da data e horário estabelecidos neste Aviso de Contratação Direta, a sessão pública será automaticamente aberta pelo sistema para o envio de lances públicos e sucessivos, </w:t>
      </w:r>
      <w:r>
        <w:rPr>
          <w:rFonts w:cs="Arial"/>
          <w:bCs/>
          <w:szCs w:val="20"/>
          <w:lang w:eastAsia="en-US"/>
        </w:rPr>
        <w:t>exclusivamente por meio do sistema eletrônico</w:t>
      </w:r>
      <w:r>
        <w:rPr>
          <w:rFonts w:cs="Arial"/>
          <w:szCs w:val="20"/>
          <w:lang w:eastAsia="en-US"/>
        </w:rPr>
        <w:t xml:space="preserve">, </w:t>
      </w:r>
      <w:r>
        <w:rPr>
          <w:rFonts w:cs="Arial"/>
          <w:color w:val="000000" w:themeColor="text1"/>
          <w:szCs w:val="20"/>
          <w:lang w:eastAsia="en-US"/>
        </w:rPr>
        <w:t>sendo encerrado no horário de finalização de lances também já previsto neste aviso.</w:t>
      </w:r>
    </w:p>
    <w:p>
      <w:pPr>
        <w:pStyle w:val="ListParagraph"/>
        <w:numPr>
          <w:ilvl w:val="1"/>
          <w:numId w:val="9"/>
        </w:numPr>
        <w:spacing w:lineRule="auto" w:line="276" w:before="120" w:after="120"/>
        <w:contextualSpacing/>
        <w:jc w:val="both"/>
        <w:rPr>
          <w:rFonts w:cs="Arial"/>
          <w:color w:val="000000" w:themeColor="text1"/>
          <w:szCs w:val="20"/>
          <w:lang w:eastAsia="en-US"/>
        </w:rPr>
      </w:pPr>
      <w:r>
        <w:rPr>
          <w:rFonts w:cs="Arial"/>
          <w:color w:val="000000" w:themeColor="text1"/>
          <w:szCs w:val="20"/>
        </w:rPr>
        <w:t xml:space="preserve">Iniciada a etapa competitiva, os fornecedores deverão encaminhar lances exclusivamente por meio de sistema eletrônico, sendo imediatamente informados do seu recebimento e do valor consignado no registro. </w:t>
      </w:r>
    </w:p>
    <w:p>
      <w:pPr>
        <w:pStyle w:val="ListParagraph"/>
        <w:numPr>
          <w:ilvl w:val="2"/>
          <w:numId w:val="9"/>
        </w:numPr>
        <w:spacing w:lineRule="auto" w:line="276" w:before="120" w:after="120"/>
        <w:contextualSpacing/>
        <w:jc w:val="both"/>
        <w:rPr>
          <w:rFonts w:cs="Arial"/>
          <w:szCs w:val="20"/>
          <w:lang w:eastAsia="en-US"/>
        </w:rPr>
      </w:pPr>
      <w:r>
        <w:rPr>
          <w:rFonts w:cs="Arial"/>
          <w:szCs w:val="20"/>
        </w:rPr>
        <w:t xml:space="preserve">O lance </w:t>
      </w:r>
      <w:r>
        <w:rPr>
          <w:rFonts w:cs="Arial"/>
          <w:color w:val="000000" w:themeColor="text1"/>
          <w:szCs w:val="20"/>
          <w:lang w:eastAsia="en-US"/>
        </w:rPr>
        <w:t>deverá</w:t>
      </w:r>
      <w:r>
        <w:rPr>
          <w:rFonts w:cs="Arial"/>
          <w:szCs w:val="20"/>
        </w:rPr>
        <w:t xml:space="preserve"> ser ofertado pelo valor unitário do item.</w:t>
      </w:r>
    </w:p>
    <w:p>
      <w:pPr>
        <w:pStyle w:val="Quote"/>
        <w:numPr>
          <w:ilvl w:val="1"/>
          <w:numId w:val="9"/>
        </w:numPr>
        <w:pBdr>
          <w:top w:val="nil"/>
          <w:left w:val="nil"/>
          <w:bottom w:val="nil"/>
          <w:right w:val="nil"/>
        </w:pBdr>
        <w:shd w:val="clear" w:color="auto" w:fill="FFFFFF" w:themeFill="background1"/>
        <w:spacing w:lineRule="auto" w:line="276" w:before="120" w:after="120"/>
        <w:contextualSpacing/>
        <w:rPr>
          <w:rFonts w:cs="Arial"/>
          <w:i w:val="false"/>
          <w:i w:val="false"/>
          <w:iCs w:val="false"/>
          <w:color w:val="000000" w:themeColor="text1"/>
          <w:szCs w:val="20"/>
        </w:rPr>
      </w:pPr>
      <w:r>
        <w:rPr>
          <w:rFonts w:cs="Arial"/>
          <w:i w:val="false"/>
          <w:iCs w:val="false"/>
          <w:color w:val="000000" w:themeColor="text1"/>
          <w:szCs w:val="20"/>
        </w:rPr>
        <w:t>O fornecedor somente poderá oferecer valor inferior ou maior percentual de desconto em relação ao último lance por ele ofertado e registrado pelo sistema.</w:t>
      </w:r>
    </w:p>
    <w:p>
      <w:pPr>
        <w:pStyle w:val="ListParagraph"/>
        <w:numPr>
          <w:ilvl w:val="2"/>
          <w:numId w:val="9"/>
        </w:numPr>
        <w:spacing w:lineRule="auto" w:line="276" w:before="120" w:after="120"/>
        <w:contextualSpacing/>
        <w:jc w:val="both"/>
        <w:rPr>
          <w:rFonts w:cs="Arial"/>
          <w:color w:val="000000" w:themeColor="text1"/>
          <w:szCs w:val="20"/>
          <w:lang w:eastAsia="en-US"/>
        </w:rPr>
      </w:pPr>
      <w:r>
        <w:rPr>
          <w:rFonts w:cs="Arial"/>
          <w:color w:val="000000" w:themeColor="text1"/>
          <w:szCs w:val="20"/>
          <w:lang w:eastAsia="en-US"/>
        </w:rPr>
        <w:t>O fornecedor poderá oferecer lances sucessivos iguais ou superiores ao lance que esteja vencendo o certame, desde que inferiores ao menor por ele ofertado e registrado pelo sistema, sendo tais lances definidos como “lances intermediários” para os fins deste Aviso de Contratação Direta.</w:t>
      </w:r>
    </w:p>
    <w:p>
      <w:pPr>
        <w:pStyle w:val="ListParagraph"/>
        <w:numPr>
          <w:ilvl w:val="2"/>
          <w:numId w:val="9"/>
        </w:numPr>
        <w:spacing w:lineRule="auto" w:line="276" w:before="120" w:after="120"/>
        <w:contextualSpacing/>
        <w:jc w:val="both"/>
        <w:rPr>
          <w:rFonts w:cs="Arial"/>
          <w:color w:val="000000" w:themeColor="text1"/>
          <w:szCs w:val="20"/>
          <w:lang w:eastAsia="en-US"/>
        </w:rPr>
      </w:pPr>
      <w:r>
        <w:rPr>
          <w:rFonts w:cs="Arial"/>
          <w:szCs w:val="20"/>
        </w:rPr>
        <w:t xml:space="preserve">O intervalo mínimo de diferença de valores ou percentuais entre os lances, que incidirá tanto em relação aos lances intermediários quanto em relação ao que cobrir a melhor oferta é de R$ 0,01 (um centavo). </w:t>
      </w:r>
    </w:p>
    <w:p>
      <w:pPr>
        <w:pStyle w:val="ListParagraph"/>
        <w:numPr>
          <w:ilvl w:val="1"/>
          <w:numId w:val="9"/>
        </w:numPr>
        <w:spacing w:lineRule="auto" w:line="276" w:before="120" w:after="120"/>
        <w:contextualSpacing/>
        <w:jc w:val="both"/>
        <w:rPr>
          <w:rFonts w:cs="Arial"/>
          <w:color w:val="000000" w:themeColor="text1"/>
          <w:szCs w:val="20"/>
          <w:lang w:eastAsia="en-US"/>
        </w:rPr>
      </w:pPr>
      <w:r>
        <w:rPr>
          <w:rFonts w:cs="Arial"/>
          <w:color w:val="000000" w:themeColor="text1"/>
          <w:szCs w:val="20"/>
          <w:lang w:eastAsia="en-US"/>
        </w:rPr>
        <w:t>Havendo lances iguais ao menor já ofertado, prevalecerá aquele que for recebido e registrado primeiro no sistema.</w:t>
      </w:r>
    </w:p>
    <w:p>
      <w:pPr>
        <w:pStyle w:val="ListParagraph"/>
        <w:numPr>
          <w:ilvl w:val="1"/>
          <w:numId w:val="9"/>
        </w:numPr>
        <w:spacing w:lineRule="auto" w:line="276" w:before="120" w:after="120"/>
        <w:contextualSpacing/>
        <w:jc w:val="both"/>
        <w:rPr>
          <w:rFonts w:cs="Arial"/>
          <w:color w:val="000000" w:themeColor="text1"/>
          <w:szCs w:val="20"/>
          <w:lang w:eastAsia="en-US"/>
        </w:rPr>
      </w:pPr>
      <w:r>
        <w:rPr>
          <w:rFonts w:cs="Arial"/>
          <w:color w:val="000000" w:themeColor="text1"/>
          <w:szCs w:val="20"/>
          <w:lang w:eastAsia="en-US"/>
        </w:rPr>
        <w:t>Caso o fornecedor não apresente lances, concorrerá com o valor de sua proposta.</w:t>
      </w:r>
    </w:p>
    <w:p>
      <w:pPr>
        <w:pStyle w:val="ListParagraph"/>
        <w:numPr>
          <w:ilvl w:val="1"/>
          <w:numId w:val="9"/>
        </w:numPr>
        <w:spacing w:lineRule="auto" w:line="276" w:before="120" w:after="120"/>
        <w:contextualSpacing/>
        <w:jc w:val="both"/>
        <w:rPr>
          <w:rFonts w:cs="Arial"/>
          <w:color w:val="000000" w:themeColor="text1"/>
          <w:szCs w:val="20"/>
          <w:lang w:eastAsia="en-US"/>
        </w:rPr>
      </w:pPr>
      <w:r>
        <w:rPr>
          <w:rFonts w:cs="Arial"/>
          <w:color w:val="000000" w:themeColor="text1"/>
          <w:szCs w:val="20"/>
          <w:lang w:eastAsia="en-US"/>
        </w:rPr>
        <w:t>Durante o procedimento, os fornecedores serão informados, em tempo real, do valor do menor lance ou do maior desconto registrado, vedada a identificação do fornecedor.</w:t>
      </w:r>
    </w:p>
    <w:p>
      <w:pPr>
        <w:pStyle w:val="ListParagraph"/>
        <w:numPr>
          <w:ilvl w:val="1"/>
          <w:numId w:val="9"/>
        </w:numPr>
        <w:spacing w:lineRule="auto" w:line="276" w:before="120" w:after="120"/>
        <w:contextualSpacing/>
        <w:jc w:val="both"/>
        <w:rPr>
          <w:rFonts w:cs="Arial"/>
          <w:color w:val="000000" w:themeColor="text1"/>
          <w:szCs w:val="20"/>
          <w:lang w:eastAsia="en-US"/>
        </w:rPr>
      </w:pPr>
      <w:r>
        <w:rPr>
          <w:rFonts w:cs="Arial"/>
          <w:color w:val="000000" w:themeColor="text1"/>
          <w:szCs w:val="20"/>
          <w:lang w:eastAsia="en-US"/>
        </w:rPr>
        <w:t>Imediatamente após o término do prazo estabelecido para a fase de lances, haverá o seu encerramento, com o ordenamento e divulgação dos lances, pelo sistema, em ordem crescente de classificação.</w:t>
      </w:r>
    </w:p>
    <w:p>
      <w:pPr>
        <w:pStyle w:val="ListParagraph"/>
        <w:numPr>
          <w:ilvl w:val="2"/>
          <w:numId w:val="9"/>
        </w:numPr>
        <w:spacing w:lineRule="auto" w:line="276" w:before="120" w:after="120"/>
        <w:contextualSpacing/>
        <w:jc w:val="both"/>
        <w:rPr>
          <w:rFonts w:cs="Arial"/>
        </w:rPr>
      </w:pPr>
      <w:r>
        <w:rPr>
          <w:rFonts w:cs="Arial"/>
          <w:color w:val="000000" w:themeColor="text1"/>
          <w:szCs w:val="20"/>
          <w:lang w:eastAsia="en-US"/>
        </w:rPr>
        <w:t>O encerramento da fase de lances ocorrerá de forma automática pontualmente no horário indicado, sem qualquer possibilidade de prorrogação e não havendo tempo aleatório ou mecanismo similar.</w:t>
      </w:r>
    </w:p>
    <w:p>
      <w:pPr>
        <w:pStyle w:val="Ttulo1"/>
        <w:rPr/>
      </w:pPr>
      <w:bookmarkStart w:id="4" w:name="_Toc118380903"/>
      <w:r>
        <w:rPr/>
        <w:t>JULGAMENTO DAS PROPOSTAS DE PREÇO</w:t>
      </w:r>
      <w:bookmarkEnd w:id="4"/>
    </w:p>
    <w:p>
      <w:pPr>
        <w:pStyle w:val="ListParagraph"/>
        <w:numPr>
          <w:ilvl w:val="1"/>
          <w:numId w:val="9"/>
        </w:numPr>
        <w:spacing w:lineRule="auto" w:line="276" w:before="120" w:after="120"/>
        <w:contextualSpacing/>
        <w:jc w:val="both"/>
        <w:rPr>
          <w:rFonts w:cs="Arial"/>
        </w:rPr>
      </w:pPr>
      <w:r>
        <w:rPr>
          <w:rFonts w:cs="Arial"/>
        </w:rPr>
        <w:t>Encerrada a fase de lances, será verificada a conformidade da proposta classificada em primeiro lugar quanto à adequação do objeto e à compatibilidade do preço em relação ao estipulado para a contratação.</w:t>
      </w:r>
    </w:p>
    <w:p>
      <w:pPr>
        <w:pStyle w:val="ListParagraph"/>
        <w:numPr>
          <w:ilvl w:val="1"/>
          <w:numId w:val="9"/>
        </w:numPr>
        <w:spacing w:lineRule="auto" w:line="276" w:before="120" w:after="120"/>
        <w:contextualSpacing/>
        <w:jc w:val="both"/>
        <w:rPr>
          <w:rFonts w:cs="Arial"/>
        </w:rPr>
      </w:pPr>
      <w:r>
        <w:rPr>
          <w:rFonts w:cs="Arial"/>
        </w:rPr>
        <w:t>No caso de o preço da proposta do primeiro colocado estar acima do preço máximo definido para a contratação, poderá haver a negociação de condições mais vantajosas.</w:t>
      </w:r>
    </w:p>
    <w:p>
      <w:pPr>
        <w:pStyle w:val="ListParagraph"/>
        <w:numPr>
          <w:ilvl w:val="2"/>
          <w:numId w:val="9"/>
        </w:numPr>
        <w:spacing w:lineRule="auto" w:line="276" w:before="120" w:after="120"/>
        <w:contextualSpacing/>
        <w:jc w:val="both"/>
        <w:rPr>
          <w:rFonts w:cs="Arial"/>
        </w:rPr>
      </w:pPr>
      <w:r>
        <w:rPr>
          <w:rFonts w:cs="Arial"/>
          <w:color w:val="000000"/>
          <w:szCs w:val="20"/>
        </w:rPr>
        <w:t>Neste caso, será encaminhada contraproposta ao fornecedor que tenha apresentado o melhor preço, para que seja obtida a melhor proposta com preço compatível ao estipulado pela Administração.</w:t>
      </w:r>
    </w:p>
    <w:p>
      <w:pPr>
        <w:pStyle w:val="ListParagraph"/>
        <w:numPr>
          <w:ilvl w:val="2"/>
          <w:numId w:val="9"/>
        </w:numPr>
        <w:spacing w:lineRule="auto" w:line="276" w:before="120" w:after="120"/>
        <w:contextualSpacing/>
        <w:jc w:val="both"/>
        <w:rPr>
          <w:rFonts w:cs="Arial"/>
        </w:rPr>
      </w:pPr>
      <w:r>
        <w:rPr>
          <w:rFonts w:cs="Arial"/>
        </w:rPr>
        <w:t xml:space="preserve">A negociação poderá ser feita com os demais fornecedores classificados, </w:t>
      </w:r>
      <w:r>
        <w:rPr>
          <w:rFonts w:ascii="Helvetica" w:hAnsi="Helvetica"/>
          <w:shd w:fill="FFFFFF" w:val="clear"/>
        </w:rPr>
        <w:t>exclusivamente por meio do sistema,</w:t>
      </w:r>
      <w:r>
        <w:rPr>
          <w:rFonts w:cs="Arial"/>
        </w:rPr>
        <w:t xml:space="preserve"> respeitada a ordem de classificação, quando o primeiro colocado, mesmo após a negociação, for desclassificado em razão de sua proposta permanecer acima do preço máximo definido para a contratação.</w:t>
      </w:r>
    </w:p>
    <w:p>
      <w:pPr>
        <w:pStyle w:val="ListParagraph"/>
        <w:numPr>
          <w:ilvl w:val="1"/>
          <w:numId w:val="9"/>
        </w:numPr>
        <w:spacing w:lineRule="auto" w:line="276" w:before="120" w:after="120"/>
        <w:contextualSpacing/>
        <w:jc w:val="both"/>
        <w:rPr>
          <w:rFonts w:cs="Arial"/>
        </w:rPr>
      </w:pPr>
      <w:r>
        <w:rPr>
          <w:rFonts w:cs="Arial"/>
        </w:rPr>
        <w:t xml:space="preserve">Em qualquer caso, concluída a negociação, se houver, o resultado será registrado na ata do procedimento da dispensa eletrônica, </w:t>
      </w:r>
      <w:r>
        <w:rPr>
          <w:rFonts w:ascii="Helvetica" w:hAnsi="Helvetica"/>
          <w:shd w:fill="FFFFFF" w:val="clear"/>
        </w:rPr>
        <w:t>devendo esta ser anexada aos autos do processo de contratação.</w:t>
      </w:r>
    </w:p>
    <w:p>
      <w:pPr>
        <w:pStyle w:val="ListParagraph"/>
        <w:numPr>
          <w:ilvl w:val="1"/>
          <w:numId w:val="9"/>
        </w:numPr>
        <w:spacing w:lineRule="auto" w:line="276" w:before="120" w:after="120"/>
        <w:contextualSpacing/>
        <w:jc w:val="both"/>
        <w:rPr>
          <w:rFonts w:cs="Arial"/>
        </w:rPr>
      </w:pPr>
      <w:r>
        <w:rPr>
          <w:iCs/>
        </w:rPr>
        <w:t xml:space="preserve">Constatada a compatibilidade entre o valor da proposta e o estipulado para a contratação, será solicitada ao fornecedor a adequação da proposta ao valor negociado, acompanhada de documentos complementares, se necessários. </w:t>
      </w:r>
    </w:p>
    <w:p>
      <w:pPr>
        <w:pStyle w:val="Normal"/>
        <w:numPr>
          <w:ilvl w:val="1"/>
          <w:numId w:val="9"/>
        </w:numPr>
        <w:spacing w:lineRule="auto" w:line="276" w:before="120" w:after="120"/>
        <w:jc w:val="both"/>
        <w:rPr>
          <w:rFonts w:cs="Arial"/>
          <w:color w:val="000000" w:themeColor="text1"/>
          <w:szCs w:val="20"/>
        </w:rPr>
      </w:pPr>
      <w:commentRangeStart w:id="7"/>
      <w:r>
        <w:rPr>
          <w:rFonts w:cs="Arial"/>
          <w:color w:val="000000" w:themeColor="text1"/>
          <w:szCs w:val="20"/>
        </w:rPr>
        <w:t xml:space="preserve">O prazo de validade </w:t>
      </w:r>
      <w:r>
        <w:rPr>
          <w:rFonts w:cs="Arial"/>
          <w:szCs w:val="20"/>
        </w:rPr>
        <w:t>da</w:t>
      </w:r>
      <w:r>
        <w:rPr>
          <w:rFonts w:cs="Arial"/>
          <w:color w:val="000000" w:themeColor="text1"/>
          <w:szCs w:val="20"/>
        </w:rPr>
        <w:t xml:space="preserve"> proposta não será inferior a 60 (sessenta) dias</w:t>
      </w:r>
      <w:r>
        <w:rPr>
          <w:rFonts w:cs="Arial"/>
          <w:b/>
          <w:bCs/>
          <w:color w:val="000000" w:themeColor="text1"/>
          <w:szCs w:val="20"/>
        </w:rPr>
        <w:t>,</w:t>
      </w:r>
      <w:r>
        <w:rPr>
          <w:rFonts w:cs="Arial"/>
          <w:color w:val="000000" w:themeColor="text1"/>
          <w:szCs w:val="20"/>
        </w:rPr>
        <w:t xml:space="preserve"> a contar da data de sua apresentação.</w:t>
      </w:r>
      <w:commentRangeEnd w:id="7"/>
      <w:r>
        <w:commentReference w:id="7"/>
      </w:r>
      <w:r>
        <w:rPr>
          <w:rFonts w:cs="Arial"/>
          <w:color w:val="000000" w:themeColor="text1"/>
          <w:szCs w:val="20"/>
        </w:rPr>
      </w:r>
    </w:p>
    <w:p>
      <w:pPr>
        <w:pStyle w:val="ListParagraph"/>
        <w:numPr>
          <w:ilvl w:val="1"/>
          <w:numId w:val="9"/>
        </w:numPr>
        <w:spacing w:lineRule="auto" w:line="276" w:before="120" w:after="120"/>
        <w:contextualSpacing/>
        <w:jc w:val="both"/>
        <w:rPr>
          <w:rFonts w:cs="Arial"/>
          <w:i/>
          <w:i/>
          <w:color w:val="000000" w:themeColor="text1"/>
          <w:szCs w:val="20"/>
        </w:rPr>
      </w:pPr>
      <w:r>
        <w:rPr>
          <w:rFonts w:cs="Arial"/>
          <w:color w:val="000000" w:themeColor="text1"/>
          <w:szCs w:val="20"/>
          <w:lang w:eastAsia="en-US"/>
        </w:rPr>
        <w:t xml:space="preserve">Será desclassificada a proposta vencedora que: </w:t>
      </w:r>
    </w:p>
    <w:p>
      <w:pPr>
        <w:pStyle w:val="ListParagraph"/>
        <w:numPr>
          <w:ilvl w:val="2"/>
          <w:numId w:val="9"/>
        </w:numPr>
        <w:spacing w:lineRule="auto" w:line="276" w:before="120" w:after="120"/>
        <w:contextualSpacing/>
        <w:jc w:val="both"/>
        <w:rPr>
          <w:rFonts w:cs="Arial"/>
          <w:i/>
          <w:i/>
          <w:color w:val="000000" w:themeColor="text1"/>
          <w:szCs w:val="20"/>
        </w:rPr>
      </w:pPr>
      <w:r>
        <w:rPr>
          <w:rFonts w:cs="Arial"/>
          <w:color w:val="000000"/>
          <w:szCs w:val="20"/>
        </w:rPr>
        <w:t>contiver vícios insanáveis</w:t>
      </w:r>
      <w:r>
        <w:rPr>
          <w:rFonts w:cs="Arial"/>
          <w:iCs/>
          <w:color w:val="000000" w:themeColor="text1"/>
          <w:szCs w:val="20"/>
        </w:rPr>
        <w:t>;</w:t>
      </w:r>
    </w:p>
    <w:p>
      <w:pPr>
        <w:pStyle w:val="ListParagraph"/>
        <w:numPr>
          <w:ilvl w:val="2"/>
          <w:numId w:val="9"/>
        </w:numPr>
        <w:spacing w:lineRule="auto" w:line="276" w:before="120" w:after="120"/>
        <w:contextualSpacing/>
        <w:jc w:val="both"/>
        <w:rPr>
          <w:rFonts w:cs="Arial"/>
          <w:i/>
          <w:i/>
          <w:color w:val="000000" w:themeColor="text1"/>
          <w:szCs w:val="20"/>
        </w:rPr>
      </w:pPr>
      <w:r>
        <w:rPr>
          <w:rFonts w:cs="Arial"/>
          <w:color w:val="000000"/>
          <w:szCs w:val="20"/>
        </w:rPr>
        <w:t>não obedecer às especificações técnicas pormenorizadas neste aviso ou em seus anexos</w:t>
      </w:r>
      <w:r>
        <w:rPr>
          <w:rFonts w:cs="Arial"/>
          <w:iCs/>
          <w:color w:val="000000" w:themeColor="text1"/>
          <w:szCs w:val="20"/>
        </w:rPr>
        <w:t>;</w:t>
      </w:r>
    </w:p>
    <w:p>
      <w:pPr>
        <w:pStyle w:val="ListParagraph"/>
        <w:numPr>
          <w:ilvl w:val="2"/>
          <w:numId w:val="9"/>
        </w:numPr>
        <w:spacing w:lineRule="auto" w:line="276" w:before="120" w:after="120"/>
        <w:contextualSpacing/>
        <w:jc w:val="both"/>
        <w:rPr>
          <w:rFonts w:cs="Arial"/>
          <w:color w:val="FF0000"/>
          <w:szCs w:val="20"/>
        </w:rPr>
      </w:pPr>
      <w:commentRangeStart w:id="8"/>
      <w:r>
        <w:rPr>
          <w:rFonts w:cs="Arial"/>
          <w:szCs w:val="20"/>
        </w:rPr>
        <w:t>apresentar preços inexequíveis</w:t>
      </w:r>
      <w:r>
        <w:rPr>
          <w:rFonts w:cs="Arial"/>
          <w:color w:val="FF0000"/>
          <w:szCs w:val="20"/>
        </w:rPr>
        <w:t xml:space="preserve"> </w:t>
      </w:r>
      <w:r>
        <w:rPr>
          <w:rFonts w:cs="Arial"/>
          <w:color w:val="000000"/>
          <w:szCs w:val="20"/>
        </w:rPr>
        <w:t>ou permanecerem acima do preço máximo definido para a contratação;</w:t>
      </w:r>
      <w:commentRangeEnd w:id="8"/>
      <w:r>
        <w:commentReference w:id="8"/>
      </w:r>
      <w:r>
        <w:rPr>
          <w:rFonts w:cs="Arial"/>
          <w:color w:val="000000"/>
          <w:szCs w:val="20"/>
        </w:rPr>
      </w:r>
    </w:p>
    <w:p>
      <w:pPr>
        <w:pStyle w:val="ListParagraph"/>
        <w:numPr>
          <w:ilvl w:val="2"/>
          <w:numId w:val="9"/>
        </w:numPr>
        <w:spacing w:lineRule="auto" w:line="276" w:before="120" w:after="120"/>
        <w:contextualSpacing/>
        <w:jc w:val="both"/>
        <w:rPr>
          <w:rFonts w:cs="Arial"/>
          <w:i/>
          <w:i/>
          <w:color w:val="000000" w:themeColor="text1"/>
          <w:szCs w:val="20"/>
        </w:rPr>
      </w:pPr>
      <w:r>
        <w:rPr>
          <w:rFonts w:cs="Arial"/>
          <w:color w:val="000000"/>
          <w:szCs w:val="20"/>
        </w:rPr>
        <w:t>não tiver sua exequibilidade demonstrada, quando exigido pela Administração</w:t>
      </w:r>
      <w:r>
        <w:rPr>
          <w:rFonts w:cs="Arial"/>
          <w:iCs/>
          <w:color w:val="000000" w:themeColor="text1"/>
          <w:szCs w:val="20"/>
        </w:rPr>
        <w:t>;</w:t>
      </w:r>
    </w:p>
    <w:p>
      <w:pPr>
        <w:pStyle w:val="ListParagraph"/>
        <w:numPr>
          <w:ilvl w:val="2"/>
          <w:numId w:val="9"/>
        </w:numPr>
        <w:spacing w:lineRule="auto" w:line="276" w:before="120" w:after="120"/>
        <w:contextualSpacing/>
        <w:jc w:val="both"/>
        <w:rPr>
          <w:rFonts w:cs="Arial"/>
          <w:i/>
          <w:i/>
          <w:color w:val="000000" w:themeColor="text1"/>
          <w:szCs w:val="20"/>
        </w:rPr>
      </w:pPr>
      <w:r>
        <w:rPr>
          <w:rFonts w:cs="Arial"/>
          <w:color w:val="000000"/>
          <w:szCs w:val="20"/>
        </w:rPr>
        <w:t>apresentar desconformidade com quaisquer outras exigências deste aviso ou seus anexos, desde que insanável.</w:t>
      </w:r>
    </w:p>
    <w:p>
      <w:pPr>
        <w:pStyle w:val="ListParagraph"/>
        <w:numPr>
          <w:ilvl w:val="1"/>
          <w:numId w:val="9"/>
        </w:numPr>
        <w:spacing w:lineRule="auto" w:line="276" w:before="120" w:after="120"/>
        <w:contextualSpacing/>
        <w:jc w:val="both"/>
        <w:rPr>
          <w:rFonts w:cs="Arial"/>
          <w:i/>
          <w:i/>
          <w:color w:val="000000" w:themeColor="text1"/>
          <w:szCs w:val="20"/>
        </w:rPr>
      </w:pPr>
      <w:r>
        <w:rPr>
          <w:rFonts w:cs="Arial"/>
          <w:color w:val="000000" w:themeColor="text1"/>
          <w:szCs w:val="20"/>
          <w:lang w:eastAsia="en-US"/>
        </w:rPr>
        <w:t>Quando</w:t>
      </w:r>
      <w:r>
        <w:rPr>
          <w:rFonts w:cs="Arial"/>
          <w:szCs w:val="20"/>
        </w:rPr>
        <w:t xml:space="preserve"> o fornecedor não conseguir comprovar que possui ou possuirá recursos suficientes para executar a contento o objeto, será considerada inexequível a proposta de preços ou menor lance que:</w:t>
      </w:r>
    </w:p>
    <w:p>
      <w:pPr>
        <w:pStyle w:val="ListParagraph"/>
        <w:numPr>
          <w:ilvl w:val="2"/>
          <w:numId w:val="9"/>
        </w:numPr>
        <w:spacing w:lineRule="auto" w:line="276" w:before="120" w:after="120"/>
        <w:contextualSpacing/>
        <w:jc w:val="both"/>
        <w:rPr>
          <w:rFonts w:cs="Arial"/>
          <w:i/>
          <w:i/>
          <w:color w:val="000000" w:themeColor="text1"/>
          <w:szCs w:val="20"/>
        </w:rPr>
      </w:pPr>
      <w:r>
        <w:rPr>
          <w:rFonts w:cs="Arial"/>
          <w:szCs w:val="20"/>
        </w:rPr>
        <w:t>for insuficiente para a cobertura dos custos da contratação, apresente preços global ou unitários simbólicos, irrisórios ou de valor zero, incompatíveis com os preços dos insumos e salários de mercado, acrescidos dos respectivos encargos, ainda que o ato convocatório da dispensa não tenha estabelecido limites mínimos, exceto quando se referirem a materiais e instalações de propriedade do próprio fornecedor, para os quais ele renuncie a parcela ou à totalidade da remuneração.</w:t>
      </w:r>
    </w:p>
    <w:p>
      <w:pPr>
        <w:pStyle w:val="ListParagraph"/>
        <w:numPr>
          <w:ilvl w:val="2"/>
          <w:numId w:val="9"/>
        </w:numPr>
        <w:spacing w:lineRule="auto" w:line="276" w:before="120" w:after="120"/>
        <w:contextualSpacing/>
        <w:jc w:val="both"/>
        <w:rPr>
          <w:rFonts w:cs="Arial"/>
          <w:color w:val="000000" w:themeColor="text1"/>
          <w:szCs w:val="20"/>
        </w:rPr>
      </w:pPr>
      <w:r>
        <w:rPr>
          <w:rFonts w:cs="Arial"/>
          <w:szCs w:val="20"/>
        </w:rPr>
        <w:t>apresentar um ou mais valores da planilha de custo que sejam inferiores àqueles fixados em instrumentos de caráter normativo obrigatório, tais como leis, medidas provisórias e convenções coletivas de trabalho vigentes.</w:t>
      </w:r>
    </w:p>
    <w:p>
      <w:pPr>
        <w:pStyle w:val="ListParagraph"/>
        <w:numPr>
          <w:ilvl w:val="1"/>
          <w:numId w:val="9"/>
        </w:numPr>
        <w:spacing w:lineRule="auto" w:line="276" w:before="120" w:after="120"/>
        <w:ind w:left="858" w:right="-15" w:hanging="432"/>
        <w:contextualSpacing/>
        <w:jc w:val="both"/>
        <w:rPr>
          <w:rFonts w:cs="Arial"/>
          <w:color w:val="000000" w:themeColor="text1"/>
          <w:szCs w:val="20"/>
          <w:lang w:eastAsia="en-US"/>
        </w:rPr>
      </w:pPr>
      <w:r>
        <w:rPr>
          <w:rFonts w:cs="Arial"/>
          <w:color w:val="000000" w:themeColor="text1"/>
          <w:szCs w:val="20"/>
          <w:lang w:eastAsia="en-US"/>
        </w:rPr>
        <w:t xml:space="preserve">Se houver indícios de inexequibilidade da proposta de preço, ou em caso da necessidade de esclarecimentos </w:t>
      </w:r>
      <w:r>
        <w:rPr>
          <w:rFonts w:cs="Arial"/>
          <w:szCs w:val="20"/>
        </w:rPr>
        <w:t>complementares</w:t>
      </w:r>
      <w:r>
        <w:rPr>
          <w:rFonts w:cs="Arial"/>
          <w:color w:val="000000" w:themeColor="text1"/>
          <w:szCs w:val="20"/>
          <w:lang w:eastAsia="en-US"/>
        </w:rPr>
        <w:t xml:space="preserve">, poderão ser efetuadas diligências, para que o fornecedor comprove a exequibilidade da proposta.  </w:t>
      </w:r>
    </w:p>
    <w:p>
      <w:pPr>
        <w:pStyle w:val="ListParagraph"/>
        <w:numPr>
          <w:ilvl w:val="1"/>
          <w:numId w:val="9"/>
        </w:numPr>
        <w:spacing w:lineRule="auto" w:line="276" w:before="120" w:after="120"/>
        <w:contextualSpacing/>
        <w:jc w:val="both"/>
        <w:rPr>
          <w:rFonts w:cs="Arial"/>
          <w:color w:val="000000" w:themeColor="text1"/>
          <w:szCs w:val="20"/>
          <w:lang w:eastAsia="en-US"/>
        </w:rPr>
      </w:pPr>
      <w:r>
        <w:rPr>
          <w:rFonts w:cs="Arial"/>
          <w:color w:val="000000" w:themeColor="text1"/>
          <w:szCs w:val="20"/>
          <w:lang w:eastAsia="en-US"/>
        </w:rPr>
        <w:t xml:space="preserve">Erros no preenchimento da planilha não constituem motivo para a desclassificação da proposta. A planilha </w:t>
      </w:r>
      <w:r>
        <w:rPr>
          <w:rFonts w:cs="Arial"/>
          <w:szCs w:val="20"/>
        </w:rPr>
        <w:t>poderá</w:t>
      </w:r>
      <w:r>
        <w:rPr>
          <w:rFonts w:cs="Arial"/>
          <w:color w:val="000000" w:themeColor="text1"/>
          <w:szCs w:val="20"/>
          <w:lang w:eastAsia="en-US"/>
        </w:rPr>
        <w:t xml:space="preserve"> ser ajustada pelo fornecedor, no prazo indicado pelo sistema, desde que não haja majoração do preço.</w:t>
      </w:r>
    </w:p>
    <w:p>
      <w:pPr>
        <w:pStyle w:val="ListParagraph"/>
        <w:numPr>
          <w:ilvl w:val="2"/>
          <w:numId w:val="9"/>
        </w:numPr>
        <w:spacing w:lineRule="auto" w:line="276" w:before="120" w:after="120"/>
        <w:contextualSpacing/>
        <w:jc w:val="both"/>
        <w:rPr>
          <w:rFonts w:cs="Arial"/>
          <w:color w:val="000000" w:themeColor="text1"/>
          <w:szCs w:val="20"/>
          <w:lang w:eastAsia="en-US"/>
        </w:rPr>
      </w:pPr>
      <w:r>
        <w:rPr>
          <w:rFonts w:cs="Arial"/>
          <w:color w:val="000000" w:themeColor="text1"/>
          <w:szCs w:val="20"/>
          <w:lang w:eastAsia="en-US"/>
        </w:rPr>
        <w:t>O ajuste de que trata este dispositivo se limita a sanar erros ou falhas que não alterem a substância das propostas;</w:t>
      </w:r>
    </w:p>
    <w:p>
      <w:pPr>
        <w:pStyle w:val="ListParagraph"/>
        <w:numPr>
          <w:ilvl w:val="2"/>
          <w:numId w:val="9"/>
        </w:numPr>
        <w:spacing w:lineRule="auto" w:line="276" w:before="120" w:after="120"/>
        <w:contextualSpacing/>
        <w:jc w:val="both"/>
        <w:rPr>
          <w:rFonts w:cs="Arial"/>
          <w:color w:val="000000" w:themeColor="text1"/>
          <w:szCs w:val="20"/>
          <w:lang w:eastAsia="en-US"/>
        </w:rPr>
      </w:pPr>
      <w:r>
        <w:rPr>
          <w:rFonts w:cs="Arial"/>
          <w:color w:val="000000" w:themeColor="text1"/>
          <w:szCs w:val="20"/>
          <w:lang w:eastAsia="en-US"/>
        </w:rPr>
        <w:t>Considera-se erro no preenchimento da planilha passível de correção a indicação de recolhimento de impostos e contribuições na forma do Simples Nacional, quando não cabível esse regime.</w:t>
      </w:r>
    </w:p>
    <w:p>
      <w:pPr>
        <w:pStyle w:val="ListParagraph"/>
        <w:numPr>
          <w:ilvl w:val="1"/>
          <w:numId w:val="9"/>
        </w:numPr>
        <w:spacing w:lineRule="auto" w:line="276" w:before="120" w:after="120"/>
        <w:contextualSpacing/>
        <w:jc w:val="both"/>
        <w:rPr>
          <w:rFonts w:cs="Arial"/>
          <w:color w:val="000000" w:themeColor="text1"/>
          <w:szCs w:val="20"/>
          <w:lang w:eastAsia="en-US"/>
        </w:rPr>
      </w:pPr>
      <w:r>
        <w:rPr>
          <w:rFonts w:cs="Arial"/>
          <w:color w:val="000000" w:themeColor="text1"/>
          <w:szCs w:val="20"/>
          <w:lang w:eastAsia="en-US"/>
        </w:rPr>
        <w:t>Para fins de análise da proposta quanto ao cumprimento das especificações do objeto, poderá ser colhida a manifestação escrita do setor requisitante do serviço ou da área especializada no objeto.</w:t>
      </w:r>
    </w:p>
    <w:p>
      <w:pPr>
        <w:pStyle w:val="ListParagraph"/>
        <w:numPr>
          <w:ilvl w:val="1"/>
          <w:numId w:val="9"/>
        </w:numPr>
        <w:spacing w:lineRule="auto" w:line="276" w:before="120" w:after="120"/>
        <w:contextualSpacing/>
        <w:jc w:val="both"/>
        <w:rPr>
          <w:rFonts w:cs="Arial"/>
          <w:color w:val="000000" w:themeColor="text1"/>
          <w:szCs w:val="20"/>
          <w:lang w:eastAsia="en-US"/>
        </w:rPr>
      </w:pPr>
      <w:r>
        <w:rPr>
          <w:rFonts w:cs="Arial"/>
          <w:color w:val="000000" w:themeColor="text1"/>
          <w:szCs w:val="20"/>
          <w:lang w:eastAsia="en-US"/>
        </w:rPr>
        <w:t>Se a proposta ou lance vencedor for desclassificado, será examinada a proposta ou lance subsequente, e, assim sucessivamente, na ordem de classificação.</w:t>
      </w:r>
    </w:p>
    <w:p>
      <w:pPr>
        <w:pStyle w:val="ListParagraph"/>
        <w:numPr>
          <w:ilvl w:val="1"/>
          <w:numId w:val="9"/>
        </w:numPr>
        <w:spacing w:lineRule="auto" w:line="276" w:before="120" w:after="120"/>
        <w:contextualSpacing/>
        <w:jc w:val="both"/>
        <w:rPr>
          <w:rFonts w:cs="Arial"/>
          <w:color w:val="000000" w:themeColor="text1"/>
          <w:szCs w:val="20"/>
          <w:lang w:eastAsia="en-US"/>
        </w:rPr>
      </w:pPr>
      <w:r>
        <w:rPr>
          <w:rFonts w:cs="Arial"/>
          <w:color w:val="000000" w:themeColor="text1"/>
          <w:szCs w:val="20"/>
          <w:lang w:eastAsia="en-US"/>
        </w:rPr>
        <w:t>Havendo necessidade, a sessão será suspensa, informando-se no “chat” a nova data e horário para a sua continuidade.</w:t>
      </w:r>
    </w:p>
    <w:p>
      <w:pPr>
        <w:pStyle w:val="ListParagraph"/>
        <w:numPr>
          <w:ilvl w:val="1"/>
          <w:numId w:val="9"/>
        </w:numPr>
        <w:spacing w:lineRule="auto" w:line="276" w:before="120" w:after="120"/>
        <w:contextualSpacing/>
        <w:jc w:val="both"/>
        <w:rPr>
          <w:rFonts w:cs="Arial"/>
          <w:color w:val="000000" w:themeColor="text1"/>
          <w:szCs w:val="20"/>
          <w:lang w:eastAsia="en-US"/>
        </w:rPr>
      </w:pPr>
      <w:r>
        <w:rPr>
          <w:rFonts w:cs="Arial"/>
          <w:color w:val="000000" w:themeColor="text1"/>
          <w:szCs w:val="20"/>
          <w:lang w:eastAsia="en-US"/>
        </w:rPr>
        <w:t>Encerrada a análise quanto à aceitação da proposta, será iniciada a fase de habilitação, observado o disposto neste Aviso de Contratação Direta. </w:t>
      </w:r>
    </w:p>
    <w:p>
      <w:pPr>
        <w:pStyle w:val="Ttulo1"/>
        <w:rPr/>
      </w:pPr>
      <w:bookmarkStart w:id="5" w:name="_Toc118380904"/>
      <w:r>
        <w:rPr/>
        <w:t>HABILITAÇÃO</w:t>
      </w:r>
      <w:bookmarkEnd w:id="5"/>
    </w:p>
    <w:p>
      <w:pPr>
        <w:pStyle w:val="Normal"/>
        <w:numPr>
          <w:ilvl w:val="1"/>
          <w:numId w:val="9"/>
        </w:numPr>
        <w:spacing w:lineRule="auto" w:line="276" w:before="120" w:after="120"/>
        <w:contextualSpacing/>
        <w:jc w:val="both"/>
        <w:rPr>
          <w:rFonts w:cs="Arial"/>
          <w:b/>
          <w:b/>
          <w:szCs w:val="20"/>
          <w:lang w:eastAsia="ar-SA"/>
        </w:rPr>
      </w:pPr>
      <w:r>
        <w:rPr>
          <w:rFonts w:cs="Arial"/>
          <w:szCs w:val="20"/>
          <w:lang w:eastAsia="ar-SA"/>
        </w:rPr>
        <w:t xml:space="preserve">Os </w:t>
      </w:r>
      <w:r>
        <w:rPr>
          <w:rFonts w:cs="Arial"/>
          <w:color w:val="000000"/>
          <w:szCs w:val="20"/>
        </w:rPr>
        <w:t>documentos</w:t>
      </w:r>
      <w:r>
        <w:rPr>
          <w:rFonts w:cs="Arial"/>
          <w:szCs w:val="20"/>
          <w:lang w:eastAsia="ar-SA"/>
        </w:rPr>
        <w:t xml:space="preserve"> a serem exigidos para fins de habilitação constam do </w:t>
      </w:r>
      <w:r>
        <w:rPr>
          <w:rFonts w:cs="Arial"/>
          <w:b/>
          <w:szCs w:val="20"/>
          <w:lang w:eastAsia="ar-SA"/>
        </w:rPr>
        <w:t xml:space="preserve">ANEXO I – DOCUMENTAÇÃO EXIGIDA PARA HABILITAÇÃO </w:t>
      </w:r>
      <w:r>
        <w:rPr>
          <w:rFonts w:cs="Arial"/>
          <w:szCs w:val="20"/>
          <w:lang w:eastAsia="ar-SA"/>
        </w:rPr>
        <w:t>deste aviso e serão solicitados do fornecedor mais bem classificado na fase de lances.</w:t>
      </w:r>
    </w:p>
    <w:p>
      <w:pPr>
        <w:pStyle w:val="Normal"/>
        <w:numPr>
          <w:ilvl w:val="1"/>
          <w:numId w:val="9"/>
        </w:numPr>
        <w:spacing w:lineRule="auto" w:line="276" w:before="120" w:after="120"/>
        <w:contextualSpacing/>
        <w:jc w:val="both"/>
        <w:rPr>
          <w:rFonts w:cs="Arial"/>
          <w:b/>
          <w:b/>
          <w:szCs w:val="20"/>
          <w:lang w:eastAsia="ar-SA"/>
        </w:rPr>
      </w:pPr>
      <w:r>
        <w:rPr>
          <w:rFonts w:cs="Arial"/>
          <w:szCs w:val="20"/>
          <w:lang w:eastAsia="ar-SA"/>
        </w:rPr>
        <w:t xml:space="preserve">Como </w:t>
      </w:r>
      <w:r>
        <w:rPr>
          <w:rFonts w:cs="Arial"/>
          <w:color w:val="000000"/>
          <w:szCs w:val="20"/>
        </w:rPr>
        <w:t>condição</w:t>
      </w:r>
      <w:r>
        <w:rPr>
          <w:rFonts w:cs="Arial"/>
          <w:szCs w:val="20"/>
          <w:lang w:eastAsia="ar-SA"/>
        </w:rPr>
        <w:t xml:space="preserve"> prévia ao exame da documentação de habilitação do fornecedor detentor da proposta classificada em primeiro lugar, será verificado o eventual descumprimento das condições de participação, especialmente quanto à existência de sanção que impeça a participação no processo de contratação direta ou a futura contratação, mediante a consulta aos seguintes cadastros:  </w:t>
      </w:r>
    </w:p>
    <w:p>
      <w:pPr>
        <w:pStyle w:val="ListParagraph"/>
        <w:spacing w:lineRule="auto" w:line="276" w:before="120" w:after="120"/>
        <w:ind w:left="1134" w:hanging="0"/>
        <w:contextualSpacing/>
        <w:jc w:val="both"/>
        <w:rPr/>
      </w:pPr>
      <w:commentRangeStart w:id="9"/>
      <w:r>
        <w:rPr>
          <w:rFonts w:cs="Arial"/>
          <w:color w:val="000000"/>
          <w:szCs w:val="20"/>
          <w:u w:val="none"/>
          <w:lang w:eastAsia="ar-SA"/>
        </w:rPr>
        <w:t xml:space="preserve">a) </w:t>
      </w:r>
      <w:hyperlink r:id="rId9">
        <w:r>
          <w:rPr>
            <w:rStyle w:val="LinkdaInternet"/>
            <w:rFonts w:cs="Arial"/>
            <w:color w:val="000000"/>
            <w:szCs w:val="20"/>
            <w:u w:val="none"/>
            <w:lang w:eastAsia="ar-SA"/>
          </w:rPr>
          <w:t>SICAF</w:t>
        </w:r>
      </w:hyperlink>
      <w:r>
        <w:rPr>
          <w:rFonts w:cs="Arial"/>
          <w:color w:val="000000"/>
          <w:szCs w:val="20"/>
          <w:u w:val="none"/>
          <w:lang w:eastAsia="ar-SA"/>
        </w:rPr>
        <w:t>;</w:t>
      </w:r>
    </w:p>
    <w:p>
      <w:pPr>
        <w:pStyle w:val="ListParagraph"/>
        <w:spacing w:lineRule="auto" w:line="276" w:before="120" w:after="120"/>
        <w:ind w:left="1134" w:hanging="0"/>
        <w:contextualSpacing/>
        <w:jc w:val="both"/>
        <w:rPr>
          <w:rFonts w:cs="Arial"/>
          <w:szCs w:val="20"/>
          <w:lang w:eastAsia="ar-SA"/>
        </w:rPr>
      </w:pPr>
      <w:r>
        <w:rPr>
          <w:rFonts w:cs="Arial"/>
          <w:szCs w:val="20"/>
          <w:lang w:eastAsia="ar-SA"/>
        </w:rPr>
        <w:t xml:space="preserve">b) Cadastro Nacional de Empresas Inidôneas e Suspensas - CEIS, mantido pela Controladoria-Geral da União </w:t>
      </w:r>
    </w:p>
    <w:p>
      <w:pPr>
        <w:pStyle w:val="ListParagraph"/>
        <w:spacing w:lineRule="auto" w:line="276" w:before="120" w:after="120"/>
        <w:ind w:left="1134" w:hanging="0"/>
        <w:contextualSpacing/>
        <w:jc w:val="both"/>
        <w:rPr>
          <w:rFonts w:cs="Arial"/>
          <w:szCs w:val="20"/>
          <w:lang w:eastAsia="ar-SA"/>
        </w:rPr>
      </w:pPr>
      <w:r>
        <w:rPr>
          <w:rFonts w:cs="Arial"/>
          <w:szCs w:val="20"/>
          <w:lang w:eastAsia="ar-SA"/>
        </w:rPr>
        <w:t>(</w:t>
      </w:r>
      <w:hyperlink r:id="rId10">
        <w:r>
          <w:rPr>
            <w:rStyle w:val="LinkdaInternet"/>
          </w:rPr>
          <w:t>https://portaldatransparencia.gov.br/sancoes/consulta?cadastro=1%2C2</w:t>
        </w:r>
      </w:hyperlink>
      <w:r>
        <w:rPr>
          <w:rFonts w:cs="Arial"/>
          <w:szCs w:val="20"/>
          <w:lang w:eastAsia="ar-SA"/>
        </w:rPr>
        <w:t>); e</w:t>
      </w:r>
    </w:p>
    <w:p>
      <w:pPr>
        <w:pStyle w:val="ListParagraph"/>
        <w:spacing w:lineRule="auto" w:line="276" w:before="120" w:after="120"/>
        <w:ind w:left="1134" w:hanging="0"/>
        <w:contextualSpacing/>
        <w:jc w:val="both"/>
        <w:rPr>
          <w:rFonts w:cs="Arial"/>
          <w:szCs w:val="20"/>
          <w:lang w:eastAsia="ar-SA"/>
        </w:rPr>
      </w:pPr>
      <w:r>
        <w:rPr>
          <w:rFonts w:cs="Arial"/>
          <w:szCs w:val="20"/>
          <w:lang w:eastAsia="ar-SA"/>
        </w:rPr>
        <w:t xml:space="preserve">c) Cadastro Nacional de Empresas Punidas – CNEP, mantido pela Controladoria-Geral da União </w:t>
      </w:r>
    </w:p>
    <w:p>
      <w:pPr>
        <w:pStyle w:val="ListParagraph"/>
        <w:spacing w:lineRule="auto" w:line="276" w:before="120" w:after="120"/>
        <w:ind w:left="1134" w:hanging="0"/>
        <w:contextualSpacing/>
        <w:jc w:val="both"/>
        <w:rPr>
          <w:rFonts w:cs="Arial"/>
          <w:szCs w:val="20"/>
        </w:rPr>
      </w:pPr>
      <w:r>
        <w:rPr>
          <w:rFonts w:cs="Arial"/>
          <w:szCs w:val="20"/>
          <w:lang w:eastAsia="ar-SA"/>
        </w:rPr>
        <w:t>(</w:t>
      </w:r>
      <w:hyperlink r:id="rId11">
        <w:r>
          <w:rPr>
            <w:rStyle w:val="LinkdaInternet"/>
          </w:rPr>
          <w:t>https://portaldatransparencia.gov.br/sancoes/consulta?cadastro=1%2C2</w:t>
        </w:r>
      </w:hyperlink>
      <w:r>
        <w:rPr>
          <w:rFonts w:cs="Arial"/>
          <w:szCs w:val="20"/>
          <w:lang w:eastAsia="ar-SA"/>
        </w:rPr>
        <w:t>).</w:t>
      </w:r>
      <w:commentRangeEnd w:id="9"/>
      <w:r>
        <w:commentReference w:id="9"/>
      </w:r>
      <w:r>
        <w:rPr>
          <w:rFonts w:cs="Arial"/>
          <w:szCs w:val="20"/>
          <w:lang w:eastAsia="ar-SA"/>
        </w:rPr>
      </w:r>
    </w:p>
    <w:p>
      <w:pPr>
        <w:pStyle w:val="Normal"/>
        <w:numPr>
          <w:ilvl w:val="2"/>
          <w:numId w:val="9"/>
        </w:numPr>
        <w:spacing w:lineRule="auto" w:line="276" w:before="120" w:after="120"/>
        <w:contextualSpacing/>
        <w:jc w:val="both"/>
        <w:rPr>
          <w:rFonts w:cs="Arial"/>
          <w:szCs w:val="20"/>
        </w:rPr>
      </w:pPr>
      <w:r>
        <w:rPr>
          <w:rFonts w:cs="Arial"/>
          <w:color w:val="000000" w:themeColor="text1"/>
          <w:szCs w:val="20"/>
        </w:rPr>
        <w:t xml:space="preserve">A consulta aos </w:t>
      </w:r>
      <w:r>
        <w:rPr>
          <w:rFonts w:cs="Arial"/>
          <w:szCs w:val="20"/>
          <w:lang w:eastAsia="ar-SA"/>
        </w:rPr>
        <w:t>cadastros</w:t>
      </w:r>
      <w:r>
        <w:rPr>
          <w:rFonts w:cs="Arial"/>
          <w:color w:val="000000" w:themeColor="text1"/>
          <w:szCs w:val="20"/>
        </w:rPr>
        <w:t xml:space="preserve"> será realizada em nome da empresa fornecedora e de seu sócio majoritário, por força do </w:t>
      </w:r>
      <w:r>
        <w:fldChar w:fldCharType="begin"/>
      </w:r>
      <w:r>
        <w:rPr>
          <w:rStyle w:val="LinkdaInternet"/>
          <w:szCs w:val="20"/>
          <w:rFonts w:cs="Arial"/>
        </w:rPr>
        <w:instrText> HYPERLINK "https://www.planalto.gov.br/ccivil_03/leis/l8429.htm" \l "art12"</w:instrText>
      </w:r>
      <w:r>
        <w:rPr>
          <w:rStyle w:val="LinkdaInternet"/>
          <w:szCs w:val="20"/>
          <w:rFonts w:cs="Arial"/>
        </w:rPr>
        <w:fldChar w:fldCharType="separate"/>
      </w:r>
      <w:r>
        <w:rPr>
          <w:rStyle w:val="LinkdaInternet"/>
          <w:rFonts w:cs="Arial"/>
          <w:szCs w:val="20"/>
        </w:rPr>
        <w:t>artigo 12 da Lei n° 8.429, de 2 de junho de 1992</w:t>
      </w:r>
      <w:r>
        <w:rPr>
          <w:rStyle w:val="LinkdaInternet"/>
          <w:szCs w:val="20"/>
          <w:rFonts w:cs="Arial"/>
        </w:rPr>
        <w:fldChar w:fldCharType="end"/>
      </w:r>
      <w:r>
        <w:rPr>
          <w:rFonts w:cs="Arial"/>
          <w:color w:val="000000" w:themeColor="text1"/>
          <w:szCs w:val="20"/>
        </w:rPr>
        <w:t>, que prevê, dentre as sanções impostas ao responsável pela prática de ato de improbidade administrativa, a proibição de contratar com o Poder Público, inclusive por intermédio de pessoa jurídica da qual seja sócio majoritário.</w:t>
      </w:r>
    </w:p>
    <w:p>
      <w:pPr>
        <w:pStyle w:val="Normal"/>
        <w:numPr>
          <w:ilvl w:val="3"/>
          <w:numId w:val="9"/>
        </w:numPr>
        <w:spacing w:lineRule="auto" w:line="276" w:before="120" w:after="120"/>
        <w:contextualSpacing/>
        <w:jc w:val="both"/>
        <w:rPr>
          <w:rFonts w:cs="Arial"/>
          <w:szCs w:val="20"/>
        </w:rPr>
      </w:pPr>
      <w:r>
        <w:rPr>
          <w:rFonts w:cs="Arial"/>
          <w:color w:val="000000" w:themeColor="text1"/>
          <w:szCs w:val="20"/>
        </w:rPr>
        <w:t>Caso conste na Consulta de Situação do Fornecedor a existência de Ocorrências Impeditivas Indiretas, o gestor diligenciará para verificar se houve fraude por parte das empresas apontadas no respectivo Relatório.</w:t>
      </w:r>
    </w:p>
    <w:p>
      <w:pPr>
        <w:pStyle w:val="Normal"/>
        <w:numPr>
          <w:ilvl w:val="4"/>
          <w:numId w:val="9"/>
        </w:numPr>
        <w:spacing w:lineRule="auto" w:line="276" w:before="120" w:after="120"/>
        <w:contextualSpacing/>
        <w:jc w:val="both"/>
        <w:rPr>
          <w:rFonts w:cs="Arial"/>
          <w:color w:val="000000" w:themeColor="text1"/>
          <w:szCs w:val="20"/>
        </w:rPr>
      </w:pPr>
      <w:r>
        <w:rPr>
          <w:rFonts w:cs="Arial"/>
          <w:color w:val="000000" w:themeColor="text1"/>
          <w:szCs w:val="20"/>
        </w:rPr>
        <w:t>A tentativa de burla será verificada por meio dos vínculos societários, linhas de fornecimento similares, dentre outros.</w:t>
      </w:r>
    </w:p>
    <w:p>
      <w:pPr>
        <w:pStyle w:val="Normal"/>
        <w:numPr>
          <w:ilvl w:val="4"/>
          <w:numId w:val="9"/>
        </w:numPr>
        <w:spacing w:lineRule="auto" w:line="276" w:before="120" w:after="120"/>
        <w:contextualSpacing/>
        <w:jc w:val="both"/>
        <w:rPr>
          <w:rFonts w:cs="Arial"/>
          <w:szCs w:val="20"/>
        </w:rPr>
      </w:pPr>
      <w:r>
        <w:rPr>
          <w:rFonts w:cs="Arial"/>
          <w:color w:val="000000" w:themeColor="text1"/>
          <w:szCs w:val="20"/>
        </w:rPr>
        <w:t>O fornecedor será convocado para manifestação previamente à sua desclassificação</w:t>
      </w:r>
    </w:p>
    <w:p>
      <w:pPr>
        <w:pStyle w:val="Normal"/>
        <w:numPr>
          <w:ilvl w:val="2"/>
          <w:numId w:val="9"/>
        </w:numPr>
        <w:spacing w:lineRule="auto" w:line="276" w:before="120" w:after="120"/>
        <w:contextualSpacing/>
        <w:jc w:val="both"/>
        <w:rPr>
          <w:rFonts w:cs="Arial"/>
          <w:szCs w:val="20"/>
        </w:rPr>
      </w:pPr>
      <w:r>
        <w:rPr>
          <w:rFonts w:cs="Arial"/>
          <w:color w:val="000000" w:themeColor="text1"/>
          <w:szCs w:val="20"/>
        </w:rPr>
        <w:t>Constatada a existência de sanção, o fornecedor será considerado inabilitado, por falta de condição de participação.</w:t>
      </w:r>
    </w:p>
    <w:p>
      <w:pPr>
        <w:pStyle w:val="Normal"/>
        <w:numPr>
          <w:ilvl w:val="1"/>
          <w:numId w:val="9"/>
        </w:numPr>
        <w:spacing w:lineRule="auto" w:line="276" w:before="120" w:after="120"/>
        <w:contextualSpacing/>
        <w:jc w:val="both"/>
        <w:rPr>
          <w:rFonts w:cs="Arial"/>
          <w:szCs w:val="20"/>
        </w:rPr>
      </w:pPr>
      <w:r>
        <w:rPr>
          <w:rFonts w:cs="Arial"/>
          <w:color w:val="000000" w:themeColor="text1"/>
          <w:szCs w:val="20"/>
        </w:rPr>
        <w:t xml:space="preserve">Caso atendidas as condições de participação, </w:t>
      </w:r>
      <w:r>
        <w:rPr>
          <w:rFonts w:cs="Arial"/>
          <w:szCs w:val="20"/>
        </w:rPr>
        <w:t>a habilitação dos fornecedores será verificada por meio do SICAF, nos documentos por ele abrangidos</w:t>
      </w:r>
      <w:r>
        <w:rPr>
          <w:rFonts w:cs="Arial"/>
          <w:color w:val="000000" w:themeColor="text1"/>
          <w:szCs w:val="20"/>
        </w:rPr>
        <w:t>.</w:t>
      </w:r>
    </w:p>
    <w:p>
      <w:pPr>
        <w:pStyle w:val="Normal"/>
        <w:numPr>
          <w:ilvl w:val="2"/>
          <w:numId w:val="9"/>
        </w:numPr>
        <w:spacing w:lineRule="auto" w:line="276" w:before="120" w:after="120"/>
        <w:contextualSpacing/>
        <w:jc w:val="both"/>
        <w:rPr>
          <w:rFonts w:cs="Arial"/>
          <w:color w:val="000000" w:themeColor="text1"/>
          <w:szCs w:val="20"/>
        </w:rPr>
      </w:pPr>
      <w:r>
        <w:rPr>
          <w:rFonts w:cs="Arial"/>
          <w:color w:val="000000" w:themeColor="text1"/>
          <w:szCs w:val="20"/>
        </w:rPr>
        <w:t>É dever do fornecedor atualizar previamente as comprovações constantes do SICAF para que estejam vigentes na data da abertura da sessão pública, ou encaminhar, quando solicitado, a respectiva documentação atualizada.</w:t>
      </w:r>
    </w:p>
    <w:p>
      <w:pPr>
        <w:pStyle w:val="Normal"/>
        <w:numPr>
          <w:ilvl w:val="2"/>
          <w:numId w:val="9"/>
        </w:numPr>
        <w:spacing w:lineRule="auto" w:line="276" w:before="120" w:after="120"/>
        <w:contextualSpacing/>
        <w:jc w:val="both"/>
        <w:rPr>
          <w:rFonts w:cs="Arial"/>
          <w:color w:val="000000" w:themeColor="text1"/>
          <w:szCs w:val="20"/>
        </w:rPr>
      </w:pPr>
      <w:r>
        <w:rPr>
          <w:rFonts w:cs="Arial"/>
          <w:color w:val="000000" w:themeColor="text1"/>
          <w:szCs w:val="20"/>
        </w:rPr>
        <w:t>O descumprimento do subitem acima implicará a inabilitação do fornecedor, exceto se a consulta aos sítios eletrônicos oficiais emissores de certidões lograr êxito em encontrar a(s) certidão(ões) válida(s).</w:t>
      </w:r>
    </w:p>
    <w:p>
      <w:pPr>
        <w:pStyle w:val="Normal"/>
        <w:numPr>
          <w:ilvl w:val="1"/>
          <w:numId w:val="9"/>
        </w:numPr>
        <w:spacing w:lineRule="auto" w:line="276" w:before="120" w:after="120"/>
        <w:contextualSpacing/>
        <w:jc w:val="both"/>
        <w:rPr>
          <w:rFonts w:cs="Arial"/>
          <w:color w:val="000000" w:themeColor="text1"/>
          <w:szCs w:val="20"/>
        </w:rPr>
      </w:pPr>
      <w:r>
        <w:rPr>
          <w:rFonts w:cs="Arial"/>
          <w:color w:val="000000" w:themeColor="text1"/>
          <w:szCs w:val="20"/>
        </w:rPr>
        <w:t>Na hipótese de necessidade de envio de documentos complementares, indispensáveis à confirmação dos já apresentados para a habilitação, ou de documentos não constantes do SICAF, o fornecedor será convocado a encaminhá-los, em formato digital, por meio do sistema, no prazo de 02 (duas) horas, sob pena de inabilitação. (</w:t>
      </w:r>
      <w:r>
        <w:fldChar w:fldCharType="begin"/>
      </w:r>
      <w:r>
        <w:rPr>
          <w:rStyle w:val="LinkdaInternet"/>
          <w:szCs w:val="20"/>
          <w:rFonts w:cs="Arial"/>
        </w:rPr>
        <w:instrText> HYPERLINK "https://www.in.gov.br/en/web/dou/-/instrucao-normativa-seges/me-n-67-de-8-de-julho-de-2021-330985107" \l "art19§3"</w:instrText>
      </w:r>
      <w:r>
        <w:rPr>
          <w:rStyle w:val="LinkdaInternet"/>
          <w:szCs w:val="20"/>
          <w:rFonts w:cs="Arial"/>
        </w:rPr>
        <w:fldChar w:fldCharType="separate"/>
      </w:r>
      <w:r>
        <w:rPr>
          <w:rStyle w:val="LinkdaInternet"/>
          <w:rFonts w:cs="Arial"/>
          <w:szCs w:val="20"/>
        </w:rPr>
        <w:t>art. 19, § 3º, da IN Seges/ME nº 67, de 2021</w:t>
      </w:r>
      <w:r>
        <w:rPr>
          <w:rStyle w:val="LinkdaInternet"/>
          <w:szCs w:val="20"/>
          <w:rFonts w:cs="Arial"/>
        </w:rPr>
        <w:fldChar w:fldCharType="end"/>
      </w:r>
      <w:r>
        <w:rPr>
          <w:rFonts w:cs="Arial"/>
          <w:color w:val="000000" w:themeColor="text1"/>
          <w:szCs w:val="20"/>
        </w:rPr>
        <w:t>).</w:t>
      </w:r>
    </w:p>
    <w:p>
      <w:pPr>
        <w:pStyle w:val="Normal"/>
        <w:numPr>
          <w:ilvl w:val="1"/>
          <w:numId w:val="9"/>
        </w:numPr>
        <w:spacing w:lineRule="auto" w:line="276" w:before="120" w:after="120"/>
        <w:contextualSpacing/>
        <w:jc w:val="both"/>
        <w:rPr>
          <w:rFonts w:cs="Arial"/>
          <w:b/>
          <w:b/>
          <w:bCs/>
          <w:szCs w:val="20"/>
        </w:rPr>
      </w:pPr>
      <w:r>
        <w:rPr>
          <w:rFonts w:cs="Arial"/>
          <w:color w:val="000000" w:themeColor="text1"/>
          <w:szCs w:val="20"/>
        </w:rPr>
        <w:t>Somente haverá a necessidade de comprovação do preenchimento de requisitos mediante apresentação dos documentos originais não-digitais quando houver dúvida em relação à integridade do documento digital.</w:t>
      </w:r>
    </w:p>
    <w:p>
      <w:pPr>
        <w:pStyle w:val="Normal"/>
        <w:numPr>
          <w:ilvl w:val="1"/>
          <w:numId w:val="9"/>
        </w:numPr>
        <w:spacing w:lineRule="auto" w:line="276" w:before="120" w:after="120"/>
        <w:contextualSpacing/>
        <w:jc w:val="both"/>
        <w:rPr>
          <w:rFonts w:cs="Arial"/>
          <w:color w:val="000000" w:themeColor="text1"/>
          <w:szCs w:val="20"/>
        </w:rPr>
      </w:pPr>
      <w:r>
        <w:rPr>
          <w:rFonts w:cs="Arial"/>
          <w:color w:val="000000" w:themeColor="text1"/>
          <w:szCs w:val="20"/>
        </w:rPr>
        <w:t>Não serão aceitos documentos de habilitação com indicação de CNPJ/CPF diferentes, salvo aqueles legalmente permitidos.</w:t>
      </w:r>
    </w:p>
    <w:p>
      <w:pPr>
        <w:pStyle w:val="Normal"/>
        <w:numPr>
          <w:ilvl w:val="1"/>
          <w:numId w:val="9"/>
        </w:numPr>
        <w:spacing w:lineRule="auto" w:line="276" w:before="120" w:after="120"/>
        <w:contextualSpacing/>
        <w:jc w:val="both"/>
        <w:rPr>
          <w:rFonts w:cs="Arial"/>
          <w:color w:val="000000" w:themeColor="text1"/>
          <w:szCs w:val="20"/>
        </w:rPr>
      </w:pPr>
      <w:r>
        <w:rPr>
          <w:rFonts w:cs="Arial"/>
          <w:color w:val="000000" w:themeColor="text1"/>
          <w:szCs w:val="20"/>
        </w:rPr>
        <w:t>Se o fornecedor for a matriz, todos os documentos deverão estar em nome da matriz, e se o fornecedor for a filial, todos os documentos deverão estar em nome da filial, exceto para atestados de capacidade técnica, e no caso daqueles documentos que, pela própria natureza, comprovadamente, forem emitidos somente em nome da matriz.</w:t>
      </w:r>
    </w:p>
    <w:p>
      <w:pPr>
        <w:pStyle w:val="Normal"/>
        <w:numPr>
          <w:ilvl w:val="1"/>
          <w:numId w:val="9"/>
        </w:numPr>
        <w:spacing w:lineRule="auto" w:line="276" w:before="120" w:after="120"/>
        <w:contextualSpacing/>
        <w:jc w:val="both"/>
        <w:rPr>
          <w:rFonts w:cs="Arial"/>
          <w:color w:val="000000" w:themeColor="text1"/>
          <w:szCs w:val="20"/>
        </w:rPr>
      </w:pPr>
      <w:r>
        <w:rPr>
          <w:rFonts w:cs="Arial"/>
          <w:color w:val="000000" w:themeColor="text1"/>
          <w:szCs w:val="20"/>
        </w:rPr>
        <w:t>Serão aceitos registros de CNPJ de licitante matriz e filial com diferenças de números de documentos pertinentes ao CND e ao CRF/FGTS, quando for comprovada a centralização do recolhimento dessas contribuições.</w:t>
      </w:r>
    </w:p>
    <w:p>
      <w:pPr>
        <w:pStyle w:val="Normal"/>
        <w:numPr>
          <w:ilvl w:val="1"/>
          <w:numId w:val="9"/>
        </w:numPr>
        <w:spacing w:lineRule="auto" w:line="276" w:before="120" w:after="120"/>
        <w:contextualSpacing/>
        <w:jc w:val="both"/>
        <w:rPr>
          <w:rFonts w:cs="Arial"/>
          <w:bCs/>
          <w:szCs w:val="20"/>
        </w:rPr>
      </w:pPr>
      <w:r>
        <w:rPr>
          <w:rFonts w:cs="Arial"/>
          <w:bCs/>
          <w:szCs w:val="20"/>
        </w:rPr>
        <w:t xml:space="preserve">Havendo </w:t>
      </w:r>
      <w:r>
        <w:rPr>
          <w:rFonts w:cs="Arial"/>
          <w:iCs/>
        </w:rPr>
        <w:t>necessidade</w:t>
      </w:r>
      <w:r>
        <w:rPr>
          <w:rFonts w:cs="Arial"/>
          <w:bCs/>
          <w:szCs w:val="20"/>
        </w:rPr>
        <w:t xml:space="preserve"> de analisar minuciosamente os documentos exigidos, a sessão será suspensa, sendo informada a nova data e horário para a sua continuidade.</w:t>
      </w:r>
    </w:p>
    <w:p>
      <w:pPr>
        <w:pStyle w:val="Normal"/>
        <w:numPr>
          <w:ilvl w:val="1"/>
          <w:numId w:val="9"/>
        </w:numPr>
        <w:spacing w:lineRule="auto" w:line="276" w:before="120" w:after="120"/>
        <w:contextualSpacing/>
        <w:jc w:val="both"/>
        <w:rPr>
          <w:rFonts w:cs="Arial"/>
          <w:color w:val="000000"/>
          <w:szCs w:val="20"/>
        </w:rPr>
      </w:pPr>
      <w:r>
        <w:rPr>
          <w:rFonts w:cs="Arial"/>
          <w:color w:val="000000"/>
          <w:szCs w:val="20"/>
        </w:rPr>
        <w:t xml:space="preserve">Será inabilitado o fornecedor que não comprovar sua habilitação, seja por não apresentar </w:t>
      </w:r>
      <w:r>
        <w:rPr>
          <w:rFonts w:cs="Arial"/>
          <w:iCs/>
        </w:rPr>
        <w:t>quaisquer</w:t>
      </w:r>
      <w:r>
        <w:rPr>
          <w:rFonts w:cs="Arial"/>
          <w:color w:val="000000"/>
          <w:szCs w:val="20"/>
        </w:rPr>
        <w:t xml:space="preserve"> dos </w:t>
      </w:r>
      <w:r>
        <w:rPr>
          <w:rFonts w:cs="Arial"/>
          <w:bCs/>
          <w:szCs w:val="20"/>
        </w:rPr>
        <w:t>documentos</w:t>
      </w:r>
      <w:r>
        <w:rPr>
          <w:rFonts w:cs="Arial"/>
          <w:color w:val="000000"/>
          <w:szCs w:val="20"/>
        </w:rPr>
        <w:t xml:space="preserve"> exigidos, ou apresentá-los em desacordo com o estabelecido neste Aviso de Contratação Direta.</w:t>
      </w:r>
    </w:p>
    <w:p>
      <w:pPr>
        <w:pStyle w:val="Normal"/>
        <w:numPr>
          <w:ilvl w:val="2"/>
          <w:numId w:val="9"/>
        </w:numPr>
        <w:spacing w:lineRule="auto" w:line="276" w:before="120" w:after="120"/>
        <w:contextualSpacing/>
        <w:jc w:val="both"/>
        <w:rPr>
          <w:rFonts w:cs="Arial"/>
          <w:color w:val="000000"/>
          <w:szCs w:val="20"/>
        </w:rPr>
      </w:pPr>
      <w:r>
        <w:rPr>
          <w:rFonts w:cs="Arial"/>
          <w:color w:val="000000"/>
          <w:szCs w:val="20"/>
        </w:rPr>
        <w:t>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pPr>
        <w:pStyle w:val="Normal"/>
        <w:numPr>
          <w:ilvl w:val="1"/>
          <w:numId w:val="9"/>
        </w:numPr>
        <w:spacing w:lineRule="auto" w:line="276" w:before="120" w:after="120"/>
        <w:contextualSpacing/>
        <w:jc w:val="both"/>
        <w:rPr>
          <w:szCs w:val="20"/>
        </w:rPr>
      </w:pPr>
      <w:r>
        <w:rPr>
          <w:rFonts w:cs="Arial"/>
          <w:iCs/>
        </w:rPr>
        <w:t>Constatado o atendimento às exigências de habilitação, o fornecedor será habilitado.</w:t>
      </w:r>
    </w:p>
    <w:p>
      <w:pPr>
        <w:pStyle w:val="Ttulo1"/>
        <w:rPr/>
      </w:pPr>
      <w:bookmarkStart w:id="6" w:name="_Toc118380905"/>
      <w:commentRangeStart w:id="10"/>
      <w:r>
        <w:rPr/>
        <w:t>CONTRATAÇÃO</w:t>
      </w:r>
      <w:bookmarkEnd w:id="6"/>
    </w:p>
    <w:p>
      <w:pPr>
        <w:pStyle w:val="Normal"/>
        <w:numPr>
          <w:ilvl w:val="1"/>
          <w:numId w:val="9"/>
        </w:numPr>
        <w:spacing w:lineRule="auto" w:line="276" w:before="120" w:after="120"/>
        <w:ind w:left="425" w:hanging="0"/>
        <w:jc w:val="both"/>
        <w:rPr>
          <w:rFonts w:eastAsia="Arial" w:cs="Arial"/>
          <w:color w:val="000000"/>
          <w:szCs w:val="20"/>
        </w:rPr>
      </w:pPr>
      <w:commentRangeStart w:id="11"/>
      <w:r>
        <w:rPr>
          <w:rFonts w:eastAsia="Arial" w:cs="Arial"/>
          <w:color w:val="000000"/>
          <w:szCs w:val="20"/>
        </w:rPr>
        <w:t>Após a homologação e adjudicação, caso se conclua pela contratação, será firmado Termo de Contrato ou emitido instrumento equivalente.</w:t>
      </w:r>
      <w:commentRangeEnd w:id="11"/>
      <w:r>
        <w:commentReference w:id="11"/>
      </w:r>
      <w:r>
        <w:rPr>
          <w:rFonts w:eastAsia="Arial" w:cs="Arial"/>
          <w:color w:val="000000"/>
          <w:szCs w:val="20"/>
        </w:rPr>
      </w:r>
    </w:p>
    <w:p>
      <w:pPr>
        <w:pStyle w:val="Normal"/>
        <w:numPr>
          <w:ilvl w:val="1"/>
          <w:numId w:val="9"/>
        </w:numPr>
        <w:spacing w:lineRule="auto" w:line="276" w:before="120" w:after="120"/>
        <w:ind w:left="425" w:hanging="0"/>
        <w:jc w:val="both"/>
        <w:rPr>
          <w:color w:val="000000"/>
        </w:rPr>
      </w:pPr>
      <w:r>
        <w:rPr>
          <w:rFonts w:eastAsia="Arial" w:cs="Arial"/>
          <w:color w:val="000000"/>
          <w:szCs w:val="20"/>
        </w:rPr>
        <w:t>O adjudicatário terá o prazo de 10 (dez)</w:t>
      </w:r>
      <w:r>
        <w:rPr>
          <w:rFonts w:eastAsia="Arial" w:cs="Arial"/>
          <w:i/>
          <w:color w:val="000000"/>
          <w:szCs w:val="20"/>
        </w:rPr>
        <w:t xml:space="preserve"> dias úteis,</w:t>
      </w:r>
      <w:r>
        <w:rPr>
          <w:rFonts w:eastAsia="Arial" w:cs="Arial"/>
          <w:color w:val="000000"/>
          <w:szCs w:val="20"/>
        </w:rPr>
        <w:t xml:space="preserve"> contados a partir da data de sua convocação, para </w:t>
      </w:r>
      <w:r>
        <w:rPr>
          <w:rFonts w:eastAsia="Arial" w:cs="Arial"/>
          <w:i/>
          <w:color w:val="000000"/>
          <w:szCs w:val="20"/>
        </w:rPr>
        <w:t xml:space="preserve">assinar o Termo de Contrato ou aceitar instrumento equivalente, conforme o caso (Nota de Empenho/Carta Contrato/Autorização), </w:t>
      </w:r>
      <w:r>
        <w:rPr>
          <w:rFonts w:eastAsia="Arial" w:cs="Arial"/>
          <w:color w:val="000000"/>
          <w:szCs w:val="20"/>
        </w:rPr>
        <w:t xml:space="preserve">sob pena de decair o direito à contratação, sem prejuízo das sanções previstas neste Aviso de Contratação Direta. </w:t>
      </w:r>
    </w:p>
    <w:p>
      <w:pPr>
        <w:pStyle w:val="Normal"/>
        <w:numPr>
          <w:ilvl w:val="2"/>
          <w:numId w:val="9"/>
        </w:numPr>
        <w:spacing w:lineRule="auto" w:line="276" w:before="120" w:after="120"/>
        <w:jc w:val="both"/>
        <w:rPr>
          <w:rFonts w:eastAsia="Arial" w:cs="Arial"/>
          <w:color w:val="000000"/>
          <w:szCs w:val="20"/>
        </w:rPr>
      </w:pPr>
      <w:r>
        <w:rPr>
          <w:rFonts w:eastAsia="Arial" w:cs="Arial"/>
          <w:color w:val="000000"/>
          <w:szCs w:val="20"/>
        </w:rPr>
        <w:t xml:space="preserve">Alternativamente à convocação para comparecer perante o órgão ou entidade para a assinatura do Termo de Contrato, a Administração poderá encaminhá-lo para assinatura, mediante correspondência postal com aviso de recebimento (AR), </w:t>
      </w:r>
      <w:r>
        <w:rPr>
          <w:rFonts w:eastAsia="Arial"/>
          <w:color w:val="000000"/>
        </w:rPr>
        <w:t>disponibilização de acesso à sistema de processo eletrônico para esse fim ou outro</w:t>
      </w:r>
      <w:r>
        <w:rPr>
          <w:rFonts w:eastAsia="Arial" w:cs="Arial"/>
          <w:color w:val="000000"/>
          <w:szCs w:val="20"/>
        </w:rPr>
        <w:t xml:space="preserve"> meio eletrônico, para que seja assinado e devolvido no prazo de 05 (cinco) dias, a contar da data de seu recebimento</w:t>
      </w:r>
      <w:r>
        <w:rPr>
          <w:rFonts w:eastAsia="Arial"/>
          <w:color w:val="000000"/>
        </w:rPr>
        <w:t xml:space="preserve"> ou da disponibilização do acesso ao sistema de processo eletrônico.</w:t>
      </w:r>
    </w:p>
    <w:p>
      <w:pPr>
        <w:pStyle w:val="Normal"/>
        <w:numPr>
          <w:ilvl w:val="2"/>
          <w:numId w:val="9"/>
        </w:numPr>
        <w:spacing w:lineRule="auto" w:line="276" w:before="120" w:after="120"/>
        <w:jc w:val="both"/>
        <w:rPr>
          <w:rFonts w:eastAsia="Arial" w:cs="Arial"/>
          <w:color w:val="000000"/>
          <w:szCs w:val="20"/>
        </w:rPr>
      </w:pPr>
      <w:r>
        <w:rPr>
          <w:rFonts w:eastAsia="Arial" w:cs="Arial"/>
          <w:color w:val="000000"/>
          <w:szCs w:val="20"/>
        </w:rPr>
        <w:t>O prazo previsto no subitem anterior poderá ser prorrogado, por igual período, por solicitação justificada do adjudicatário e aceita pela Administração.</w:t>
      </w:r>
      <w:commentRangeEnd w:id="10"/>
      <w:r>
        <w:commentReference w:id="10"/>
      </w:r>
      <w:r>
        <w:rPr>
          <w:rFonts w:eastAsia="Arial" w:cs="Arial"/>
          <w:color w:val="000000"/>
          <w:szCs w:val="20"/>
        </w:rPr>
      </w:r>
    </w:p>
    <w:p>
      <w:pPr>
        <w:pStyle w:val="Normal"/>
        <w:numPr>
          <w:ilvl w:val="1"/>
          <w:numId w:val="9"/>
        </w:numPr>
        <w:spacing w:lineRule="auto" w:line="276" w:before="120" w:after="120"/>
        <w:ind w:left="425" w:hanging="0"/>
        <w:jc w:val="both"/>
        <w:rPr>
          <w:i w:val="false"/>
          <w:i w:val="false"/>
          <w:iCs w:val="false"/>
          <w:color w:val="000000"/>
        </w:rPr>
      </w:pPr>
      <w:commentRangeStart w:id="12"/>
      <w:r>
        <w:rPr>
          <w:rFonts w:eastAsia="Arial" w:cs="Arial"/>
          <w:i w:val="false"/>
          <w:iCs w:val="false"/>
          <w:color w:val="000000"/>
          <w:szCs w:val="20"/>
        </w:rPr>
        <w:t>O Aceite da Nota de Empenho ou do instrumento equivalente, emitida ao fornecedor adjudicado, implica o reconhecimento de que:</w:t>
      </w:r>
    </w:p>
    <w:p>
      <w:pPr>
        <w:pStyle w:val="Normal"/>
        <w:numPr>
          <w:ilvl w:val="2"/>
          <w:numId w:val="9"/>
        </w:numPr>
        <w:spacing w:lineRule="auto" w:line="276" w:before="120" w:after="120"/>
        <w:jc w:val="both"/>
        <w:rPr/>
      </w:pPr>
      <w:r>
        <w:rPr>
          <w:rFonts w:eastAsia="Arial" w:cs="Arial"/>
          <w:i w:val="false"/>
          <w:iCs w:val="false"/>
          <w:color w:val="000000"/>
          <w:szCs w:val="20"/>
        </w:rPr>
        <w:t xml:space="preserve">Referida Nota está substituindo o contrato, aplicando-se à relação de negócios ali estabelecida as disposições da </w:t>
      </w:r>
      <w:hyperlink r:id="rId12">
        <w:r>
          <w:rPr>
            <w:rStyle w:val="LinkdaInternet"/>
            <w:rFonts w:eastAsia="Arial" w:cs="Arial"/>
            <w:i w:val="false"/>
            <w:iCs w:val="false"/>
            <w:color w:val="000000"/>
            <w:szCs w:val="20"/>
          </w:rPr>
          <w:t>Lei nº 14.133, de 2021</w:t>
        </w:r>
      </w:hyperlink>
      <w:r>
        <w:rPr>
          <w:rFonts w:eastAsia="Arial" w:cs="Arial"/>
          <w:i w:val="false"/>
          <w:iCs w:val="false"/>
          <w:color w:val="000000"/>
          <w:szCs w:val="20"/>
        </w:rPr>
        <w:t>;</w:t>
      </w:r>
    </w:p>
    <w:p>
      <w:pPr>
        <w:pStyle w:val="Normal"/>
        <w:numPr>
          <w:ilvl w:val="2"/>
          <w:numId w:val="9"/>
        </w:numPr>
        <w:spacing w:lineRule="auto" w:line="276" w:before="120" w:after="120"/>
        <w:jc w:val="both"/>
        <w:rPr>
          <w:i w:val="false"/>
          <w:i w:val="false"/>
          <w:iCs w:val="false"/>
          <w:color w:val="000000"/>
        </w:rPr>
      </w:pPr>
      <w:r>
        <w:rPr>
          <w:rFonts w:eastAsia="Arial" w:cs="Arial"/>
          <w:i w:val="false"/>
          <w:iCs w:val="false"/>
          <w:color w:val="000000"/>
          <w:szCs w:val="20"/>
        </w:rPr>
        <w:t xml:space="preserve"> </w:t>
      </w:r>
      <w:r>
        <w:rPr>
          <w:rFonts w:eastAsia="Arial" w:cs="Arial"/>
          <w:i w:val="false"/>
          <w:iCs w:val="false"/>
          <w:color w:val="000000"/>
          <w:szCs w:val="20"/>
        </w:rPr>
        <w:t>A contratada se vincula à sua proposta e às previsões contidas no Aviso de Contratação Direta e seus anexos;</w:t>
      </w:r>
    </w:p>
    <w:p>
      <w:pPr>
        <w:pStyle w:val="Normal"/>
        <w:numPr>
          <w:ilvl w:val="2"/>
          <w:numId w:val="9"/>
        </w:numPr>
        <w:spacing w:lineRule="auto" w:line="276" w:before="120" w:after="120"/>
        <w:jc w:val="both"/>
        <w:rPr>
          <w:rFonts w:eastAsia="Arial" w:cs="Arial"/>
          <w:i/>
          <w:i/>
          <w:color w:val="FF0000"/>
          <w:szCs w:val="20"/>
        </w:rPr>
      </w:pPr>
      <w:r>
        <w:rPr>
          <w:rFonts w:eastAsia="Arial" w:cs="Arial"/>
          <w:i w:val="false"/>
          <w:iCs w:val="false"/>
          <w:color w:val="000000"/>
          <w:szCs w:val="20"/>
        </w:rPr>
        <w:t xml:space="preserve"> </w:t>
      </w:r>
      <w:r>
        <w:rPr>
          <w:rFonts w:eastAsia="Arial" w:cs="Arial"/>
          <w:i w:val="false"/>
          <w:iCs w:val="false"/>
          <w:color w:val="000000"/>
          <w:szCs w:val="20"/>
        </w:rPr>
        <w:t xml:space="preserve">A contratada reconhece que as hipóteses de rescisão são aquelas previstas nos </w:t>
      </w:r>
      <w:r>
        <w:fldChar w:fldCharType="begin"/>
      </w:r>
      <w:r>
        <w:rPr>
          <w:rStyle w:val="LinkdaInternet"/>
          <w:i w:val="false"/>
          <w:szCs w:val="20"/>
          <w:iCs w:val="false"/>
          <w:rFonts w:eastAsia="Arial" w:cs="Arial"/>
          <w:color w:val="000000"/>
        </w:rPr>
        <w:instrText> HYPERLINK "http://www.planalto.gov.br/ccivil_03/_ato2019-2022/2021/lei/L14133.htm" \l "art137"</w:instrText>
      </w:r>
      <w:r>
        <w:rPr>
          <w:rStyle w:val="LinkdaInternet"/>
          <w:i w:val="false"/>
          <w:szCs w:val="20"/>
          <w:iCs w:val="false"/>
          <w:rFonts w:eastAsia="Arial" w:cs="Arial"/>
          <w:color w:val="000000"/>
        </w:rPr>
        <w:fldChar w:fldCharType="separate"/>
      </w:r>
      <w:r>
        <w:rPr>
          <w:rStyle w:val="LinkdaInternet"/>
          <w:rFonts w:eastAsia="Arial" w:cs="Arial"/>
          <w:i w:val="false"/>
          <w:iCs w:val="false"/>
          <w:color w:val="000000"/>
          <w:szCs w:val="20"/>
        </w:rPr>
        <w:t>artigos 137 e 138 da Lei nº 14.133, de 2021</w:t>
      </w:r>
      <w:r>
        <w:rPr>
          <w:rStyle w:val="LinkdaInternet"/>
          <w:i w:val="false"/>
          <w:szCs w:val="20"/>
          <w:iCs w:val="false"/>
          <w:rFonts w:eastAsia="Arial" w:cs="Arial"/>
          <w:color w:val="000000"/>
        </w:rPr>
        <w:fldChar w:fldCharType="end"/>
      </w:r>
      <w:r>
        <w:rPr>
          <w:rFonts w:eastAsia="Arial" w:cs="Arial"/>
          <w:i w:val="false"/>
          <w:iCs w:val="false"/>
          <w:color w:val="000000"/>
          <w:szCs w:val="20"/>
        </w:rPr>
        <w:t xml:space="preserve"> e reconhece os direitos da Administração previstos nos </w:t>
      </w:r>
      <w:r>
        <w:fldChar w:fldCharType="begin"/>
      </w:r>
      <w:r>
        <w:rPr>
          <w:rStyle w:val="LinkdaInternet"/>
          <w:i w:val="false"/>
          <w:szCs w:val="20"/>
          <w:iCs w:val="false"/>
          <w:rFonts w:eastAsia="Arial" w:cs="Arial"/>
          <w:color w:val="000000"/>
        </w:rPr>
        <w:instrText> HYPERLINK "http://www.planalto.gov.br/ccivil_03/_ato2019-2022/2021/lei/L14133.htm" \l "art137"</w:instrText>
      </w:r>
      <w:r>
        <w:rPr>
          <w:rStyle w:val="LinkdaInternet"/>
          <w:i w:val="false"/>
          <w:szCs w:val="20"/>
          <w:iCs w:val="false"/>
          <w:rFonts w:eastAsia="Arial" w:cs="Arial"/>
          <w:color w:val="000000"/>
        </w:rPr>
        <w:fldChar w:fldCharType="separate"/>
      </w:r>
      <w:r>
        <w:rPr>
          <w:rStyle w:val="LinkdaInternet"/>
          <w:rFonts w:eastAsia="Arial" w:cs="Arial"/>
          <w:i w:val="false"/>
          <w:iCs w:val="false"/>
          <w:color w:val="000000"/>
          <w:szCs w:val="20"/>
        </w:rPr>
        <w:t>artigos 137 a 139 da mesma Lei</w:t>
      </w:r>
      <w:r>
        <w:rPr>
          <w:rStyle w:val="LinkdaInternet"/>
          <w:i w:val="false"/>
          <w:szCs w:val="20"/>
          <w:iCs w:val="false"/>
          <w:rFonts w:eastAsia="Arial" w:cs="Arial"/>
          <w:color w:val="000000"/>
        </w:rPr>
        <w:fldChar w:fldCharType="end"/>
      </w:r>
      <w:r>
        <w:rPr>
          <w:rFonts w:eastAsia="Arial" w:cs="Arial"/>
          <w:i w:val="false"/>
          <w:iCs w:val="false"/>
          <w:color w:val="000000"/>
          <w:szCs w:val="20"/>
        </w:rPr>
        <w:t>.</w:t>
      </w:r>
      <w:commentRangeEnd w:id="12"/>
      <w:r>
        <w:commentReference w:id="12"/>
      </w:r>
      <w:r>
        <w:rPr>
          <w:rFonts w:eastAsia="Arial" w:cs="Arial"/>
          <w:i w:val="false"/>
          <w:iCs w:val="false"/>
          <w:color w:val="000000"/>
          <w:szCs w:val="20"/>
        </w:rPr>
      </w:r>
    </w:p>
    <w:p>
      <w:pPr>
        <w:pStyle w:val="Normal"/>
        <w:numPr>
          <w:ilvl w:val="1"/>
          <w:numId w:val="9"/>
        </w:numPr>
        <w:spacing w:lineRule="auto" w:line="276" w:before="120" w:after="120"/>
        <w:ind w:left="425" w:hanging="0"/>
        <w:jc w:val="both"/>
        <w:rPr>
          <w:rFonts w:eastAsia="Arial" w:cs="Arial"/>
          <w:color w:val="000000"/>
          <w:szCs w:val="20"/>
        </w:rPr>
      </w:pPr>
      <w:r>
        <w:rPr>
          <w:rFonts w:eastAsia="Arial" w:cs="Arial"/>
          <w:color w:val="000000"/>
          <w:szCs w:val="20"/>
        </w:rPr>
        <w:t xml:space="preserve">O prazo de vigência da contratação é o estabelecido no Termo de Referência. </w:t>
      </w:r>
    </w:p>
    <w:p>
      <w:pPr>
        <w:pStyle w:val="Normal"/>
        <w:numPr>
          <w:ilvl w:val="1"/>
          <w:numId w:val="9"/>
        </w:numPr>
        <w:spacing w:lineRule="auto" w:line="276" w:before="120" w:after="120"/>
        <w:ind w:left="425" w:hanging="0"/>
        <w:jc w:val="both"/>
        <w:rPr>
          <w:rFonts w:eastAsia="Arial" w:cs="Arial"/>
          <w:color w:val="000000"/>
          <w:szCs w:val="20"/>
        </w:rPr>
      </w:pPr>
      <w:commentRangeStart w:id="13"/>
      <w:r>
        <w:rPr>
          <w:rFonts w:cs="Arial"/>
          <w:color w:val="000000"/>
          <w:szCs w:val="20"/>
        </w:rPr>
        <w:t>Na assinatura do contrato ou do instrumento equivalente será exigida a comprovação das condições de habilitação e contratação consignadas neste aviso, que deverão ser mantidas pelo fornecedor durante a vigência do contrato.</w:t>
      </w:r>
      <w:commentRangeEnd w:id="13"/>
      <w:r>
        <w:commentReference w:id="13"/>
      </w:r>
      <w:r>
        <w:rPr>
          <w:rFonts w:cs="Arial"/>
          <w:color w:val="000000"/>
          <w:szCs w:val="20"/>
        </w:rPr>
      </w:r>
    </w:p>
    <w:p>
      <w:pPr>
        <w:pStyle w:val="Ttulo1"/>
        <w:rPr/>
      </w:pPr>
      <w:bookmarkStart w:id="7" w:name="_Toc118380906"/>
      <w:r>
        <w:rPr/>
        <w:t>INFRAÇÕES E SANÇÕES ADMINISTRATIVAS</w:t>
      </w:r>
      <w:bookmarkEnd w:id="7"/>
    </w:p>
    <w:p>
      <w:pPr>
        <w:pStyle w:val="Normal"/>
        <w:numPr>
          <w:ilvl w:val="1"/>
          <w:numId w:val="9"/>
        </w:numPr>
        <w:spacing w:lineRule="auto" w:line="276" w:before="120" w:after="120"/>
        <w:ind w:left="425" w:hanging="0"/>
        <w:jc w:val="both"/>
        <w:rPr>
          <w:rFonts w:cs="Arial"/>
          <w:b/>
          <w:b/>
        </w:rPr>
      </w:pPr>
      <w:r>
        <w:rPr>
          <w:rFonts w:cs="Arial"/>
        </w:rPr>
        <w:t xml:space="preserve">Comete infração administrativa o fornecedor que praticar quaisquer das hipóteses previstas no </w:t>
      </w:r>
      <w:r>
        <w:fldChar w:fldCharType="begin"/>
      </w:r>
      <w:r>
        <w:rPr>
          <w:rStyle w:val="LinkdaInternet"/>
          <w:rFonts w:cs="Arial"/>
        </w:rPr>
        <w:instrText> HYPERLINK "http://www.planalto.gov.br/ccivil_03/_ato2019-2022/2021/lei/L14133.htm" \l "art155"</w:instrText>
      </w:r>
      <w:r>
        <w:rPr>
          <w:rStyle w:val="LinkdaInternet"/>
          <w:rFonts w:cs="Arial"/>
        </w:rPr>
        <w:fldChar w:fldCharType="separate"/>
      </w:r>
      <w:r>
        <w:rPr>
          <w:rStyle w:val="LinkdaInternet"/>
          <w:rFonts w:cs="Arial"/>
        </w:rPr>
        <w:t>art. 155 da Lei nº 14.133, de 2021</w:t>
      </w:r>
      <w:r>
        <w:rPr>
          <w:rStyle w:val="LinkdaInternet"/>
          <w:rFonts w:cs="Arial"/>
        </w:rPr>
        <w:fldChar w:fldCharType="end"/>
      </w:r>
      <w:r>
        <w:rPr>
          <w:rFonts w:cs="Arial"/>
        </w:rPr>
        <w:t xml:space="preserve">, quais sejam: </w:t>
      </w:r>
    </w:p>
    <w:p>
      <w:pPr>
        <w:pStyle w:val="Normal"/>
        <w:numPr>
          <w:ilvl w:val="2"/>
          <w:numId w:val="9"/>
        </w:numPr>
        <w:spacing w:lineRule="auto" w:line="276" w:before="120" w:after="120"/>
        <w:jc w:val="both"/>
        <w:rPr>
          <w:rFonts w:cs="Arial"/>
        </w:rPr>
      </w:pPr>
      <w:r>
        <w:rPr>
          <w:rFonts w:cs="Arial"/>
          <w:color w:val="000000"/>
          <w:szCs w:val="20"/>
        </w:rPr>
        <w:t>dar causa à inexecução parcial do contrato</w:t>
      </w:r>
      <w:r>
        <w:rPr>
          <w:rFonts w:cs="Arial"/>
        </w:rPr>
        <w:t>;</w:t>
      </w:r>
    </w:p>
    <w:p>
      <w:pPr>
        <w:pStyle w:val="Normal"/>
        <w:numPr>
          <w:ilvl w:val="2"/>
          <w:numId w:val="9"/>
        </w:numPr>
        <w:spacing w:lineRule="auto" w:line="276" w:before="120" w:after="120"/>
        <w:jc w:val="both"/>
        <w:rPr>
          <w:rFonts w:cs="Arial"/>
        </w:rPr>
      </w:pPr>
      <w:r>
        <w:rPr>
          <w:rFonts w:cs="Arial"/>
          <w:color w:val="000000"/>
          <w:szCs w:val="20"/>
        </w:rPr>
        <w:t>dar causa à inexecução parcial do contrato que cause grave dano à Administração, ao funcionamento dos serviços públicos ou ao interesse coletivo;</w:t>
      </w:r>
    </w:p>
    <w:p>
      <w:pPr>
        <w:pStyle w:val="Normal"/>
        <w:numPr>
          <w:ilvl w:val="2"/>
          <w:numId w:val="9"/>
        </w:numPr>
        <w:spacing w:lineRule="auto" w:line="276" w:before="120" w:after="120"/>
        <w:jc w:val="both"/>
        <w:rPr>
          <w:rFonts w:cs="Arial"/>
        </w:rPr>
      </w:pPr>
      <w:r>
        <w:rPr>
          <w:rFonts w:cs="Arial"/>
          <w:color w:val="000000"/>
          <w:szCs w:val="20"/>
        </w:rPr>
        <w:t>dar causa à inexecução total do contrato;</w:t>
      </w:r>
    </w:p>
    <w:p>
      <w:pPr>
        <w:pStyle w:val="Normal"/>
        <w:numPr>
          <w:ilvl w:val="2"/>
          <w:numId w:val="9"/>
        </w:numPr>
        <w:spacing w:lineRule="auto" w:line="276" w:before="120" w:after="120"/>
        <w:jc w:val="both"/>
        <w:rPr>
          <w:rFonts w:cs="Arial"/>
        </w:rPr>
      </w:pPr>
      <w:r>
        <w:rPr>
          <w:rFonts w:cs="Arial"/>
          <w:color w:val="000000"/>
          <w:szCs w:val="20"/>
        </w:rPr>
        <w:t>deixar de entregar a documentação exigida para o certame;</w:t>
      </w:r>
    </w:p>
    <w:p>
      <w:pPr>
        <w:pStyle w:val="Normal"/>
        <w:numPr>
          <w:ilvl w:val="2"/>
          <w:numId w:val="9"/>
        </w:numPr>
        <w:spacing w:lineRule="auto" w:line="276" w:before="120" w:after="120"/>
        <w:jc w:val="both"/>
        <w:rPr>
          <w:rFonts w:cs="Arial"/>
        </w:rPr>
      </w:pPr>
      <w:r>
        <w:rPr>
          <w:rFonts w:cs="Arial"/>
          <w:color w:val="000000"/>
          <w:szCs w:val="20"/>
        </w:rPr>
        <w:t>não manter a proposta, salvo em decorrência de fato superveniente devidamente justificado;</w:t>
      </w:r>
    </w:p>
    <w:p>
      <w:pPr>
        <w:pStyle w:val="Normal"/>
        <w:numPr>
          <w:ilvl w:val="2"/>
          <w:numId w:val="9"/>
        </w:numPr>
        <w:spacing w:lineRule="auto" w:line="276" w:before="120" w:after="120"/>
        <w:jc w:val="both"/>
        <w:rPr>
          <w:rFonts w:cs="Arial"/>
        </w:rPr>
      </w:pPr>
      <w:r>
        <w:rPr>
          <w:rFonts w:cs="Arial"/>
          <w:color w:val="000000"/>
          <w:szCs w:val="20"/>
        </w:rPr>
        <w:t>não celebrar o contrato ou não entregar a documentação exigida para a contratação, quando convocado dentro do prazo de validade de sua proposta;</w:t>
      </w:r>
    </w:p>
    <w:p>
      <w:pPr>
        <w:pStyle w:val="Normal"/>
        <w:numPr>
          <w:ilvl w:val="2"/>
          <w:numId w:val="9"/>
        </w:numPr>
        <w:spacing w:lineRule="auto" w:line="276" w:before="120" w:after="120"/>
        <w:jc w:val="both"/>
        <w:rPr>
          <w:rFonts w:cs="Arial"/>
        </w:rPr>
      </w:pPr>
      <w:r>
        <w:rPr>
          <w:rFonts w:cs="Arial"/>
          <w:color w:val="000000"/>
          <w:szCs w:val="20"/>
        </w:rPr>
        <w:t> </w:t>
      </w:r>
      <w:r>
        <w:rPr>
          <w:rFonts w:cs="Arial"/>
          <w:color w:val="000000"/>
          <w:szCs w:val="20"/>
        </w:rPr>
        <w:t>ensejar o retardamento da execução ou da entrega do objeto da licitação sem motivo justificado;</w:t>
      </w:r>
    </w:p>
    <w:p>
      <w:pPr>
        <w:pStyle w:val="Normal"/>
        <w:numPr>
          <w:ilvl w:val="2"/>
          <w:numId w:val="9"/>
        </w:numPr>
        <w:spacing w:lineRule="auto" w:line="276" w:before="120" w:after="120"/>
        <w:jc w:val="both"/>
        <w:rPr>
          <w:rFonts w:cs="Arial"/>
        </w:rPr>
      </w:pPr>
      <w:r>
        <w:rPr>
          <w:rFonts w:cs="Arial"/>
          <w:color w:val="000000"/>
          <w:szCs w:val="20"/>
        </w:rPr>
        <w:t>apresentar declaração ou documentação falsa exigida para o certame ou prestar declaração falsa durante a dispensa eletrônica ou a execução do contrato;</w:t>
      </w:r>
    </w:p>
    <w:p>
      <w:pPr>
        <w:pStyle w:val="Normal"/>
        <w:numPr>
          <w:ilvl w:val="2"/>
          <w:numId w:val="9"/>
        </w:numPr>
        <w:spacing w:lineRule="auto" w:line="276" w:before="120" w:after="120"/>
        <w:jc w:val="both"/>
        <w:rPr>
          <w:rFonts w:cs="Arial"/>
        </w:rPr>
      </w:pPr>
      <w:r>
        <w:rPr>
          <w:rFonts w:cs="Arial"/>
          <w:color w:val="000000"/>
          <w:szCs w:val="20"/>
        </w:rPr>
        <w:t>fraudar a dispensa eletrônica ou praticar ato fraudulento na execução do contrato;</w:t>
      </w:r>
    </w:p>
    <w:p>
      <w:pPr>
        <w:pStyle w:val="Normal"/>
        <w:numPr>
          <w:ilvl w:val="2"/>
          <w:numId w:val="9"/>
        </w:numPr>
        <w:spacing w:lineRule="auto" w:line="276" w:before="120" w:after="120"/>
        <w:jc w:val="both"/>
        <w:rPr>
          <w:rFonts w:cs="Arial"/>
        </w:rPr>
      </w:pPr>
      <w:r>
        <w:rPr>
          <w:rFonts w:cs="Arial"/>
          <w:color w:val="000000"/>
          <w:szCs w:val="20"/>
        </w:rPr>
        <w:t>comportar-se de modo inidôneo ou cometer fraude de qualquer natureza;</w:t>
      </w:r>
    </w:p>
    <w:p>
      <w:pPr>
        <w:pStyle w:val="ListParagraph"/>
        <w:numPr>
          <w:ilvl w:val="3"/>
          <w:numId w:val="9"/>
        </w:numPr>
        <w:spacing w:lineRule="auto" w:line="276" w:before="120" w:after="120"/>
        <w:contextualSpacing/>
        <w:jc w:val="both"/>
        <w:rPr>
          <w:rFonts w:cs="Arial"/>
        </w:rPr>
      </w:pPr>
      <w:r>
        <w:rPr>
          <w:rFonts w:cs="Arial"/>
        </w:rPr>
        <w:t>Considera-se comportamento inidôneo, entre outros, a declaração falsa quanto às condições de participação, quanto ao enquadramento como ME/EPP ou o conluio entre os fornecedores, em qualquer momento da dispensa, mesmo após o encerramento da fase de lances.</w:t>
      </w:r>
    </w:p>
    <w:p>
      <w:pPr>
        <w:pStyle w:val="Normal"/>
        <w:numPr>
          <w:ilvl w:val="2"/>
          <w:numId w:val="9"/>
        </w:numPr>
        <w:spacing w:lineRule="auto" w:line="276" w:before="120" w:after="120"/>
        <w:jc w:val="both"/>
        <w:rPr>
          <w:rFonts w:cs="Arial"/>
        </w:rPr>
      </w:pPr>
      <w:r>
        <w:rPr>
          <w:rFonts w:cs="Arial"/>
          <w:color w:val="000000"/>
          <w:szCs w:val="20"/>
        </w:rPr>
        <w:t>praticar atos ilícitos com vistas a frustrar os objetivos deste certame.</w:t>
      </w:r>
    </w:p>
    <w:p>
      <w:pPr>
        <w:pStyle w:val="Normal"/>
        <w:numPr>
          <w:ilvl w:val="2"/>
          <w:numId w:val="9"/>
        </w:numPr>
        <w:spacing w:lineRule="auto" w:line="276" w:before="120" w:after="120"/>
        <w:jc w:val="both"/>
        <w:rPr>
          <w:rStyle w:val="LinkdaInternet"/>
          <w:rFonts w:cs="Arial"/>
          <w:szCs w:val="20"/>
        </w:rPr>
      </w:pPr>
      <w:r>
        <w:rPr>
          <w:rFonts w:cs="Arial"/>
          <w:color w:val="000000"/>
          <w:szCs w:val="20"/>
        </w:rPr>
        <w:t>praticar ato lesivo previsto no </w:t>
      </w:r>
      <w:r>
        <w:fldChar w:fldCharType="begin"/>
      </w:r>
      <w:r>
        <w:rPr>
          <w:rStyle w:val="LinkdaInternet"/>
        </w:rPr>
        <w:instrText> HYPERLINK "http://www.planalto.gov.br/ccivil_03/_ato2019-2022/2021/lei/L14133.htm" \l "art5"</w:instrText>
      </w:r>
      <w:r>
        <w:rPr>
          <w:rStyle w:val="LinkdaInternet"/>
        </w:rPr>
        <w:fldChar w:fldCharType="separate"/>
      </w:r>
      <w:r>
        <w:rPr>
          <w:rStyle w:val="LinkdaInternet"/>
        </w:rPr>
        <w:t>art. 5º da Lei nº 12.846, de 1º de agosto de 2013.</w:t>
      </w:r>
      <w:r>
        <w:rPr>
          <w:rStyle w:val="LinkdaInternet"/>
        </w:rPr>
        <w:fldChar w:fldCharType="end"/>
      </w:r>
    </w:p>
    <w:p>
      <w:pPr>
        <w:pStyle w:val="Normal"/>
        <w:numPr>
          <w:ilvl w:val="1"/>
          <w:numId w:val="9"/>
        </w:numPr>
        <w:spacing w:lineRule="auto" w:line="276" w:before="120" w:after="120"/>
        <w:ind w:left="425" w:hanging="0"/>
        <w:jc w:val="both"/>
        <w:rPr>
          <w:rFonts w:cs="Arial"/>
          <w:b/>
          <w:b/>
        </w:rPr>
      </w:pPr>
      <w:r>
        <w:fldChar w:fldCharType="begin"/>
      </w:r>
      <w:r>
        <w:rPr>
          <w:rFonts w:cs="Arial"/>
        </w:rPr>
        <w:instrText> HYPERLINK "http://www.planalto.gov.br/ccivil_03/_ato2019-2022/2021/lei/L14133.htm" \l "art5"</w:instrText>
      </w:r>
      <w:r>
        <w:rPr>
          <w:rFonts w:cs="Arial"/>
        </w:rPr>
        <w:fldChar w:fldCharType="separate"/>
      </w:r>
      <w:r>
        <w:rPr>
          <w:rFonts w:cs="Arial"/>
        </w:rPr>
        <w:t>O fornecedor que cometer qualquer das infrações discriminadas nos subitens anteriores ficará sujeito, sem prejuízo da responsabilidade civil e criminal, às seguintes sanções:</w:t>
      </w:r>
      <w:r>
        <w:rPr>
          <w:rFonts w:cs="Arial"/>
        </w:rPr>
        <w:fldChar w:fldCharType="end"/>
      </w:r>
    </w:p>
    <w:p>
      <w:pPr>
        <w:pStyle w:val="Normal"/>
        <w:numPr>
          <w:ilvl w:val="2"/>
          <w:numId w:val="5"/>
        </w:numPr>
        <w:spacing w:lineRule="auto" w:line="276" w:before="120" w:after="120"/>
        <w:jc w:val="both"/>
        <w:rPr>
          <w:rFonts w:cs="Arial"/>
        </w:rPr>
      </w:pPr>
      <w:r>
        <w:rPr>
          <w:rFonts w:cs="Arial"/>
        </w:rPr>
        <w:t>Adv</w:t>
      </w:r>
      <w:r>
        <w:rPr>
          <w:rFonts w:cs="Arial"/>
          <w:color w:val="000000"/>
        </w:rPr>
        <w:t>ertência pela falta do subitem 8.1.1 deste Aviso de Contratação Direta,</w:t>
      </w:r>
      <w:r>
        <w:rPr>
          <w:color w:val="000000"/>
        </w:rPr>
        <w:t xml:space="preserve"> </w:t>
      </w:r>
      <w:r>
        <w:rPr>
          <w:rFonts w:cs="Arial"/>
          <w:color w:val="000000"/>
        </w:rPr>
        <w:t>quando não se justificar a imposição de penalidade mais grave;</w:t>
      </w:r>
    </w:p>
    <w:p>
      <w:pPr>
        <w:pStyle w:val="Normal"/>
        <w:numPr>
          <w:ilvl w:val="2"/>
          <w:numId w:val="5"/>
        </w:numPr>
        <w:spacing w:lineRule="auto" w:line="276" w:before="120" w:after="120"/>
        <w:jc w:val="both"/>
        <w:rPr>
          <w:color w:val="000000"/>
        </w:rPr>
      </w:pPr>
      <w:commentRangeStart w:id="14"/>
      <w:r>
        <w:rPr>
          <w:rFonts w:cs="Arial"/>
          <w:color w:val="000000"/>
        </w:rPr>
        <w:t>Multa de 5% (cinco por cento) sobre o valor estimado do(s) item(s) prejudicado(s) pela conduta do fornecedor, por qualquer das infrações dos subitens 8.1.1 a 8.1.12;</w:t>
      </w:r>
      <w:commentRangeEnd w:id="14"/>
      <w:r>
        <w:commentReference w:id="14"/>
      </w:r>
      <w:r>
        <w:rPr>
          <w:rFonts w:cs="Arial"/>
          <w:color w:val="000000"/>
        </w:rPr>
      </w:r>
    </w:p>
    <w:p>
      <w:pPr>
        <w:pStyle w:val="Normal"/>
        <w:numPr>
          <w:ilvl w:val="2"/>
          <w:numId w:val="5"/>
        </w:numPr>
        <w:spacing w:lineRule="auto" w:line="276" w:before="120" w:after="120"/>
        <w:jc w:val="both"/>
        <w:rPr>
          <w:rFonts w:cs="Arial"/>
        </w:rPr>
      </w:pPr>
      <w:r>
        <w:rPr>
          <w:rFonts w:cs="Arial"/>
          <w:color w:val="000000"/>
          <w:szCs w:val="20"/>
        </w:rPr>
        <w:t>Impedimento de licitar e contratar</w:t>
      </w:r>
      <w:r>
        <w:rPr>
          <w:rFonts w:cs="Arial"/>
          <w:color w:val="000000"/>
        </w:rPr>
        <w:t xml:space="preserve"> </w:t>
      </w:r>
      <w:r>
        <w:rPr>
          <w:rFonts w:cs="Arial"/>
          <w:color w:val="000000"/>
          <w:szCs w:val="20"/>
        </w:rPr>
        <w:t>no âmbito da Administração Pública direta e indireta do ente federativo que tiver aplicado a sanção, pelo prazo máximo de 3 (três) anos, nos casos dos subitens 8.1.2 a 8.1.7 deste Aviso de Contratação Direta, quando não se justificar a imposição de penalidade mais grave</w:t>
      </w:r>
      <w:r>
        <w:rPr>
          <w:rFonts w:cs="Arial"/>
        </w:rPr>
        <w:t>;</w:t>
      </w:r>
    </w:p>
    <w:p>
      <w:pPr>
        <w:pStyle w:val="Normal"/>
        <w:numPr>
          <w:ilvl w:val="2"/>
          <w:numId w:val="5"/>
        </w:numPr>
        <w:spacing w:lineRule="auto" w:line="276" w:before="120" w:after="120"/>
        <w:jc w:val="both"/>
        <w:rPr>
          <w:rFonts w:cs="Arial"/>
        </w:rPr>
      </w:pPr>
      <w:r>
        <w:rPr>
          <w:rFonts w:cs="Arial"/>
          <w:color w:val="000000"/>
          <w:szCs w:val="20"/>
        </w:rPr>
        <w:t>Declaração de inidoneidade para licitar ou contratar, que impedirá o responsável de licitar ou contratar no âmbito da Administração Pública direta e indireta de todos os entes federativos, pelo prazo mínimo de 3 (três) anos e máximo de 6 (seis) anos, nos casos dos subitens 8.1.8 a 8.1.12, bem como nos demais casos que justifiquem a imposição da penalidade mais grave</w:t>
      </w:r>
      <w:r>
        <w:rPr>
          <w:rFonts w:cs="Arial"/>
        </w:rPr>
        <w:t>;</w:t>
      </w:r>
    </w:p>
    <w:p>
      <w:pPr>
        <w:pStyle w:val="Normal"/>
        <w:numPr>
          <w:ilvl w:val="1"/>
          <w:numId w:val="9"/>
        </w:numPr>
        <w:spacing w:lineRule="auto" w:line="276" w:before="120" w:after="120"/>
        <w:ind w:left="425" w:hanging="0"/>
        <w:jc w:val="both"/>
        <w:rPr>
          <w:rFonts w:cs="Arial"/>
          <w:bCs/>
        </w:rPr>
      </w:pPr>
      <w:r>
        <w:rPr>
          <w:rFonts w:cs="Arial"/>
          <w:bCs/>
        </w:rPr>
        <w:t>A aplicação das sanções previstas neste Contrato não exclui, em hipótese alguma, a obrigação de reparação integral do dano causado à Contratante (</w:t>
      </w:r>
      <w:r>
        <w:fldChar w:fldCharType="begin"/>
      </w:r>
      <w:r>
        <w:rPr>
          <w:rStyle w:val="LinkdaInternet"/>
          <w:bCs/>
          <w:rFonts w:cs="Arial"/>
        </w:rPr>
        <w:instrText> HYPERLINK "http://www.planalto.gov.br/ccivil_03/_ato2019-2022/2021/lei/L14133.htm" \l "art156§9"</w:instrText>
      </w:r>
      <w:r>
        <w:rPr>
          <w:rStyle w:val="LinkdaInternet"/>
          <w:bCs/>
          <w:rFonts w:cs="Arial"/>
        </w:rPr>
        <w:fldChar w:fldCharType="separate"/>
      </w:r>
      <w:r>
        <w:rPr>
          <w:rStyle w:val="LinkdaInternet"/>
          <w:rFonts w:cs="Arial"/>
          <w:bCs/>
        </w:rPr>
        <w:t>art. 156, §9º</w:t>
      </w:r>
      <w:r>
        <w:rPr>
          <w:rStyle w:val="LinkdaInternet"/>
          <w:bCs/>
          <w:rFonts w:cs="Arial"/>
        </w:rPr>
        <w:fldChar w:fldCharType="end"/>
      </w:r>
      <w:r>
        <w:rPr>
          <w:rFonts w:cs="Arial"/>
          <w:bCs/>
        </w:rPr>
        <w:t>)</w:t>
      </w:r>
    </w:p>
    <w:p>
      <w:pPr>
        <w:pStyle w:val="Normal"/>
        <w:numPr>
          <w:ilvl w:val="1"/>
          <w:numId w:val="9"/>
        </w:numPr>
        <w:spacing w:lineRule="auto" w:line="276" w:before="120" w:after="120"/>
        <w:ind w:left="425" w:hanging="0"/>
        <w:jc w:val="both"/>
        <w:rPr>
          <w:rFonts w:cs="Arial"/>
          <w:bCs/>
        </w:rPr>
      </w:pPr>
      <w:r>
        <w:rPr>
          <w:rFonts w:cs="Arial"/>
          <w:bCs/>
        </w:rPr>
        <w:t xml:space="preserve">Todas as sanções previstas neste Aviso poderão ser aplicadas cumulativamente com a multa </w:t>
      </w:r>
      <w:r>
        <w:fldChar w:fldCharType="begin"/>
      </w:r>
      <w:r>
        <w:rPr>
          <w:rStyle w:val="LinkdaInternet"/>
          <w:bCs/>
          <w:rFonts w:cs="Arial"/>
        </w:rPr>
        <w:instrText> HYPERLINK "http://www.planalto.gov.br/ccivil_03/_ato2019-2022/2021/lei/L14133.htm" \l "art156§7"</w:instrText>
      </w:r>
      <w:r>
        <w:rPr>
          <w:rStyle w:val="LinkdaInternet"/>
          <w:bCs/>
          <w:rFonts w:cs="Arial"/>
        </w:rPr>
        <w:fldChar w:fldCharType="separate"/>
      </w:r>
      <w:r>
        <w:rPr>
          <w:rStyle w:val="LinkdaInternet"/>
          <w:rFonts w:cs="Arial"/>
          <w:bCs/>
        </w:rPr>
        <w:t>(art. 156, §7º</w:t>
      </w:r>
      <w:r>
        <w:rPr>
          <w:rStyle w:val="LinkdaInternet"/>
          <w:bCs/>
          <w:rFonts w:cs="Arial"/>
        </w:rPr>
        <w:fldChar w:fldCharType="end"/>
      </w:r>
      <w:r>
        <w:rPr>
          <w:rFonts w:cs="Arial"/>
          <w:bCs/>
        </w:rPr>
        <w:t>).</w:t>
      </w:r>
    </w:p>
    <w:p>
      <w:pPr>
        <w:pStyle w:val="Normal"/>
        <w:numPr>
          <w:ilvl w:val="1"/>
          <w:numId w:val="9"/>
        </w:numPr>
        <w:spacing w:lineRule="auto" w:line="276" w:before="120" w:after="120"/>
        <w:ind w:left="425" w:hanging="0"/>
        <w:jc w:val="both"/>
        <w:rPr>
          <w:rFonts w:cs="Arial"/>
          <w:bCs/>
        </w:rPr>
      </w:pPr>
      <w:r>
        <w:rPr>
          <w:rFonts w:cs="Arial"/>
          <w:bCs/>
        </w:rPr>
        <w:t>Antes da aplicação da multa, será facultada a defesa do interessado no prazo de 15 (quinze) dias úteis, contado da data de sua intimação (</w:t>
      </w:r>
      <w:r>
        <w:fldChar w:fldCharType="begin"/>
      </w:r>
      <w:r>
        <w:rPr>
          <w:rStyle w:val="LinkdaInternet"/>
          <w:bCs/>
          <w:rFonts w:cs="Arial"/>
        </w:rPr>
        <w:instrText> HYPERLINK "http://www.planalto.gov.br/ccivil_03/_ato2019-2022/2021/lei/L14133.htm" \l "art157"</w:instrText>
      </w:r>
      <w:r>
        <w:rPr>
          <w:rStyle w:val="LinkdaInternet"/>
          <w:bCs/>
          <w:rFonts w:cs="Arial"/>
        </w:rPr>
        <w:fldChar w:fldCharType="separate"/>
      </w:r>
      <w:r>
        <w:rPr>
          <w:rStyle w:val="LinkdaInternet"/>
          <w:rFonts w:cs="Arial"/>
          <w:bCs/>
        </w:rPr>
        <w:t>art. 157</w:t>
      </w:r>
      <w:r>
        <w:rPr>
          <w:rStyle w:val="LinkdaInternet"/>
          <w:bCs/>
          <w:rFonts w:cs="Arial"/>
        </w:rPr>
        <w:fldChar w:fldCharType="end"/>
      </w:r>
      <w:r>
        <w:rPr>
          <w:rFonts w:cs="Arial"/>
          <w:bCs/>
        </w:rPr>
        <w:t>)</w:t>
      </w:r>
    </w:p>
    <w:p>
      <w:pPr>
        <w:pStyle w:val="Normal"/>
        <w:numPr>
          <w:ilvl w:val="1"/>
          <w:numId w:val="9"/>
        </w:numPr>
        <w:spacing w:lineRule="auto" w:line="276" w:before="120" w:after="120"/>
        <w:ind w:left="425" w:hanging="0"/>
        <w:jc w:val="both"/>
        <w:rPr>
          <w:rFonts w:cs="Arial"/>
          <w:bCs/>
        </w:rPr>
      </w:pPr>
      <w:r>
        <w:rPr>
          <w:rFonts w:cs="Arial"/>
          <w:bCs/>
        </w:rPr>
        <w:t>Se a multa aplicada e as indenizações cabíveis forem superiores ao valor do pagamento eventualmente devido pelo Contratante ao Contratado, além da perda desse valor, a diferença será descontada da garantia prestada ou será cobrada judicialmente (</w:t>
      </w:r>
      <w:r>
        <w:fldChar w:fldCharType="begin"/>
      </w:r>
      <w:r>
        <w:rPr>
          <w:rStyle w:val="LinkdaInternet"/>
          <w:bCs/>
          <w:rFonts w:cs="Arial"/>
        </w:rPr>
        <w:instrText> HYPERLINK "http://www.planalto.gov.br/ccivil_03/_ato2019-2022/2021/lei/L14133.htm" \l "art156§8"</w:instrText>
      </w:r>
      <w:r>
        <w:rPr>
          <w:rStyle w:val="LinkdaInternet"/>
          <w:bCs/>
          <w:rFonts w:cs="Arial"/>
        </w:rPr>
        <w:fldChar w:fldCharType="separate"/>
      </w:r>
      <w:r>
        <w:rPr>
          <w:rStyle w:val="LinkdaInternet"/>
          <w:rFonts w:cs="Arial"/>
          <w:bCs/>
        </w:rPr>
        <w:t>art. 156, §8º</w:t>
      </w:r>
      <w:r>
        <w:rPr>
          <w:rStyle w:val="LinkdaInternet"/>
          <w:bCs/>
          <w:rFonts w:cs="Arial"/>
        </w:rPr>
        <w:fldChar w:fldCharType="end"/>
      </w:r>
      <w:r>
        <w:rPr>
          <w:rFonts w:cs="Arial"/>
          <w:bCs/>
        </w:rPr>
        <w:t>).</w:t>
      </w:r>
    </w:p>
    <w:p>
      <w:pPr>
        <w:pStyle w:val="Normal"/>
        <w:numPr>
          <w:ilvl w:val="1"/>
          <w:numId w:val="9"/>
        </w:numPr>
        <w:spacing w:lineRule="auto" w:line="276" w:before="120" w:after="120"/>
        <w:ind w:left="425" w:hanging="0"/>
        <w:jc w:val="both"/>
        <w:rPr>
          <w:rFonts w:cs="Arial"/>
          <w:bCs/>
        </w:rPr>
      </w:pPr>
      <w:r>
        <w:rPr>
          <w:rFonts w:cs="Arial"/>
          <w:bCs/>
        </w:rPr>
        <w:t>Previamente ao encaminhamento à cobrança judicial, a multa poderá ser recolhida administrativamente no prazo máximo de 10 (dez) dias, a contar da data do recebimento da comunicação enviada pela autoridade competente.</w:t>
      </w:r>
      <w:bookmarkStart w:id="8" w:name="_Hlk78351618"/>
      <w:bookmarkEnd w:id="8"/>
    </w:p>
    <w:p>
      <w:pPr>
        <w:pStyle w:val="Normal"/>
        <w:numPr>
          <w:ilvl w:val="1"/>
          <w:numId w:val="9"/>
        </w:numPr>
        <w:spacing w:lineRule="auto" w:line="276" w:before="120" w:after="120"/>
        <w:ind w:left="425" w:hanging="0"/>
        <w:jc w:val="both"/>
        <w:rPr>
          <w:rFonts w:cs="Arial"/>
          <w:bCs/>
        </w:rPr>
      </w:pPr>
      <w:r>
        <w:rPr>
          <w:rFonts w:cs="Arial"/>
          <w:bCs/>
        </w:rPr>
        <w:t xml:space="preserve">A aplicação das sanções realizar-se-á em processo administrativo que assegure o contraditório e a ampla defesa ao Contratado, observando-se o procedimento previsto no </w:t>
      </w:r>
      <w:r>
        <w:rPr>
          <w:rFonts w:cs="Arial"/>
          <w:b/>
          <w:bCs/>
        </w:rPr>
        <w:t xml:space="preserve">caput </w:t>
      </w:r>
      <w:r>
        <w:rPr>
          <w:rFonts w:cs="Arial"/>
          <w:bCs/>
        </w:rPr>
        <w:t xml:space="preserve">e parágrafos do </w:t>
      </w:r>
      <w:r>
        <w:fldChar w:fldCharType="begin"/>
      </w:r>
      <w:r>
        <w:rPr>
          <w:rStyle w:val="LinkdaInternet"/>
          <w:bCs/>
          <w:rFonts w:cs="Arial"/>
        </w:rPr>
        <w:instrText> HYPERLINK "http://www.planalto.gov.br/ccivil_03/_ato2019-2022/2021/lei/L14133.htm" \l "art158"</w:instrText>
      </w:r>
      <w:r>
        <w:rPr>
          <w:rStyle w:val="LinkdaInternet"/>
          <w:bCs/>
          <w:rFonts w:cs="Arial"/>
        </w:rPr>
        <w:fldChar w:fldCharType="separate"/>
      </w:r>
      <w:r>
        <w:rPr>
          <w:rStyle w:val="LinkdaInternet"/>
          <w:rFonts w:cs="Arial"/>
          <w:bCs/>
        </w:rPr>
        <w:t>art. 158 da Lei nº 14.133, de 2021</w:t>
      </w:r>
      <w:r>
        <w:rPr>
          <w:rStyle w:val="LinkdaInternet"/>
          <w:bCs/>
          <w:rFonts w:cs="Arial"/>
        </w:rPr>
        <w:fldChar w:fldCharType="end"/>
      </w:r>
      <w:r>
        <w:rPr>
          <w:rFonts w:cs="Arial"/>
          <w:bCs/>
        </w:rPr>
        <w:t>, para as penalidades de impedimento de licitar e contratar e de declaração de inidoneidade para licitar ou contratar.</w:t>
      </w:r>
    </w:p>
    <w:p>
      <w:pPr>
        <w:pStyle w:val="Normal"/>
        <w:numPr>
          <w:ilvl w:val="1"/>
          <w:numId w:val="9"/>
        </w:numPr>
        <w:spacing w:lineRule="auto" w:line="276" w:before="120" w:after="120"/>
        <w:ind w:left="425" w:hanging="0"/>
        <w:jc w:val="both"/>
        <w:rPr>
          <w:rFonts w:cs="Arial"/>
          <w:bCs/>
        </w:rPr>
      </w:pPr>
      <w:r>
        <w:rPr>
          <w:rFonts w:cs="Arial"/>
          <w:bCs/>
        </w:rPr>
        <w:t>Na aplicação das sanções serão considerados (</w:t>
      </w:r>
      <w:r>
        <w:fldChar w:fldCharType="begin"/>
      </w:r>
      <w:r>
        <w:rPr>
          <w:rStyle w:val="LinkdaInternet"/>
          <w:bCs/>
          <w:rFonts w:cs="Arial"/>
        </w:rPr>
        <w:instrText> HYPERLINK "http://www.planalto.gov.br/ccivil_03/_ato2019-2022/2021/lei/L14133.htm" \l "art156§1"</w:instrText>
      </w:r>
      <w:r>
        <w:rPr>
          <w:rStyle w:val="LinkdaInternet"/>
          <w:bCs/>
          <w:rFonts w:cs="Arial"/>
        </w:rPr>
        <w:fldChar w:fldCharType="separate"/>
      </w:r>
      <w:r>
        <w:rPr>
          <w:rStyle w:val="LinkdaInternet"/>
          <w:rFonts w:cs="Arial"/>
          <w:bCs/>
        </w:rPr>
        <w:t>art. 156, §1º</w:t>
      </w:r>
      <w:r>
        <w:rPr>
          <w:rStyle w:val="LinkdaInternet"/>
          <w:bCs/>
          <w:rFonts w:cs="Arial"/>
        </w:rPr>
        <w:fldChar w:fldCharType="end"/>
      </w:r>
      <w:r>
        <w:rPr>
          <w:rFonts w:cs="Arial"/>
          <w:bCs/>
        </w:rPr>
        <w:t>):</w:t>
      </w:r>
    </w:p>
    <w:p>
      <w:pPr>
        <w:pStyle w:val="Normal"/>
        <w:numPr>
          <w:ilvl w:val="1"/>
          <w:numId w:val="9"/>
        </w:numPr>
        <w:spacing w:lineRule="auto" w:line="276" w:before="120" w:after="120"/>
        <w:ind w:left="425" w:hanging="0"/>
        <w:jc w:val="both"/>
        <w:rPr>
          <w:rFonts w:cs="Arial"/>
          <w:bCs/>
        </w:rPr>
      </w:pPr>
      <w:r>
        <w:rPr>
          <w:rFonts w:cs="Arial"/>
          <w:bCs/>
        </w:rPr>
        <w:t>A natureza e a gravidade da infração cometida;</w:t>
      </w:r>
    </w:p>
    <w:p>
      <w:pPr>
        <w:pStyle w:val="Normal"/>
        <w:numPr>
          <w:ilvl w:val="1"/>
          <w:numId w:val="9"/>
        </w:numPr>
        <w:spacing w:lineRule="auto" w:line="276" w:before="120" w:after="120"/>
        <w:ind w:left="425" w:hanging="0"/>
        <w:jc w:val="both"/>
        <w:rPr>
          <w:rFonts w:cs="Arial"/>
          <w:bCs/>
        </w:rPr>
      </w:pPr>
      <w:r>
        <w:rPr>
          <w:rFonts w:cs="Arial"/>
          <w:bCs/>
        </w:rPr>
        <w:t>As peculiaridades do caso concreto;</w:t>
      </w:r>
    </w:p>
    <w:p>
      <w:pPr>
        <w:pStyle w:val="Normal"/>
        <w:numPr>
          <w:ilvl w:val="1"/>
          <w:numId w:val="9"/>
        </w:numPr>
        <w:spacing w:lineRule="auto" w:line="276" w:before="120" w:after="120"/>
        <w:ind w:left="425" w:hanging="0"/>
        <w:jc w:val="both"/>
        <w:rPr>
          <w:rFonts w:cs="Arial"/>
          <w:bCs/>
        </w:rPr>
      </w:pPr>
      <w:r>
        <w:rPr>
          <w:rFonts w:cs="Arial"/>
          <w:bCs/>
        </w:rPr>
        <w:t>As circunstâncias agravantes ou atenuantes;</w:t>
      </w:r>
    </w:p>
    <w:p>
      <w:pPr>
        <w:pStyle w:val="Normal"/>
        <w:numPr>
          <w:ilvl w:val="1"/>
          <w:numId w:val="9"/>
        </w:numPr>
        <w:spacing w:lineRule="auto" w:line="276" w:before="120" w:after="120"/>
        <w:ind w:left="425" w:hanging="0"/>
        <w:jc w:val="both"/>
        <w:rPr>
          <w:rFonts w:cs="Arial"/>
          <w:bCs/>
        </w:rPr>
      </w:pPr>
      <w:r>
        <w:rPr>
          <w:rFonts w:cs="Arial"/>
          <w:bCs/>
        </w:rPr>
        <w:t>Os danos que dela provierem para o Contratante;</w:t>
      </w:r>
    </w:p>
    <w:p>
      <w:pPr>
        <w:pStyle w:val="Normal"/>
        <w:numPr>
          <w:ilvl w:val="1"/>
          <w:numId w:val="9"/>
        </w:numPr>
        <w:spacing w:lineRule="auto" w:line="276" w:before="120" w:after="120"/>
        <w:ind w:left="425" w:hanging="0"/>
        <w:jc w:val="both"/>
        <w:rPr>
          <w:rFonts w:cs="Arial"/>
          <w:bCs/>
        </w:rPr>
      </w:pPr>
      <w:r>
        <w:rPr>
          <w:rFonts w:cs="Arial"/>
          <w:bCs/>
        </w:rPr>
        <w:t>A implantação ou o aperfeiçoamento de programa de integridade, conforme normas e orientações dos órgãos de controle.</w:t>
      </w:r>
    </w:p>
    <w:p>
      <w:pPr>
        <w:pStyle w:val="Normal"/>
        <w:numPr>
          <w:ilvl w:val="1"/>
          <w:numId w:val="9"/>
        </w:numPr>
        <w:spacing w:lineRule="auto" w:line="276" w:before="120" w:after="120"/>
        <w:ind w:left="425" w:hanging="0"/>
        <w:jc w:val="both"/>
        <w:rPr>
          <w:rFonts w:cs="Arial"/>
          <w:bCs/>
        </w:rPr>
      </w:pPr>
      <w:r>
        <w:rPr>
          <w:rFonts w:cs="Arial"/>
          <w:bCs/>
        </w:rPr>
        <w:t xml:space="preserve">Os atos previstos como infrações administrativas na </w:t>
      </w:r>
      <w:hyperlink r:id="rId13">
        <w:r>
          <w:rPr>
            <w:rStyle w:val="LinkdaInternet"/>
            <w:rFonts w:cs="Arial"/>
            <w:bCs/>
          </w:rPr>
          <w:t>Lei nº 14.133, de 2021</w:t>
        </w:r>
      </w:hyperlink>
      <w:r>
        <w:rPr>
          <w:rFonts w:cs="Arial"/>
          <w:bCs/>
        </w:rPr>
        <w:t xml:space="preserve">, ou em outras leis de licitações e contratos da Administração Pública que também sejam tipificados como atos lesivos na </w:t>
      </w:r>
      <w:hyperlink r:id="rId14">
        <w:r>
          <w:rPr>
            <w:rStyle w:val="LinkdaInternet"/>
            <w:rFonts w:cs="Arial"/>
            <w:bCs/>
          </w:rPr>
          <w:t>Lei nº 12.846, de 1º de agosto de 2013</w:t>
        </w:r>
      </w:hyperlink>
      <w:r>
        <w:rPr>
          <w:rFonts w:cs="Arial"/>
          <w:bCs/>
        </w:rPr>
        <w:t>, serão apurados e julgados conjuntamente, nos mesmos autos, observados o rito procedimental e autoridade competente definidos na referida Lei (</w:t>
      </w:r>
      <w:r>
        <w:fldChar w:fldCharType="begin"/>
      </w:r>
      <w:r>
        <w:rPr>
          <w:rStyle w:val="LinkdaInternet"/>
          <w:bCs/>
          <w:rFonts w:cs="Arial"/>
        </w:rPr>
        <w:instrText> HYPERLINK "http://www.planalto.gov.br/ccivil_03/_ato2019-2022/2021/lei/L14133.htm" \l "art159"</w:instrText>
      </w:r>
      <w:r>
        <w:rPr>
          <w:rStyle w:val="LinkdaInternet"/>
          <w:bCs/>
          <w:rFonts w:cs="Arial"/>
        </w:rPr>
        <w:fldChar w:fldCharType="separate"/>
      </w:r>
      <w:r>
        <w:rPr>
          <w:rStyle w:val="LinkdaInternet"/>
          <w:rFonts w:cs="Arial"/>
          <w:bCs/>
        </w:rPr>
        <w:t>art. 159</w:t>
      </w:r>
      <w:r>
        <w:rPr>
          <w:rStyle w:val="LinkdaInternet"/>
          <w:bCs/>
          <w:rFonts w:cs="Arial"/>
        </w:rPr>
        <w:fldChar w:fldCharType="end"/>
      </w:r>
      <w:r>
        <w:rPr>
          <w:rFonts w:cs="Arial"/>
          <w:bCs/>
        </w:rPr>
        <w:t>).</w:t>
      </w:r>
    </w:p>
    <w:p>
      <w:pPr>
        <w:pStyle w:val="Normal"/>
        <w:numPr>
          <w:ilvl w:val="1"/>
          <w:numId w:val="9"/>
        </w:numPr>
        <w:spacing w:lineRule="auto" w:line="276" w:before="120" w:after="120"/>
        <w:ind w:left="425" w:hanging="0"/>
        <w:jc w:val="both"/>
        <w:rPr>
          <w:rFonts w:cs="Arial"/>
          <w:bCs/>
          <w:i/>
          <w:i/>
        </w:rPr>
      </w:pPr>
      <w:r>
        <w:rPr>
          <w:rFonts w:cs="Arial"/>
          <w:bCs/>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r>
        <w:fldChar w:fldCharType="begin"/>
      </w:r>
      <w:r>
        <w:rPr>
          <w:rStyle w:val="LinkdaInternet"/>
          <w:bCs/>
          <w:rFonts w:cs="Arial"/>
        </w:rPr>
        <w:instrText> HYPERLINK "http://www.planalto.gov.br/ccivil_03/_ato2019-2022/2021/lei/L14133.htm" \l "art160"</w:instrText>
      </w:r>
      <w:r>
        <w:rPr>
          <w:rStyle w:val="LinkdaInternet"/>
          <w:bCs/>
          <w:rFonts w:cs="Arial"/>
        </w:rPr>
        <w:fldChar w:fldCharType="separate"/>
      </w:r>
      <w:r>
        <w:rPr>
          <w:rStyle w:val="LinkdaInternet"/>
          <w:rFonts w:cs="Arial"/>
          <w:bCs/>
        </w:rPr>
        <w:t>art. 160</w:t>
      </w:r>
      <w:r>
        <w:rPr>
          <w:rStyle w:val="LinkdaInternet"/>
          <w:bCs/>
          <w:rFonts w:cs="Arial"/>
        </w:rPr>
        <w:fldChar w:fldCharType="end"/>
      </w:r>
      <w:r>
        <w:rPr>
          <w:rFonts w:cs="Arial"/>
          <w:bCs/>
        </w:rPr>
        <w:t>)</w:t>
      </w:r>
    </w:p>
    <w:p>
      <w:pPr>
        <w:pStyle w:val="Normal"/>
        <w:numPr>
          <w:ilvl w:val="1"/>
          <w:numId w:val="9"/>
        </w:numPr>
        <w:spacing w:lineRule="auto" w:line="276" w:before="120" w:after="120"/>
        <w:ind w:left="425" w:hanging="0"/>
        <w:jc w:val="both"/>
        <w:rPr>
          <w:rFonts w:cs="Arial"/>
          <w:bCs/>
          <w:i/>
          <w:i/>
        </w:rPr>
      </w:pPr>
      <w:r>
        <w:rPr>
          <w:rFonts w:cs="Arial"/>
          <w:bCs/>
        </w:rPr>
        <w:t xml:space="preserve"> </w:t>
      </w:r>
      <w:r>
        <w:rPr>
          <w:rFonts w:cs="Arial"/>
          <w:bCs/>
        </w:rPr>
        <w:t>O Contratante deverá, no prazo máximo 15 (quinze) dias úteis, contado da data de aplicação da sanção, informar e manter atualizados os dados relativos às sanções por ele aplicadas, para fins de publicidade no Cadastro Nacional de Empresas Inidôneas e Suspensas (Ceis) e no Cadastro Nacional de Empresas Punidas (Cnep), instituídos no âmbito do Poder Executivo Federal. (</w:t>
      </w:r>
      <w:r>
        <w:fldChar w:fldCharType="begin"/>
      </w:r>
      <w:r>
        <w:rPr>
          <w:rStyle w:val="LinkdaInternet"/>
          <w:bCs/>
          <w:rFonts w:cs="Arial"/>
        </w:rPr>
        <w:instrText> HYPERLINK "http://www.planalto.gov.br/ccivil_03/_ato2019-2022/2021/lei/L14133.htm" \l "art161"</w:instrText>
      </w:r>
      <w:r>
        <w:rPr>
          <w:rStyle w:val="LinkdaInternet"/>
          <w:bCs/>
          <w:rFonts w:cs="Arial"/>
        </w:rPr>
        <w:fldChar w:fldCharType="separate"/>
      </w:r>
      <w:r>
        <w:rPr>
          <w:rStyle w:val="LinkdaInternet"/>
          <w:rFonts w:cs="Arial"/>
          <w:bCs/>
        </w:rPr>
        <w:t>Art. 161</w:t>
      </w:r>
      <w:r>
        <w:rPr>
          <w:rStyle w:val="LinkdaInternet"/>
          <w:bCs/>
          <w:rFonts w:cs="Arial"/>
        </w:rPr>
        <w:fldChar w:fldCharType="end"/>
      </w:r>
      <w:r>
        <w:rPr>
          <w:rFonts w:cs="Arial"/>
          <w:bCs/>
        </w:rPr>
        <w:t>)</w:t>
      </w:r>
    </w:p>
    <w:p>
      <w:pPr>
        <w:pStyle w:val="Normal"/>
        <w:numPr>
          <w:ilvl w:val="1"/>
          <w:numId w:val="9"/>
        </w:numPr>
        <w:spacing w:lineRule="auto" w:line="276" w:before="120" w:after="120"/>
        <w:ind w:left="425" w:hanging="0"/>
        <w:jc w:val="both"/>
        <w:rPr>
          <w:rFonts w:cs="Arial"/>
          <w:bCs/>
          <w:i/>
          <w:i/>
        </w:rPr>
      </w:pPr>
      <w:r>
        <w:rPr>
          <w:rFonts w:cs="Arial"/>
          <w:bCs/>
        </w:rPr>
        <w:t xml:space="preserve">As sanções de impedimento de licitar e contratar e declaração de inidoneidade para licitar ou contratar são passíveis de reabilitação na forma do </w:t>
      </w:r>
      <w:r>
        <w:fldChar w:fldCharType="begin"/>
      </w:r>
      <w:r>
        <w:rPr>
          <w:rStyle w:val="LinkdaInternet"/>
          <w:bCs/>
          <w:rFonts w:cs="Arial"/>
        </w:rPr>
        <w:instrText> HYPERLINK "http://www.planalto.gov.br/ccivil_03/_ato2019-2022/2021/lei/L14133.htm" \l "art163"</w:instrText>
      </w:r>
      <w:r>
        <w:rPr>
          <w:rStyle w:val="LinkdaInternet"/>
          <w:bCs/>
          <w:rFonts w:cs="Arial"/>
        </w:rPr>
        <w:fldChar w:fldCharType="separate"/>
      </w:r>
      <w:r>
        <w:rPr>
          <w:rStyle w:val="LinkdaInternet"/>
          <w:rFonts w:cs="Arial"/>
          <w:bCs/>
        </w:rPr>
        <w:t>art. 163 da Lei nº 14.133, de 2021.</w:t>
      </w:r>
      <w:r>
        <w:rPr>
          <w:rStyle w:val="LinkdaInternet"/>
          <w:bCs/>
          <w:rFonts w:cs="Arial"/>
        </w:rPr>
        <w:fldChar w:fldCharType="end"/>
      </w:r>
    </w:p>
    <w:p>
      <w:pPr>
        <w:pStyle w:val="Normal"/>
        <w:numPr>
          <w:ilvl w:val="1"/>
          <w:numId w:val="9"/>
        </w:numPr>
        <w:spacing w:lineRule="auto" w:line="276" w:before="120" w:after="120"/>
        <w:ind w:left="425" w:hanging="0"/>
        <w:jc w:val="both"/>
        <w:rPr>
          <w:rFonts w:cs="Arial"/>
        </w:rPr>
      </w:pPr>
      <w:r>
        <w:rPr>
          <w:rFonts w:cs="Arial"/>
        </w:rPr>
        <w:t>As sanções por atos praticados no decorrer da contratação estão previstas nos anexos a este Aviso.</w:t>
      </w:r>
    </w:p>
    <w:p>
      <w:pPr>
        <w:pStyle w:val="Ttulo1"/>
        <w:rPr/>
      </w:pPr>
      <w:bookmarkStart w:id="9" w:name="_Toc118380907"/>
      <w:r>
        <w:rPr/>
        <w:t>DAS DISPOSIÇÕES GERAIS</w:t>
      </w:r>
      <w:bookmarkEnd w:id="9"/>
    </w:p>
    <w:p>
      <w:pPr>
        <w:pStyle w:val="Normal"/>
        <w:numPr>
          <w:ilvl w:val="1"/>
          <w:numId w:val="9"/>
        </w:numPr>
        <w:spacing w:lineRule="auto" w:line="276" w:before="120" w:after="120"/>
        <w:ind w:left="425" w:hanging="0"/>
        <w:jc w:val="both"/>
        <w:rPr>
          <w:rFonts w:cs="Arial"/>
          <w:color w:val="000000"/>
          <w:szCs w:val="20"/>
        </w:rPr>
      </w:pPr>
      <w:r>
        <w:rPr>
          <w:rFonts w:cs="Arial"/>
          <w:color w:val="000000"/>
          <w:szCs w:val="20"/>
        </w:rPr>
        <w:t>No caso de todos os fornecedores restarem desclassificados ou inabilitados (procedimento fracassado), a Administração poderá:</w:t>
      </w:r>
    </w:p>
    <w:p>
      <w:pPr>
        <w:pStyle w:val="Normal"/>
        <w:numPr>
          <w:ilvl w:val="2"/>
          <w:numId w:val="9"/>
        </w:numPr>
        <w:spacing w:lineRule="auto" w:line="276" w:before="120" w:after="120"/>
        <w:jc w:val="both"/>
        <w:rPr>
          <w:rFonts w:cs="Arial"/>
          <w:color w:val="000000"/>
          <w:szCs w:val="20"/>
        </w:rPr>
      </w:pPr>
      <w:r>
        <w:rPr>
          <w:rFonts w:cs="Arial"/>
          <w:color w:val="000000"/>
          <w:szCs w:val="20"/>
        </w:rPr>
        <w:t>Republicar o presente aviso com uma nova data;</w:t>
      </w:r>
    </w:p>
    <w:p>
      <w:pPr>
        <w:pStyle w:val="Normal"/>
        <w:numPr>
          <w:ilvl w:val="2"/>
          <w:numId w:val="9"/>
        </w:numPr>
        <w:spacing w:lineRule="auto" w:line="276" w:before="120" w:after="120"/>
        <w:jc w:val="both"/>
        <w:rPr>
          <w:rFonts w:cs="Arial"/>
          <w:color w:val="000000"/>
          <w:szCs w:val="20"/>
        </w:rPr>
      </w:pPr>
      <w:r>
        <w:rPr>
          <w:rFonts w:cs="Arial"/>
          <w:color w:val="000000"/>
          <w:szCs w:val="20"/>
        </w:rPr>
        <w:t>valer-se, para a contratação, de proposta obtida na pesquisa de preços que serviu de base ao procedimento, se houver, privilegiando-se os menores preços, sempre que possível, e desde que atendidas às condições de habilitação exigidas.</w:t>
      </w:r>
    </w:p>
    <w:p>
      <w:pPr>
        <w:pStyle w:val="Normal"/>
        <w:numPr>
          <w:ilvl w:val="3"/>
          <w:numId w:val="9"/>
        </w:numPr>
        <w:spacing w:lineRule="auto" w:line="276" w:before="120" w:after="120"/>
        <w:jc w:val="both"/>
        <w:rPr>
          <w:rFonts w:cs="Arial"/>
          <w:color w:val="000000"/>
          <w:szCs w:val="20"/>
        </w:rPr>
      </w:pPr>
      <w:r>
        <w:rPr>
          <w:rFonts w:cs="Arial"/>
          <w:color w:val="000000"/>
          <w:szCs w:val="20"/>
        </w:rPr>
        <w:t>No caso do subitem anterior, a contratação será operacionalizada fora deste procedimento.</w:t>
      </w:r>
    </w:p>
    <w:p>
      <w:pPr>
        <w:pStyle w:val="Normal"/>
        <w:numPr>
          <w:ilvl w:val="2"/>
          <w:numId w:val="9"/>
        </w:numPr>
        <w:spacing w:lineRule="auto" w:line="276" w:before="120" w:after="120"/>
        <w:jc w:val="both"/>
        <w:rPr>
          <w:rFonts w:cs="Arial"/>
          <w:color w:val="000000"/>
          <w:szCs w:val="20"/>
        </w:rPr>
      </w:pPr>
      <w:r>
        <w:rPr>
          <w:rFonts w:cs="Arial"/>
          <w:color w:val="000000"/>
          <w:szCs w:val="20"/>
        </w:rPr>
        <w:t>Fixar prazo para que possa haver adequação das propostas ou da documentação de habilitação, conforme o caso.</w:t>
      </w:r>
    </w:p>
    <w:p>
      <w:pPr>
        <w:pStyle w:val="Normal"/>
        <w:numPr>
          <w:ilvl w:val="1"/>
          <w:numId w:val="9"/>
        </w:numPr>
        <w:spacing w:lineRule="auto" w:line="276" w:before="120" w:after="120"/>
        <w:ind w:left="425" w:hanging="0"/>
        <w:jc w:val="both"/>
        <w:rPr>
          <w:rFonts w:cs="Arial"/>
          <w:color w:val="000000"/>
          <w:szCs w:val="20"/>
        </w:rPr>
      </w:pPr>
      <w:r>
        <w:rPr>
          <w:rFonts w:cs="Arial"/>
          <w:color w:val="000000"/>
          <w:szCs w:val="20"/>
        </w:rPr>
        <w:t>As providências dos subitens 9.1.1 e 9.1.2 também poderão ser utilizadas se não houver o comparecimento de quaisquer fornecedores interessados (procedimento deserto).</w:t>
      </w:r>
    </w:p>
    <w:p>
      <w:pPr>
        <w:pStyle w:val="Normal"/>
        <w:numPr>
          <w:ilvl w:val="1"/>
          <w:numId w:val="9"/>
        </w:numPr>
        <w:spacing w:lineRule="auto" w:line="276" w:before="120" w:after="120"/>
        <w:ind w:left="425" w:hanging="0"/>
        <w:jc w:val="both"/>
        <w:rPr>
          <w:rFonts w:cs="Arial"/>
          <w:color w:val="000000"/>
          <w:szCs w:val="20"/>
        </w:rPr>
      </w:pPr>
      <w:r>
        <w:rPr>
          <w:rFonts w:cs="Arial"/>
          <w:color w:val="000000"/>
          <w:szCs w:val="20"/>
        </w:rPr>
        <w:t>Havendo a necessidade de realização de ato de qualquer natureza pelos fornecedores, cujo prazo não conste deste Aviso de Contratação Direta, deverá ser atendido o prazo indicado pelo agente competente da Administração na respectiva notificação.</w:t>
      </w:r>
    </w:p>
    <w:p>
      <w:pPr>
        <w:pStyle w:val="Normal"/>
        <w:numPr>
          <w:ilvl w:val="1"/>
          <w:numId w:val="9"/>
        </w:numPr>
        <w:spacing w:lineRule="auto" w:line="276" w:before="120" w:after="120"/>
        <w:ind w:left="425" w:hanging="0"/>
        <w:jc w:val="both"/>
        <w:rPr>
          <w:rFonts w:cs="Arial"/>
          <w:color w:val="000000"/>
          <w:szCs w:val="20"/>
        </w:rPr>
      </w:pPr>
      <w:r>
        <w:rPr>
          <w:rFonts w:cs="Arial"/>
          <w:color w:val="000000"/>
          <w:szCs w:val="20"/>
        </w:rPr>
        <w:t>Caberá ao fornecedor acompanhar as operações, ficando responsável pelo ônus decorrente da perda do negócio diante da inobservância de quaisquer mensagens emitidas pela Administração ou de sua desconexão.</w:t>
      </w:r>
    </w:p>
    <w:p>
      <w:pPr>
        <w:pStyle w:val="Normal"/>
        <w:numPr>
          <w:ilvl w:val="1"/>
          <w:numId w:val="9"/>
        </w:numPr>
        <w:spacing w:lineRule="auto" w:line="276" w:before="120" w:after="120"/>
        <w:ind w:left="425" w:hanging="0"/>
        <w:jc w:val="both"/>
        <w:rPr>
          <w:rFonts w:cs="Arial"/>
          <w:color w:val="000000"/>
          <w:szCs w:val="20"/>
        </w:rPr>
      </w:pPr>
      <w:r>
        <w:rPr>
          <w:rFonts w:cs="Arial"/>
          <w:color w:val="000000"/>
          <w:szCs w:val="20"/>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w:t>
      </w:r>
    </w:p>
    <w:p>
      <w:pPr>
        <w:pStyle w:val="Normal"/>
        <w:numPr>
          <w:ilvl w:val="1"/>
          <w:numId w:val="9"/>
        </w:numPr>
        <w:spacing w:lineRule="auto" w:line="276" w:before="120" w:after="120"/>
        <w:ind w:left="425" w:hanging="0"/>
        <w:jc w:val="both"/>
        <w:rPr>
          <w:rFonts w:cs="Arial"/>
          <w:color w:val="000000"/>
          <w:szCs w:val="20"/>
        </w:rPr>
      </w:pPr>
      <w:r>
        <w:rPr>
          <w:rFonts w:cs="Arial"/>
          <w:color w:val="000000"/>
          <w:szCs w:val="20"/>
        </w:rPr>
        <w:t>Os horários estabelecidos na divulgação deste procedimento e durante o envio de lances observarão o horário de Brasília-DF, inclusive para contagem de tempo e registro no Sistema e na documentação relativa ao procedimento.</w:t>
      </w:r>
    </w:p>
    <w:p>
      <w:pPr>
        <w:pStyle w:val="Normal"/>
        <w:numPr>
          <w:ilvl w:val="1"/>
          <w:numId w:val="9"/>
        </w:numPr>
        <w:spacing w:lineRule="auto" w:line="276" w:before="120" w:after="120"/>
        <w:ind w:left="425" w:hanging="0"/>
        <w:jc w:val="both"/>
        <w:rPr>
          <w:rFonts w:cs="Arial"/>
          <w:color w:val="000000" w:themeColor="text1"/>
          <w:szCs w:val="20"/>
        </w:rPr>
      </w:pPr>
      <w:r>
        <w:rPr>
          <w:rFonts w:cs="Arial"/>
          <w:color w:val="000000" w:themeColor="text1"/>
          <w:szCs w:val="20"/>
        </w:rPr>
        <w:t>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pPr>
        <w:pStyle w:val="Normal"/>
        <w:numPr>
          <w:ilvl w:val="1"/>
          <w:numId w:val="9"/>
        </w:numPr>
        <w:spacing w:lineRule="auto" w:line="276" w:before="120" w:after="120"/>
        <w:ind w:left="425" w:hanging="0"/>
        <w:jc w:val="both"/>
        <w:rPr>
          <w:rFonts w:cs="Arial"/>
          <w:color w:val="000000"/>
          <w:szCs w:val="20"/>
        </w:rPr>
      </w:pPr>
      <w:r>
        <w:rPr>
          <w:rFonts w:cs="Arial"/>
          <w:color w:val="000000"/>
          <w:szCs w:val="20"/>
        </w:rPr>
        <w:t xml:space="preserve">As normas disciplinadoras deste Aviso de Contratação Direta serão sempre interpretadas em favor da ampliação da disputa entre os interessados, desde que não comprometam o interesse da Administração, o princípio da isonomia, a finalidade e a segurança da contratação. </w:t>
      </w:r>
    </w:p>
    <w:p>
      <w:pPr>
        <w:pStyle w:val="Normal"/>
        <w:numPr>
          <w:ilvl w:val="1"/>
          <w:numId w:val="9"/>
        </w:numPr>
        <w:spacing w:lineRule="auto" w:line="276" w:before="120" w:after="120"/>
        <w:ind w:left="425" w:hanging="0"/>
        <w:jc w:val="both"/>
        <w:rPr>
          <w:rFonts w:cs="Arial"/>
          <w:color w:val="000000"/>
          <w:szCs w:val="20"/>
        </w:rPr>
      </w:pPr>
      <w:r>
        <w:rPr>
          <w:rFonts w:cs="Arial"/>
          <w:color w:val="000000"/>
          <w:szCs w:val="20"/>
        </w:rPr>
        <w:t>Os fornecedores assumem todos os custos de preparação e apresentação de suas propostas e a Administração não será, em nenhum caso, responsável por esses custos, independentemente da condução ou do resultado do processo de contratação.</w:t>
      </w:r>
    </w:p>
    <w:p>
      <w:pPr>
        <w:pStyle w:val="Normal"/>
        <w:numPr>
          <w:ilvl w:val="1"/>
          <w:numId w:val="9"/>
        </w:numPr>
        <w:spacing w:lineRule="auto" w:line="276" w:before="120" w:after="120"/>
        <w:ind w:left="425" w:hanging="0"/>
        <w:jc w:val="both"/>
        <w:rPr>
          <w:rFonts w:cs="Arial"/>
          <w:color w:val="000000"/>
          <w:szCs w:val="20"/>
        </w:rPr>
      </w:pPr>
      <w:r>
        <w:rPr>
          <w:rFonts w:cs="Arial"/>
          <w:color w:val="000000"/>
          <w:szCs w:val="20"/>
        </w:rPr>
        <w:t>Em caso de divergência entre disposições deste Aviso de Contratação Direta e de seus anexos ou demais peças que compõem o processo, prevalecerá as deste Aviso.</w:t>
      </w:r>
    </w:p>
    <w:p>
      <w:pPr>
        <w:pStyle w:val="Normal"/>
        <w:numPr>
          <w:ilvl w:val="1"/>
          <w:numId w:val="9"/>
        </w:numPr>
        <w:spacing w:lineRule="auto" w:line="276" w:before="120" w:after="120"/>
        <w:ind w:left="425" w:hanging="0"/>
        <w:jc w:val="both"/>
        <w:rPr>
          <w:rFonts w:cs="Arial"/>
          <w:color w:val="000000"/>
          <w:szCs w:val="20"/>
        </w:rPr>
      </w:pPr>
      <w:r>
        <w:rPr>
          <w:rFonts w:cs="Arial"/>
          <w:color w:val="000000"/>
          <w:szCs w:val="20"/>
        </w:rPr>
        <w:t>Da sessão pública será divulgada Ata no sistema eletrônico.</w:t>
      </w:r>
    </w:p>
    <w:p>
      <w:pPr>
        <w:pStyle w:val="Normal"/>
        <w:numPr>
          <w:ilvl w:val="1"/>
          <w:numId w:val="9"/>
        </w:numPr>
        <w:spacing w:lineRule="auto" w:line="276" w:before="120" w:after="120"/>
        <w:ind w:left="425" w:hanging="0"/>
        <w:jc w:val="both"/>
        <w:rPr>
          <w:rFonts w:cs="Arial"/>
          <w:color w:val="000000"/>
          <w:szCs w:val="20"/>
        </w:rPr>
      </w:pPr>
      <w:r>
        <w:rPr>
          <w:rFonts w:cs="Arial"/>
          <w:color w:val="000000"/>
          <w:szCs w:val="20"/>
        </w:rPr>
        <w:t>Integram este Aviso de Contratação Direta, para todos os fins e efeitos, os seguintes anexos:</w:t>
      </w:r>
    </w:p>
    <w:p>
      <w:pPr>
        <w:pStyle w:val="Normal"/>
        <w:numPr>
          <w:ilvl w:val="2"/>
          <w:numId w:val="9"/>
        </w:numPr>
        <w:spacing w:lineRule="auto" w:line="276" w:before="120" w:after="120"/>
        <w:jc w:val="both"/>
        <w:rPr>
          <w:rFonts w:cs="Arial"/>
          <w:color w:val="000000"/>
          <w:szCs w:val="20"/>
        </w:rPr>
      </w:pPr>
      <w:r>
        <w:rPr>
          <w:rFonts w:cs="Arial"/>
          <w:color w:val="000000"/>
          <w:szCs w:val="20"/>
        </w:rPr>
        <w:t>ANEXO I – Documentação exigida para Habilitação</w:t>
      </w:r>
    </w:p>
    <w:p>
      <w:pPr>
        <w:pStyle w:val="Normal"/>
        <w:numPr>
          <w:ilvl w:val="2"/>
          <w:numId w:val="9"/>
        </w:numPr>
        <w:spacing w:lineRule="auto" w:line="276" w:before="120" w:after="120"/>
        <w:jc w:val="both"/>
        <w:rPr>
          <w:rFonts w:cs="Arial"/>
          <w:color w:val="000000"/>
          <w:szCs w:val="20"/>
        </w:rPr>
      </w:pPr>
      <w:r>
        <w:rPr>
          <w:rFonts w:cs="Arial"/>
          <w:color w:val="000000"/>
          <w:szCs w:val="20"/>
        </w:rPr>
        <w:t>ANEXO II - Termo de Referência;</w:t>
      </w:r>
    </w:p>
    <w:p>
      <w:pPr>
        <w:pStyle w:val="Normal"/>
        <w:numPr>
          <w:ilvl w:val="3"/>
          <w:numId w:val="9"/>
        </w:numPr>
        <w:spacing w:lineRule="auto" w:line="276" w:before="120" w:after="120"/>
        <w:jc w:val="both"/>
        <w:rPr>
          <w:color w:val="000000"/>
        </w:rPr>
      </w:pPr>
      <w:r>
        <w:rPr>
          <w:rFonts w:cs="Arial"/>
          <w:i/>
          <w:iCs/>
          <w:color w:val="000000"/>
          <w:szCs w:val="20"/>
        </w:rPr>
        <w:t>ANEXO II.1 – Estudo Técnico Preliminar;</w:t>
      </w:r>
    </w:p>
    <w:p>
      <w:pPr>
        <w:pStyle w:val="Normal"/>
        <w:numPr>
          <w:ilvl w:val="2"/>
          <w:numId w:val="9"/>
        </w:numPr>
        <w:spacing w:lineRule="auto" w:line="276" w:before="120" w:after="120"/>
        <w:jc w:val="both"/>
        <w:rPr>
          <w:color w:val="000000"/>
        </w:rPr>
      </w:pPr>
      <w:r>
        <w:rPr>
          <w:rFonts w:cs="Arial"/>
          <w:i/>
          <w:iCs/>
          <w:color w:val="000000"/>
          <w:szCs w:val="20"/>
        </w:rPr>
        <w:t>ANEXO III – Minuta de Termo de Contrato; e</w:t>
      </w:r>
    </w:p>
    <w:p>
      <w:pPr>
        <w:pStyle w:val="Normal"/>
        <w:numPr>
          <w:ilvl w:val="2"/>
          <w:numId w:val="9"/>
        </w:numPr>
        <w:spacing w:lineRule="auto" w:line="276" w:before="120" w:after="120"/>
        <w:jc w:val="both"/>
        <w:rPr>
          <w:color w:val="000000"/>
        </w:rPr>
      </w:pPr>
      <w:r>
        <w:rPr>
          <w:rFonts w:cs="Arial"/>
          <w:i/>
          <w:iCs/>
          <w:color w:val="000000"/>
          <w:szCs w:val="20"/>
        </w:rPr>
        <w:t>ANEXO IV – Declaração Formal de Pleno Conhecimento da Contratação.</w:t>
      </w:r>
    </w:p>
    <w:p>
      <w:pPr>
        <w:pStyle w:val="ListParagraph"/>
        <w:spacing w:lineRule="auto" w:line="276" w:before="0" w:after="0"/>
        <w:ind w:left="720" w:hanging="0"/>
        <w:contextualSpacing/>
        <w:jc w:val="center"/>
        <w:rPr/>
      </w:pPr>
      <w:r>
        <w:rPr/>
      </w:r>
    </w:p>
    <w:p>
      <w:pPr>
        <w:pStyle w:val="ListParagraph"/>
        <w:spacing w:lineRule="auto" w:line="276" w:before="0" w:after="0"/>
        <w:ind w:left="720" w:hanging="0"/>
        <w:contextualSpacing/>
        <w:jc w:val="center"/>
        <w:rPr/>
      </w:pPr>
      <w:r>
        <w:rPr/>
        <w:t>Juiz de Fora/MG, 26 de julho de 2023.</w:t>
      </w:r>
    </w:p>
    <w:p>
      <w:pPr>
        <w:pStyle w:val="ListParagraph"/>
        <w:spacing w:lineRule="auto" w:line="276" w:before="0" w:after="0"/>
        <w:ind w:left="720" w:hanging="0"/>
        <w:contextualSpacing/>
        <w:jc w:val="center"/>
        <w:rPr/>
      </w:pPr>
      <w:r>
        <w:rPr/>
      </w:r>
    </w:p>
    <w:p>
      <w:pPr>
        <w:pStyle w:val="ListParagraph"/>
        <w:spacing w:lineRule="auto" w:line="276" w:before="0" w:after="0"/>
        <w:ind w:left="720" w:hanging="0"/>
        <w:contextualSpacing/>
        <w:jc w:val="center"/>
        <w:rPr/>
      </w:pPr>
      <w:r>
        <w:rPr/>
      </w:r>
    </w:p>
    <w:p>
      <w:pPr>
        <w:pStyle w:val="ListParagraph"/>
        <w:spacing w:lineRule="auto" w:line="276" w:before="0" w:after="0"/>
        <w:ind w:left="720" w:hanging="0"/>
        <w:contextualSpacing/>
        <w:jc w:val="center"/>
        <w:rPr/>
      </w:pPr>
      <w:r>
        <w:rPr/>
      </w:r>
    </w:p>
    <w:p>
      <w:pPr>
        <w:pStyle w:val="ListParagraph"/>
        <w:spacing w:lineRule="auto" w:line="276" w:before="0" w:after="0"/>
        <w:ind w:left="720" w:hanging="0"/>
        <w:contextualSpacing/>
        <w:jc w:val="center"/>
        <w:rPr/>
      </w:pPr>
      <w:r>
        <w:rPr/>
      </w:r>
    </w:p>
    <w:p>
      <w:pPr>
        <w:pStyle w:val="ListParagraph"/>
        <w:spacing w:lineRule="auto" w:line="276" w:before="0" w:after="0"/>
        <w:ind w:left="720" w:hanging="0"/>
        <w:contextualSpacing/>
        <w:jc w:val="center"/>
        <w:rPr>
          <w:b/>
          <w:b/>
          <w:bCs/>
        </w:rPr>
      </w:pPr>
      <w:r>
        <w:rPr>
          <w:rFonts w:eastAsia="Times New Roman" w:cs="Tahoma"/>
          <w:b/>
          <w:bCs/>
          <w:sz w:val="20"/>
          <w:szCs w:val="24"/>
          <w:lang w:eastAsia="pt-BR"/>
        </w:rPr>
        <w:t>UBIRAJARA PANIZZI DE SOUZA</w:t>
      </w:r>
      <w:r>
        <w:rPr>
          <w:b/>
          <w:bCs/>
        </w:rPr>
        <w:t xml:space="preserve"> – Coronel</w:t>
      </w:r>
    </w:p>
    <w:p>
      <w:pPr>
        <w:pStyle w:val="ListParagraph"/>
        <w:spacing w:lineRule="auto" w:line="276" w:before="0" w:after="0"/>
        <w:ind w:left="720" w:hanging="0"/>
        <w:contextualSpacing/>
        <w:jc w:val="center"/>
        <w:rPr>
          <w:b w:val="false"/>
          <w:b w:val="false"/>
          <w:bCs w:val="false"/>
        </w:rPr>
      </w:pPr>
      <w:r>
        <w:rPr>
          <w:rFonts w:cs="Arial"/>
          <w:b w:val="false"/>
          <w:bCs w:val="false"/>
          <w:iCs/>
          <w:color w:val="000000"/>
          <w:szCs w:val="20"/>
        </w:rPr>
        <w:t>Ordenador de Despesas do Cmdo 4ª Bda Inf L Mth</w:t>
      </w:r>
    </w:p>
    <w:p>
      <w:pPr>
        <w:pStyle w:val="Normal"/>
        <w:jc w:val="center"/>
        <w:rPr>
          <w:rFonts w:cs="Arial"/>
          <w:b/>
          <w:b/>
          <w:bCs/>
          <w:lang w:eastAsia="en-US"/>
        </w:rPr>
      </w:pPr>
      <w:r>
        <w:rPr>
          <w:rFonts w:cs="Arial"/>
          <w:b/>
          <w:bCs/>
          <w:lang w:eastAsia="en-US"/>
        </w:rPr>
      </w:r>
    </w:p>
    <w:p>
      <w:pPr>
        <w:pStyle w:val="Normal"/>
        <w:jc w:val="center"/>
        <w:rPr>
          <w:rFonts w:cs="Arial"/>
          <w:b/>
          <w:b/>
          <w:bCs/>
          <w:lang w:eastAsia="en-US"/>
        </w:rPr>
      </w:pPr>
      <w:r>
        <w:rPr>
          <w:rFonts w:cs="Arial"/>
          <w:b/>
          <w:bCs/>
          <w:lang w:eastAsia="en-US"/>
        </w:rPr>
      </w:r>
    </w:p>
    <w:p>
      <w:pPr>
        <w:pStyle w:val="Normal"/>
        <w:spacing w:lineRule="auto" w:line="276" w:before="0" w:after="0"/>
        <w:contextualSpacing/>
        <w:jc w:val="both"/>
        <w:rPr>
          <w:rFonts w:cs="Arial"/>
          <w:b/>
          <w:b/>
          <w:szCs w:val="20"/>
          <w:lang w:eastAsia="ar-SA"/>
        </w:rPr>
      </w:pPr>
      <w:r>
        <w:rPr>
          <w:rFonts w:cs="Arial"/>
          <w:b/>
          <w:szCs w:val="20"/>
          <w:lang w:eastAsia="ar-SA"/>
        </w:rPr>
      </w:r>
    </w:p>
    <w:p>
      <w:pPr>
        <w:pStyle w:val="Normal"/>
        <w:spacing w:lineRule="auto" w:line="276" w:before="0" w:after="0"/>
        <w:contextualSpacing/>
        <w:jc w:val="both"/>
        <w:rPr>
          <w:rFonts w:cs="Arial"/>
          <w:b/>
          <w:b/>
          <w:szCs w:val="20"/>
          <w:lang w:eastAsia="ar-SA"/>
        </w:rPr>
      </w:pPr>
      <w:commentRangeStart w:id="15"/>
      <w:r>
        <w:rPr>
          <w:rFonts w:cs="Arial"/>
          <w:b/>
          <w:szCs w:val="20"/>
          <w:lang w:eastAsia="ar-SA"/>
        </w:rPr>
        <w:t>ANEXO I – DOCUMENTAÇÃO EXIGIDA PARA HABILITAÇÃO</w:t>
      </w:r>
      <w:commentRangeEnd w:id="15"/>
      <w:r>
        <w:commentReference w:id="15"/>
      </w:r>
      <w:r>
        <w:rPr>
          <w:rFonts w:cs="Arial"/>
          <w:b/>
          <w:szCs w:val="20"/>
          <w:lang w:eastAsia="ar-SA"/>
        </w:rPr>
      </w:r>
    </w:p>
    <w:p>
      <w:pPr>
        <w:pStyle w:val="ListParagraph"/>
        <w:numPr>
          <w:ilvl w:val="0"/>
          <w:numId w:val="7"/>
        </w:numPr>
        <w:spacing w:lineRule="auto" w:line="276" w:before="120" w:after="120"/>
        <w:ind w:left="0" w:hanging="0"/>
        <w:contextualSpacing/>
        <w:jc w:val="both"/>
        <w:rPr>
          <w:rFonts w:eastAsia="WenQuanYi Micro Hei" w:cs="Arial"/>
          <w:color w:val="000000"/>
          <w:szCs w:val="20"/>
          <w:lang w:eastAsia="zh-CN" w:bidi="hi-IN"/>
        </w:rPr>
      </w:pPr>
      <w:r>
        <w:rPr>
          <w:rFonts w:eastAsia="WenQuanYi Micro Hei" w:cs="Arial"/>
          <w:color w:val="000000"/>
          <w:szCs w:val="20"/>
          <w:lang w:eastAsia="zh-CN" w:bidi="hi-IN"/>
        </w:rPr>
        <w:t>As exigências de habilitação a serem atendidas pelo fornecedor são aquelas discriminadas nos itens a seguir:</w:t>
      </w:r>
    </w:p>
    <w:p>
      <w:pPr>
        <w:pStyle w:val="ListParagraph"/>
        <w:spacing w:lineRule="auto" w:line="276" w:before="120" w:after="120"/>
        <w:ind w:left="1145" w:hanging="0"/>
        <w:contextualSpacing/>
        <w:jc w:val="both"/>
        <w:rPr>
          <w:rFonts w:eastAsia="WenQuanYi Micro Hei" w:cs="Arial"/>
          <w:color w:val="000000"/>
          <w:szCs w:val="20"/>
          <w:lang w:eastAsia="zh-CN" w:bidi="hi-IN"/>
        </w:rPr>
      </w:pPr>
      <w:r>
        <w:rPr>
          <w:rFonts w:eastAsia="WenQuanYi Micro Hei" w:cs="Arial"/>
          <w:color w:val="000000"/>
          <w:szCs w:val="20"/>
          <w:lang w:eastAsia="zh-CN" w:bidi="hi-IN"/>
        </w:rPr>
      </w:r>
    </w:p>
    <w:p>
      <w:pPr>
        <w:pStyle w:val="ListParagraph"/>
        <w:numPr>
          <w:ilvl w:val="1"/>
          <w:numId w:val="6"/>
        </w:numPr>
        <w:spacing w:lineRule="auto" w:line="276" w:before="120" w:after="120"/>
        <w:contextualSpacing/>
        <w:jc w:val="both"/>
        <w:rPr>
          <w:rFonts w:eastAsia="WenQuanYi Micro Hei" w:cs="Arial"/>
          <w:b/>
          <w:b/>
          <w:bCs/>
          <w:color w:val="000000"/>
          <w:szCs w:val="20"/>
          <w:lang w:eastAsia="zh-CN" w:bidi="hi-IN"/>
        </w:rPr>
      </w:pPr>
      <w:r>
        <w:rPr>
          <w:rFonts w:eastAsia="WenQuanYi Micro Hei" w:cs="Arial"/>
          <w:b/>
          <w:bCs/>
          <w:color w:val="000000"/>
          <w:szCs w:val="20"/>
          <w:lang w:eastAsia="zh-CN" w:bidi="hi-IN"/>
        </w:rPr>
        <w:t>Habilitação jurídica</w:t>
      </w:r>
    </w:p>
    <w:p>
      <w:pPr>
        <w:pStyle w:val="ListParagraph"/>
        <w:spacing w:lineRule="auto" w:line="276" w:before="120" w:after="120"/>
        <w:ind w:left="1134" w:firstLine="11"/>
        <w:contextualSpacing/>
        <w:jc w:val="both"/>
        <w:rPr>
          <w:rFonts w:eastAsia="Calibri" w:cs="Arial"/>
          <w:i/>
          <w:i/>
          <w:color w:val="FF0000"/>
          <w:szCs w:val="20"/>
          <w:lang w:eastAsia="en-US"/>
        </w:rPr>
      </w:pPr>
      <w:r>
        <w:rPr>
          <w:rFonts w:eastAsia="Calibri" w:cs="Arial"/>
          <w:i/>
          <w:color w:val="FF0000"/>
          <w:szCs w:val="20"/>
          <w:lang w:eastAsia="en-US"/>
        </w:rPr>
      </w:r>
    </w:p>
    <w:p>
      <w:pPr>
        <w:pStyle w:val="ListParagraph"/>
        <w:numPr>
          <w:ilvl w:val="2"/>
          <w:numId w:val="6"/>
        </w:numPr>
        <w:tabs>
          <w:tab w:val="clear" w:pos="720"/>
          <w:tab w:val="left" w:pos="1440" w:leader="none"/>
        </w:tabs>
        <w:snapToGrid w:val="false"/>
        <w:spacing w:lineRule="auto" w:line="276" w:before="120" w:after="120"/>
        <w:contextualSpacing/>
        <w:jc w:val="both"/>
        <w:rPr>
          <w:iCs/>
          <w:szCs w:val="20"/>
        </w:rPr>
      </w:pPr>
      <w:r>
        <w:rPr>
          <w:rFonts w:cs="Arial"/>
          <w:b/>
          <w:iCs/>
          <w:szCs w:val="20"/>
        </w:rPr>
        <w:t>Empresário individual</w:t>
      </w:r>
      <w:r>
        <w:rPr>
          <w:rFonts w:cs="Arial"/>
          <w:iCs/>
          <w:szCs w:val="20"/>
        </w:rPr>
        <w:t xml:space="preserve">: inscrição no Registro Público de Empresas Mercantis, a cargo da Junta Comercial da respectiva sede; </w:t>
      </w:r>
    </w:p>
    <w:p>
      <w:pPr>
        <w:pStyle w:val="ListParagraph"/>
        <w:numPr>
          <w:ilvl w:val="2"/>
          <w:numId w:val="6"/>
        </w:numPr>
        <w:tabs>
          <w:tab w:val="clear" w:pos="720"/>
          <w:tab w:val="left" w:pos="1440" w:leader="none"/>
        </w:tabs>
        <w:snapToGrid w:val="false"/>
        <w:spacing w:lineRule="auto" w:line="276" w:before="120" w:after="120"/>
        <w:contextualSpacing/>
        <w:jc w:val="both"/>
        <w:rPr>
          <w:rFonts w:ascii="Calibri" w:hAnsi="Calibri"/>
          <w:strike/>
          <w:sz w:val="22"/>
          <w:szCs w:val="22"/>
        </w:rPr>
      </w:pPr>
      <w:r>
        <w:rPr>
          <w:rFonts w:cs="Arial"/>
          <w:b/>
          <w:szCs w:val="20"/>
        </w:rPr>
        <w:t>Microempreendedor Individual - MEI</w:t>
      </w:r>
      <w:r>
        <w:rPr>
          <w:rFonts w:cs="Arial"/>
          <w:szCs w:val="20"/>
        </w:rPr>
        <w:t xml:space="preserve">: Certificado da Condição de </w:t>
      </w:r>
      <w:r>
        <w:rPr>
          <w:rFonts w:cs="Arial"/>
          <w:b/>
          <w:iCs/>
          <w:szCs w:val="20"/>
        </w:rPr>
        <w:t>Microempreendedor</w:t>
      </w:r>
      <w:r>
        <w:rPr>
          <w:rFonts w:cs="Arial"/>
          <w:szCs w:val="20"/>
        </w:rPr>
        <w:t xml:space="preserve"> Individual - CCMEI, cuja aceitação ficará condicionada à verificação da autenticidade no sítio </w:t>
      </w:r>
      <w:hyperlink r:id="rId15">
        <w:r>
          <w:rPr>
            <w:rStyle w:val="LinkdaInternet"/>
            <w:rFonts w:cs="Arial"/>
            <w:szCs w:val="20"/>
          </w:rPr>
          <w:t>https://www.gov.br/empresas-e-negocios/pt-br/empreendedor</w:t>
        </w:r>
      </w:hyperlink>
      <w:r>
        <w:rPr>
          <w:rFonts w:cs="Arial"/>
          <w:szCs w:val="20"/>
        </w:rPr>
        <w:t>;</w:t>
      </w:r>
    </w:p>
    <w:p>
      <w:pPr>
        <w:pStyle w:val="ListParagraph"/>
        <w:numPr>
          <w:ilvl w:val="2"/>
          <w:numId w:val="6"/>
        </w:numPr>
        <w:tabs>
          <w:tab w:val="clear" w:pos="720"/>
          <w:tab w:val="left" w:pos="1440" w:leader="none"/>
        </w:tabs>
        <w:snapToGrid w:val="false"/>
        <w:spacing w:lineRule="auto" w:line="276" w:before="120" w:after="120"/>
        <w:contextualSpacing/>
        <w:jc w:val="both"/>
        <w:rPr>
          <w:szCs w:val="20"/>
        </w:rPr>
      </w:pPr>
      <w:commentRangeStart w:id="16"/>
      <w:r>
        <w:rPr>
          <w:rFonts w:cs="Arial"/>
          <w:b/>
          <w:color w:val="000000"/>
          <w:szCs w:val="20"/>
        </w:rPr>
        <w:t>Sociedade empresária, sociedade limitada unipessoal – SLU ou sociedade identificada como empresa individual de responsabilidade limitada - EIRELI</w:t>
      </w:r>
      <w:r>
        <w:rPr>
          <w:rFonts w:cs="Arial"/>
          <w:color w:val="000000"/>
          <w:szCs w:val="20"/>
        </w:rPr>
        <w:t>: inscrição do ato constitutivo, estatuto ou contrato social no</w:t>
      </w:r>
      <w:r>
        <w:rPr>
          <w:rFonts w:cs="Arial"/>
          <w:szCs w:val="20"/>
        </w:rPr>
        <w:t xml:space="preserve"> </w:t>
      </w:r>
      <w:r>
        <w:rPr>
          <w:rFonts w:cs="Arial"/>
          <w:color w:val="000000"/>
          <w:szCs w:val="20"/>
        </w:rPr>
        <w:t>Registro Público de Empresas Mercantis, a cargo da Junta Comercial da respectiva sede, acompanhada de documento comprobatório de seus administradores;</w:t>
      </w:r>
      <w:commentRangeEnd w:id="16"/>
      <w:r>
        <w:commentReference w:id="16"/>
      </w:r>
      <w:r>
        <w:rPr>
          <w:rFonts w:cs="Arial"/>
          <w:color w:val="000000"/>
          <w:szCs w:val="20"/>
        </w:rPr>
      </w:r>
    </w:p>
    <w:p>
      <w:pPr>
        <w:pStyle w:val="ListParagraph"/>
        <w:numPr>
          <w:ilvl w:val="2"/>
          <w:numId w:val="6"/>
        </w:numPr>
        <w:tabs>
          <w:tab w:val="clear" w:pos="720"/>
          <w:tab w:val="left" w:pos="1440" w:leader="none"/>
        </w:tabs>
        <w:snapToGrid w:val="false"/>
        <w:spacing w:lineRule="auto" w:line="276" w:before="120" w:after="120"/>
        <w:contextualSpacing/>
        <w:jc w:val="both"/>
        <w:rPr>
          <w:szCs w:val="20"/>
        </w:rPr>
      </w:pPr>
      <w:r>
        <w:rPr>
          <w:rFonts w:cs="Arial"/>
          <w:b/>
          <w:color w:val="000000"/>
          <w:szCs w:val="20"/>
        </w:rPr>
        <w:t>Sociedade empresária estrangeira com atuação permanente no País</w:t>
      </w:r>
      <w:r>
        <w:rPr>
          <w:rFonts w:cs="Arial"/>
          <w:color w:val="000000"/>
          <w:szCs w:val="20"/>
        </w:rPr>
        <w:t>: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p>
    <w:p>
      <w:pPr>
        <w:pStyle w:val="ListParagraph"/>
        <w:numPr>
          <w:ilvl w:val="2"/>
          <w:numId w:val="6"/>
        </w:numPr>
        <w:tabs>
          <w:tab w:val="clear" w:pos="720"/>
          <w:tab w:val="left" w:pos="1440" w:leader="none"/>
        </w:tabs>
        <w:snapToGrid w:val="false"/>
        <w:spacing w:lineRule="auto" w:line="276" w:before="120" w:after="120"/>
        <w:contextualSpacing/>
        <w:jc w:val="both"/>
        <w:rPr>
          <w:szCs w:val="20"/>
        </w:rPr>
      </w:pPr>
      <w:r>
        <w:rPr>
          <w:rFonts w:cs="Arial"/>
          <w:b/>
          <w:color w:val="000000"/>
          <w:szCs w:val="20"/>
        </w:rPr>
        <w:t>Sociedade simples</w:t>
      </w:r>
      <w:r>
        <w:rPr>
          <w:rFonts w:cs="Arial"/>
          <w:color w:val="000000"/>
          <w:szCs w:val="20"/>
        </w:rPr>
        <w:t>: inscrição do ato constitutivo no Registro Civil de Pessoas Jurídicas do local de sua sede, acompanhada de documento comprobatório de seus administradores;</w:t>
      </w:r>
    </w:p>
    <w:p>
      <w:pPr>
        <w:pStyle w:val="ListParagraph"/>
        <w:numPr>
          <w:ilvl w:val="2"/>
          <w:numId w:val="6"/>
        </w:numPr>
        <w:tabs>
          <w:tab w:val="clear" w:pos="720"/>
          <w:tab w:val="left" w:pos="1440" w:leader="none"/>
        </w:tabs>
        <w:snapToGrid w:val="false"/>
        <w:spacing w:lineRule="auto" w:line="276" w:before="120" w:after="120"/>
        <w:contextualSpacing/>
        <w:jc w:val="both"/>
        <w:rPr>
          <w:szCs w:val="20"/>
        </w:rPr>
      </w:pPr>
      <w:r>
        <w:rPr>
          <w:rFonts w:cs="Arial"/>
          <w:b/>
          <w:color w:val="000000"/>
          <w:szCs w:val="20"/>
        </w:rPr>
        <w:t>Filial, sucursal ou agência</w:t>
      </w:r>
      <w:r>
        <w:rPr>
          <w:rFonts w:cs="Arial"/>
          <w:color w:val="000000"/>
          <w:szCs w:val="20"/>
        </w:rPr>
        <w:t xml:space="preserve"> </w:t>
      </w:r>
      <w:r>
        <w:rPr>
          <w:rFonts w:cs="Arial"/>
          <w:b/>
          <w:color w:val="000000"/>
          <w:szCs w:val="20"/>
        </w:rPr>
        <w:t>de sociedade simples ou empresária</w:t>
      </w:r>
      <w:r>
        <w:rPr>
          <w:rFonts w:cs="Arial"/>
          <w:color w:val="000000"/>
          <w:szCs w:val="20"/>
        </w:rPr>
        <w:t xml:space="preserve"> - inscrição do ato constitutivo da filial, sucursal ou agência da sociedade simples ou empresária, respectivamente, no Registro Civil das Pessoas Jurídicas ou no Registro Público de Empresas Mercantis onde opera, com averbação no Registro onde tem sede a matriz;</w:t>
      </w:r>
    </w:p>
    <w:p>
      <w:pPr>
        <w:pStyle w:val="ListParagraph"/>
        <w:numPr>
          <w:ilvl w:val="2"/>
          <w:numId w:val="6"/>
        </w:numPr>
        <w:tabs>
          <w:tab w:val="clear" w:pos="720"/>
          <w:tab w:val="left" w:pos="1440" w:leader="none"/>
        </w:tabs>
        <w:snapToGrid w:val="false"/>
        <w:spacing w:lineRule="auto" w:line="276" w:before="120" w:after="120"/>
        <w:contextualSpacing/>
        <w:jc w:val="both"/>
        <w:rPr>
          <w:rFonts w:cs="Arial"/>
          <w:bCs/>
          <w:color w:val="000000"/>
          <w:szCs w:val="20"/>
        </w:rPr>
      </w:pPr>
      <w:r>
        <w:rPr>
          <w:rFonts w:cs="Arial"/>
          <w:bCs/>
          <w:color w:val="000000"/>
          <w:szCs w:val="20"/>
        </w:rPr>
        <w:t>Os documentos apresentados deverão estar acompanhados de todas as alterações ou da consolidação respectiva.</w:t>
      </w:r>
    </w:p>
    <w:p>
      <w:pPr>
        <w:pStyle w:val="ListParagraph"/>
        <w:numPr>
          <w:ilvl w:val="1"/>
          <w:numId w:val="6"/>
        </w:numPr>
        <w:spacing w:lineRule="auto" w:line="276" w:before="120" w:after="120"/>
        <w:contextualSpacing/>
        <w:jc w:val="both"/>
        <w:rPr>
          <w:rFonts w:eastAsia="WenQuanYi Micro Hei" w:cs="Arial"/>
          <w:b/>
          <w:b/>
          <w:bCs/>
          <w:color w:val="000000"/>
          <w:szCs w:val="20"/>
          <w:lang w:eastAsia="zh-CN" w:bidi="hi-IN"/>
        </w:rPr>
      </w:pPr>
      <w:r>
        <w:rPr>
          <w:rFonts w:eastAsia="WenQuanYi Micro Hei" w:cs="Arial"/>
          <w:b/>
          <w:bCs/>
          <w:color w:val="000000"/>
          <w:szCs w:val="20"/>
          <w:lang w:eastAsia="zh-CN" w:bidi="hi-IN"/>
        </w:rPr>
        <w:t>Habilitações fiscal, social e trabalhista:</w:t>
      </w:r>
    </w:p>
    <w:p>
      <w:pPr>
        <w:pStyle w:val="ListParagraph"/>
        <w:numPr>
          <w:ilvl w:val="2"/>
          <w:numId w:val="6"/>
        </w:numPr>
        <w:tabs>
          <w:tab w:val="clear" w:pos="720"/>
          <w:tab w:val="left" w:pos="1440" w:leader="none"/>
        </w:tabs>
        <w:snapToGrid w:val="false"/>
        <w:spacing w:lineRule="auto" w:line="276" w:before="120" w:after="120"/>
        <w:contextualSpacing/>
        <w:jc w:val="both"/>
        <w:rPr>
          <w:rFonts w:cs="Arial"/>
          <w:szCs w:val="20"/>
        </w:rPr>
      </w:pPr>
      <w:r>
        <w:rPr>
          <w:rFonts w:cs="Arial"/>
          <w:szCs w:val="20"/>
        </w:rPr>
        <w:t>prova de inscrição no Cadastro Nacional da Pessoa Jurídica (CNPJ);</w:t>
      </w:r>
    </w:p>
    <w:p>
      <w:pPr>
        <w:pStyle w:val="ListParagraph"/>
        <w:numPr>
          <w:ilvl w:val="2"/>
          <w:numId w:val="6"/>
        </w:numPr>
        <w:tabs>
          <w:tab w:val="clear" w:pos="720"/>
          <w:tab w:val="left" w:pos="1440" w:leader="none"/>
        </w:tabs>
        <w:snapToGrid w:val="false"/>
        <w:spacing w:lineRule="auto" w:line="276" w:before="120" w:after="120"/>
        <w:contextualSpacing/>
        <w:jc w:val="both"/>
        <w:rPr>
          <w:rFonts w:cs="Arial"/>
          <w:szCs w:val="20"/>
        </w:rPr>
      </w:pPr>
      <w:r>
        <w:rPr>
          <w:rFonts w:cs="Arial"/>
          <w:szCs w:val="20"/>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pPr>
        <w:pStyle w:val="ListParagraph"/>
        <w:numPr>
          <w:ilvl w:val="2"/>
          <w:numId w:val="6"/>
        </w:numPr>
        <w:tabs>
          <w:tab w:val="clear" w:pos="720"/>
          <w:tab w:val="left" w:pos="1440" w:leader="none"/>
        </w:tabs>
        <w:snapToGrid w:val="false"/>
        <w:spacing w:lineRule="auto" w:line="276" w:before="120" w:after="120"/>
        <w:contextualSpacing/>
        <w:jc w:val="both"/>
        <w:rPr>
          <w:rFonts w:cs="Arial"/>
          <w:color w:val="000000"/>
          <w:szCs w:val="20"/>
        </w:rPr>
      </w:pPr>
      <w:r>
        <w:rPr>
          <w:rFonts w:cs="Arial"/>
          <w:color w:val="000000"/>
          <w:szCs w:val="20"/>
        </w:rPr>
        <w:t xml:space="preserve">prova </w:t>
      </w:r>
      <w:r>
        <w:rPr>
          <w:rFonts w:cs="Arial"/>
          <w:szCs w:val="20"/>
        </w:rPr>
        <w:t>de</w:t>
      </w:r>
      <w:r>
        <w:rPr>
          <w:rFonts w:cs="Arial"/>
          <w:color w:val="000000"/>
          <w:szCs w:val="20"/>
        </w:rPr>
        <w:t xml:space="preserve"> regularidade com o Fundo de Garantia do Tempo de Serviço (FGTS);</w:t>
      </w:r>
    </w:p>
    <w:p>
      <w:pPr>
        <w:pStyle w:val="ListParagraph"/>
        <w:numPr>
          <w:ilvl w:val="2"/>
          <w:numId w:val="6"/>
        </w:numPr>
        <w:tabs>
          <w:tab w:val="clear" w:pos="720"/>
          <w:tab w:val="left" w:pos="1440" w:leader="none"/>
        </w:tabs>
        <w:snapToGrid w:val="false"/>
        <w:spacing w:lineRule="auto" w:line="276" w:before="120" w:after="120"/>
        <w:contextualSpacing/>
        <w:jc w:val="both"/>
        <w:rPr>
          <w:rFonts w:cs="Arial"/>
          <w:bCs/>
          <w:szCs w:val="20"/>
        </w:rPr>
      </w:pPr>
      <w:r>
        <w:rPr>
          <w:rFonts w:cs="Arial"/>
          <w:bCs/>
          <w:szCs w:val="20"/>
        </w:rPr>
        <w:t>declaração de que não emprega menor de 18 anos em trabalho noturno, perigoso ou insalubre e não emprega menor de 16 anos, salvo menor, a partir de 14 anos, na condição de aprendiz, nos termos do artigo 7°, XXXIII, da Constituição;</w:t>
      </w:r>
    </w:p>
    <w:p>
      <w:pPr>
        <w:pStyle w:val="ListParagraph"/>
        <w:numPr>
          <w:ilvl w:val="2"/>
          <w:numId w:val="6"/>
        </w:numPr>
        <w:tabs>
          <w:tab w:val="clear" w:pos="720"/>
          <w:tab w:val="left" w:pos="1440" w:leader="none"/>
        </w:tabs>
        <w:snapToGrid w:val="false"/>
        <w:spacing w:lineRule="auto" w:line="276" w:before="120" w:after="120"/>
        <w:contextualSpacing/>
        <w:jc w:val="both"/>
        <w:rPr>
          <w:rFonts w:cs="Arial"/>
          <w:szCs w:val="20"/>
        </w:rPr>
      </w:pPr>
      <w:r>
        <w:rPr>
          <w:rFonts w:cs="Arial"/>
          <w:szCs w:val="20"/>
        </w:rPr>
        <w:t>prova de inexistência de débitos inadimplidos perante a Justiça do Trabalho, mediante a a</w:t>
      </w:r>
      <w:r>
        <w:rPr>
          <w:rFonts w:cs="Arial"/>
          <w:color w:val="000000"/>
          <w:szCs w:val="20"/>
        </w:rPr>
        <w:t>presentação de certidão negativa ou positiva com efeito de negativa, nos termos do Título VII-A da Consolidação das Leis do Trabalho, aprovada pelo Decreto-Lei nº 5.452, de 1º de maio de 1943.</w:t>
      </w:r>
    </w:p>
    <w:p>
      <w:pPr>
        <w:pStyle w:val="ListParagraph"/>
        <w:numPr>
          <w:ilvl w:val="2"/>
          <w:numId w:val="6"/>
        </w:numPr>
        <w:tabs>
          <w:tab w:val="clear" w:pos="720"/>
          <w:tab w:val="left" w:pos="1440" w:leader="none"/>
        </w:tabs>
        <w:snapToGrid w:val="false"/>
        <w:spacing w:lineRule="auto" w:line="276" w:before="120" w:after="120"/>
        <w:contextualSpacing/>
        <w:jc w:val="both"/>
        <w:rPr>
          <w:color w:val="000000"/>
        </w:rPr>
      </w:pPr>
      <w:r>
        <w:rPr>
          <w:rFonts w:cs="Arial"/>
          <w:bCs/>
          <w:color w:val="000000"/>
          <w:szCs w:val="20"/>
        </w:rPr>
        <w:t xml:space="preserve">prova de </w:t>
      </w:r>
      <w:r>
        <w:rPr>
          <w:rFonts w:cs="Arial"/>
          <w:color w:val="000000"/>
          <w:szCs w:val="20"/>
        </w:rPr>
        <w:t xml:space="preserve">inscrição no cadastro de contribuintes </w:t>
      </w:r>
      <w:r>
        <w:rPr>
          <w:rFonts w:cs="Arial"/>
          <w:i/>
          <w:color w:val="000000"/>
          <w:szCs w:val="20"/>
        </w:rPr>
        <w:t>municipal</w:t>
      </w:r>
      <w:r>
        <w:rPr>
          <w:rFonts w:cs="Arial"/>
          <w:color w:val="000000"/>
          <w:szCs w:val="20"/>
        </w:rPr>
        <w:t>, se houver, relativo ao domicílio ou sede do fornecedor, pertinente ao seu ramo de atividade e compatível com o objeto contratual</w:t>
      </w:r>
      <w:r>
        <w:rPr>
          <w:rFonts w:cs="Arial"/>
          <w:bCs/>
          <w:color w:val="000000"/>
          <w:szCs w:val="20"/>
        </w:rPr>
        <w:t xml:space="preserve">; </w:t>
      </w:r>
    </w:p>
    <w:p>
      <w:pPr>
        <w:pStyle w:val="ListParagraph"/>
        <w:numPr>
          <w:ilvl w:val="3"/>
          <w:numId w:val="6"/>
        </w:numPr>
        <w:spacing w:lineRule="auto" w:line="276" w:before="120" w:after="120"/>
        <w:contextualSpacing/>
        <w:jc w:val="both"/>
        <w:rPr>
          <w:rFonts w:cs="Arial"/>
          <w:b/>
          <w:b/>
          <w:bCs/>
          <w:szCs w:val="20"/>
        </w:rPr>
      </w:pPr>
      <w:commentRangeStart w:id="17"/>
      <w:r>
        <w:rPr>
          <w:rFonts w:cs="Arial"/>
          <w:bCs/>
          <w:color w:val="000000"/>
          <w:szCs w:val="20"/>
        </w:rPr>
        <w:t>O fornecedor enquadrado como microempreendedor individual que pretenda auferir os b</w:t>
      </w:r>
      <w:r>
        <w:rPr>
          <w:rFonts w:cs="Arial"/>
          <w:bCs/>
          <w:szCs w:val="20"/>
        </w:rPr>
        <w:t xml:space="preserve">enefícios do tratamento diferenciado previstos na </w:t>
      </w:r>
      <w:hyperlink r:id="rId16">
        <w:r>
          <w:rPr>
            <w:rStyle w:val="LinkdaInternet"/>
            <w:rFonts w:cs="Arial"/>
            <w:bCs/>
            <w:szCs w:val="20"/>
          </w:rPr>
          <w:t>Lei Complementar n. 123, de 2006</w:t>
        </w:r>
      </w:hyperlink>
      <w:r>
        <w:rPr>
          <w:rFonts w:cs="Arial"/>
          <w:bCs/>
          <w:szCs w:val="20"/>
        </w:rPr>
        <w:t>, estará dispensado da prova de inscrição nos cadastros de contribuintes estadual e municipal.</w:t>
      </w:r>
      <w:commentRangeEnd w:id="17"/>
      <w:r>
        <w:commentReference w:id="17"/>
      </w:r>
      <w:r>
        <w:rPr>
          <w:rFonts w:cs="Arial"/>
          <w:bCs/>
          <w:szCs w:val="20"/>
        </w:rPr>
      </w:r>
    </w:p>
    <w:p>
      <w:pPr>
        <w:pStyle w:val="ListParagraph"/>
        <w:numPr>
          <w:ilvl w:val="2"/>
          <w:numId w:val="6"/>
        </w:numPr>
        <w:tabs>
          <w:tab w:val="clear" w:pos="720"/>
          <w:tab w:val="left" w:pos="1440" w:leader="none"/>
        </w:tabs>
        <w:snapToGrid w:val="false"/>
        <w:spacing w:lineRule="auto" w:line="276" w:before="120" w:after="120"/>
        <w:contextualSpacing/>
        <w:jc w:val="both"/>
        <w:rPr>
          <w:i w:val="false"/>
          <w:i w:val="false"/>
          <w:iCs w:val="false"/>
          <w:color w:val="000000"/>
        </w:rPr>
      </w:pPr>
      <w:commentRangeStart w:id="18"/>
      <w:r>
        <w:rPr>
          <w:rFonts w:cs="Arial"/>
          <w:i w:val="false"/>
          <w:iCs w:val="false"/>
          <w:color w:val="000000"/>
          <w:szCs w:val="20"/>
        </w:rPr>
        <w:t xml:space="preserve">prova de </w:t>
      </w:r>
      <w:r>
        <w:rPr>
          <w:rFonts w:cs="Arial"/>
          <w:bCs/>
          <w:i w:val="false"/>
          <w:iCs w:val="false"/>
          <w:color w:val="000000"/>
          <w:szCs w:val="20"/>
        </w:rPr>
        <w:t>regularidade</w:t>
      </w:r>
      <w:r>
        <w:rPr>
          <w:rFonts w:cs="Arial"/>
          <w:i w:val="false"/>
          <w:iCs w:val="false"/>
          <w:color w:val="000000"/>
          <w:szCs w:val="20"/>
        </w:rPr>
        <w:t xml:space="preserve"> com a Fazenda Municipal ou Distrital do domicílio ou sede do fornecedor, relativa à </w:t>
      </w:r>
      <w:r>
        <w:rPr>
          <w:rFonts w:cs="Arial"/>
          <w:bCs/>
          <w:i w:val="false"/>
          <w:iCs w:val="false"/>
          <w:color w:val="000000"/>
          <w:szCs w:val="20"/>
        </w:rPr>
        <w:t>atividade</w:t>
      </w:r>
      <w:r>
        <w:rPr>
          <w:rFonts w:cs="Arial"/>
          <w:i w:val="false"/>
          <w:iCs w:val="false"/>
          <w:color w:val="000000"/>
          <w:szCs w:val="20"/>
        </w:rPr>
        <w:t xml:space="preserve"> em cujo exercício contrata ou concorre; </w:t>
      </w:r>
    </w:p>
    <w:p>
      <w:pPr>
        <w:pStyle w:val="ListParagraph"/>
        <w:numPr>
          <w:ilvl w:val="3"/>
          <w:numId w:val="6"/>
        </w:numPr>
        <w:spacing w:lineRule="auto" w:line="276" w:before="120" w:after="120"/>
        <w:contextualSpacing/>
        <w:jc w:val="both"/>
        <w:rPr>
          <w:szCs w:val="20"/>
        </w:rPr>
      </w:pPr>
      <w:r>
        <w:rPr>
          <w:rFonts w:cs="Arial"/>
          <w:szCs w:val="20"/>
        </w:rPr>
        <w:t xml:space="preserve">caso o fornecedor seja considerado isento dos tributos </w:t>
      </w:r>
      <w:r>
        <w:rPr>
          <w:rFonts w:cs="Arial"/>
          <w:i/>
          <w:iCs/>
          <w:color w:val="000000"/>
          <w:szCs w:val="20"/>
        </w:rPr>
        <w:t>municipais</w:t>
      </w:r>
      <w:r>
        <w:rPr>
          <w:rFonts w:cs="Arial"/>
          <w:iCs/>
          <w:color w:val="000000"/>
          <w:szCs w:val="20"/>
        </w:rPr>
        <w:t xml:space="preserve"> </w:t>
      </w:r>
      <w:r>
        <w:rPr>
          <w:rFonts w:cs="Arial"/>
          <w:iCs/>
          <w:szCs w:val="20"/>
        </w:rPr>
        <w:t>ou distritais</w:t>
      </w:r>
      <w:r>
        <w:rPr>
          <w:rFonts w:cs="Arial"/>
          <w:szCs w:val="20"/>
        </w:rPr>
        <w:t xml:space="preserve"> </w:t>
      </w:r>
      <w:r>
        <w:rPr>
          <w:rFonts w:cs="Arial"/>
          <w:bCs/>
          <w:szCs w:val="20"/>
        </w:rPr>
        <w:t>relacionados</w:t>
      </w:r>
      <w:r>
        <w:rPr>
          <w:rFonts w:cs="Arial"/>
          <w:szCs w:val="20"/>
        </w:rPr>
        <w:t xml:space="preserve"> ao objeto, deverá comprovar tal condição mediante a apresentação de certidão ou declaração da Fazenda respectiva do seu domicílio ou sede, ou por meio de outro documento equivalente, na forma da respectiva legislação de regência.</w:t>
      </w:r>
      <w:commentRangeEnd w:id="18"/>
      <w:r>
        <w:commentReference w:id="18"/>
      </w:r>
      <w:r>
        <w:rPr>
          <w:rFonts w:cs="Arial"/>
          <w:szCs w:val="20"/>
        </w:rPr>
      </w:r>
    </w:p>
    <w:p>
      <w:pPr>
        <w:pStyle w:val="ListParagraph"/>
        <w:ind w:left="360" w:hanging="0"/>
        <w:rPr>
          <w:rFonts w:eastAsia="WenQuanYi Micro Hei" w:cs="Arial"/>
          <w:color w:val="000000"/>
          <w:szCs w:val="20"/>
          <w:shd w:fill="00FF00" w:val="clear"/>
          <w:lang w:eastAsia="zh-CN" w:bidi="hi-IN"/>
        </w:rPr>
      </w:pPr>
      <w:r>
        <w:rPr>
          <w:rFonts w:eastAsia="WenQuanYi Micro Hei" w:cs="Arial"/>
          <w:color w:val="000000"/>
          <w:szCs w:val="20"/>
          <w:shd w:fill="00FF00" w:val="clear"/>
          <w:lang w:eastAsia="zh-CN" w:bidi="hi-IN"/>
        </w:rPr>
      </w:r>
    </w:p>
    <w:p>
      <w:pPr>
        <w:pStyle w:val="ListParagraph"/>
        <w:numPr>
          <w:ilvl w:val="1"/>
          <w:numId w:val="6"/>
        </w:numPr>
        <w:spacing w:lineRule="auto" w:line="276" w:before="120" w:after="120"/>
        <w:contextualSpacing/>
        <w:jc w:val="both"/>
        <w:rPr>
          <w:rFonts w:eastAsia="Calibri" w:cs="DejaVu Sans"/>
          <w:b/>
          <w:b/>
          <w:bCs/>
          <w:szCs w:val="20"/>
          <w:lang w:eastAsia="en-US"/>
        </w:rPr>
      </w:pPr>
      <w:commentRangeStart w:id="19"/>
      <w:r>
        <w:rPr>
          <w:rFonts w:cs="Arial"/>
          <w:b/>
          <w:bCs/>
          <w:color w:val="000000"/>
          <w:szCs w:val="20"/>
        </w:rPr>
        <w:t>Habilitação econômico-financeira</w:t>
      </w:r>
      <w:r>
        <w:rPr>
          <w:rFonts w:eastAsia="WenQuanYi Micro Hei" w:cs="Arial"/>
          <w:b/>
          <w:bCs/>
          <w:color w:val="000000"/>
          <w:szCs w:val="20"/>
          <w:lang w:eastAsia="zh-CN" w:bidi="hi-IN"/>
        </w:rPr>
        <w:t xml:space="preserve">: </w:t>
      </w:r>
      <w:commentRangeEnd w:id="19"/>
      <w:r>
        <w:commentReference w:id="19"/>
      </w:r>
      <w:r>
        <w:rPr>
          <w:rFonts w:eastAsia="WenQuanYi Micro Hei" w:cs="Arial"/>
          <w:b/>
          <w:bCs/>
          <w:color w:val="000000"/>
          <w:szCs w:val="20"/>
          <w:lang w:eastAsia="zh-CN" w:bidi="hi-IN"/>
        </w:rPr>
      </w:r>
    </w:p>
    <w:p>
      <w:pPr>
        <w:pStyle w:val="ListParagraph"/>
        <w:numPr>
          <w:ilvl w:val="2"/>
          <w:numId w:val="6"/>
        </w:numPr>
        <w:tabs>
          <w:tab w:val="clear" w:pos="720"/>
          <w:tab w:val="left" w:pos="1440" w:leader="none"/>
        </w:tabs>
        <w:snapToGrid w:val="false"/>
        <w:spacing w:lineRule="auto" w:line="276" w:before="120" w:after="120"/>
        <w:contextualSpacing/>
        <w:jc w:val="both"/>
        <w:rPr/>
      </w:pPr>
      <w:r>
        <w:rPr>
          <w:rFonts w:cs="Arial"/>
          <w:i/>
          <w:iCs/>
          <w:color w:val="000000"/>
          <w:szCs w:val="20"/>
        </w:rPr>
        <w:t>certidão negativa de insolvência civil</w:t>
      </w:r>
      <w:r>
        <w:rPr>
          <w:i/>
          <w:iCs/>
          <w:color w:val="000000"/>
          <w:szCs w:val="20"/>
        </w:rPr>
        <w:t xml:space="preserve"> expedida pelo</w:t>
      </w:r>
      <w:r>
        <w:rPr>
          <w:color w:val="000000"/>
          <w:szCs w:val="20"/>
        </w:rPr>
        <w:t xml:space="preserve"> </w:t>
      </w:r>
      <w:r>
        <w:rPr>
          <w:rFonts w:cs="Arial"/>
          <w:i/>
          <w:iCs/>
          <w:color w:val="000000"/>
          <w:szCs w:val="20"/>
        </w:rPr>
        <w:t xml:space="preserve">distribuidor do domicílio ou sede do fornecedor, caso se trate de pessoa física </w:t>
      </w:r>
      <w:r>
        <w:fldChar w:fldCharType="begin"/>
      </w:r>
      <w:r>
        <w:rPr>
          <w:rStyle w:val="LinkdaInternet"/>
          <w:i/>
          <w:szCs w:val="20"/>
          <w:iCs/>
          <w:rFonts w:cs="Arial"/>
          <w:color w:val="000000"/>
        </w:rPr>
        <w:instrText> HYPERLINK "https://in.gov.br/en/web/dou/-/instrucao-normativa-seges/me-n-116-de-21-de-dezembro-de-2021-370926958" \l "art5"</w:instrText>
      </w:r>
      <w:r>
        <w:rPr>
          <w:rStyle w:val="LinkdaInternet"/>
          <w:i/>
          <w:szCs w:val="20"/>
          <w:iCs/>
          <w:rFonts w:cs="Arial"/>
          <w:color w:val="000000"/>
        </w:rPr>
        <w:fldChar w:fldCharType="separate"/>
      </w:r>
      <w:r>
        <w:rPr>
          <w:rStyle w:val="LinkdaInternet"/>
          <w:rFonts w:cs="Arial"/>
          <w:i/>
          <w:iCs/>
          <w:color w:val="000000"/>
          <w:szCs w:val="20"/>
        </w:rPr>
        <w:t>(art. 5º, inciso II, alínea “c”, da IN Seges/ME nº 116/2021</w:t>
      </w:r>
      <w:r>
        <w:rPr>
          <w:rStyle w:val="LinkdaInternet"/>
          <w:i/>
          <w:szCs w:val="20"/>
          <w:iCs/>
          <w:rFonts w:cs="Arial"/>
          <w:color w:val="000000"/>
        </w:rPr>
        <w:fldChar w:fldCharType="end"/>
      </w:r>
      <w:r>
        <w:rPr>
          <w:rFonts w:cs="Arial"/>
          <w:i/>
          <w:iCs/>
          <w:color w:val="000000"/>
          <w:szCs w:val="20"/>
        </w:rPr>
        <w:t xml:space="preserve">) ou de sociedade simples; </w:t>
      </w:r>
    </w:p>
    <w:p>
      <w:pPr>
        <w:pStyle w:val="ListParagraph"/>
        <w:numPr>
          <w:ilvl w:val="2"/>
          <w:numId w:val="6"/>
        </w:numPr>
        <w:tabs>
          <w:tab w:val="clear" w:pos="720"/>
          <w:tab w:val="left" w:pos="1440" w:leader="none"/>
        </w:tabs>
        <w:snapToGrid w:val="false"/>
        <w:spacing w:lineRule="auto" w:line="276" w:before="120" w:after="120"/>
        <w:contextualSpacing/>
        <w:jc w:val="both"/>
        <w:rPr>
          <w:rFonts w:cs="Arial"/>
          <w:color w:val="000000"/>
          <w:szCs w:val="20"/>
        </w:rPr>
      </w:pPr>
      <w:r>
        <w:rPr>
          <w:rFonts w:cs="Arial"/>
          <w:color w:val="000000"/>
          <w:szCs w:val="20"/>
        </w:rPr>
        <w:t>certidão negativa de falência expedida pelo distribuidor da sede do fornecedor;</w:t>
      </w:r>
    </w:p>
    <w:p>
      <w:pPr>
        <w:pStyle w:val="ListParagraph"/>
        <w:numPr>
          <w:ilvl w:val="2"/>
          <w:numId w:val="6"/>
        </w:numPr>
        <w:tabs>
          <w:tab w:val="clear" w:pos="720"/>
          <w:tab w:val="left" w:pos="1440" w:leader="none"/>
        </w:tabs>
        <w:snapToGrid w:val="false"/>
        <w:spacing w:lineRule="auto" w:line="276" w:before="120" w:after="120"/>
        <w:contextualSpacing/>
        <w:jc w:val="both"/>
        <w:rPr>
          <w:rFonts w:cs="Arial"/>
          <w:color w:val="000000"/>
          <w:szCs w:val="20"/>
        </w:rPr>
      </w:pPr>
      <w:r>
        <w:rPr>
          <w:rFonts w:cs="Arial"/>
          <w:color w:val="000000"/>
          <w:szCs w:val="20"/>
        </w:rPr>
        <w:t>balanço patrimonial, demonstração de resultado de exercício e demais demonstrações contábeis dos 2 (dois) últimos exercícios sociais, vedada a sua substituição por balancetes ou balanços provisórios.</w:t>
      </w:r>
    </w:p>
    <w:p>
      <w:pPr>
        <w:pStyle w:val="ListParagraph"/>
        <w:numPr>
          <w:ilvl w:val="3"/>
          <w:numId w:val="6"/>
        </w:numPr>
        <w:spacing w:lineRule="auto" w:line="276" w:before="120" w:after="120"/>
        <w:contextualSpacing/>
        <w:jc w:val="both"/>
        <w:rPr>
          <w:rFonts w:cs="Arial"/>
          <w:szCs w:val="20"/>
        </w:rPr>
      </w:pPr>
      <w:r>
        <w:rPr>
          <w:rFonts w:cs="Arial"/>
          <w:szCs w:val="20"/>
        </w:rPr>
        <w:t>Os documentos referidos no subitem acima limitar-se-ão ao último exercício social, caso a empresa tenha sido constituída há menos de 2 (dois) anos;</w:t>
      </w:r>
    </w:p>
    <w:p>
      <w:pPr>
        <w:pStyle w:val="ListParagraph"/>
        <w:numPr>
          <w:ilvl w:val="3"/>
          <w:numId w:val="6"/>
        </w:numPr>
        <w:spacing w:lineRule="auto" w:line="276" w:before="120" w:after="120"/>
        <w:contextualSpacing/>
        <w:jc w:val="both"/>
        <w:rPr>
          <w:rFonts w:cs="Arial"/>
          <w:szCs w:val="20"/>
        </w:rPr>
      </w:pPr>
      <w:r>
        <w:rPr>
          <w:rFonts w:cs="Arial"/>
          <w:szCs w:val="20"/>
        </w:rPr>
        <w:t>As empresas criadas no exercício financeiro do processo de contratação direta deverão atender a todas as exigências de habilitação e ficam autorizadas a substituir os demonstrativos contábeis pelo balanço de abertura;</w:t>
      </w:r>
    </w:p>
    <w:p>
      <w:pPr>
        <w:pStyle w:val="ListParagraph"/>
        <w:numPr>
          <w:ilvl w:val="3"/>
          <w:numId w:val="6"/>
        </w:numPr>
        <w:spacing w:lineRule="auto" w:line="276" w:before="120" w:after="120"/>
        <w:contextualSpacing/>
        <w:jc w:val="both"/>
        <w:rPr>
          <w:rFonts w:cs="Arial"/>
          <w:szCs w:val="20"/>
        </w:rPr>
      </w:pPr>
      <w:commentRangeStart w:id="20"/>
      <w:r>
        <w:rPr>
          <w:rFonts w:cs="Arial"/>
          <w:szCs w:val="20"/>
        </w:rPr>
        <w:t>É admissível o balanço intermediário, se decorrer de lei ou do contrato/estatuto social.</w:t>
      </w:r>
      <w:commentRangeEnd w:id="20"/>
      <w:r>
        <w:commentReference w:id="20"/>
      </w:r>
      <w:r>
        <w:rPr>
          <w:rFonts w:cs="Arial"/>
          <w:szCs w:val="20"/>
        </w:rPr>
      </w:r>
    </w:p>
    <w:p>
      <w:pPr>
        <w:pStyle w:val="ListParagraph"/>
        <w:numPr>
          <w:ilvl w:val="2"/>
          <w:numId w:val="6"/>
        </w:numPr>
        <w:tabs>
          <w:tab w:val="clear" w:pos="720"/>
          <w:tab w:val="left" w:pos="1440" w:leader="none"/>
        </w:tabs>
        <w:snapToGrid w:val="false"/>
        <w:spacing w:lineRule="auto" w:line="276" w:before="120" w:after="120"/>
        <w:contextualSpacing/>
        <w:jc w:val="both"/>
        <w:rPr>
          <w:rFonts w:cs="Arial"/>
          <w:color w:val="FF0000"/>
          <w:szCs w:val="20"/>
        </w:rPr>
      </w:pPr>
      <w:r>
        <w:rPr>
          <w:rFonts w:cs="Arial"/>
          <w:color w:val="000000"/>
          <w:szCs w:val="20"/>
        </w:rPr>
        <w:t xml:space="preserve">Além dos documentos acima, deverá ser comprovada a boa situação financeira da empresa, mediante obtenção do(s) índice(s) de Liquidez Geral (LG), Solvência Geral (SG) e Liquidez Corrente (LC), superiores a 1 ( um), obtidos pela aplicação das seguintes fórmulas: </w:t>
      </w:r>
    </w:p>
    <w:tbl>
      <w:tblPr>
        <w:tblStyle w:val="Tabelacomgrade"/>
        <w:tblW w:w="6487" w:type="dxa"/>
        <w:jc w:val="left"/>
        <w:tblInd w:w="1242" w:type="dxa"/>
        <w:tblLayout w:type="fixed"/>
        <w:tblCellMar>
          <w:top w:w="0" w:type="dxa"/>
          <w:left w:w="108" w:type="dxa"/>
          <w:bottom w:w="0" w:type="dxa"/>
          <w:right w:w="108" w:type="dxa"/>
        </w:tblCellMar>
        <w:tblLook w:firstRow="1" w:noVBand="1" w:lastRow="0" w:firstColumn="1" w:lastColumn="0" w:noHBand="0" w:val="04a0"/>
      </w:tblPr>
      <w:tblGrid>
        <w:gridCol w:w="2234"/>
        <w:gridCol w:w="4252"/>
      </w:tblGrid>
      <w:tr>
        <w:trPr/>
        <w:tc>
          <w:tcPr>
            <w:tcW w:w="2234" w:type="dxa"/>
            <w:vMerge w:val="restart"/>
            <w:tcBorders>
              <w:top w:val="nil"/>
              <w:left w:val="nil"/>
              <w:bottom w:val="nil"/>
              <w:right w:val="nil"/>
            </w:tcBorders>
            <w:vAlign w:val="center"/>
          </w:tcPr>
          <w:p>
            <w:pPr>
              <w:pStyle w:val="Normal"/>
              <w:widowControl w:val="false"/>
              <w:numPr>
                <w:ilvl w:val="0"/>
                <w:numId w:val="0"/>
              </w:numPr>
              <w:tabs>
                <w:tab w:val="clear" w:pos="720"/>
                <w:tab w:val="left" w:pos="1440" w:leader="none"/>
              </w:tabs>
              <w:suppressAutoHyphens w:val="true"/>
              <w:snapToGrid w:val="false"/>
              <w:spacing w:before="0" w:after="0"/>
              <w:ind w:left="360" w:hanging="0"/>
              <w:jc w:val="right"/>
              <w:rPr>
                <w:rFonts w:ascii="Arial" w:hAnsi="Arial" w:cs="Arial"/>
                <w:color w:val="000000"/>
                <w:sz w:val="20"/>
                <w:szCs w:val="20"/>
              </w:rPr>
            </w:pPr>
            <w:r>
              <w:rPr>
                <w:rFonts w:eastAsia="ＭＳ 明朝" w:cs="Arial"/>
                <w:color w:val="000000"/>
                <w:kern w:val="0"/>
                <w:sz w:val="20"/>
                <w:szCs w:val="20"/>
                <w:lang w:val="pt-BR" w:bidi="ar-SA"/>
              </w:rPr>
              <w:t>LG =</w:t>
            </w:r>
          </w:p>
        </w:tc>
        <w:tc>
          <w:tcPr>
            <w:tcW w:w="4252" w:type="dxa"/>
            <w:tcBorders>
              <w:top w:val="nil"/>
              <w:left w:val="nil"/>
              <w:right w:val="nil"/>
            </w:tcBorders>
            <w:vAlign w:val="bottom"/>
          </w:tcPr>
          <w:p>
            <w:pPr>
              <w:pStyle w:val="Normal"/>
              <w:widowControl w:val="false"/>
              <w:numPr>
                <w:ilvl w:val="0"/>
                <w:numId w:val="0"/>
              </w:numPr>
              <w:tabs>
                <w:tab w:val="clear" w:pos="720"/>
                <w:tab w:val="left" w:pos="1440" w:leader="none"/>
              </w:tabs>
              <w:suppressAutoHyphens w:val="true"/>
              <w:snapToGrid w:val="false"/>
              <w:spacing w:before="0" w:after="0"/>
              <w:ind w:left="360" w:hanging="0"/>
              <w:jc w:val="left"/>
              <w:rPr>
                <w:rFonts w:ascii="Arial" w:hAnsi="Arial" w:eastAsia="Times New Roman" w:cs="Arial"/>
                <w:color w:val="000000"/>
                <w:sz w:val="20"/>
                <w:szCs w:val="20"/>
              </w:rPr>
            </w:pPr>
            <w:r>
              <w:rPr>
                <w:rFonts w:cs="Arial"/>
                <w:color w:val="000000"/>
                <w:kern w:val="0"/>
                <w:sz w:val="20"/>
                <w:szCs w:val="20"/>
                <w:lang w:val="pt-BR" w:bidi="ar-SA"/>
              </w:rPr>
              <w:t>Ativo Circulante + Realizável a Longo Prazo</w:t>
            </w:r>
          </w:p>
        </w:tc>
      </w:tr>
      <w:tr>
        <w:trPr/>
        <w:tc>
          <w:tcPr>
            <w:tcW w:w="2234" w:type="dxa"/>
            <w:vMerge w:val="continue"/>
            <w:tcBorders>
              <w:top w:val="nil"/>
              <w:left w:val="nil"/>
              <w:bottom w:val="nil"/>
              <w:right w:val="nil"/>
            </w:tcBorders>
          </w:tcPr>
          <w:p>
            <w:pPr>
              <w:pStyle w:val="Normal"/>
              <w:widowControl w:val="false"/>
              <w:numPr>
                <w:ilvl w:val="0"/>
                <w:numId w:val="6"/>
              </w:numPr>
              <w:tabs>
                <w:tab w:val="clear" w:pos="720"/>
                <w:tab w:val="left" w:pos="1440" w:leader="none"/>
              </w:tabs>
              <w:suppressAutoHyphens w:val="true"/>
              <w:snapToGrid w:val="false"/>
              <w:spacing w:before="0" w:after="0"/>
              <w:jc w:val="both"/>
              <w:rPr>
                <w:rFonts w:ascii="Arial" w:hAnsi="Arial" w:cs="Arial"/>
                <w:color w:val="000000"/>
                <w:sz w:val="20"/>
                <w:szCs w:val="20"/>
              </w:rPr>
            </w:pPr>
            <w:r>
              <w:rPr>
                <w:rFonts w:cs="Arial"/>
                <w:color w:val="000000"/>
                <w:sz w:val="20"/>
                <w:szCs w:val="20"/>
              </w:rPr>
            </w:r>
          </w:p>
        </w:tc>
        <w:tc>
          <w:tcPr>
            <w:tcW w:w="4252" w:type="dxa"/>
            <w:tcBorders>
              <w:left w:val="nil"/>
              <w:bottom w:val="nil"/>
              <w:right w:val="nil"/>
            </w:tcBorders>
          </w:tcPr>
          <w:p>
            <w:pPr>
              <w:pStyle w:val="Normal"/>
              <w:widowControl w:val="false"/>
              <w:numPr>
                <w:ilvl w:val="0"/>
                <w:numId w:val="0"/>
              </w:numPr>
              <w:tabs>
                <w:tab w:val="clear" w:pos="720"/>
                <w:tab w:val="left" w:pos="1440" w:leader="none"/>
              </w:tabs>
              <w:suppressAutoHyphens w:val="true"/>
              <w:snapToGrid w:val="false"/>
              <w:spacing w:before="0" w:after="0"/>
              <w:ind w:left="360" w:hanging="0"/>
              <w:jc w:val="left"/>
              <w:rPr>
                <w:rFonts w:ascii="Arial" w:hAnsi="Arial" w:eastAsia="Times New Roman" w:cs="Arial"/>
                <w:color w:val="000000"/>
                <w:sz w:val="20"/>
                <w:szCs w:val="20"/>
              </w:rPr>
            </w:pPr>
            <w:r>
              <w:rPr>
                <w:rFonts w:cs="Arial"/>
                <w:color w:val="000000"/>
                <w:kern w:val="0"/>
                <w:sz w:val="20"/>
                <w:szCs w:val="20"/>
                <w:lang w:val="pt-BR" w:bidi="ar-SA"/>
              </w:rPr>
              <w:t>Passivo Circulante + Passivo Não Circulante</w:t>
            </w:r>
          </w:p>
        </w:tc>
      </w:tr>
    </w:tbl>
    <w:p>
      <w:pPr>
        <w:pStyle w:val="ListParagraph"/>
        <w:numPr>
          <w:ilvl w:val="0"/>
          <w:numId w:val="0"/>
        </w:numPr>
        <w:tabs>
          <w:tab w:val="clear" w:pos="720"/>
          <w:tab w:val="left" w:pos="1440" w:leader="none"/>
        </w:tabs>
        <w:snapToGrid w:val="false"/>
        <w:spacing w:lineRule="auto" w:line="276" w:before="120" w:after="120"/>
        <w:ind w:left="3010" w:hanging="0"/>
        <w:contextualSpacing/>
        <w:jc w:val="both"/>
        <w:rPr>
          <w:rFonts w:cs="Arial"/>
          <w:color w:val="FF0000"/>
          <w:szCs w:val="20"/>
        </w:rPr>
      </w:pPr>
      <w:r>
        <w:rPr>
          <w:rFonts w:cs="Arial"/>
          <w:color w:val="FF0000"/>
          <w:szCs w:val="20"/>
        </w:rPr>
        <w:t xml:space="preserve"> </w:t>
      </w:r>
    </w:p>
    <w:tbl>
      <w:tblPr>
        <w:tblStyle w:val="Tabelacomgrade"/>
        <w:tblW w:w="6629" w:type="dxa"/>
        <w:jc w:val="left"/>
        <w:tblInd w:w="1242" w:type="dxa"/>
        <w:tblLayout w:type="fixed"/>
        <w:tblCellMar>
          <w:top w:w="0" w:type="dxa"/>
          <w:left w:w="108" w:type="dxa"/>
          <w:bottom w:w="0" w:type="dxa"/>
          <w:right w:w="108" w:type="dxa"/>
        </w:tblCellMar>
        <w:tblLook w:firstRow="1" w:noVBand="1" w:lastRow="0" w:firstColumn="1" w:lastColumn="0" w:noHBand="0" w:val="04a0"/>
      </w:tblPr>
      <w:tblGrid>
        <w:gridCol w:w="2235"/>
        <w:gridCol w:w="4393"/>
      </w:tblGrid>
      <w:tr>
        <w:trPr/>
        <w:tc>
          <w:tcPr>
            <w:tcW w:w="2235" w:type="dxa"/>
            <w:vMerge w:val="restart"/>
            <w:tcBorders>
              <w:top w:val="nil"/>
              <w:left w:val="nil"/>
              <w:bottom w:val="nil"/>
              <w:right w:val="nil"/>
            </w:tcBorders>
            <w:vAlign w:val="center"/>
          </w:tcPr>
          <w:p>
            <w:pPr>
              <w:pStyle w:val="Normal"/>
              <w:widowControl w:val="false"/>
              <w:numPr>
                <w:ilvl w:val="0"/>
                <w:numId w:val="0"/>
              </w:numPr>
              <w:tabs>
                <w:tab w:val="clear" w:pos="720"/>
                <w:tab w:val="left" w:pos="1440" w:leader="none"/>
              </w:tabs>
              <w:suppressAutoHyphens w:val="true"/>
              <w:snapToGrid w:val="false"/>
              <w:spacing w:before="0" w:after="0"/>
              <w:ind w:left="360" w:hanging="0"/>
              <w:jc w:val="right"/>
              <w:rPr>
                <w:rFonts w:ascii="Arial" w:hAnsi="Arial" w:cs="Arial"/>
                <w:color w:val="000000"/>
                <w:sz w:val="20"/>
                <w:szCs w:val="20"/>
              </w:rPr>
            </w:pPr>
            <w:r>
              <w:rPr>
                <w:rFonts w:eastAsia="ＭＳ 明朝" w:cs="Arial"/>
                <w:color w:val="000000"/>
                <w:kern w:val="0"/>
                <w:sz w:val="20"/>
                <w:szCs w:val="20"/>
                <w:lang w:val="pt-BR" w:bidi="ar-SA"/>
              </w:rPr>
              <w:t>SG =</w:t>
            </w:r>
          </w:p>
        </w:tc>
        <w:tc>
          <w:tcPr>
            <w:tcW w:w="4393" w:type="dxa"/>
            <w:tcBorders>
              <w:top w:val="nil"/>
              <w:left w:val="nil"/>
              <w:right w:val="nil"/>
            </w:tcBorders>
            <w:vAlign w:val="bottom"/>
          </w:tcPr>
          <w:p>
            <w:pPr>
              <w:pStyle w:val="Normal"/>
              <w:widowControl w:val="false"/>
              <w:numPr>
                <w:ilvl w:val="0"/>
                <w:numId w:val="0"/>
              </w:numPr>
              <w:tabs>
                <w:tab w:val="clear" w:pos="720"/>
                <w:tab w:val="left" w:pos="1440" w:leader="none"/>
              </w:tabs>
              <w:suppressAutoHyphens w:val="true"/>
              <w:snapToGrid w:val="false"/>
              <w:spacing w:before="0" w:after="0"/>
              <w:ind w:left="360" w:hanging="0"/>
              <w:jc w:val="center"/>
              <w:rPr>
                <w:rFonts w:ascii="Arial" w:hAnsi="Arial" w:eastAsia="Times New Roman" w:cs="Arial"/>
                <w:color w:val="000000"/>
                <w:sz w:val="20"/>
                <w:szCs w:val="20"/>
              </w:rPr>
            </w:pPr>
            <w:r>
              <w:rPr>
                <w:rFonts w:cs="Arial"/>
                <w:color w:val="000000"/>
                <w:kern w:val="0"/>
                <w:sz w:val="20"/>
                <w:szCs w:val="20"/>
                <w:lang w:val="pt-BR" w:bidi="ar-SA"/>
              </w:rPr>
              <w:t>Ativo Total</w:t>
            </w:r>
          </w:p>
        </w:tc>
      </w:tr>
      <w:tr>
        <w:trPr/>
        <w:tc>
          <w:tcPr>
            <w:tcW w:w="2235" w:type="dxa"/>
            <w:vMerge w:val="continue"/>
            <w:tcBorders>
              <w:top w:val="nil"/>
              <w:left w:val="nil"/>
              <w:bottom w:val="nil"/>
              <w:right w:val="nil"/>
            </w:tcBorders>
          </w:tcPr>
          <w:p>
            <w:pPr>
              <w:pStyle w:val="Normal"/>
              <w:widowControl w:val="false"/>
              <w:numPr>
                <w:ilvl w:val="0"/>
                <w:numId w:val="6"/>
              </w:numPr>
              <w:tabs>
                <w:tab w:val="clear" w:pos="720"/>
                <w:tab w:val="left" w:pos="1440" w:leader="none"/>
              </w:tabs>
              <w:suppressAutoHyphens w:val="true"/>
              <w:snapToGrid w:val="false"/>
              <w:spacing w:before="0" w:after="0"/>
              <w:jc w:val="both"/>
              <w:rPr>
                <w:rFonts w:ascii="Arial" w:hAnsi="Arial" w:cs="Arial"/>
                <w:color w:val="000000"/>
                <w:sz w:val="20"/>
                <w:szCs w:val="20"/>
              </w:rPr>
            </w:pPr>
            <w:r>
              <w:rPr>
                <w:rFonts w:cs="Arial"/>
                <w:color w:val="000000"/>
                <w:sz w:val="20"/>
                <w:szCs w:val="20"/>
              </w:rPr>
            </w:r>
          </w:p>
        </w:tc>
        <w:tc>
          <w:tcPr>
            <w:tcW w:w="4393" w:type="dxa"/>
            <w:tcBorders>
              <w:left w:val="nil"/>
              <w:bottom w:val="nil"/>
              <w:right w:val="nil"/>
            </w:tcBorders>
          </w:tcPr>
          <w:p>
            <w:pPr>
              <w:pStyle w:val="Normal"/>
              <w:widowControl w:val="false"/>
              <w:numPr>
                <w:ilvl w:val="0"/>
                <w:numId w:val="0"/>
              </w:numPr>
              <w:tabs>
                <w:tab w:val="clear" w:pos="720"/>
                <w:tab w:val="left" w:pos="1440" w:leader="none"/>
              </w:tabs>
              <w:suppressAutoHyphens w:val="true"/>
              <w:snapToGrid w:val="false"/>
              <w:spacing w:before="0" w:after="0"/>
              <w:ind w:left="360" w:hanging="0"/>
              <w:jc w:val="center"/>
              <w:rPr>
                <w:rFonts w:ascii="Arial" w:hAnsi="Arial" w:eastAsia="Times New Roman" w:cs="Arial"/>
                <w:color w:val="000000"/>
                <w:sz w:val="20"/>
                <w:szCs w:val="20"/>
              </w:rPr>
            </w:pPr>
            <w:r>
              <w:rPr>
                <w:rFonts w:cs="Arial"/>
                <w:color w:val="000000"/>
                <w:kern w:val="0"/>
                <w:sz w:val="20"/>
                <w:szCs w:val="20"/>
                <w:lang w:val="pt-BR" w:bidi="ar-SA"/>
              </w:rPr>
              <w:t>Passivo Circulante + Passivo Não Circulante</w:t>
            </w:r>
          </w:p>
        </w:tc>
      </w:tr>
    </w:tbl>
    <w:p>
      <w:pPr>
        <w:pStyle w:val="ListParagraph"/>
        <w:numPr>
          <w:ilvl w:val="0"/>
          <w:numId w:val="0"/>
        </w:numPr>
        <w:tabs>
          <w:tab w:val="clear" w:pos="720"/>
          <w:tab w:val="left" w:pos="1440" w:leader="none"/>
        </w:tabs>
        <w:snapToGrid w:val="false"/>
        <w:spacing w:lineRule="auto" w:line="276" w:before="120" w:after="120"/>
        <w:ind w:left="3010" w:hanging="0"/>
        <w:contextualSpacing/>
        <w:jc w:val="both"/>
        <w:rPr>
          <w:rFonts w:cs="Arial"/>
          <w:color w:val="FF0000"/>
          <w:szCs w:val="20"/>
        </w:rPr>
      </w:pPr>
      <w:r>
        <w:rPr>
          <w:rFonts w:cs="Arial"/>
          <w:color w:val="FF0000"/>
          <w:szCs w:val="20"/>
        </w:rPr>
      </w:r>
    </w:p>
    <w:tbl>
      <w:tblPr>
        <w:tblStyle w:val="Tabelacomgrade"/>
        <w:tblW w:w="4786" w:type="dxa"/>
        <w:jc w:val="left"/>
        <w:tblInd w:w="1242" w:type="dxa"/>
        <w:tblLayout w:type="fixed"/>
        <w:tblCellMar>
          <w:top w:w="0" w:type="dxa"/>
          <w:left w:w="108" w:type="dxa"/>
          <w:bottom w:w="0" w:type="dxa"/>
          <w:right w:w="108" w:type="dxa"/>
        </w:tblCellMar>
        <w:tblLook w:firstRow="1" w:noVBand="1" w:lastRow="0" w:firstColumn="1" w:lastColumn="0" w:noHBand="0" w:val="04a0"/>
      </w:tblPr>
      <w:tblGrid>
        <w:gridCol w:w="2235"/>
        <w:gridCol w:w="2550"/>
      </w:tblGrid>
      <w:tr>
        <w:trPr/>
        <w:tc>
          <w:tcPr>
            <w:tcW w:w="2235" w:type="dxa"/>
            <w:vMerge w:val="restart"/>
            <w:tcBorders>
              <w:top w:val="nil"/>
              <w:left w:val="nil"/>
              <w:bottom w:val="nil"/>
              <w:right w:val="nil"/>
            </w:tcBorders>
            <w:vAlign w:val="center"/>
          </w:tcPr>
          <w:p>
            <w:pPr>
              <w:pStyle w:val="Normal"/>
              <w:widowControl w:val="false"/>
              <w:numPr>
                <w:ilvl w:val="0"/>
                <w:numId w:val="0"/>
              </w:numPr>
              <w:tabs>
                <w:tab w:val="clear" w:pos="720"/>
                <w:tab w:val="left" w:pos="1440" w:leader="none"/>
              </w:tabs>
              <w:suppressAutoHyphens w:val="true"/>
              <w:snapToGrid w:val="false"/>
              <w:spacing w:before="0" w:after="0"/>
              <w:ind w:left="360" w:hanging="0"/>
              <w:jc w:val="right"/>
              <w:rPr>
                <w:rFonts w:ascii="Arial" w:hAnsi="Arial" w:cs="Arial"/>
                <w:color w:val="000000"/>
                <w:sz w:val="20"/>
                <w:szCs w:val="20"/>
              </w:rPr>
            </w:pPr>
            <w:r>
              <w:rPr>
                <w:rFonts w:eastAsia="ＭＳ 明朝" w:cs="Arial"/>
                <w:color w:val="000000"/>
                <w:kern w:val="0"/>
                <w:sz w:val="20"/>
                <w:szCs w:val="20"/>
                <w:lang w:val="pt-BR" w:bidi="ar-SA"/>
              </w:rPr>
              <w:t>LC =</w:t>
            </w:r>
          </w:p>
        </w:tc>
        <w:tc>
          <w:tcPr>
            <w:tcW w:w="2550" w:type="dxa"/>
            <w:tcBorders>
              <w:top w:val="nil"/>
              <w:left w:val="nil"/>
              <w:right w:val="nil"/>
            </w:tcBorders>
            <w:vAlign w:val="bottom"/>
          </w:tcPr>
          <w:p>
            <w:pPr>
              <w:pStyle w:val="Normal"/>
              <w:widowControl w:val="false"/>
              <w:numPr>
                <w:ilvl w:val="0"/>
                <w:numId w:val="0"/>
              </w:numPr>
              <w:tabs>
                <w:tab w:val="clear" w:pos="720"/>
                <w:tab w:val="left" w:pos="1440" w:leader="none"/>
              </w:tabs>
              <w:suppressAutoHyphens w:val="true"/>
              <w:snapToGrid w:val="false"/>
              <w:spacing w:before="0" w:after="0"/>
              <w:ind w:left="360" w:hanging="0"/>
              <w:jc w:val="center"/>
              <w:rPr>
                <w:rFonts w:ascii="Arial" w:hAnsi="Arial" w:eastAsia="Times New Roman" w:cs="Arial"/>
                <w:color w:val="000000"/>
                <w:sz w:val="20"/>
                <w:szCs w:val="20"/>
              </w:rPr>
            </w:pPr>
            <w:r>
              <w:rPr>
                <w:rFonts w:cs="Arial"/>
                <w:color w:val="000000"/>
                <w:kern w:val="0"/>
                <w:sz w:val="20"/>
                <w:szCs w:val="20"/>
                <w:lang w:val="pt-BR" w:bidi="ar-SA"/>
              </w:rPr>
              <w:t>Ativo Circulante</w:t>
            </w:r>
          </w:p>
        </w:tc>
      </w:tr>
      <w:tr>
        <w:trPr/>
        <w:tc>
          <w:tcPr>
            <w:tcW w:w="2235" w:type="dxa"/>
            <w:vMerge w:val="continue"/>
            <w:tcBorders>
              <w:top w:val="nil"/>
              <w:left w:val="nil"/>
              <w:bottom w:val="nil"/>
              <w:right w:val="nil"/>
            </w:tcBorders>
          </w:tcPr>
          <w:p>
            <w:pPr>
              <w:pStyle w:val="Normal"/>
              <w:widowControl w:val="false"/>
              <w:numPr>
                <w:ilvl w:val="0"/>
                <w:numId w:val="6"/>
              </w:numPr>
              <w:tabs>
                <w:tab w:val="clear" w:pos="720"/>
                <w:tab w:val="left" w:pos="1440" w:leader="none"/>
              </w:tabs>
              <w:suppressAutoHyphens w:val="true"/>
              <w:snapToGrid w:val="false"/>
              <w:spacing w:before="0" w:after="0"/>
              <w:jc w:val="both"/>
              <w:rPr>
                <w:rFonts w:ascii="Arial" w:hAnsi="Arial" w:cs="Arial"/>
                <w:color w:val="000000"/>
                <w:sz w:val="20"/>
                <w:szCs w:val="20"/>
              </w:rPr>
            </w:pPr>
            <w:r>
              <w:rPr>
                <w:rFonts w:cs="Arial"/>
                <w:color w:val="000000"/>
                <w:sz w:val="20"/>
                <w:szCs w:val="20"/>
              </w:rPr>
            </w:r>
          </w:p>
        </w:tc>
        <w:tc>
          <w:tcPr>
            <w:tcW w:w="2550" w:type="dxa"/>
            <w:tcBorders>
              <w:left w:val="nil"/>
              <w:bottom w:val="nil"/>
              <w:right w:val="nil"/>
            </w:tcBorders>
          </w:tcPr>
          <w:p>
            <w:pPr>
              <w:pStyle w:val="Normal"/>
              <w:widowControl w:val="false"/>
              <w:numPr>
                <w:ilvl w:val="0"/>
                <w:numId w:val="0"/>
              </w:numPr>
              <w:tabs>
                <w:tab w:val="clear" w:pos="720"/>
                <w:tab w:val="left" w:pos="1440" w:leader="none"/>
              </w:tabs>
              <w:suppressAutoHyphens w:val="true"/>
              <w:snapToGrid w:val="false"/>
              <w:spacing w:before="0" w:after="0"/>
              <w:ind w:left="360" w:hanging="0"/>
              <w:jc w:val="center"/>
              <w:rPr>
                <w:rFonts w:ascii="Arial" w:hAnsi="Arial" w:eastAsia="Times New Roman" w:cs="Arial"/>
                <w:color w:val="000000"/>
                <w:sz w:val="20"/>
                <w:szCs w:val="20"/>
              </w:rPr>
            </w:pPr>
            <w:r>
              <w:rPr>
                <w:rFonts w:cs="Arial"/>
                <w:color w:val="000000"/>
                <w:kern w:val="0"/>
                <w:sz w:val="20"/>
                <w:szCs w:val="20"/>
                <w:lang w:val="pt-BR" w:bidi="ar-SA"/>
              </w:rPr>
              <w:t>Passivo Circulante</w:t>
            </w:r>
          </w:p>
        </w:tc>
      </w:tr>
    </w:tbl>
    <w:p>
      <w:pPr>
        <w:pStyle w:val="Normal"/>
        <w:numPr>
          <w:ilvl w:val="2"/>
          <w:numId w:val="6"/>
        </w:numPr>
        <w:tabs>
          <w:tab w:val="clear" w:pos="720"/>
          <w:tab w:val="left" w:pos="1440" w:leader="none"/>
        </w:tabs>
        <w:snapToGrid w:val="false"/>
        <w:spacing w:lineRule="auto" w:line="276" w:before="120" w:after="120"/>
        <w:jc w:val="both"/>
        <w:rPr>
          <w:color w:val="000000"/>
        </w:rPr>
      </w:pPr>
      <w:commentRangeStart w:id="21"/>
      <w:r>
        <w:rPr>
          <w:rFonts w:cs="Arial"/>
          <w:color w:val="000000"/>
          <w:szCs w:val="20"/>
        </w:rPr>
        <w:t>A empresa deverá comprovar, ainda, capital mínimo ou patrimônio líquido mínimo de</w:t>
      </w:r>
      <w:r>
        <w:rPr>
          <w:rFonts w:cs="Arial"/>
          <w:i/>
          <w:iCs/>
          <w:color w:val="000000"/>
          <w:szCs w:val="20"/>
        </w:rPr>
        <w:t xml:space="preserve"> 5% (cinco) </w:t>
      </w:r>
      <w:r>
        <w:rPr>
          <w:rFonts w:cs="Arial"/>
          <w:color w:val="000000"/>
          <w:szCs w:val="20"/>
        </w:rPr>
        <w:t xml:space="preserve">do valor estimado da contratação ou do item pertinente. </w:t>
      </w:r>
      <w:commentRangeEnd w:id="21"/>
      <w:r>
        <w:commentReference w:id="21"/>
      </w:r>
      <w:r>
        <w:rPr>
          <w:rFonts w:cs="Arial"/>
          <w:color w:val="000000"/>
          <w:szCs w:val="20"/>
        </w:rPr>
      </w:r>
    </w:p>
    <w:p>
      <w:pPr>
        <w:pStyle w:val="Normal"/>
        <w:numPr>
          <w:ilvl w:val="2"/>
          <w:numId w:val="6"/>
        </w:numPr>
        <w:tabs>
          <w:tab w:val="clear" w:pos="720"/>
          <w:tab w:val="left" w:pos="1440" w:leader="none"/>
        </w:tabs>
        <w:snapToGrid w:val="false"/>
        <w:spacing w:lineRule="auto" w:line="276" w:before="120" w:after="120"/>
        <w:jc w:val="both"/>
        <w:rPr>
          <w:color w:val="000000"/>
        </w:rPr>
      </w:pPr>
      <w:commentRangeStart w:id="22"/>
      <w:r>
        <w:rPr>
          <w:rFonts w:cs="Arial"/>
          <w:i/>
          <w:iCs/>
          <w:color w:val="000000"/>
          <w:szCs w:val="20"/>
        </w:rPr>
        <w:t xml:space="preserve">O atendimento dos índices econômicos previstos neste item deverá ser atestado por meio de declaração assinada por profissional habilitado da área contábil, apresentada pelo fornecedor. </w:t>
      </w:r>
      <w:commentRangeEnd w:id="22"/>
      <w:r>
        <w:commentReference w:id="22"/>
      </w:r>
      <w:r>
        <w:rPr>
          <w:rFonts w:cs="Arial"/>
          <w:i/>
          <w:iCs/>
          <w:color w:val="000000"/>
          <w:szCs w:val="20"/>
        </w:rPr>
      </w:r>
    </w:p>
    <w:p>
      <w:pPr>
        <w:pStyle w:val="Normal"/>
        <w:numPr>
          <w:ilvl w:val="0"/>
          <w:numId w:val="0"/>
        </w:numPr>
        <w:tabs>
          <w:tab w:val="clear" w:pos="720"/>
          <w:tab w:val="left" w:pos="1440" w:leader="none"/>
        </w:tabs>
        <w:snapToGrid w:val="false"/>
        <w:spacing w:lineRule="auto" w:line="276" w:before="0" w:after="0"/>
        <w:ind w:left="2290" w:hanging="0"/>
        <w:jc w:val="both"/>
        <w:rPr>
          <w:color w:val="000000"/>
        </w:rPr>
      </w:pPr>
      <w:r>
        <w:rPr/>
        <w:commentReference w:id="23"/>
      </w:r>
    </w:p>
    <w:p>
      <w:pPr>
        <w:pStyle w:val="ListParagraph"/>
        <w:numPr>
          <w:ilvl w:val="1"/>
          <w:numId w:val="6"/>
        </w:numPr>
        <w:spacing w:lineRule="auto" w:line="276" w:before="120" w:after="120"/>
        <w:contextualSpacing/>
        <w:jc w:val="both"/>
        <w:rPr>
          <w:rFonts w:cs="DejaVu Sans"/>
          <w:b/>
          <w:b/>
          <w:bCs/>
          <w:szCs w:val="20"/>
        </w:rPr>
      </w:pPr>
      <w:r>
        <w:rPr>
          <w:rFonts w:cs="Arial"/>
          <w:b/>
          <w:bCs/>
          <w:color w:val="000000"/>
          <w:szCs w:val="20"/>
        </w:rPr>
        <w:t>Habilitação técnica:</w:t>
      </w:r>
    </w:p>
    <w:p>
      <w:pPr>
        <w:pStyle w:val="ListParagraph"/>
        <w:numPr>
          <w:ilvl w:val="2"/>
          <w:numId w:val="6"/>
        </w:numPr>
        <w:spacing w:lineRule="auto" w:line="276" w:before="120" w:after="120"/>
        <w:contextualSpacing/>
        <w:jc w:val="both"/>
        <w:textAlignment w:val="baseline"/>
        <w:rPr/>
      </w:pPr>
      <w:r>
        <w:rPr>
          <w:rFonts w:cs="Arial"/>
          <w:i/>
          <w:iCs/>
          <w:color w:val="000000"/>
          <w:szCs w:val="20"/>
        </w:rPr>
        <w:t xml:space="preserve">Apresentar uma Declaração formal do fornecedor, assinada por seu responsável técnico, acerca do conhecimento pleno das condições e peculiaridades da contratação, conforme modelo constante do Anexo IV do presente Aviso de Contratação Direta. </w:t>
      </w:r>
    </w:p>
    <w:p>
      <w:pPr>
        <w:pStyle w:val="ListParagraph"/>
        <w:numPr>
          <w:ilvl w:val="0"/>
          <w:numId w:val="0"/>
        </w:numPr>
        <w:spacing w:lineRule="auto" w:line="276" w:before="120" w:after="120"/>
        <w:ind w:left="3010" w:hanging="0"/>
        <w:contextualSpacing/>
        <w:jc w:val="both"/>
        <w:textAlignment w:val="baseline"/>
        <w:rPr>
          <w:rFonts w:cs="Arial"/>
          <w:i/>
          <w:i/>
          <w:iCs/>
          <w:color w:val="000000"/>
          <w:szCs w:val="20"/>
        </w:rPr>
      </w:pPr>
      <w:r>
        <w:rPr/>
      </w:r>
    </w:p>
    <w:p>
      <w:pPr>
        <w:pStyle w:val="ListParagraph"/>
        <w:numPr>
          <w:ilvl w:val="2"/>
          <w:numId w:val="6"/>
        </w:numPr>
        <w:spacing w:lineRule="auto" w:line="276" w:before="120" w:after="120"/>
        <w:contextualSpacing/>
        <w:jc w:val="both"/>
        <w:textAlignment w:val="baseline"/>
        <w:rPr/>
      </w:pPr>
      <w:r>
        <w:rPr>
          <w:rFonts w:cs="Arial"/>
          <w:i/>
          <w:iCs/>
          <w:color w:val="000000"/>
          <w:szCs w:val="20"/>
        </w:rPr>
        <w:t>Apresentar o Atestado de Capacidade Técnica conforme prescreve o Termo de Referência, anexo a este edital.</w:t>
      </w:r>
    </w:p>
    <w:sectPr>
      <w:headerReference w:type="default" r:id="rId17"/>
      <w:headerReference w:type="first" r:id="rId18"/>
      <w:footerReference w:type="default" r:id="rId19"/>
      <w:type w:val="nextPage"/>
      <w:pgSz w:w="11906" w:h="16838"/>
      <w:pgMar w:left="1701" w:right="1701" w:header="0" w:top="1417" w:footer="708" w:bottom="1417" w:gutter="0"/>
      <w:pgNumType w:fmt="decimal"/>
      <w:formProt w:val="false"/>
      <w:titlePg/>
      <w:textDirection w:val="lrTb"/>
      <w:docGrid w:type="default" w:linePitch="360" w:charSpace="0"/>
    </w:sectPr>
  </w:body>
</w:document>
</file>

<file path=word/comments.xml><?xml version="1.0" encoding="utf-8"?>
<w:comments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comment w:id="0" w:author="Autor" w:date="0-00-00T00:00:00Z" w:initials="A">
    <w:p>
      <w:r>
        <w:rPr>
          <w:rFonts w:ascii="Liberation Serif" w:hAnsi="Liberation Serif" w:eastAsia="Segoe UI"/>
          <w:b/>
          <w:bCs/>
          <w:sz w:val="24"/>
          <w:lang w:val="en-US" w:eastAsia="en-US" w:bidi="en-US"/>
        </w:rPr>
        <w:t xml:space="preserve">ORIENTAÇÕES PARA USO DO MODELO – </w:t>
      </w:r>
      <w:r>
        <w:rPr>
          <w:rFonts w:ascii="Liberation Serif" w:hAnsi="Liberation Serif" w:eastAsia="Segoe UI"/>
          <w:b/>
          <w:bCs/>
          <w:color w:val="FF0000"/>
          <w:sz w:val="24"/>
          <w:lang w:val="en-US" w:eastAsia="en-US" w:bidi="en-US"/>
        </w:rPr>
        <w:t>LEITURA OBRIGATÓRIA</w:t>
      </w:r>
    </w:p>
    <w:p>
      <w:r>
        <w:rPr>
          <w:rFonts w:ascii="Liberation Serif" w:hAnsi="Liberation Serif" w:eastAsia="Segoe UI"/>
          <w:sz w:val="24"/>
          <w:lang w:val="en-US" w:eastAsia="en-US" w:bidi="en-US"/>
        </w:rPr>
      </w:r>
    </w:p>
    <w:p>
      <w:r>
        <w:rPr>
          <w:rFonts w:ascii="Liberation Serif" w:hAnsi="Liberation Serif" w:eastAsia="Segoe UI"/>
          <w:sz w:val="24"/>
          <w:lang w:val="en-US" w:eastAsia="en-US" w:bidi="en-US"/>
        </w:rPr>
        <w:t xml:space="preserve">1)O presente modelo de Aviso de Contratação Direta procura fornecer um ponto de partida para a elaboração do documento que dará início à competição feita via Sistema de Dispensa Eletrônica, integrado ao Compras.gov.br, conforme Instrução Normativa nº 67, de 8 de julho de 2021, da Secretaria de Gestão da Secretaria Especial de Desburocratização, Gestão e Governo Digital do Ministério da Economia (Seges/ME). As disposições deste modelo se amoldam a todos os objetos contratuais (aquisições, serviços, serviços de engenharia ou com dedicação exclusiva). Recomenda-se a leitura do Manual do Sistema de Dispensa Eletrônica, elaborado pela Secretaria de Gestão do Ministério da Economia, disponível em </w:t>
      </w:r>
      <w:hyperlink r:id="rId1">
        <w:r>
          <w:rPr>
            <w:rFonts w:ascii="Liberation Serif" w:hAnsi="Liberation Serif" w:eastAsia="Segoe UI"/>
            <w:sz w:val="24"/>
            <w:lang w:val="en-US" w:eastAsia="en-US" w:bidi="en-US"/>
          </w:rPr>
          <w:t>https://www.gov.br/compras/pt-br/acesso-a-informacao/manuais/dispensa-eletronica/ManualNovoDispensaEletrnica28.01.2022.pdf</w:t>
        </w:r>
      </w:hyperlink>
      <w:r>
        <w:rPr>
          <w:rFonts w:ascii="Liberation Serif" w:hAnsi="Liberation Serif" w:eastAsia="Segoe UI"/>
          <w:sz w:val="24"/>
          <w:lang w:val="en-US" w:eastAsia="en-US" w:bidi="en-US"/>
        </w:rPr>
        <w:t>.</w:t>
      </w:r>
    </w:p>
    <w:p>
      <w:r>
        <w:rPr>
          <w:rFonts w:ascii="Liberation Serif" w:hAnsi="Liberation Serif" w:eastAsia="Segoe UI"/>
          <w:sz w:val="24"/>
          <w:lang w:val="en-US" w:eastAsia="en-US" w:bidi="en-US"/>
        </w:rPr>
      </w:r>
    </w:p>
    <w:p>
      <w:r>
        <w:rPr>
          <w:rFonts w:ascii="Liberation Serif" w:hAnsi="Liberation Serif" w:eastAsia="Segoe UI"/>
          <w:sz w:val="24"/>
          <w:lang w:val="en-US" w:eastAsia="en-US" w:bidi="en-US"/>
        </w:rPr>
        <w:t>2)A redação em preto consiste no que se espera ser invariável. Ela até pode sofrer modificações a depender do caso concreto, mas não são disposições feitas para variar. Por essa razão, quaisquer modificações nas partes em preto, sem marcação de itálico, devem necessariamente ser justificadas nos autos, sem prejuízo de eventual consulta ao órgão de assessoramento jurídico respectivo, a depender da matéria.</w:t>
      </w:r>
    </w:p>
    <w:p>
      <w:r>
        <w:rPr>
          <w:rFonts w:ascii="Liberation Serif" w:hAnsi="Liberation Serif" w:eastAsia="Segoe UI"/>
          <w:sz w:val="24"/>
          <w:lang w:val="en-US" w:eastAsia="en-US" w:bidi="en-US"/>
        </w:rPr>
      </w:r>
    </w:p>
    <w:p>
      <w:r>
        <w:rPr>
          <w:rFonts w:ascii="Liberation Serif" w:hAnsi="Liberation Serif" w:eastAsia="Segoe UI"/>
          <w:sz w:val="24"/>
          <w:lang w:val="en-US" w:eastAsia="en-US" w:bidi="en-US"/>
        </w:rPr>
        <w:t xml:space="preserve">3)Os itens deste modelo destacados em vermelho itálico devem ser preenchidos ou adotados pelo órgão ou entidade pública contratante segundo critérios de oportunidade e conveniência, de acordo com as peculiaridades do objeto e cuidando-se para que sejam reproduzidas as mesmas definições nos demais instrumentos da contratação (minuta de Termo de Contrato), para que não conflitem. São previsões feitas para variarem. Eventuais justificativas podem ser exigidas a depender do caso. </w:t>
      </w:r>
    </w:p>
    <w:p>
      <w:r>
        <w:rPr>
          <w:rFonts w:ascii="Liberation Serif" w:hAnsi="Liberation Serif" w:eastAsia="Segoe UI"/>
          <w:sz w:val="24"/>
          <w:lang w:val="en-US" w:eastAsia="en-US" w:bidi="en-US"/>
        </w:rPr>
      </w:r>
    </w:p>
    <w:p>
      <w:r>
        <w:rPr>
          <w:rFonts w:ascii="Liberation Serif" w:hAnsi="Liberation Serif" w:eastAsia="Segoe UI"/>
          <w:sz w:val="24"/>
          <w:lang w:val="en-US" w:eastAsia="en-US" w:bidi="en-US"/>
        </w:rPr>
        <w:t xml:space="preserve">4)Alguns itens receberam notas explicativas, destacadas para compreensão do agente ou setor responsável, que deverão ser devidamente suprimidas ao se finalizar o documento na versão original. </w:t>
      </w:r>
    </w:p>
    <w:p>
      <w:r>
        <w:rPr>
          <w:rFonts w:ascii="Liberation Serif" w:hAnsi="Liberation Serif" w:eastAsia="Segoe UI"/>
          <w:sz w:val="24"/>
          <w:lang w:val="en-US" w:eastAsia="en-US" w:bidi="en-US"/>
        </w:rPr>
      </w:r>
    </w:p>
    <w:p>
      <w:r>
        <w:rPr>
          <w:rFonts w:ascii="Liberation Serif" w:hAnsi="Liberation Serif" w:eastAsia="Segoe UI"/>
          <w:sz w:val="24"/>
          <w:lang w:val="en-US" w:eastAsia="en-US" w:bidi="en-US"/>
        </w:rPr>
        <w:t>5)Recomenda-se indicar no processo a versão (mês e ano) utilizada para elaboração da minuta, em especial ao encaminhar o feito para análise jurídica. Tal informação consta no rodapé do documento. Essa indicação pode ocorrer expressamente no despacho de encaminhamento ou mantendo-se o rodapé na minuta encaminhada, conforme o caso. É um dado importante já que indica qual o parâmetro a ser utilizado em eventual checagem.</w:t>
      </w:r>
    </w:p>
    <w:p>
      <w:r>
        <w:rPr>
          <w:rFonts w:ascii="Liberation Serif" w:hAnsi="Liberation Serif" w:eastAsia="Segoe UI"/>
          <w:sz w:val="24"/>
          <w:lang w:val="en-US" w:eastAsia="en-US" w:bidi="en-US"/>
        </w:rPr>
      </w:r>
    </w:p>
    <w:p>
      <w:r>
        <w:rPr>
          <w:rFonts w:ascii="Liberation Serif" w:hAnsi="Liberation Serif" w:eastAsia="Segoe UI"/>
          <w:sz w:val="24"/>
          <w:lang w:val="en-US" w:eastAsia="en-US" w:bidi="en-US"/>
        </w:rPr>
        <w:t xml:space="preserve">6)Quaisquer sugestões de alteração poderão ser encaminhadas ao e-mail: </w:t>
      </w:r>
      <w:hyperlink r:id="rId2">
        <w:r>
          <w:rPr>
            <w:rFonts w:ascii="Liberation Serif" w:hAnsi="Liberation Serif" w:eastAsia="Segoe UI"/>
            <w:sz w:val="24"/>
            <w:lang w:val="en-US" w:eastAsia="en-US" w:bidi="en-US"/>
          </w:rPr>
          <w:t>cgu.modeloscontratacao@agu.gov.br</w:t>
        </w:r>
      </w:hyperlink>
      <w:r>
        <w:rPr>
          <w:rFonts w:ascii="Liberation Serif" w:hAnsi="Liberation Serif" w:eastAsia="Segoe UI"/>
          <w:sz w:val="24"/>
          <w:lang w:val="en-US" w:eastAsia="en-US" w:bidi="en-US"/>
        </w:rPr>
        <w:t>.</w:t>
      </w:r>
    </w:p>
    <w:p>
      <w:r>
        <w:rPr>
          <w:rFonts w:ascii="Liberation Serif" w:hAnsi="Liberation Serif" w:eastAsia="Segoe UI"/>
          <w:sz w:val="24"/>
          <w:lang w:val="en-US" w:eastAsia="en-US" w:bidi="en-US"/>
        </w:rPr>
      </w:r>
    </w:p>
    <w:p>
      <w:r>
        <w:rPr>
          <w:rFonts w:ascii="Liberation Serif" w:hAnsi="Liberation Serif" w:eastAsia="Segoe UI"/>
          <w:sz w:val="24"/>
          <w:lang w:val="en-US" w:eastAsia="en-US" w:bidi="en-US"/>
        </w:rPr>
        <w:t xml:space="preserve">7)Este modelo </w:t>
      </w:r>
      <w:r>
        <w:rPr>
          <w:rFonts w:ascii="Liberation Serif" w:hAnsi="Liberation Serif" w:eastAsia="Segoe UI"/>
          <w:b/>
          <w:bCs/>
          <w:sz w:val="24"/>
          <w:lang w:val="en-US" w:eastAsia="en-US" w:bidi="en-US"/>
        </w:rPr>
        <w:t>poderá</w:t>
      </w:r>
      <w:r>
        <w:rPr>
          <w:rFonts w:ascii="Liberation Serif" w:hAnsi="Liberation Serif" w:eastAsia="Segoe UI"/>
          <w:sz w:val="24"/>
          <w:lang w:val="en-US" w:eastAsia="en-US" w:bidi="en-US"/>
        </w:rPr>
        <w:t xml:space="preserve"> ser adotado por todos os entes federados, conforme estabelece o inciso IV do art. 19 da Lei nº 14.133, de 1º de abril de 2021, com a realização das adequações eventualmente necessárias, sobretudo em virtude da possível existência de normas locais específicas, que poderão ser consideradas no caso concreto.</w:t>
      </w:r>
    </w:p>
  </w:comment>
  <w:comment w:id="1" w:author="Autor" w:date="0-00-00T00:00:00Z" w:initials="A">
    <w:p>
      <w:r>
        <w:rPr>
          <w:rFonts w:ascii="Liberation Serif" w:hAnsi="Liberation Serif" w:eastAsia="Segoe UI"/>
          <w:b/>
          <w:bCs/>
          <w:i/>
          <w:iCs/>
          <w:color w:val="000000"/>
          <w:sz w:val="24"/>
          <w:lang w:val="en-US" w:eastAsia="en-US" w:bidi="en-US"/>
        </w:rPr>
        <w:t xml:space="preserve">Nota explicativa 1: </w:t>
      </w:r>
      <w:r>
        <w:rPr>
          <w:rFonts w:ascii="Liberation Serif" w:hAnsi="Liberation Serif" w:eastAsia="Segoe UI"/>
          <w:i/>
          <w:iCs/>
          <w:color w:val="000000"/>
          <w:sz w:val="24"/>
          <w:lang w:val="en-US" w:eastAsia="en-US" w:bidi="en-US"/>
        </w:rPr>
        <w:t xml:space="preserve">O horário da fase de lances deverá ser estabelecido conforme o art. 11 da Instrução Normativa Seges/ME nº 67, de 2021. </w:t>
      </w:r>
    </w:p>
  </w:comment>
  <w:comment w:id="2" w:author="Autor" w:date="0-00-00T00:00:00Z" w:initials="A">
    <w:p>
      <w:r>
        <w:rPr>
          <w:rFonts w:ascii="Liberation Serif" w:hAnsi="Liberation Serif" w:eastAsia="Segoe UI"/>
          <w:b/>
          <w:bCs/>
          <w:i/>
          <w:iCs/>
          <w:color w:val="000000"/>
          <w:sz w:val="24"/>
          <w:lang w:val="en-US" w:eastAsia="en-US" w:bidi="en-US"/>
        </w:rPr>
        <w:t xml:space="preserve">Nota explicativa: </w:t>
      </w:r>
      <w:r>
        <w:rPr>
          <w:rFonts w:ascii="Liberation Serif" w:hAnsi="Liberation Serif" w:eastAsia="Segoe UI"/>
          <w:i/>
          <w:iCs/>
          <w:color w:val="000000"/>
          <w:sz w:val="24"/>
          <w:lang w:val="en-US" w:eastAsia="en-US" w:bidi="en-US"/>
        </w:rPr>
        <w:t>Ajustar o Preâmbulo com a hipótese de dispensa.</w:t>
      </w:r>
    </w:p>
  </w:comment>
  <w:comment w:id="3" w:author="Autor" w:date="0-00-00T00:00:00Z" w:initials="A">
    <w:p>
      <w:r>
        <w:rPr>
          <w:rFonts w:ascii="Liberation Serif" w:hAnsi="Liberation Serif" w:eastAsia="Segoe UI"/>
          <w:b/>
          <w:bCs/>
          <w:i/>
          <w:iCs/>
          <w:color w:val="000000"/>
          <w:sz w:val="24"/>
          <w:lang w:val="en-US" w:eastAsia="en-US" w:bidi="en-US"/>
        </w:rPr>
        <w:t xml:space="preserve">Nota explicativa 1: </w:t>
      </w:r>
      <w:r>
        <w:rPr>
          <w:rFonts w:ascii="Liberation Serif" w:hAnsi="Liberation Serif" w:eastAsia="Segoe UI"/>
          <w:i/>
          <w:iCs/>
          <w:color w:val="000000"/>
          <w:sz w:val="24"/>
          <w:lang w:val="en-US" w:eastAsia="en-US" w:bidi="en-US"/>
        </w:rPr>
        <w:t>O horário da fase de lances deverá ser estabelecido conforme o art. 11 da Instrução Normativa Seges/ME nº 67, de 2021.</w:t>
      </w:r>
    </w:p>
  </w:comment>
  <w:comment w:id="4" w:author="Autor" w:date="0-00-00T00:00:00Z" w:initials="A">
    <w:p>
      <w:r>
        <w:rPr>
          <w:rFonts w:ascii="Liberation Serif" w:hAnsi="Liberation Serif" w:eastAsia="Segoe UI"/>
          <w:b/>
          <w:bCs/>
          <w:i/>
          <w:iCs/>
          <w:color w:val="000000"/>
          <w:sz w:val="24"/>
          <w:lang w:val="en-US" w:eastAsia="en-US" w:bidi="en-US"/>
        </w:rPr>
        <w:t xml:space="preserve">Nota Explicativa: </w:t>
      </w:r>
      <w:r>
        <w:rPr>
          <w:rFonts w:ascii="Liberation Serif" w:hAnsi="Liberation Serif" w:eastAsia="Segoe UI"/>
          <w:i/>
          <w:iCs/>
          <w:color w:val="000000"/>
          <w:sz w:val="24"/>
          <w:lang w:val="en-US" w:eastAsia="en-US" w:bidi="en-US"/>
        </w:rPr>
        <w:t>A tabela abaixo é meramente ilustrativa. Incumbe à área contratante ajustá-la incluindo ou excluindo informações na medida em que forem aplicáveis ou não à contratação em questão.</w:t>
      </w:r>
    </w:p>
  </w:comment>
  <w:comment w:id="5" w:author="Autor" w:date="0-00-00T00:00:00Z" w:initials="A">
    <w:p>
      <w:r>
        <w:rPr>
          <w:rFonts w:ascii="Liberation Serif" w:hAnsi="Liberation Serif" w:eastAsia="Segoe UI"/>
          <w:b/>
          <w:bCs/>
          <w:i/>
          <w:iCs/>
          <w:color w:val="000000"/>
          <w:sz w:val="24"/>
          <w:lang w:val="en-US" w:eastAsia="en-US" w:bidi="en-US"/>
        </w:rPr>
        <w:t xml:space="preserve">Nota Explicativa: </w:t>
      </w:r>
      <w:r>
        <w:rPr>
          <w:rFonts w:ascii="Liberation Serif" w:hAnsi="Liberation Serif" w:eastAsia="Segoe UI"/>
          <w:i/>
          <w:iCs/>
          <w:color w:val="000000"/>
          <w:sz w:val="24"/>
          <w:lang w:val="en-US" w:eastAsia="en-US" w:bidi="en-US"/>
        </w:rPr>
        <w:t>Incluir Projeto Básico caso se trate de Contratação de Obras ou Serviços de Engenharia, e Projeto Executivo se cabível e sua elaboração não for delegada ao Contratado. Quanto à diferenciação entre Termo de Referência e Projeto Básico em Contratações de Engenharia, direciona-se o leitor às orientações do modelo de Termo de Referência de Serviços de Engenharia. Caso se trate de contratação integrada ou semi-integrada, adaptar a redação do item, além de outros aspectos do presente modelo.</w:t>
      </w:r>
    </w:p>
  </w:comment>
  <w:comment w:id="6" w:author="Autor" w:date="0-00-00T00:00:00Z" w:initials="A">
    <w:p>
      <w:r>
        <w:rPr>
          <w:rFonts w:ascii="Liberation Serif" w:hAnsi="Liberation Serif" w:eastAsia="Segoe UI"/>
          <w:b/>
          <w:bCs/>
          <w:i/>
          <w:iCs/>
          <w:color w:val="000000"/>
          <w:sz w:val="24"/>
          <w:lang w:val="en-US" w:eastAsia="en-US" w:bidi="en-US"/>
        </w:rPr>
        <w:t>Nota Explicativa</w:t>
      </w:r>
      <w:r>
        <w:rPr>
          <w:rFonts w:ascii="Liberation Serif" w:hAnsi="Liberation Serif" w:eastAsia="Segoe UI"/>
          <w:i/>
          <w:iCs/>
          <w:color w:val="000000"/>
          <w:sz w:val="24"/>
          <w:lang w:val="en-US" w:eastAsia="en-US" w:bidi="en-US"/>
        </w:rPr>
        <w:t>: Caso o fornecedor assinale o campo "não" na declaração relativa ao subitem acima, não fará jus ao tratamento favorecido previsto na Lei Complementar n.º 123, de 2006, mesmo que se trate de microempresa, empresa de pequeno porte ou sociedade cooperativa.</w:t>
      </w:r>
    </w:p>
  </w:comment>
  <w:comment w:id="7" w:author="Autor" w:date="0-00-00T00:00:00Z" w:initials="A">
    <w:p>
      <w:r>
        <w:rPr>
          <w:rFonts w:ascii="Liberation Serif" w:hAnsi="Liberation Serif" w:eastAsia="Segoe UI"/>
          <w:b/>
          <w:bCs/>
          <w:i/>
          <w:iCs/>
          <w:color w:val="000000"/>
          <w:sz w:val="24"/>
          <w:lang w:val="en-US" w:eastAsia="en-US" w:bidi="en-US"/>
        </w:rPr>
        <w:t xml:space="preserve">Nota Explicativa: </w:t>
      </w:r>
      <w:r>
        <w:rPr>
          <w:rFonts w:ascii="Liberation Serif" w:hAnsi="Liberation Serif" w:eastAsia="Segoe UI"/>
          <w:i/>
          <w:iCs/>
          <w:color w:val="000000"/>
          <w:sz w:val="24"/>
          <w:lang w:val="en-US" w:eastAsia="en-US" w:bidi="en-US"/>
        </w:rPr>
        <w:t>Preencher com prazo reputado como razoável para a conclusão da contratação. Registre-se que não há prazo mínimo ou máximo de validade previsto em normativo neste caso.</w:t>
      </w:r>
    </w:p>
  </w:comment>
  <w:comment w:id="8" w:author="Autor" w:date="0-00-00T00:00:00Z" w:initials="A">
    <w:p>
      <w:r>
        <w:rPr>
          <w:rFonts w:ascii="Liberation Serif" w:hAnsi="Liberation Serif" w:eastAsia="Segoe UI"/>
          <w:b/>
          <w:bCs/>
          <w:i/>
          <w:iCs/>
          <w:color w:val="000000"/>
          <w:sz w:val="24"/>
          <w:lang w:val="en-US" w:eastAsia="en-US" w:bidi="en-US"/>
        </w:rPr>
        <w:t>Nota Explicativa:</w:t>
      </w:r>
      <w:r>
        <w:rPr>
          <w:rFonts w:ascii="Liberation Serif" w:hAnsi="Liberation Serif" w:eastAsia="Segoe UI"/>
          <w:color w:val="000000"/>
          <w:sz w:val="24"/>
          <w:lang w:val="en-US" w:eastAsia="en-US" w:bidi="en-US"/>
        </w:rPr>
        <w:t xml:space="preserve"> </w:t>
      </w:r>
      <w:r>
        <w:rPr>
          <w:rFonts w:ascii="Liberation Serif" w:hAnsi="Liberation Serif" w:eastAsia="Segoe UI"/>
          <w:i/>
          <w:iCs/>
          <w:color w:val="000000"/>
          <w:sz w:val="24"/>
          <w:lang w:val="en-US" w:eastAsia="en-US" w:bidi="en-US"/>
        </w:rPr>
        <w:t>Atentar para o fato de que, segundo o § 1º do art. 16 da Instrução Normativa Seges/ME nº 67, de 2021, na hipótese de a estimativa de preços ser realizada concomitantemente à seleção da proposta economicamente mais vantajosa, nos termos do § 4º do art. 7º da Instrução Normativa Seges/ME nº 65, de 2021, a verificação quanto à compatibilidade de preços será formal e deverá considerar, no mínimo, o número de concorrentes no procedimento e os valores por eles ofertados. Nesse caso, o trecho em vermelho deverá ser excluído.</w:t>
      </w:r>
    </w:p>
  </w:comment>
  <w:comment w:id="9" w:author="Autor" w:date="0-00-00T00:00:00Z" w:initials="A">
    <w:p>
      <w:r>
        <w:rPr>
          <w:rFonts w:ascii="Liberation Serif" w:hAnsi="Liberation Serif" w:eastAsia="Segoe UI"/>
          <w:b/>
          <w:bCs/>
          <w:i/>
          <w:iCs/>
          <w:sz w:val="24"/>
          <w:lang w:val="en-US" w:eastAsia="en-US" w:bidi="en-US"/>
        </w:rPr>
        <w:t>Nota explicativa:</w:t>
      </w:r>
      <w:r>
        <w:rPr>
          <w:rFonts w:ascii="Liberation Serif" w:hAnsi="Liberation Serif" w:eastAsia="Segoe UI"/>
          <w:i/>
          <w:iCs/>
          <w:sz w:val="24"/>
          <w:lang w:val="en-US" w:eastAsia="en-US" w:bidi="en-US"/>
        </w:rPr>
        <w:t xml:space="preserve"> A recomendação de consulta aos cadastros acima se dá à luz do § 4º do  art. 91, da Lei nº 14.133, de 2021, sem prejuízo da possibilidade, a critério   do órgão respectivo, de consulta complementar a outros cadastros </w:t>
      </w:r>
      <w:r>
        <w:rPr>
          <w:rFonts w:ascii="Liberation Serif" w:hAnsi="Liberation Serif" w:eastAsia="Segoe UI"/>
          <w:i/>
          <w:iCs/>
          <w:color w:val="000000"/>
          <w:sz w:val="24"/>
          <w:lang w:val="en-US" w:eastAsia="en-US" w:bidi="en-US"/>
        </w:rPr>
        <w:t>análogos, tais como os mantidos pelo Tribunal de Contas da União – TCU.</w:t>
      </w:r>
    </w:p>
  </w:comment>
  <w:comment w:id="11" w:author="Autor" w:date="0-00-00T00:00:00Z" w:initials="A">
    <w:p>
      <w:r>
        <w:rPr>
          <w:rFonts w:ascii="Liberation Serif" w:hAnsi="Liberation Serif" w:eastAsia="Segoe UI"/>
          <w:b/>
          <w:bCs/>
          <w:color w:val="000000"/>
          <w:sz w:val="24"/>
          <w:lang w:val="en-US" w:eastAsia="en-US" w:bidi="en-US"/>
        </w:rPr>
        <w:t>Nota</w:t>
      </w:r>
      <w:r>
        <w:rPr>
          <w:rFonts w:ascii="Liberation Serif" w:hAnsi="Liberation Serif" w:eastAsia="Segoe UI"/>
          <w:color w:val="000000"/>
          <w:sz w:val="24"/>
          <w:lang w:val="en-US" w:eastAsia="en-US" w:bidi="en-US"/>
        </w:rPr>
        <w:t xml:space="preserve"> </w:t>
      </w:r>
      <w:r>
        <w:rPr>
          <w:rFonts w:ascii="Liberation Serif" w:hAnsi="Liberation Serif" w:eastAsia="Segoe UI"/>
          <w:b/>
          <w:bCs/>
          <w:color w:val="000000"/>
          <w:sz w:val="24"/>
          <w:lang w:val="en-US" w:eastAsia="en-US" w:bidi="en-US"/>
        </w:rPr>
        <w:t>explicativa</w:t>
      </w:r>
      <w:r>
        <w:rPr>
          <w:rFonts w:ascii="Liberation Serif" w:hAnsi="Liberation Serif" w:eastAsia="Segoe UI"/>
          <w:i/>
          <w:iCs/>
          <w:color w:val="000000"/>
          <w:sz w:val="24"/>
          <w:lang w:val="en-US" w:eastAsia="en-US" w:bidi="en-US"/>
        </w:rPr>
        <w:t>: De acordo com o art. 95 da Lei nº 14.133, de 2021, o termo de contrato é facultativo nas contratações fundadas no art. 75, incisos I e II (dispensa por valor) e no caso de compras com entrega imediata.</w:t>
      </w:r>
    </w:p>
    <w:p>
      <w:r>
        <w:rPr>
          <w:rFonts w:ascii="Liberation Serif" w:hAnsi="Liberation Serif" w:eastAsia="Segoe UI"/>
          <w:i/>
          <w:iCs/>
          <w:color w:val="000000"/>
          <w:sz w:val="24"/>
          <w:lang w:val="en-US" w:eastAsia="en-US" w:bidi="en-US"/>
        </w:rPr>
        <w:t>Assim, caso não haja termo de contrato, este poderá ser substituído por outros instrumentos hábeis, como carta contrato, nota de empenho de despesa ou autorização de compra, nos quais deve constar expressamente a vinculação à proposta e aos termos do aviso de dispensa. A redação do presente tópico procura abarcar ambas as hipóteses, sem prejuízo de eventuais ajustes que se façam necessários.</w:t>
      </w:r>
    </w:p>
  </w:comment>
  <w:comment w:id="10" w:author="Autor" w:date="0-00-00T00:00:00Z" w:initials="A">
    <w:p>
      <w:r>
        <w:rPr>
          <w:rFonts w:ascii="Liberation Serif" w:hAnsi="Liberation Serif" w:eastAsia="Segoe UI"/>
          <w:b/>
          <w:bCs/>
          <w:i/>
          <w:iCs/>
          <w:color w:val="000000"/>
          <w:sz w:val="24"/>
          <w:lang w:val="en-US" w:eastAsia="en-US" w:bidi="en-US"/>
        </w:rPr>
        <w:t xml:space="preserve">Nota </w:t>
      </w:r>
      <w:r>
        <w:rPr>
          <w:rFonts w:ascii="Liberation Serif" w:hAnsi="Liberation Serif" w:eastAsia="Segoe UI"/>
          <w:b/>
          <w:bCs/>
          <w:i/>
          <w:iCs/>
          <w:sz w:val="24"/>
          <w:lang w:val="en-US" w:eastAsia="en-US" w:bidi="en-US"/>
        </w:rPr>
        <w:t>Explicativa</w:t>
      </w:r>
      <w:r>
        <w:rPr>
          <w:rFonts w:ascii="Liberation Serif" w:hAnsi="Liberation Serif" w:eastAsia="Segoe UI"/>
          <w:b/>
          <w:bCs/>
          <w:i/>
          <w:iCs/>
          <w:color w:val="000000"/>
          <w:sz w:val="24"/>
          <w:lang w:val="en-US" w:eastAsia="en-US" w:bidi="en-US"/>
        </w:rPr>
        <w:t>:</w:t>
      </w:r>
      <w:r>
        <w:rPr>
          <w:rFonts w:ascii="Liberation Serif" w:hAnsi="Liberation Serif" w:eastAsia="Segoe UI"/>
          <w:i/>
          <w:iCs/>
          <w:color w:val="000000"/>
          <w:sz w:val="24"/>
          <w:lang w:val="en-US" w:eastAsia="en-US" w:bidi="en-US"/>
        </w:rPr>
        <w:t xml:space="preserve"> É importante que a Administração se certifique de que o Termo de Contrato, devolvido, em meio físico ou eletrônico, assinado pela Contratada, não sofreu qualquer alteração. </w:t>
      </w:r>
    </w:p>
  </w:comment>
  <w:comment w:id="12" w:author="Autor" w:date="0-00-00T00:00:00Z" w:initials="A">
    <w:p>
      <w:r>
        <w:rPr>
          <w:rFonts w:ascii="Liberation Serif" w:hAnsi="Liberation Serif" w:eastAsia="Segoe UI"/>
          <w:b/>
          <w:bCs/>
          <w:i/>
          <w:iCs/>
          <w:color w:val="000000"/>
          <w:sz w:val="24"/>
          <w:lang w:val="en-US" w:eastAsia="en-US" w:bidi="en-US"/>
        </w:rPr>
        <w:t xml:space="preserve">Nota Explicativa: </w:t>
      </w:r>
      <w:r>
        <w:rPr>
          <w:rFonts w:ascii="Liberation Serif" w:hAnsi="Liberation Serif" w:eastAsia="Segoe UI"/>
          <w:i/>
          <w:iCs/>
          <w:color w:val="000000"/>
          <w:sz w:val="24"/>
          <w:lang w:val="en-US" w:eastAsia="en-US" w:bidi="en-US"/>
        </w:rPr>
        <w:t xml:space="preserve">Utilizar o subitem acima no caso de haver o uso de nota de empenho ou instrumento assemelhado, em substituição ao instrumento contratual, nos termos dos incisos I e II do art. 95 da Lei nº 14.133, de 2021. </w:t>
      </w:r>
    </w:p>
  </w:comment>
  <w:comment w:id="13" w:author="Autor" w:date="0-00-00T00:00:00Z" w:initials="A">
    <w:p>
      <w:r>
        <w:rPr>
          <w:rFonts w:ascii="Liberation Serif" w:hAnsi="Liberation Serif" w:eastAsia="Segoe UI"/>
          <w:b/>
          <w:bCs/>
          <w:i/>
          <w:iCs/>
          <w:sz w:val="24"/>
          <w:lang w:val="en-US" w:eastAsia="en-US" w:bidi="en-US"/>
        </w:rPr>
        <w:t>Nota</w:t>
      </w:r>
      <w:r>
        <w:rPr>
          <w:rFonts w:ascii="Liberation Serif" w:hAnsi="Liberation Serif" w:eastAsia="Segoe UI"/>
          <w:i/>
          <w:iCs/>
          <w:color w:val="000000"/>
          <w:sz w:val="24"/>
          <w:lang w:val="en-US" w:eastAsia="en-US" w:bidi="en-US"/>
        </w:rPr>
        <w:t xml:space="preserve"> </w:t>
      </w:r>
      <w:r>
        <w:rPr>
          <w:rFonts w:ascii="Liberation Serif" w:hAnsi="Liberation Serif" w:eastAsia="Segoe UI"/>
          <w:b/>
          <w:bCs/>
          <w:i/>
          <w:iCs/>
          <w:sz w:val="24"/>
          <w:lang w:val="en-US" w:eastAsia="en-US" w:bidi="en-US"/>
        </w:rPr>
        <w:t>explicativa</w:t>
      </w:r>
      <w:r>
        <w:rPr>
          <w:rFonts w:ascii="Liberation Serif" w:hAnsi="Liberation Serif" w:eastAsia="Segoe UI"/>
          <w:i/>
          <w:iCs/>
          <w:color w:val="000000"/>
          <w:sz w:val="24"/>
          <w:lang w:val="en-US" w:eastAsia="en-US" w:bidi="en-US"/>
        </w:rPr>
        <w:t>: Nesse momento, deve haver a checagem da manutenção de todas as condições de habilitação, não se limitando apenas à consulta ao SICAF.</w:t>
      </w:r>
    </w:p>
  </w:comment>
  <w:comment w:id="14" w:author="Autor" w:date="0-00-00T00:00:00Z" w:initials="A">
    <w:p>
      <w:r>
        <w:rPr>
          <w:rFonts w:ascii="Liberation Serif" w:hAnsi="Liberation Serif" w:eastAsia="Segoe UI"/>
          <w:b/>
          <w:bCs/>
          <w:i/>
          <w:iCs/>
          <w:sz w:val="24"/>
          <w:lang w:val="en-US" w:eastAsia="en-US" w:bidi="en-US"/>
        </w:rPr>
        <w:t>Nota Explicativa:</w:t>
      </w:r>
      <w:r>
        <w:rPr>
          <w:rFonts w:ascii="Liberation Serif" w:hAnsi="Liberation Serif" w:eastAsia="Segoe UI"/>
          <w:i/>
          <w:iCs/>
          <w:sz w:val="24"/>
          <w:lang w:val="en-US" w:eastAsia="en-US" w:bidi="en-US"/>
        </w:rPr>
        <w:t xml:space="preserve"> Nos termos do art. 156, §3º da Lei nº 14.133, de 2021, a multa deve ser prevista em percentual entre 0,5% e 30% do valor do contrato.</w:t>
      </w:r>
    </w:p>
  </w:comment>
  <w:comment w:id="15" w:author="Autor" w:date="0-00-00T00:00:00Z" w:initials="A">
    <w:p>
      <w:r>
        <w:rPr>
          <w:rFonts w:ascii="Liberation Serif" w:hAnsi="Liberation Serif" w:eastAsia="Segoe UI"/>
          <w:b/>
          <w:bCs/>
          <w:i/>
          <w:iCs/>
          <w:color w:val="000000"/>
          <w:sz w:val="24"/>
          <w:lang w:val="en-US" w:eastAsia="en-US" w:bidi="en-US"/>
        </w:rPr>
        <w:t>Nota explicativa 1:</w:t>
      </w:r>
      <w:r>
        <w:rPr>
          <w:rFonts w:ascii="Liberation Serif" w:hAnsi="Liberation Serif" w:eastAsia="Segoe UI"/>
          <w:i/>
          <w:iCs/>
          <w:color w:val="000000"/>
          <w:sz w:val="24"/>
          <w:lang w:val="en-US" w:eastAsia="en-US" w:bidi="en-US"/>
        </w:rPr>
        <w:t xml:space="preserve"> É fundamental que a Administração observe que exigências excessivas poderão prejudicar a competitividade do processo de contratação direta e ofender o disposto no art. 37, XXI da Constituição Federal, o qual preceitua que “o processo de licitação pública [...] somente permitirá as exigências de qualificação técnica e econômica indispensáveis à garantia do cumprimento das obrigações”. Deve-se examinar, diante do caso concreto, se o objeto da contratação demanda a exigência de todos os requisitos de habilitação apresentados neste modelo, levando-se em consideração o vulto, a complexidade e a essencialidade do objeto a ser adquirido e os riscos decorrentes do seu não fornecimento em função de eventual incapacidade econômica da contratada em suportar adversidades contratuais, excluindo-se o que se entender excessivo. </w:t>
      </w:r>
    </w:p>
    <w:p>
      <w:r>
        <w:rPr>
          <w:rFonts w:ascii="Liberation Serif" w:hAnsi="Liberation Serif" w:eastAsia="Segoe UI"/>
          <w:i/>
          <w:iCs/>
          <w:color w:val="000000"/>
          <w:sz w:val="24"/>
          <w:lang w:val="en-US" w:eastAsia="en-US" w:bidi="en-US"/>
        </w:rPr>
        <w:t>Em dispensa eletrônica dividida em itens, as exigências de habilitação podem adequar-se a essa divisibilidade, sendo possível, em um mesmo aviso, a exigência de requisitos de habilitação mais amplos somente para alguns itens. Para tanto, basta acrescentar uma ressalva ao final na exigência pertinente, tal como “(exigência relativa somente aos itens ...., ...., .....)”.</w:t>
      </w:r>
    </w:p>
    <w:p>
      <w:r>
        <w:rPr>
          <w:rFonts w:ascii="Liberation Serif" w:hAnsi="Liberation Serif" w:eastAsia="Segoe UI"/>
          <w:b/>
          <w:bCs/>
          <w:i/>
          <w:iCs/>
          <w:color w:val="000000"/>
          <w:sz w:val="24"/>
          <w:lang w:val="en-US" w:eastAsia="en-US" w:bidi="en-US"/>
        </w:rPr>
        <w:t>Nota Explicativa 2:</w:t>
      </w:r>
      <w:r>
        <w:rPr>
          <w:rFonts w:ascii="Liberation Serif" w:hAnsi="Liberation Serif" w:eastAsia="Segoe UI"/>
          <w:i/>
          <w:iCs/>
          <w:color w:val="000000"/>
          <w:sz w:val="24"/>
          <w:lang w:val="en-US" w:eastAsia="en-US" w:bidi="en-US"/>
        </w:rPr>
        <w:t xml:space="preserve"> Deve-se atentar para o fato de que, conforme o art. 20 da Instrução Normativa Seges/ME n.º 67/2021, </w:t>
      </w:r>
      <w:r>
        <w:rPr>
          <w:rFonts w:ascii="Liberation Serif" w:hAnsi="Liberation Serif" w:eastAsia="Segoe UI"/>
          <w:b/>
          <w:bCs/>
          <w:i/>
          <w:iCs/>
          <w:color w:val="000000"/>
          <w:sz w:val="24"/>
          <w:lang w:val="en-US" w:eastAsia="en-US" w:bidi="en-US"/>
        </w:rPr>
        <w:t>a)</w:t>
      </w:r>
      <w:r>
        <w:rPr>
          <w:rFonts w:ascii="Liberation Serif" w:hAnsi="Liberation Serif" w:eastAsia="Segoe UI"/>
          <w:i/>
          <w:iCs/>
          <w:color w:val="000000"/>
          <w:sz w:val="24"/>
          <w:lang w:val="en-US" w:eastAsia="en-US" w:bidi="en-US"/>
        </w:rPr>
        <w:t xml:space="preserve"> no caso de contratações para entrega imediata, considerada aquela com prazo de entrega de até 30 (trinta) dias da ordem de fornecimento; </w:t>
      </w:r>
      <w:r>
        <w:rPr>
          <w:rFonts w:ascii="Liberation Serif" w:hAnsi="Liberation Serif" w:eastAsia="Segoe UI"/>
          <w:b/>
          <w:bCs/>
          <w:i/>
          <w:iCs/>
          <w:color w:val="000000"/>
          <w:sz w:val="24"/>
          <w:lang w:val="en-US" w:eastAsia="en-US" w:bidi="en-US"/>
        </w:rPr>
        <w:t>b)</w:t>
      </w:r>
      <w:r>
        <w:rPr>
          <w:rFonts w:ascii="Liberation Serif" w:hAnsi="Liberation Serif" w:eastAsia="Segoe UI"/>
          <w:i/>
          <w:iCs/>
          <w:color w:val="000000"/>
          <w:sz w:val="24"/>
          <w:lang w:val="en-US" w:eastAsia="en-US" w:bidi="en-US"/>
        </w:rPr>
        <w:t xml:space="preserve"> nas contratações com valores inferiores a 1/4 (um quarto) do limite para dispensa de licitação para compras em geral; e </w:t>
      </w:r>
      <w:r>
        <w:rPr>
          <w:rFonts w:ascii="Liberation Serif" w:hAnsi="Liberation Serif" w:eastAsia="Segoe UI"/>
          <w:b/>
          <w:bCs/>
          <w:i/>
          <w:iCs/>
          <w:color w:val="000000"/>
          <w:sz w:val="24"/>
          <w:lang w:val="en-US" w:eastAsia="en-US" w:bidi="en-US"/>
        </w:rPr>
        <w:t>c)</w:t>
      </w:r>
      <w:r>
        <w:rPr>
          <w:rFonts w:ascii="Liberation Serif" w:hAnsi="Liberation Serif" w:eastAsia="Segoe UI"/>
          <w:i/>
          <w:iCs/>
          <w:color w:val="000000"/>
          <w:sz w:val="24"/>
          <w:lang w:val="en-US" w:eastAsia="en-US" w:bidi="en-US"/>
        </w:rPr>
        <w:t xml:space="preserve"> nas contratações de produto para pesquisa e desenvolvimento de que trata a alínea “c” do inciso IV do art. 75 da Lei nº14.133, de 2021, somente será exigida das pessoas jurídicas a comprovação da regularidade fiscal federal, social e trabalhista e, das pessoas físicas, a quitação com a Fazenda Federal. </w:t>
      </w:r>
    </w:p>
    <w:p>
      <w:r>
        <w:rPr>
          <w:rFonts w:ascii="Liberation Serif" w:hAnsi="Liberation Serif" w:eastAsia="Segoe UI"/>
          <w:i/>
          <w:iCs/>
          <w:color w:val="000000"/>
          <w:sz w:val="24"/>
          <w:lang w:val="en-US" w:eastAsia="en-US" w:bidi="en-US"/>
        </w:rPr>
        <w:t xml:space="preserve">Nas situações acima, as exigências de habilitação previstas neste Aviso de Contratação Direta deverão ser adequadas às previsões normativas mencionadas. </w:t>
      </w:r>
    </w:p>
  </w:comment>
  <w:comment w:id="16" w:author="Autor" w:date="0-00-00T00:00:00Z" w:initials="A">
    <w:p>
      <w:r>
        <w:rPr>
          <w:rFonts w:ascii="Liberation Serif" w:hAnsi="Liberation Serif" w:eastAsia="Segoe UI"/>
          <w:b/>
          <w:bCs/>
          <w:i/>
          <w:iCs/>
          <w:color w:val="000000"/>
          <w:sz w:val="24"/>
          <w:lang w:val="en-US" w:eastAsia="en-US" w:bidi="en-US"/>
        </w:rPr>
        <w:t>Nota Explicativa</w:t>
      </w:r>
      <w:r>
        <w:rPr>
          <w:rFonts w:ascii="Liberation Serif" w:hAnsi="Liberation Serif" w:eastAsia="Segoe UI"/>
          <w:i/>
          <w:iCs/>
          <w:color w:val="000000"/>
          <w:sz w:val="24"/>
          <w:lang w:val="en-US" w:eastAsia="en-US" w:bidi="en-US"/>
        </w:rPr>
        <w:t>: O art. 41 da Lei nº 14.195, de 26 de agosto de 2021, transformou todas as empresas individuais de responsabilidade limitada (EIRELI) existentes na data da entrada em vigor da lei em sociedades limitadas unipessoais (SLU), independentemente de qualquer alteração em seus respectivos atos constitutivos. Posteriormente, o inciso VI, alíneas “a” e “b”, art. 20, da Lei nº 14.382, de 27 de junho de 2022, revogou as disposições sobre EIRELI constantes do inciso VI do caput do art. 44 e do Título I-A do Livro II da Parte Especial do Código Civil (Lei nº 10.406, de 10 de janeiro de 2002).</w:t>
      </w:r>
    </w:p>
    <w:p>
      <w:r>
        <w:rPr>
          <w:rFonts w:ascii="Liberation Serif" w:hAnsi="Liberation Serif" w:eastAsia="Segoe UI"/>
          <w:i/>
          <w:iCs/>
          <w:color w:val="000000"/>
          <w:sz w:val="24"/>
          <w:lang w:val="en-US" w:eastAsia="en-US" w:bidi="en-US"/>
        </w:rPr>
        <w:t>Diante dessa situação, orientamos os agentes de contratação da seguinte forma: se a empresa for identificada como EIRELI em seus atos constitutivos, ela deverá ser considerada como convertida em SLU, automaticamente, durante o processo de contratação. Os atos constitutivos, inclusive, deverão ser considerados regulares como EIRELI, mas a empresa deverá se comportar na contratação como uma SLU.</w:t>
      </w:r>
    </w:p>
  </w:comment>
  <w:comment w:id="17" w:author="Autor" w:date="0-00-00T00:00:00Z" w:initials="A">
    <w:p>
      <w:r>
        <w:rPr>
          <w:rFonts w:ascii="Liberation Serif" w:hAnsi="Liberation Serif" w:eastAsia="Segoe UI"/>
          <w:b/>
          <w:bCs/>
          <w:i/>
          <w:iCs/>
          <w:sz w:val="24"/>
          <w:lang w:val="en-US" w:eastAsia="en-US" w:bidi="en-US"/>
        </w:rPr>
        <w:t xml:space="preserve">Nota Explicativa: </w:t>
      </w:r>
      <w:r>
        <w:rPr>
          <w:rFonts w:ascii="Liberation Serif" w:hAnsi="Liberation Serif" w:eastAsia="Segoe UI"/>
          <w:i/>
          <w:iCs/>
          <w:color w:val="000000"/>
          <w:sz w:val="24"/>
          <w:lang w:val="en-US" w:eastAsia="en-US" w:bidi="en-US"/>
        </w:rPr>
        <w:t>A apresentação do Certificado de Condição de Microempreendedor Individual – CCMEI supre as exigências de inscrição nos cadastros fiscais, na medida em que essas informações constam no próprio Certificado.</w:t>
      </w:r>
    </w:p>
  </w:comment>
  <w:comment w:id="18" w:author="Autor" w:date="0-00-00T00:00:00Z" w:initials="A">
    <w:p>
      <w:r>
        <w:rPr>
          <w:rFonts w:ascii="Liberation Serif" w:hAnsi="Liberation Serif" w:eastAsia="Segoe UI"/>
          <w:b/>
          <w:bCs/>
          <w:i/>
          <w:iCs/>
          <w:color w:val="000000"/>
          <w:sz w:val="24"/>
          <w:lang w:val="en-US" w:eastAsia="en-US" w:bidi="en-US"/>
        </w:rPr>
        <w:t>Nota explicativa:</w:t>
      </w:r>
      <w:r>
        <w:rPr>
          <w:rFonts w:ascii="Liberation Serif" w:hAnsi="Liberation Serif" w:eastAsia="Segoe UI"/>
          <w:i/>
          <w:iCs/>
          <w:color w:val="000000"/>
          <w:sz w:val="24"/>
          <w:lang w:val="en-US" w:eastAsia="en-US" w:bidi="en-US"/>
        </w:rPr>
        <w:t xml:space="preserve"> O artigo 193 do CTN preceitua que a prova da quitação de todos os tributos devidos dar-se-á no âmbito da Fazenda Pública </w:t>
      </w:r>
      <w:r>
        <w:rPr>
          <w:rFonts w:ascii="Liberation Serif" w:hAnsi="Liberation Serif" w:eastAsia="Segoe UI"/>
          <w:b/>
          <w:bCs/>
          <w:i/>
          <w:iCs/>
          <w:color w:val="000000"/>
          <w:sz w:val="24"/>
          <w:lang w:val="en-US" w:eastAsia="en-US" w:bidi="en-US"/>
        </w:rPr>
        <w:t>interessada</w:t>
      </w:r>
      <w:r>
        <w:rPr>
          <w:rFonts w:ascii="Liberation Serif" w:hAnsi="Liberation Serif" w:eastAsia="Segoe UI"/>
          <w:i/>
          <w:iCs/>
          <w:color w:val="000000"/>
          <w:sz w:val="24"/>
          <w:lang w:val="en-US" w:eastAsia="en-US" w:bidi="en-US"/>
        </w:rPr>
        <w:t>, “relativos à atividade em cujo exercício contrata ou concorre”. Nessa mesma linha, o art. 68, inciso II, da Lei n.º 14.133, de  2021 estabelece a exigência de “inscrição no cadastro de contribuintes estadual e/ou municipal, se houver, relativo ao domicílio ou sede do licitante, pertinente ao seu ramo de atividade e compatível com o objeto contratual”. Dessa forma, a prova de inscrição no cadastro de contribuintes estadual ou municipal e a prova de regularidade fiscal correspondente deve levar em conta a natureza da atividade objeto da contratação e o âmbito da tributação sobre ele incidente:  tratando-se de serviços em geral, incide o ISS, tributo de competência municipal, ao passo que, para aquisições incide o ICMS, tributo de competência estadual. Cabe ao órgão contratante aferir o imposto aplicável e ajustar conforme o caso.</w:t>
      </w:r>
    </w:p>
  </w:comment>
  <w:comment w:id="19" w:author="Autor" w:date="0-00-00T00:00:00Z" w:initials="A">
    <w:p>
      <w:r>
        <w:rPr>
          <w:rFonts w:ascii="Liberation Serif" w:hAnsi="Liberation Serif" w:eastAsia="Segoe UI"/>
          <w:b/>
          <w:bCs/>
          <w:i/>
          <w:iCs/>
          <w:color w:val="000000"/>
          <w:sz w:val="24"/>
          <w:lang w:val="en-US" w:eastAsia="en-US" w:bidi="en-US"/>
        </w:rPr>
        <w:t>Nota Explicativa:</w:t>
      </w:r>
      <w:r>
        <w:rPr>
          <w:rFonts w:ascii="Liberation Serif" w:hAnsi="Liberation Serif" w:eastAsia="Segoe UI"/>
          <w:i/>
          <w:iCs/>
          <w:color w:val="000000"/>
          <w:sz w:val="24"/>
          <w:lang w:val="en-US" w:eastAsia="en-US" w:bidi="en-US"/>
        </w:rPr>
        <w:t xml:space="preserve"> É possível adotar critérios de habilitação econômico-financeira com outros requisitos além dos previstos abaixo, desde que estabelecidos conforme as peculiaridades do objeto a ser contratado, tornando-se necessário que exista justificativa do limite adotado nos autos do procedimento de contratação, na forma do art. 69 da Lei nº 14.133, de 21.</w:t>
      </w:r>
    </w:p>
  </w:comment>
  <w:comment w:id="20" w:author="Autor" w:date="0-00-00T00:00:00Z" w:initials="A">
    <w:p>
      <w:r>
        <w:rPr>
          <w:rFonts w:ascii="Liberation Serif" w:hAnsi="Liberation Serif" w:eastAsia="Segoe UI"/>
          <w:b/>
          <w:bCs/>
          <w:i/>
          <w:iCs/>
          <w:color w:val="000000"/>
          <w:sz w:val="24"/>
          <w:lang w:val="en-US" w:eastAsia="en-US" w:bidi="en-US"/>
        </w:rPr>
        <w:t xml:space="preserve">Nota Explicativa: </w:t>
      </w:r>
      <w:r>
        <w:rPr>
          <w:rFonts w:ascii="Liberation Serif" w:hAnsi="Liberation Serif" w:eastAsia="Segoe UI"/>
          <w:i/>
          <w:iCs/>
          <w:color w:val="000000"/>
          <w:sz w:val="24"/>
          <w:lang w:val="en-US" w:eastAsia="en-US" w:bidi="en-US"/>
        </w:rPr>
        <w:t>A previsão deste subitem decorre da disposição do Acórdão n.º 484/2007-TCU-Plenário, ainda pertinente sob a égide da nova Lei de Licitações. Sobre a diferenciação entre balanço intermediário e balanço provisório, referido acórdão esclarece que: “Por outro lado, não se confunde balanço provisório com balanço intermediário. Aquele consiste em uma avaliação precária, cujo conteúdo não é definitivo. O balanço provisório admite retificação ampla posterior e corresponde a um documento sem maiores efeitos jurídicos. Já o balanço intermediário consiste em documento definitivo, cujo conteúdo retrata a situação empresarial no curso do exercício. A figura do balanço intermediário deverá estar prevista no estatuto ou decorrer de lei.”.</w:t>
      </w:r>
    </w:p>
  </w:comment>
  <w:comment w:id="21" w:author="Autor" w:date="0-00-00T00:00:00Z" w:initials="A">
    <w:p>
      <w:r>
        <w:rPr>
          <w:rFonts w:ascii="Liberation Serif" w:hAnsi="Liberation Serif" w:eastAsia="Segoe UI"/>
          <w:b/>
          <w:bCs/>
          <w:i/>
          <w:iCs/>
          <w:color w:val="000000"/>
          <w:sz w:val="24"/>
          <w:lang w:val="en-US" w:eastAsia="en-US" w:bidi="en-US"/>
        </w:rPr>
        <w:t>Nota Explicativa:</w:t>
      </w:r>
      <w:r>
        <w:rPr>
          <w:rFonts w:ascii="Liberation Serif" w:hAnsi="Liberation Serif" w:eastAsia="Segoe UI"/>
          <w:i/>
          <w:iCs/>
          <w:color w:val="000000"/>
          <w:sz w:val="24"/>
          <w:lang w:val="en-US" w:eastAsia="en-US" w:bidi="en-US"/>
        </w:rPr>
        <w:t xml:space="preserve"> Consoante o art. 69, § 4º, da Lei n.º 14.133, de 2021, nas licitações destinadas às</w:t>
      </w:r>
      <w:r>
        <w:rPr>
          <w:rFonts w:ascii="Liberation Serif" w:hAnsi="Liberation Serif" w:eastAsia="Segoe UI"/>
          <w:b/>
          <w:bCs/>
          <w:i/>
          <w:iCs/>
          <w:color w:val="000000"/>
          <w:sz w:val="24"/>
          <w:lang w:val="en-US" w:eastAsia="en-US" w:bidi="en-US"/>
        </w:rPr>
        <w:t xml:space="preserve"> compras para entrega futura</w:t>
      </w:r>
      <w:r>
        <w:rPr>
          <w:rFonts w:ascii="Liberation Serif" w:hAnsi="Liberation Serif" w:eastAsia="Segoe UI"/>
          <w:i/>
          <w:iCs/>
          <w:color w:val="000000"/>
          <w:sz w:val="24"/>
          <w:lang w:val="en-US" w:eastAsia="en-US" w:bidi="en-US"/>
        </w:rPr>
        <w:t xml:space="preserve"> e à execução de obras e serviços, é possível a exigência, para fins de habilitação econômico-financeira, de comprovação de capital mínimo ou de patrimônio líquido mínimo dos fornecedores. Trata-se, nesse caso, de requisitos </w:t>
      </w:r>
      <w:r>
        <w:rPr>
          <w:rFonts w:ascii="Liberation Serif" w:hAnsi="Liberation Serif" w:eastAsia="Segoe UI"/>
          <w:b/>
          <w:bCs/>
          <w:i/>
          <w:iCs/>
          <w:color w:val="000000"/>
          <w:sz w:val="24"/>
          <w:lang w:val="en-US" w:eastAsia="en-US" w:bidi="en-US"/>
        </w:rPr>
        <w:t xml:space="preserve">complementares </w:t>
      </w:r>
      <w:r>
        <w:rPr>
          <w:rFonts w:ascii="Liberation Serif" w:hAnsi="Liberation Serif" w:eastAsia="Segoe UI"/>
          <w:i/>
          <w:iCs/>
          <w:color w:val="000000"/>
          <w:sz w:val="24"/>
          <w:lang w:val="en-US" w:eastAsia="en-US" w:bidi="en-US"/>
        </w:rPr>
        <w:t xml:space="preserve">àqueles já estabelecidos no caput do art. 69 da Lei n.º 14.133, de 2021, de modo que poderá a Administração exigir, além da apresentação de balanço patrimonial e demais demonstrações contábeis, do atendimento dos índices econômicos mínimos e da apresentação de certidão negativa de falência, a comprovação de capital social mínimo ou patrimônio líquido mínimo. </w:t>
      </w:r>
    </w:p>
    <w:p>
      <w:r>
        <w:rPr>
          <w:rFonts w:ascii="Liberation Serif" w:hAnsi="Liberation Serif" w:eastAsia="Segoe UI"/>
          <w:b/>
          <w:bCs/>
          <w:i/>
          <w:iCs/>
          <w:color w:val="000000"/>
          <w:sz w:val="24"/>
          <w:lang w:val="en-US" w:eastAsia="en-US" w:bidi="en-US"/>
        </w:rPr>
        <w:t>Nota Explicativa 2:</w:t>
      </w:r>
      <w:r>
        <w:rPr>
          <w:rFonts w:ascii="Liberation Serif" w:hAnsi="Liberation Serif" w:eastAsia="Segoe UI"/>
          <w:i/>
          <w:iCs/>
          <w:color w:val="000000"/>
          <w:sz w:val="24"/>
          <w:lang w:val="en-US" w:eastAsia="en-US" w:bidi="en-US"/>
        </w:rPr>
        <w:t xml:space="preserve"> A fixação do percentual referente ao capital mínimo ou patrimônio líquido mínimo, até o limite legal de 10% (dez por cento) do valor estimado da contratação, insere-se na esfera de atuação discricionária da Administração (art. 69, § 4º, da Lei nº 14.133, de 2021). Nada obstante, as razões de conveniência e oportunidade que levaram a Administração a decidir pela exigência dos requisitos complementares de habilitação de capital ou patrimônio líquido mínimo em cada caso concreto deverão constar do processo de contratação (art. 18, inciso IX, da Lei n.º 14.133, de 2021). Deve-se fixar percentual proporcional aos riscos que a inexecução total ou parcial do contrato poderá acarretar para a Administração, notadamente em face das peculiaridades do objeto licitado, do vulto da contratação, do tempo de duração do contrato, dentre outros elementos considerados pertinentes.</w:t>
      </w:r>
    </w:p>
    <w:p>
      <w:r>
        <w:rPr>
          <w:rFonts w:ascii="Liberation Serif" w:hAnsi="Liberation Serif" w:eastAsia="Segoe UI"/>
          <w:i/>
          <w:iCs/>
          <w:color w:val="000000"/>
          <w:sz w:val="24"/>
          <w:lang w:val="en-US" w:eastAsia="en-US" w:bidi="en-US"/>
        </w:rPr>
        <w:t xml:space="preserve">A sondagem do mercado afigura-se importante, a fim de obter dados sobre o porte das empresas que atuam na área objeto da contratação. Ressalte-se que, se o referido percentual for fixado em seu mais alto patamar e o valor total estimado da contratação também for significativo, trará como consequência a necessidade de comprovação de patrimônio líquido elevado, o que poderá resultar na restrição à participação de interessados no certame, em especial, de microempresas ou empresas de pequeno porte, podendo ferir o princípio constitucional de incentivo a essas unidades empresariais. Por essa razão, é indispensável avaliação técnica sobre o assunto. </w:t>
      </w:r>
    </w:p>
  </w:comment>
  <w:comment w:id="22" w:author="Autor" w:date="0-00-00T00:00:00Z" w:initials="A">
    <w:p>
      <w:r>
        <w:rPr>
          <w:rFonts w:ascii="Liberation Serif" w:hAnsi="Liberation Serif" w:eastAsia="Segoe UI"/>
          <w:b/>
          <w:bCs/>
          <w:i/>
          <w:iCs/>
          <w:color w:val="000000"/>
          <w:sz w:val="24"/>
          <w:lang w:val="en-US" w:eastAsia="en-US" w:bidi="en-US"/>
        </w:rPr>
        <w:t xml:space="preserve">Nota Explicativa: </w:t>
      </w:r>
      <w:r>
        <w:rPr>
          <w:rFonts w:ascii="Liberation Serif" w:hAnsi="Liberation Serif" w:eastAsia="Segoe UI"/>
          <w:i/>
          <w:iCs/>
          <w:color w:val="000000"/>
          <w:sz w:val="24"/>
          <w:lang w:val="en-US" w:eastAsia="en-US" w:bidi="en-US"/>
        </w:rPr>
        <w:t xml:space="preserve">A previsão deste subitem decorre do disposto no art. 69, §1º, da Lei nº 14.133, de 2021, e poderá ser adotada pela Administração mediante a apresentação das devidas justificativas no processo de contratação. </w:t>
      </w:r>
    </w:p>
  </w:comment>
  <w:comment w:id="23" w:author="Autor" w:date="0-00-00T00:00:00Z" w:initials="A">
    <w:p>
      <w:r>
        <w:rPr>
          <w:rFonts w:ascii="Liberation Serif" w:hAnsi="Liberation Serif" w:eastAsia="Segoe UI"/>
          <w:b/>
          <w:bCs/>
          <w:i/>
          <w:iCs/>
          <w:color w:val="000000"/>
          <w:sz w:val="24"/>
          <w:lang w:val="en-US" w:eastAsia="en-US" w:bidi="en-US"/>
        </w:rPr>
        <w:t xml:space="preserve">Nota Explicativa: </w:t>
      </w:r>
      <w:r>
        <w:rPr>
          <w:rFonts w:ascii="Liberation Serif" w:hAnsi="Liberation Serif" w:eastAsia="Segoe UI"/>
          <w:i/>
          <w:iCs/>
          <w:color w:val="000000"/>
          <w:sz w:val="24"/>
          <w:lang w:val="en-US" w:eastAsia="en-US" w:bidi="en-US"/>
        </w:rPr>
        <w:t xml:space="preserve">A previsão deste subitem decorre do disposto no art. 69, § 3º, da Lei nº 14.133, de 2021, e poderá ser adotada pela Administração mediante a apresentação das devidas justificativas no processo de contratação. A depender do vulto da contratação e das demais circunstâncias do caso concreto, essa exigência pode se mostrar pertinente, por exemplo, em situações de fornecimento contínuo de bens, em que a execução da prestação se prolongará ao longo do tempo.  </w:t>
      </w:r>
    </w:p>
  </w:comment>
</w:comments>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0"/>
    <w:family w:val="roman"/>
    <w:pitch w:val="variable"/>
  </w:font>
  <w:font w:name="Arial">
    <w:charset w:val="00"/>
    <w:family w:val="roman"/>
    <w:pitch w:val="variable"/>
  </w:font>
  <w:font w:name="Ecofont_Spranq_eco_Sans">
    <w:charset w:val="00"/>
    <w:family w:val="roman"/>
    <w:pitch w:val="variable"/>
  </w:font>
  <w:font w:name="Segoe UI">
    <w:charset w:val="00"/>
    <w:family w:val="roman"/>
    <w:pitch w:val="variable"/>
  </w:font>
  <w:font w:name="Liberation Sans">
    <w:altName w:val="Arial"/>
    <w:charset w:val="00"/>
    <w:family w:val="roman"/>
    <w:pitch w:val="variable"/>
  </w:font>
  <w:font w:name="Calibri Light">
    <w:charset w:val="00"/>
    <w:family w:val="swiss"/>
    <w:pitch w:val="variable"/>
  </w:font>
  <w:font w:name="Helvetica">
    <w:altName w:val="Arial"/>
    <w:charset w:val="00"/>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Rodap"/>
      <w:rPr>
        <w:sz w:val="12"/>
        <w:szCs w:val="12"/>
      </w:rPr>
    </w:pPr>
    <w:r>
      <w:rPr>
        <w:sz w:val="12"/>
        <w:szCs w:val="12"/>
      </w:rPr>
    </w:r>
  </w:p>
  <w:p>
    <w:pPr>
      <w:pStyle w:val="Normal"/>
      <w:tabs>
        <w:tab w:val="clear" w:pos="720"/>
        <w:tab w:val="center" w:pos="4550" w:leader="none"/>
        <w:tab w:val="left" w:pos="5818" w:leader="none"/>
      </w:tabs>
      <w:ind w:right="260" w:hanging="0"/>
      <w:jc w:val="right"/>
      <w:rPr>
        <w:color w:val="222A35" w:themeColor="text2" w:themeShade="80"/>
        <w:sz w:val="18"/>
        <w:szCs w:val="18"/>
      </w:rPr>
    </w:pPr>
    <w:r>
      <w:rPr>
        <w:color w:val="8496B0" w:themeColor="text2" w:themeTint="99"/>
        <w:spacing w:val="60"/>
        <w:sz w:val="18"/>
        <w:szCs w:val="18"/>
      </w:rPr>
      <w:t>Página</w:t>
    </w:r>
    <w:r>
      <w:rPr>
        <w:color w:val="8496B0" w:themeColor="text2" w:themeTint="99"/>
        <w:sz w:val="18"/>
        <w:szCs w:val="18"/>
      </w:rPr>
      <w:t xml:space="preserve"> </w:t>
    </w:r>
    <w:r>
      <w:rPr>
        <w:color w:val="323E4F"/>
        <w:sz w:val="18"/>
        <w:szCs w:val="18"/>
      </w:rPr>
      <w:fldChar w:fldCharType="begin"/>
    </w:r>
    <w:r>
      <w:rPr>
        <w:sz w:val="18"/>
        <w:szCs w:val="18"/>
        <w:color w:val="323E4F"/>
      </w:rPr>
      <w:instrText> PAGE </w:instrText>
    </w:r>
    <w:r>
      <w:rPr>
        <w:sz w:val="18"/>
        <w:szCs w:val="18"/>
        <w:color w:val="323E4F"/>
      </w:rPr>
      <w:fldChar w:fldCharType="separate"/>
    </w:r>
    <w:r>
      <w:rPr>
        <w:sz w:val="18"/>
        <w:szCs w:val="18"/>
        <w:color w:val="323E4F"/>
      </w:rPr>
      <w:t>16</w:t>
    </w:r>
    <w:r>
      <w:rPr>
        <w:sz w:val="18"/>
        <w:szCs w:val="18"/>
        <w:color w:val="323E4F"/>
      </w:rPr>
      <w:fldChar w:fldCharType="end"/>
    </w:r>
    <w:r>
      <w:rPr>
        <w:color w:val="323E4F" w:themeColor="text2" w:themeShade="bf"/>
        <w:sz w:val="18"/>
        <w:szCs w:val="18"/>
      </w:rPr>
      <w:t xml:space="preserve"> | </w:t>
    </w:r>
    <w:r>
      <w:rPr>
        <w:color w:val="323E4F"/>
        <w:sz w:val="18"/>
        <w:szCs w:val="18"/>
      </w:rPr>
      <w:fldChar w:fldCharType="begin"/>
    </w:r>
    <w:r>
      <w:rPr>
        <w:sz w:val="18"/>
        <w:szCs w:val="18"/>
        <w:color w:val="323E4F"/>
      </w:rPr>
      <w:instrText> NUMPAGES </w:instrText>
    </w:r>
    <w:r>
      <w:rPr>
        <w:sz w:val="18"/>
        <w:szCs w:val="18"/>
        <w:color w:val="323E4F"/>
      </w:rPr>
      <w:fldChar w:fldCharType="separate"/>
    </w:r>
    <w:r>
      <w:rPr>
        <w:sz w:val="18"/>
        <w:szCs w:val="18"/>
        <w:color w:val="323E4F"/>
      </w:rPr>
      <w:t>16</w:t>
    </w:r>
    <w:r>
      <w:rPr>
        <w:sz w:val="18"/>
        <w:szCs w:val="18"/>
        <w:color w:val="323E4F"/>
      </w:rPr>
      <w:fldChar w:fldCharType="end"/>
    </w:r>
  </w:p>
  <w:p>
    <w:pPr>
      <w:pStyle w:val="Rodap"/>
      <w:rPr>
        <w:sz w:val="12"/>
        <w:szCs w:val="12"/>
      </w:rPr>
    </w:pPr>
    <w:r>
      <w:rPr>
        <w:sz w:val="12"/>
        <w:szCs w:val="12"/>
      </w:rPr>
    </w:r>
  </w:p>
  <w:p>
    <w:pPr>
      <w:pStyle w:val="Rodap"/>
      <w:rPr>
        <w:sz w:val="12"/>
        <w:szCs w:val="12"/>
      </w:rPr>
    </w:pPr>
    <w:r>
      <w:rPr>
        <w:sz w:val="12"/>
        <w:szCs w:val="12"/>
      </w:rPr>
      <w:t>Câmara Nacional de Modelos de Licitações e Contratos – CNMLC/CGU/AGU</w:t>
    </w:r>
  </w:p>
  <w:p>
    <w:pPr>
      <w:pStyle w:val="Rodap"/>
      <w:rPr>
        <w:sz w:val="12"/>
        <w:szCs w:val="12"/>
      </w:rPr>
    </w:pPr>
    <w:r>
      <w:rPr>
        <w:sz w:val="12"/>
        <w:szCs w:val="12"/>
      </w:rPr>
      <w:t>Aviso de Contratação Direta – Lei nº 14.133/21 e IN SEGES/ME nº 67/2021</w:t>
    </w:r>
  </w:p>
  <w:p>
    <w:pPr>
      <w:pStyle w:val="Rodap"/>
      <w:rPr>
        <w:sz w:val="12"/>
        <w:szCs w:val="12"/>
      </w:rPr>
    </w:pPr>
    <w:r>
      <w:rPr>
        <w:sz w:val="12"/>
        <w:szCs w:val="12"/>
      </w:rPr>
      <w:t>Versão: novembro/2022</w:t>
    </w:r>
  </w:p>
  <w:p>
    <w:pPr>
      <w:pStyle w:val="Rodap"/>
      <w:rPr>
        <w:sz w:val="12"/>
        <w:szCs w:val="12"/>
      </w:rPr>
    </w:pPr>
    <w:r>
      <w:rPr>
        <w:sz w:val="12"/>
        <w:szCs w:val="12"/>
      </w:rPr>
      <w:t>Aprovado pela Secretaria de Gestão.</w:t>
    </w:r>
  </w:p>
  <w:p>
    <w:pPr>
      <w:pStyle w:val="Rodap"/>
      <w:rPr/>
    </w:pPr>
    <w:r>
      <w:rPr>
        <w:sz w:val="12"/>
        <w:szCs w:val="12"/>
      </w:rPr>
      <w:t>Identidade visual pela Secretaria de Gestão (versão novembro/2022)</w:t>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Cabealho"/>
      <w:rPr/>
    </w:pPr>
    <w:r>
      <w:rPr/>
    </w:r>
  </w:p>
  <w:p>
    <w:pPr>
      <w:pStyle w:val="Cabealho"/>
      <w:rPr/>
    </w:pPr>
    <w:r>
      <w:rPr/>
    </w:r>
  </w:p>
  <w:p>
    <w:pPr>
      <w:pStyle w:val="Cabealho"/>
      <w:rPr/>
    </w:pPr>
    <w:r>
      <w:rPr/>
    </w:r>
  </w:p>
  <w:p>
    <w:pPr>
      <w:pStyle w:val="Normal"/>
      <w:jc w:val="right"/>
      <w:rPr>
        <w:rFonts w:ascii="Arial" w:hAnsi="Arial"/>
        <w:sz w:val="20"/>
        <w:szCs w:val="20"/>
      </w:rPr>
    </w:pPr>
    <w:r>
      <w:rPr>
        <w:sz w:val="20"/>
        <w:szCs w:val="20"/>
      </w:rPr>
      <w:t>AVISO DE CONTRATAÇÃO DIRETA Nº 134</w:t>
    </w:r>
    <w:r>
      <w:rPr>
        <w:rFonts w:cs="Arial"/>
        <w:bCs/>
        <w:color w:val="5B5B5F"/>
        <w:sz w:val="20"/>
        <w:szCs w:val="20"/>
      </w:rPr>
      <w:t>/2023</w:t>
    </w:r>
  </w:p>
  <w:p>
    <w:pPr>
      <w:pStyle w:val="Cabealho"/>
      <w:jc w:val="right"/>
      <w:rPr/>
    </w:pPr>
    <w:r>
      <w:rPr/>
    </w:r>
  </w:p>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Cabealho"/>
      <w:rPr/>
    </w:pPr>
    <w:r>
      <w:rPr/>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pStyle w:val="Ttulo1"/>
      <w:numFmt w:val="decimal"/>
      <w:lvlText w:val="%1."/>
      <w:lvlJc w:val="left"/>
      <w:pPr>
        <w:tabs>
          <w:tab w:val="num" w:pos="0"/>
        </w:tabs>
        <w:ind w:left="360" w:hanging="360"/>
      </w:pPr>
      <w:rPr>
        <w:b/>
      </w:r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abstractNum w:abstractNumId="2">
    <w:lvl w:ilvl="0">
      <w:start w:val="4"/>
      <w:numFmt w:val="decimal"/>
      <w:lvlText w:val="%1"/>
      <w:lvlJc w:val="left"/>
      <w:pPr>
        <w:tabs>
          <w:tab w:val="num" w:pos="0"/>
        </w:tabs>
        <w:ind w:left="435" w:hanging="435"/>
      </w:pPr>
    </w:lvl>
    <w:lvl w:ilvl="1">
      <w:start w:val="4"/>
      <w:numFmt w:val="decimal"/>
      <w:lvlText w:val="%1.%2"/>
      <w:lvlJc w:val="left"/>
      <w:pPr>
        <w:tabs>
          <w:tab w:val="num" w:pos="0"/>
        </w:tabs>
        <w:ind w:left="1002" w:hanging="435"/>
      </w:pPr>
    </w:lvl>
    <w:lvl w:ilvl="2">
      <w:start w:val="1"/>
      <w:numFmt w:val="decimal"/>
      <w:lvlText w:val="%1.%2.%3"/>
      <w:lvlJc w:val="left"/>
      <w:pPr>
        <w:tabs>
          <w:tab w:val="num" w:pos="0"/>
        </w:tabs>
        <w:ind w:left="1854" w:hanging="720"/>
      </w:pPr>
    </w:lvl>
    <w:lvl w:ilvl="3">
      <w:start w:val="1"/>
      <w:numFmt w:val="decimal"/>
      <w:lvlText w:val="%1.%2.%3.%4"/>
      <w:lvlJc w:val="left"/>
      <w:pPr>
        <w:tabs>
          <w:tab w:val="num" w:pos="0"/>
        </w:tabs>
        <w:ind w:left="2421" w:hanging="720"/>
      </w:pPr>
    </w:lvl>
    <w:lvl w:ilvl="4">
      <w:start w:val="1"/>
      <w:numFmt w:val="decimal"/>
      <w:lvlText w:val="%1.%2.%3.%4.%5"/>
      <w:lvlJc w:val="left"/>
      <w:pPr>
        <w:tabs>
          <w:tab w:val="num" w:pos="0"/>
        </w:tabs>
        <w:ind w:left="3348" w:hanging="1080"/>
      </w:pPr>
    </w:lvl>
    <w:lvl w:ilvl="5">
      <w:start w:val="1"/>
      <w:numFmt w:val="decimal"/>
      <w:lvlText w:val="%1.%2.%3.%4.%5.%6"/>
      <w:lvlJc w:val="left"/>
      <w:pPr>
        <w:tabs>
          <w:tab w:val="num" w:pos="0"/>
        </w:tabs>
        <w:ind w:left="3915" w:hanging="1080"/>
      </w:pPr>
    </w:lvl>
    <w:lvl w:ilvl="6">
      <w:start w:val="1"/>
      <w:numFmt w:val="decimal"/>
      <w:lvlText w:val="%1.%2.%3.%4.%5.%6.%7"/>
      <w:lvlJc w:val="left"/>
      <w:pPr>
        <w:tabs>
          <w:tab w:val="num" w:pos="0"/>
        </w:tabs>
        <w:ind w:left="4842" w:hanging="1440"/>
      </w:pPr>
    </w:lvl>
    <w:lvl w:ilvl="7">
      <w:start w:val="1"/>
      <w:numFmt w:val="decimal"/>
      <w:lvlText w:val="%1.%2.%3.%4.%5.%6.%7.%8"/>
      <w:lvlJc w:val="left"/>
      <w:pPr>
        <w:tabs>
          <w:tab w:val="num" w:pos="0"/>
        </w:tabs>
        <w:ind w:left="5409" w:hanging="1440"/>
      </w:pPr>
    </w:lvl>
    <w:lvl w:ilvl="8">
      <w:start w:val="1"/>
      <w:numFmt w:val="decimal"/>
      <w:lvlText w:val="%1.%2.%3.%4.%5.%6.%7.%8.%9"/>
      <w:lvlJc w:val="left"/>
      <w:pPr>
        <w:tabs>
          <w:tab w:val="num" w:pos="0"/>
        </w:tabs>
        <w:ind w:left="6336" w:hanging="1800"/>
      </w:pPr>
    </w:lvl>
  </w:abstractNum>
  <w:abstractNum w:abstractNumId="3">
    <w:lvl w:ilvl="0">
      <w:start w:val="1"/>
      <w:numFmt w:val="decimal"/>
      <w:lvlText w:val="%1."/>
      <w:lvlJc w:val="left"/>
      <w:pPr>
        <w:tabs>
          <w:tab w:val="num" w:pos="0"/>
        </w:tabs>
        <w:ind w:left="502" w:hanging="360"/>
      </w:pPr>
      <w:rPr>
        <w:dstrike w:val="false"/>
        <w:strike w:val="false"/>
        <w:i w:val="false"/>
        <w:b/>
      </w:rPr>
    </w:lvl>
    <w:lvl w:ilvl="1">
      <w:start w:val="1"/>
      <w:numFmt w:val="decimal"/>
      <w:lvlText w:val="%1.%2."/>
      <w:lvlJc w:val="left"/>
      <w:pPr>
        <w:tabs>
          <w:tab w:val="num" w:pos="0"/>
        </w:tabs>
        <w:ind w:left="858" w:hanging="432"/>
      </w:pPr>
      <w:rPr>
        <w:dstrike w:val="false"/>
        <w:strike w:val="false"/>
        <w:b w:val="false"/>
      </w:rPr>
    </w:lvl>
    <w:lvl w:ilvl="2">
      <w:start w:val="1"/>
      <w:numFmt w:val="decimal"/>
      <w:lvlText w:val="%1.%2.%3."/>
      <w:lvlJc w:val="left"/>
      <w:pPr>
        <w:tabs>
          <w:tab w:val="num" w:pos="0"/>
        </w:tabs>
        <w:ind w:left="1224" w:hanging="504"/>
      </w:pPr>
      <w:rPr>
        <w:dstrike w:val="false"/>
        <w:strike w:val="false"/>
        <w:i w:val="false"/>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4053"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4">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792" w:hanging="432"/>
      </w:pPr>
      <w:rPr>
        <w:i w:val="false"/>
        <w:b w:val="false"/>
        <w:iCs/>
      </w:rPr>
    </w:lvl>
    <w:lvl w:ilvl="2">
      <w:start w:val="1"/>
      <w:numFmt w:val="decimal"/>
      <w:lvlText w:val="%1.%2.%3."/>
      <w:lvlJc w:val="left"/>
      <w:pPr>
        <w:tabs>
          <w:tab w:val="num" w:pos="0"/>
        </w:tabs>
        <w:ind w:left="1224" w:hanging="504"/>
      </w:pPr>
      <w:rPr>
        <w:i w:val="false"/>
        <w:b w:val="false"/>
        <w:iCs/>
        <w:rFonts w:ascii="Arial" w:hAnsi="Arial" w:cs="Arial"/>
        <w:color w:val="auto"/>
      </w:rPr>
    </w:lvl>
    <w:lvl w:ilvl="3">
      <w:start w:val="1"/>
      <w:numFmt w:val="lowerLetter"/>
      <w:lvlText w:val="%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5">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792" w:hanging="432"/>
      </w:pPr>
      <w:rPr>
        <w:i w:val="false"/>
        <w:b w:val="false"/>
        <w:iCs/>
      </w:rPr>
    </w:lvl>
    <w:lvl w:ilvl="2">
      <w:start w:val="1"/>
      <w:numFmt w:val="lowerLetter"/>
      <w:lvlText w:val="%3)"/>
      <w:lvlJc w:val="left"/>
      <w:pPr>
        <w:tabs>
          <w:tab w:val="num" w:pos="0"/>
        </w:tabs>
        <w:ind w:left="1224" w:hanging="504"/>
      </w:pPr>
      <w:rPr>
        <w:i w:val="false"/>
        <w:b w:val="false"/>
        <w:iCs/>
        <w:color w:val="auto"/>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6">
    <w:lvl w:ilvl="0">
      <w:start w:val="1"/>
      <w:numFmt w:val="decimal"/>
      <w:lvlText w:val="%1"/>
      <w:lvlJc w:val="left"/>
      <w:pPr>
        <w:tabs>
          <w:tab w:val="num" w:pos="0"/>
        </w:tabs>
        <w:ind w:left="360" w:hanging="360"/>
      </w:pPr>
      <w:rPr>
        <w:i w:val="false"/>
        <w:b w:val="false"/>
        <w:iCs w:val="false"/>
        <w:bCs/>
        <w:rFonts w:eastAsia="WenQuanYi Micro Hei"/>
        <w:color w:val="auto"/>
      </w:rPr>
    </w:lvl>
    <w:lvl w:ilvl="1">
      <w:start w:val="1"/>
      <w:numFmt w:val="decimal"/>
      <w:lvlText w:val="%1.%2"/>
      <w:lvlJc w:val="left"/>
      <w:pPr>
        <w:tabs>
          <w:tab w:val="num" w:pos="0"/>
        </w:tabs>
        <w:ind w:left="1145" w:hanging="360"/>
      </w:pPr>
      <w:rPr>
        <w:i w:val="false"/>
        <w:b w:val="false"/>
        <w:iCs w:val="false"/>
        <w:bCs/>
        <w:rFonts w:ascii="Arial" w:hAnsi="Arial" w:eastAsia="WenQuanYi Micro Hei" w:cs="Arial"/>
        <w:color w:val="auto"/>
      </w:rPr>
    </w:lvl>
    <w:lvl w:ilvl="2">
      <w:start w:val="1"/>
      <w:numFmt w:val="decimal"/>
      <w:lvlText w:val="%1.%2.%3"/>
      <w:lvlJc w:val="left"/>
      <w:pPr>
        <w:tabs>
          <w:tab w:val="num" w:pos="0"/>
        </w:tabs>
        <w:ind w:left="2290" w:hanging="720"/>
      </w:pPr>
      <w:rPr>
        <w:dstrike w:val="false"/>
        <w:strike w:val="false"/>
        <w:sz w:val="20"/>
        <w:i w:val="false"/>
        <w:u w:val="none"/>
        <w:b w:val="false"/>
        <w:effect w:val="none"/>
        <w:szCs w:val="20"/>
        <w:bCs/>
        <w:rFonts w:ascii="Arial" w:hAnsi="Arial" w:eastAsia="WenQuanYi Micro Hei" w:cs="Arial"/>
        <w:color w:val="000000"/>
      </w:rPr>
    </w:lvl>
    <w:lvl w:ilvl="3">
      <w:start w:val="1"/>
      <w:numFmt w:val="decimal"/>
      <w:lvlText w:val="%1.%2.%3.%4"/>
      <w:lvlJc w:val="left"/>
      <w:pPr>
        <w:tabs>
          <w:tab w:val="num" w:pos="0"/>
        </w:tabs>
        <w:ind w:left="3075" w:hanging="720"/>
      </w:pPr>
      <w:rPr>
        <w:i w:val="false"/>
        <w:b w:val="false"/>
        <w:rFonts w:eastAsia="WenQuanYi Micro Hei"/>
        <w:color w:val="000000"/>
      </w:rPr>
    </w:lvl>
    <w:lvl w:ilvl="4">
      <w:start w:val="1"/>
      <w:numFmt w:val="decimal"/>
      <w:lvlText w:val="%1.%2.%3.%4.%5"/>
      <w:lvlJc w:val="left"/>
      <w:pPr>
        <w:tabs>
          <w:tab w:val="num" w:pos="0"/>
        </w:tabs>
        <w:ind w:left="4220" w:hanging="1080"/>
      </w:pPr>
      <w:rPr>
        <w:i w:val="false"/>
        <w:b w:val="false"/>
        <w:rFonts w:eastAsia="WenQuanYi Micro Hei"/>
        <w:color w:val="000000"/>
      </w:rPr>
    </w:lvl>
    <w:lvl w:ilvl="5">
      <w:start w:val="1"/>
      <w:numFmt w:val="decimal"/>
      <w:lvlText w:val="%1.%2.%3.%4.%5.%6"/>
      <w:lvlJc w:val="left"/>
      <w:pPr>
        <w:tabs>
          <w:tab w:val="num" w:pos="0"/>
        </w:tabs>
        <w:ind w:left="5005" w:hanging="1080"/>
      </w:pPr>
      <w:rPr>
        <w:i w:val="false"/>
        <w:b/>
        <w:rFonts w:eastAsia="WenQuanYi Micro Hei"/>
        <w:color w:val="000000"/>
      </w:rPr>
    </w:lvl>
    <w:lvl w:ilvl="6">
      <w:start w:val="1"/>
      <w:numFmt w:val="decimal"/>
      <w:lvlText w:val="%1.%2.%3.%4.%5.%6.%7"/>
      <w:lvlJc w:val="left"/>
      <w:pPr>
        <w:tabs>
          <w:tab w:val="num" w:pos="0"/>
        </w:tabs>
        <w:ind w:left="6150" w:hanging="1440"/>
      </w:pPr>
      <w:rPr>
        <w:i w:val="false"/>
        <w:b/>
        <w:rFonts w:eastAsia="WenQuanYi Micro Hei"/>
        <w:color w:val="000000"/>
      </w:rPr>
    </w:lvl>
    <w:lvl w:ilvl="7">
      <w:start w:val="1"/>
      <w:numFmt w:val="decimal"/>
      <w:lvlText w:val="%1.%2.%3.%4.%5.%6.%7.%8"/>
      <w:lvlJc w:val="left"/>
      <w:pPr>
        <w:tabs>
          <w:tab w:val="num" w:pos="0"/>
        </w:tabs>
        <w:ind w:left="6935" w:hanging="1440"/>
      </w:pPr>
      <w:rPr>
        <w:i w:val="false"/>
        <w:b/>
        <w:rFonts w:eastAsia="WenQuanYi Micro Hei"/>
        <w:color w:val="000000"/>
      </w:rPr>
    </w:lvl>
    <w:lvl w:ilvl="8">
      <w:start w:val="1"/>
      <w:numFmt w:val="decimal"/>
      <w:lvlText w:val="%1.%2.%3.%4.%5.%6.%7.%8.%9"/>
      <w:lvlJc w:val="left"/>
      <w:pPr>
        <w:tabs>
          <w:tab w:val="num" w:pos="0"/>
        </w:tabs>
        <w:ind w:left="8080" w:hanging="1800"/>
      </w:pPr>
      <w:rPr>
        <w:i w:val="false"/>
        <w:b/>
        <w:rFonts w:eastAsia="WenQuanYi Micro Hei"/>
        <w:color w:val="000000"/>
      </w:rPr>
    </w:lvl>
  </w:abstractNum>
  <w:abstractNum w:abstractNumId="7">
    <w:lvl w:ilvl="0">
      <w:start w:val="1"/>
      <w:numFmt w:val="decimal"/>
      <w:lvlText w:val="%1."/>
      <w:lvlJc w:val="left"/>
      <w:pPr>
        <w:tabs>
          <w:tab w:val="num" w:pos="0"/>
        </w:tabs>
        <w:ind w:left="1865" w:hanging="360"/>
      </w:pPr>
    </w:lvl>
    <w:lvl w:ilvl="1">
      <w:start w:val="1"/>
      <w:numFmt w:val="lowerLetter"/>
      <w:lvlText w:val="%2."/>
      <w:lvlJc w:val="left"/>
      <w:pPr>
        <w:tabs>
          <w:tab w:val="num" w:pos="0"/>
        </w:tabs>
        <w:ind w:left="2585" w:hanging="360"/>
      </w:pPr>
    </w:lvl>
    <w:lvl w:ilvl="2">
      <w:start w:val="1"/>
      <w:numFmt w:val="lowerRoman"/>
      <w:lvlText w:val="%3."/>
      <w:lvlJc w:val="right"/>
      <w:pPr>
        <w:tabs>
          <w:tab w:val="num" w:pos="0"/>
        </w:tabs>
        <w:ind w:left="3305" w:hanging="180"/>
      </w:pPr>
    </w:lvl>
    <w:lvl w:ilvl="3">
      <w:start w:val="1"/>
      <w:numFmt w:val="decimal"/>
      <w:lvlText w:val="%4."/>
      <w:lvlJc w:val="left"/>
      <w:pPr>
        <w:tabs>
          <w:tab w:val="num" w:pos="0"/>
        </w:tabs>
        <w:ind w:left="4025" w:hanging="360"/>
      </w:pPr>
    </w:lvl>
    <w:lvl w:ilvl="4">
      <w:start w:val="1"/>
      <w:numFmt w:val="lowerLetter"/>
      <w:lvlText w:val="%5."/>
      <w:lvlJc w:val="left"/>
      <w:pPr>
        <w:tabs>
          <w:tab w:val="num" w:pos="0"/>
        </w:tabs>
        <w:ind w:left="4745" w:hanging="360"/>
      </w:pPr>
    </w:lvl>
    <w:lvl w:ilvl="5">
      <w:start w:val="1"/>
      <w:numFmt w:val="lowerRoman"/>
      <w:lvlText w:val="%6."/>
      <w:lvlJc w:val="right"/>
      <w:pPr>
        <w:tabs>
          <w:tab w:val="num" w:pos="0"/>
        </w:tabs>
        <w:ind w:left="5465" w:hanging="180"/>
      </w:pPr>
    </w:lvl>
    <w:lvl w:ilvl="6">
      <w:start w:val="1"/>
      <w:numFmt w:val="decimal"/>
      <w:lvlText w:val="%7."/>
      <w:lvlJc w:val="left"/>
      <w:pPr>
        <w:tabs>
          <w:tab w:val="num" w:pos="0"/>
        </w:tabs>
        <w:ind w:left="6185" w:hanging="360"/>
      </w:pPr>
    </w:lvl>
    <w:lvl w:ilvl="7">
      <w:start w:val="1"/>
      <w:numFmt w:val="lowerLetter"/>
      <w:lvlText w:val="%8."/>
      <w:lvlJc w:val="left"/>
      <w:pPr>
        <w:tabs>
          <w:tab w:val="num" w:pos="0"/>
        </w:tabs>
        <w:ind w:left="6905" w:hanging="360"/>
      </w:pPr>
    </w:lvl>
    <w:lvl w:ilvl="8">
      <w:start w:val="1"/>
      <w:numFmt w:val="lowerRoman"/>
      <w:lvlText w:val="%9."/>
      <w:lvlJc w:val="right"/>
      <w:pPr>
        <w:tabs>
          <w:tab w:val="num" w:pos="0"/>
        </w:tabs>
        <w:ind w:left="7625" w:hanging="180"/>
      </w:pPr>
    </w:lvl>
  </w:abstractNum>
  <w:abstractNum w:abstractNumId="8">
    <w:lvl w:ilvl="0">
      <w:start w:val="1"/>
      <w:numFmt w:val="decimal"/>
      <w:lvlText w:val="%1."/>
      <w:lvlJc w:val="left"/>
      <w:pPr>
        <w:tabs>
          <w:tab w:val="num" w:pos="0"/>
        </w:tabs>
        <w:ind w:left="360" w:hanging="360"/>
      </w:pPr>
      <w:rPr>
        <w:b/>
      </w:rPr>
    </w:lvl>
    <w:lvl w:ilvl="1">
      <w:start w:val="1"/>
      <w:numFmt w:val="decimal"/>
      <w:suff w:val="nothing"/>
      <w:lvlText w:val="%1.%2."/>
      <w:lvlJc w:val="left"/>
      <w:pPr>
        <w:tabs>
          <w:tab w:val="num" w:pos="0"/>
        </w:tabs>
        <w:ind w:left="858" w:hanging="432"/>
      </w:pPr>
    </w:lvl>
    <w:lvl w:ilvl="2">
      <w:start w:val="1"/>
      <w:numFmt w:val="decimal"/>
      <w:suff w:val="nothing"/>
      <w:lvlText w:val="%1.%2.%3."/>
      <w:lvlJc w:val="left"/>
      <w:pPr>
        <w:tabs>
          <w:tab w:val="num" w:pos="0"/>
        </w:tabs>
        <w:ind w:left="1224" w:hanging="504"/>
      </w:pPr>
    </w:lvl>
    <w:lvl w:ilvl="3">
      <w:start w:val="1"/>
      <w:numFmt w:val="decimal"/>
      <w:suff w:val="nothing"/>
      <w:lvlText w:val="%1.%2.%3.%4."/>
      <w:lvlJc w:val="left"/>
      <w:pPr>
        <w:tabs>
          <w:tab w:val="num" w:pos="0"/>
        </w:tabs>
        <w:ind w:left="1728" w:hanging="648"/>
      </w:pPr>
    </w:lvl>
    <w:lvl w:ilvl="4">
      <w:start w:val="1"/>
      <w:numFmt w:val="decimal"/>
      <w:suff w:val="nothing"/>
      <w:lvlText w:val="%1.%2.%3.%4.%5."/>
      <w:lvlJc w:val="left"/>
      <w:pPr>
        <w:tabs>
          <w:tab w:val="num" w:pos="0"/>
        </w:tabs>
        <w:ind w:left="2232" w:hanging="792"/>
      </w:pPr>
    </w:lvl>
    <w:lvl w:ilvl="5">
      <w:start w:val="1"/>
      <w:numFmt w:val="decimal"/>
      <w:suff w:val="nothing"/>
      <w:lvlText w:val="%1.%2.%3.%4.%5.%6."/>
      <w:lvlJc w:val="left"/>
      <w:pPr>
        <w:tabs>
          <w:tab w:val="num" w:pos="0"/>
        </w:tabs>
        <w:ind w:left="2736" w:hanging="936"/>
      </w:pPr>
    </w:lvl>
    <w:lvl w:ilvl="6">
      <w:start w:val="1"/>
      <w:numFmt w:val="decimal"/>
      <w:suff w:val="nothing"/>
      <w:lvlText w:val="%1.%2.%3.%4.%5.%6.%7."/>
      <w:lvlJc w:val="left"/>
      <w:pPr>
        <w:tabs>
          <w:tab w:val="num" w:pos="0"/>
        </w:tabs>
        <w:ind w:left="3240" w:hanging="1080"/>
      </w:pPr>
    </w:lvl>
    <w:lvl w:ilvl="7">
      <w:start w:val="1"/>
      <w:numFmt w:val="decimal"/>
      <w:suff w:val="nothing"/>
      <w:lvlText w:val="%1.%2.%3.%4.%5.%6.%7.%8."/>
      <w:lvlJc w:val="left"/>
      <w:pPr>
        <w:tabs>
          <w:tab w:val="num" w:pos="0"/>
        </w:tabs>
        <w:ind w:left="3744" w:hanging="1224"/>
      </w:pPr>
    </w:lvl>
    <w:lvl w:ilvl="8">
      <w:start w:val="1"/>
      <w:numFmt w:val="decimal"/>
      <w:suff w:val="nothing"/>
      <w:lvlText w:val="%1.%2.%3.%4.%5.%6.%7.%8.%9."/>
      <w:lvlJc w:val="left"/>
      <w:pPr>
        <w:tabs>
          <w:tab w:val="num" w:pos="0"/>
        </w:tabs>
        <w:ind w:left="4320" w:hanging="1440"/>
      </w:p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1"/>
    <w:lvlOverride w:ilvl="1">
      <w:lvl w:ilvl="1">
        <w:start w:val="1"/>
        <w:numFmt w:val="decimal"/>
        <w:suff w:val="nothing"/>
        <w:lvlText w:val="%1.%2."/>
        <w:lvlJc w:val="left"/>
        <w:pPr>
          <w:tabs>
            <w:tab w:val="num" w:pos="0"/>
          </w:tabs>
          <w:ind w:left="858" w:hanging="432"/>
        </w:pPr>
      </w:lvl>
    </w:lvlOverride>
    <w:lvlOverride w:ilvl="2">
      <w:lvl w:ilvl="2">
        <w:start w:val="1"/>
        <w:numFmt w:val="decimal"/>
        <w:suff w:val="nothing"/>
        <w:lvlText w:val="%1.%2.%3."/>
        <w:lvlJc w:val="left"/>
        <w:pPr>
          <w:tabs>
            <w:tab w:val="num" w:pos="0"/>
          </w:tabs>
          <w:ind w:left="1224" w:hanging="504"/>
        </w:pPr>
      </w:lvl>
    </w:lvlOverride>
    <w:lvlOverride w:ilvl="3">
      <w:lvl w:ilvl="3">
        <w:start w:val="1"/>
        <w:numFmt w:val="decimal"/>
        <w:suff w:val="nothing"/>
        <w:lvlText w:val="%1.%2.%3.%4."/>
        <w:lvlJc w:val="left"/>
        <w:pPr>
          <w:tabs>
            <w:tab w:val="num" w:pos="0"/>
          </w:tabs>
          <w:ind w:left="1728" w:hanging="648"/>
        </w:pPr>
      </w:lvl>
    </w:lvlOverride>
    <w:lvlOverride w:ilvl="4">
      <w:lvl w:ilvl="4">
        <w:start w:val="1"/>
        <w:numFmt w:val="decimal"/>
        <w:suff w:val="nothing"/>
        <w:lvlText w:val="%1.%2.%3.%4.%5."/>
        <w:lvlJc w:val="left"/>
        <w:pPr>
          <w:tabs>
            <w:tab w:val="num" w:pos="0"/>
          </w:tabs>
          <w:ind w:left="2232" w:hanging="792"/>
        </w:pPr>
      </w:lvl>
    </w:lvlOverride>
    <w:lvlOverride w:ilvl="5">
      <w:lvl w:ilvl="5">
        <w:start w:val="1"/>
        <w:numFmt w:val="decimal"/>
        <w:suff w:val="nothing"/>
        <w:lvlText w:val="%1.%2.%3.%4.%5.%6."/>
        <w:lvlJc w:val="left"/>
        <w:pPr>
          <w:tabs>
            <w:tab w:val="num" w:pos="0"/>
          </w:tabs>
          <w:ind w:left="2736" w:hanging="936"/>
        </w:pPr>
      </w:lvl>
    </w:lvlOverride>
    <w:lvlOverride w:ilvl="6">
      <w:lvl w:ilvl="6">
        <w:start w:val="1"/>
        <w:numFmt w:val="decimal"/>
        <w:suff w:val="nothing"/>
        <w:lvlText w:val="%1.%2.%3.%4.%5.%6.%7."/>
        <w:lvlJc w:val="left"/>
        <w:pPr>
          <w:tabs>
            <w:tab w:val="num" w:pos="0"/>
          </w:tabs>
          <w:ind w:left="3240" w:hanging="1080"/>
        </w:pPr>
      </w:lvl>
    </w:lvlOverride>
    <w:lvlOverride w:ilvl="7">
      <w:lvl w:ilvl="7">
        <w:start w:val="1"/>
        <w:numFmt w:val="decimal"/>
        <w:suff w:val="nothing"/>
        <w:lvlText w:val="%1.%2.%3.%4.%5.%6.%7.%8."/>
        <w:lvlJc w:val="left"/>
        <w:pPr>
          <w:tabs>
            <w:tab w:val="num" w:pos="0"/>
          </w:tabs>
          <w:ind w:left="3744" w:hanging="1224"/>
        </w:pPr>
      </w:lvl>
    </w:lvlOverride>
    <w:lvlOverride w:ilvl="8">
      <w:lvl w:ilvl="8">
        <w:start w:val="1"/>
        <w:numFmt w:val="decimal"/>
        <w:suff w:val="nothing"/>
        <w:lvlText w:val="%1.%2.%3.%4.%5.%6.%7.%8.%9."/>
        <w:lvlJc w:val="left"/>
        <w:pPr>
          <w:tabs>
            <w:tab w:val="num" w:pos="0"/>
          </w:tabs>
          <w:ind w:left="4320" w:hanging="1440"/>
        </w:pPr>
      </w:lvl>
    </w:lvlOverride>
  </w:num>
</w:numbering>
</file>

<file path=word/settings.xml><?xml version="1.0" encoding="utf-8"?>
<w:settings xmlns:w="http://schemas.openxmlformats.org/wordprocessingml/2006/main">
  <w:zoom w:percent="191"/>
  <w:defaultTabStop w:val="720"/>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 w:val="22"/>
        <w:szCs w:val="22"/>
        <w:lang w:val="pt-BR" w:eastAsia="en-US" w:bidi="ar-SA"/>
      </w:rPr>
    </w:rPrDefault>
    <w:pPrDefault>
      <w:pPr>
        <w:suppressAutoHyphens w:val="true"/>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uiPriority="0" w:semiHidden="1" w:unhideWhenUsed="1" w:qFormat="1"/>
    <w:lsdException w:name="header" w:semiHidden="1" w:unhideWhenUsed="1"/>
    <w:lsdException w:name="footer" w:semiHidden="1" w:unhideWhenUsed="1"/>
    <w:lsdException w:name="index heading" w:semiHidden="1" w:unhideWhenUsed="1"/>
    <w:lsdException w:name="caption" w:uiPriority="0"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uiPriority="0"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uiPriority="0"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uiPriority="1" w:semiHidden="1" w:unhideWhenUsed="1"/>
    <w:lsdException w:name="Body Text" w:uiPriority="0"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qFormat="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c074da"/>
    <w:pPr>
      <w:widowControl/>
      <w:suppressAutoHyphens w:val="true"/>
      <w:bidi w:val="0"/>
      <w:spacing w:lineRule="auto" w:line="240" w:before="0" w:after="0"/>
      <w:jc w:val="left"/>
    </w:pPr>
    <w:rPr>
      <w:rFonts w:ascii="Arial" w:hAnsi="Arial" w:eastAsia="Times New Roman" w:cs="Tahoma"/>
      <w:color w:val="auto"/>
      <w:kern w:val="0"/>
      <w:sz w:val="20"/>
      <w:szCs w:val="24"/>
      <w:lang w:val="pt-BR" w:eastAsia="pt-BR" w:bidi="ar-SA"/>
    </w:rPr>
  </w:style>
  <w:style w:type="paragraph" w:styleId="Ttulo1">
    <w:name w:val="Heading 1"/>
    <w:basedOn w:val="PADRO"/>
    <w:next w:val="Normal"/>
    <w:link w:val="Ttulo1Char"/>
    <w:uiPriority w:val="9"/>
    <w:qFormat/>
    <w:rsid w:val="00781aff"/>
    <w:pPr>
      <w:keepNext w:val="false"/>
      <w:widowControl/>
      <w:numPr>
        <w:ilvl w:val="0"/>
        <w:numId w:val="1"/>
      </w:numPr>
      <w:shd w:val="clear" w:color="auto" w:fill="auto"/>
      <w:spacing w:before="120" w:after="120"/>
      <w:outlineLvl w:val="0"/>
    </w:pPr>
    <w:rPr>
      <w:rFonts w:ascii="Arial" w:hAnsi="Arial" w:cs="Arial"/>
      <w:b/>
    </w:rPr>
  </w:style>
  <w:style w:type="character" w:styleId="DefaultParagraphFont" w:default="1">
    <w:name w:val="Default Paragraph Font"/>
    <w:uiPriority w:val="1"/>
    <w:semiHidden/>
    <w:unhideWhenUsed/>
    <w:qFormat/>
    <w:rPr/>
  </w:style>
  <w:style w:type="character" w:styleId="Ttulo1Char" w:customStyle="1">
    <w:name w:val="Título 1 Char"/>
    <w:basedOn w:val="DefaultParagraphFont"/>
    <w:link w:val="Ttulo1"/>
    <w:uiPriority w:val="9"/>
    <w:qFormat/>
    <w:rsid w:val="00781aff"/>
    <w:rPr>
      <w:rFonts w:ascii="Arial" w:hAnsi="Arial" w:eastAsia="WenQuanYi Micro Hei" w:cs="Arial"/>
      <w:b/>
      <w:sz w:val="20"/>
      <w:szCs w:val="24"/>
      <w:lang w:eastAsia="zh-CN" w:bidi="hi-IN"/>
    </w:rPr>
  </w:style>
  <w:style w:type="character" w:styleId="CitaoChar" w:customStyle="1">
    <w:name w:val="Citação Char"/>
    <w:basedOn w:val="DefaultParagraphFont"/>
    <w:link w:val="Citao"/>
    <w:qFormat/>
    <w:rsid w:val="00c074da"/>
    <w:rPr>
      <w:rFonts w:ascii="Arial" w:hAnsi="Arial" w:eastAsia="Calibri" w:cs="Tahoma"/>
      <w:i/>
      <w:iCs/>
      <w:color w:val="000000"/>
      <w:sz w:val="20"/>
      <w:szCs w:val="24"/>
      <w:shd w:fill="FFFFCC" w:val="clear"/>
    </w:rPr>
  </w:style>
  <w:style w:type="character" w:styleId="Nivel01Char" w:customStyle="1">
    <w:name w:val="Nivel 01 Char"/>
    <w:basedOn w:val="Ttulo1Char"/>
    <w:link w:val="Nivel01"/>
    <w:qFormat/>
    <w:rsid w:val="00c074da"/>
    <w:rPr>
      <w:rFonts w:ascii="Arial" w:hAnsi="Arial" w:eastAsia="" w:cs="Times New Roman" w:eastAsiaTheme="majorEastAsia"/>
      <w:b w:val="false"/>
      <w:bCs/>
      <w:color w:val="000000"/>
      <w:sz w:val="20"/>
      <w:szCs w:val="20"/>
      <w:lang w:eastAsia="pt-BR" w:bidi="hi-IN"/>
    </w:rPr>
  </w:style>
  <w:style w:type="character" w:styleId="Citao2Char" w:customStyle="1">
    <w:name w:val="citação 2 Char"/>
    <w:basedOn w:val="CitaoChar"/>
    <w:qFormat/>
    <w:rsid w:val="00c074da"/>
    <w:rPr>
      <w:rFonts w:ascii="Arial" w:hAnsi="Arial" w:eastAsia="Calibri" w:cs="Tahoma"/>
      <w:i/>
      <w:iCs/>
      <w:color w:val="000000"/>
      <w:sz w:val="20"/>
      <w:szCs w:val="20"/>
      <w:shd w:fill="FFFFCC" w:val="clear"/>
    </w:rPr>
  </w:style>
  <w:style w:type="character" w:styleId="QuoteChar" w:customStyle="1">
    <w:name w:val="Quote Char"/>
    <w:basedOn w:val="DefaultParagraphFont"/>
    <w:link w:val="Citao1"/>
    <w:qFormat/>
    <w:rsid w:val="00c074da"/>
    <w:rPr>
      <w:rFonts w:ascii="Ecofont_Spranq_eco_Sans" w:hAnsi="Ecofont_Spranq_eco_Sans" w:eastAsia="Calibri" w:cs="Tahoma"/>
      <w:i/>
      <w:iCs/>
      <w:color w:val="000000"/>
      <w:shd w:fill="FFFFCC" w:val="clear"/>
    </w:rPr>
  </w:style>
  <w:style w:type="character" w:styleId="Annotationreference">
    <w:name w:val="annotation reference"/>
    <w:basedOn w:val="DefaultParagraphFont"/>
    <w:semiHidden/>
    <w:unhideWhenUsed/>
    <w:qFormat/>
    <w:rsid w:val="00c074da"/>
    <w:rPr>
      <w:sz w:val="16"/>
      <w:szCs w:val="16"/>
    </w:rPr>
  </w:style>
  <w:style w:type="character" w:styleId="TextodecomentrioChar" w:customStyle="1">
    <w:name w:val="Texto de comentário Char"/>
    <w:basedOn w:val="DefaultParagraphFont"/>
    <w:link w:val="Textodecomentrio"/>
    <w:qFormat/>
    <w:rsid w:val="00c074da"/>
    <w:rPr>
      <w:rFonts w:ascii="Arial" w:hAnsi="Arial" w:eastAsia="Times New Roman" w:cs="Tahoma"/>
      <w:sz w:val="20"/>
      <w:szCs w:val="20"/>
      <w:lang w:eastAsia="pt-BR"/>
    </w:rPr>
  </w:style>
  <w:style w:type="character" w:styleId="AssuntodocomentrioChar" w:customStyle="1">
    <w:name w:val="Assunto do comentário Char"/>
    <w:basedOn w:val="TextodecomentrioChar"/>
    <w:link w:val="Assuntodocomentrio"/>
    <w:uiPriority w:val="99"/>
    <w:semiHidden/>
    <w:qFormat/>
    <w:rsid w:val="00c074da"/>
    <w:rPr>
      <w:rFonts w:ascii="Arial" w:hAnsi="Arial" w:eastAsia="Times New Roman" w:cs="Tahoma"/>
      <w:b/>
      <w:bCs/>
      <w:sz w:val="20"/>
      <w:szCs w:val="20"/>
      <w:lang w:eastAsia="pt-BR"/>
    </w:rPr>
  </w:style>
  <w:style w:type="character" w:styleId="LinkdaInternet">
    <w:name w:val="Link da Internet"/>
    <w:basedOn w:val="DefaultParagraphFont"/>
    <w:uiPriority w:val="99"/>
    <w:unhideWhenUsed/>
    <w:rsid w:val="00c074da"/>
    <w:rPr>
      <w:color w:val="0563C1" w:themeColor="hyperlink"/>
      <w:u w:val="single"/>
    </w:rPr>
  </w:style>
  <w:style w:type="character" w:styleId="Nivel4Char" w:customStyle="1">
    <w:name w:val="Nivel 4 Char"/>
    <w:basedOn w:val="DefaultParagraphFont"/>
    <w:link w:val="Nivel4"/>
    <w:qFormat/>
    <w:rsid w:val="00c074da"/>
    <w:rPr>
      <w:rFonts w:ascii="Ecofont_Spranq_eco_Sans" w:hAnsi="Ecofont_Spranq_eco_Sans" w:eastAsia="Arial Unicode MS" w:cs="Arial"/>
      <w:sz w:val="20"/>
      <w:szCs w:val="20"/>
      <w:lang w:eastAsia="pt-BR"/>
    </w:rPr>
  </w:style>
  <w:style w:type="character" w:styleId="TextodebaloChar" w:customStyle="1">
    <w:name w:val="Texto de balão Char"/>
    <w:basedOn w:val="DefaultParagraphFont"/>
    <w:link w:val="Textodebalo"/>
    <w:uiPriority w:val="99"/>
    <w:semiHidden/>
    <w:qFormat/>
    <w:rsid w:val="00c074da"/>
    <w:rPr>
      <w:rFonts w:ascii="Segoe UI" w:hAnsi="Segoe UI" w:eastAsia="Times New Roman" w:cs="Segoe UI"/>
      <w:sz w:val="18"/>
      <w:szCs w:val="18"/>
      <w:lang w:eastAsia="pt-BR"/>
    </w:rPr>
  </w:style>
  <w:style w:type="character" w:styleId="CabealhoChar" w:customStyle="1">
    <w:name w:val="Cabeçalho Char"/>
    <w:basedOn w:val="DefaultParagraphFont"/>
    <w:link w:val="Cabealho"/>
    <w:uiPriority w:val="99"/>
    <w:qFormat/>
    <w:rsid w:val="00c074da"/>
    <w:rPr>
      <w:rFonts w:ascii="Arial" w:hAnsi="Arial" w:eastAsia="Times New Roman" w:cs="Tahoma"/>
      <w:sz w:val="20"/>
      <w:szCs w:val="24"/>
      <w:lang w:eastAsia="pt-BR"/>
    </w:rPr>
  </w:style>
  <w:style w:type="character" w:styleId="RodapChar" w:customStyle="1">
    <w:name w:val="Rodapé Char"/>
    <w:basedOn w:val="DefaultParagraphFont"/>
    <w:link w:val="Rodap"/>
    <w:uiPriority w:val="99"/>
    <w:qFormat/>
    <w:rsid w:val="00c074da"/>
    <w:rPr>
      <w:rFonts w:ascii="Arial" w:hAnsi="Arial" w:eastAsia="Times New Roman" w:cs="Tahoma"/>
      <w:sz w:val="20"/>
      <w:szCs w:val="24"/>
      <w:lang w:eastAsia="pt-BR"/>
    </w:rPr>
  </w:style>
  <w:style w:type="character" w:styleId="Linkdainternetvisitado">
    <w:name w:val="Link da internet visitado"/>
    <w:basedOn w:val="DefaultParagraphFont"/>
    <w:uiPriority w:val="99"/>
    <w:semiHidden/>
    <w:unhideWhenUsed/>
    <w:rsid w:val="00a47c33"/>
    <w:rPr>
      <w:color w:val="954F72" w:themeColor="followedHyperlink"/>
      <w:u w:val="single"/>
    </w:rPr>
  </w:style>
  <w:style w:type="character" w:styleId="Strong">
    <w:name w:val="Strong"/>
    <w:basedOn w:val="DefaultParagraphFont"/>
    <w:uiPriority w:val="22"/>
    <w:qFormat/>
    <w:rsid w:val="00c074da"/>
    <w:rPr>
      <w:b/>
      <w:bCs/>
    </w:rPr>
  </w:style>
  <w:style w:type="character" w:styleId="TtuloChar" w:customStyle="1">
    <w:name w:val="Título Char"/>
    <w:basedOn w:val="DefaultParagraphFont"/>
    <w:link w:val="Ttulo"/>
    <w:qFormat/>
    <w:rsid w:val="00c074da"/>
    <w:rPr>
      <w:rFonts w:ascii="Liberation Sans" w:hAnsi="Liberation Sans" w:eastAsia="Noto Sans CJK SC" w:cs="FreeSans"/>
      <w:sz w:val="28"/>
      <w:szCs w:val="28"/>
      <w:lang w:eastAsia="pt-BR"/>
    </w:rPr>
  </w:style>
  <w:style w:type="character" w:styleId="CorpodetextoChar" w:customStyle="1">
    <w:name w:val="Corpo de texto Char"/>
    <w:basedOn w:val="DefaultParagraphFont"/>
    <w:link w:val="Corpodetexto"/>
    <w:qFormat/>
    <w:rsid w:val="00c074da"/>
    <w:rPr>
      <w:rFonts w:ascii="Arial" w:hAnsi="Arial" w:eastAsia="Times New Roman" w:cs="Tahoma"/>
      <w:sz w:val="20"/>
      <w:szCs w:val="24"/>
      <w:lang w:eastAsia="pt-BR"/>
    </w:rPr>
  </w:style>
  <w:style w:type="character" w:styleId="CitaoChar1" w:customStyle="1">
    <w:name w:val="Citação Char1"/>
    <w:basedOn w:val="DefaultParagraphFont"/>
    <w:uiPriority w:val="29"/>
    <w:qFormat/>
    <w:rsid w:val="00c074da"/>
    <w:rPr>
      <w:rFonts w:ascii="Arial" w:hAnsi="Arial" w:eastAsia="Times New Roman" w:cs="Tahoma"/>
      <w:i/>
      <w:iCs/>
      <w:color w:val="404040" w:themeColor="text1" w:themeTint="bf"/>
      <w:sz w:val="20"/>
      <w:szCs w:val="24"/>
      <w:lang w:eastAsia="pt-BR"/>
    </w:rPr>
  </w:style>
  <w:style w:type="character" w:styleId="TextodecomentrioChar1" w:customStyle="1">
    <w:name w:val="Texto de comentário Char1"/>
    <w:basedOn w:val="DefaultParagraphFont"/>
    <w:uiPriority w:val="99"/>
    <w:semiHidden/>
    <w:qFormat/>
    <w:rsid w:val="00c074da"/>
    <w:rPr>
      <w:rFonts w:ascii="Arial" w:hAnsi="Arial" w:eastAsia="Times New Roman" w:cs="Tahoma"/>
      <w:sz w:val="20"/>
      <w:szCs w:val="20"/>
      <w:lang w:eastAsia="pt-BR"/>
    </w:rPr>
  </w:style>
  <w:style w:type="character" w:styleId="AssuntodocomentrioChar1" w:customStyle="1">
    <w:name w:val="Assunto do comentário Char1"/>
    <w:basedOn w:val="TextodecomentrioChar1"/>
    <w:uiPriority w:val="99"/>
    <w:semiHidden/>
    <w:qFormat/>
    <w:rsid w:val="00c074da"/>
    <w:rPr>
      <w:rFonts w:ascii="Arial" w:hAnsi="Arial" w:eastAsia="Times New Roman" w:cs="Tahoma"/>
      <w:b/>
      <w:bCs/>
      <w:sz w:val="20"/>
      <w:szCs w:val="20"/>
      <w:lang w:eastAsia="pt-BR"/>
    </w:rPr>
  </w:style>
  <w:style w:type="character" w:styleId="TextodebaloChar1" w:customStyle="1">
    <w:name w:val="Texto de balão Char1"/>
    <w:basedOn w:val="DefaultParagraphFont"/>
    <w:uiPriority w:val="99"/>
    <w:semiHidden/>
    <w:qFormat/>
    <w:rsid w:val="00c074da"/>
    <w:rPr>
      <w:rFonts w:ascii="Segoe UI" w:hAnsi="Segoe UI" w:eastAsia="Times New Roman" w:cs="Segoe UI"/>
      <w:sz w:val="18"/>
      <w:szCs w:val="18"/>
      <w:lang w:eastAsia="pt-BR"/>
    </w:rPr>
  </w:style>
  <w:style w:type="character" w:styleId="CabealhoChar1" w:customStyle="1">
    <w:name w:val="Cabeçalho Char1"/>
    <w:basedOn w:val="DefaultParagraphFont"/>
    <w:uiPriority w:val="99"/>
    <w:semiHidden/>
    <w:qFormat/>
    <w:rsid w:val="00c074da"/>
    <w:rPr>
      <w:rFonts w:ascii="Arial" w:hAnsi="Arial" w:eastAsia="Times New Roman" w:cs="Tahoma"/>
      <w:sz w:val="20"/>
      <w:szCs w:val="24"/>
      <w:lang w:eastAsia="pt-BR"/>
    </w:rPr>
  </w:style>
  <w:style w:type="character" w:styleId="RodapChar1" w:customStyle="1">
    <w:name w:val="Rodapé Char1"/>
    <w:basedOn w:val="DefaultParagraphFont"/>
    <w:uiPriority w:val="99"/>
    <w:semiHidden/>
    <w:qFormat/>
    <w:rsid w:val="00c074da"/>
    <w:rPr>
      <w:rFonts w:ascii="Arial" w:hAnsi="Arial" w:eastAsia="Times New Roman" w:cs="Tahoma"/>
      <w:sz w:val="20"/>
      <w:szCs w:val="24"/>
      <w:lang w:eastAsia="pt-BR"/>
    </w:rPr>
  </w:style>
  <w:style w:type="character" w:styleId="Cf01" w:customStyle="1">
    <w:name w:val="cf01"/>
    <w:basedOn w:val="DefaultParagraphFont"/>
    <w:qFormat/>
    <w:rsid w:val="00c074da"/>
    <w:rPr>
      <w:rFonts w:ascii="Segoe UI" w:hAnsi="Segoe UI" w:cs="Segoe UI"/>
      <w:color w:val="555555"/>
      <w:sz w:val="18"/>
      <w:szCs w:val="18"/>
      <w:shd w:fill="FFFFFF" w:val="clear"/>
    </w:rPr>
  </w:style>
  <w:style w:type="character" w:styleId="MenoPendente1" w:customStyle="1">
    <w:name w:val="Menção Pendente1"/>
    <w:basedOn w:val="DefaultParagraphFont"/>
    <w:uiPriority w:val="99"/>
    <w:semiHidden/>
    <w:unhideWhenUsed/>
    <w:qFormat/>
    <w:rsid w:val="00c074da"/>
    <w:rPr>
      <w:color w:val="605E5C"/>
      <w:shd w:fill="E1DFDD" w:val="clear"/>
    </w:rPr>
  </w:style>
  <w:style w:type="character" w:styleId="PlaceholderText">
    <w:name w:val="Placeholder Text"/>
    <w:basedOn w:val="DefaultParagraphFont"/>
    <w:uiPriority w:val="99"/>
    <w:semiHidden/>
    <w:qFormat/>
    <w:rsid w:val="004d7acd"/>
    <w:rPr>
      <w:color w:val="808080"/>
    </w:rPr>
  </w:style>
  <w:style w:type="character" w:styleId="Estilo1" w:customStyle="1">
    <w:name w:val="Estilo1"/>
    <w:basedOn w:val="DefaultParagraphFont"/>
    <w:uiPriority w:val="1"/>
    <w:qFormat/>
    <w:rsid w:val="004d7acd"/>
    <w:rPr>
      <w:rFonts w:ascii="Arial" w:hAnsi="Arial"/>
      <w:b/>
      <w:color w:val="538135" w:themeColor="accent6" w:themeShade="bf"/>
      <w:sz w:val="24"/>
    </w:rPr>
  </w:style>
  <w:style w:type="character" w:styleId="UnresolvedMention">
    <w:name w:val="Unresolved Mention"/>
    <w:basedOn w:val="DefaultParagraphFont"/>
    <w:uiPriority w:val="99"/>
    <w:semiHidden/>
    <w:unhideWhenUsed/>
    <w:qFormat/>
    <w:rsid w:val="004d7acd"/>
    <w:rPr>
      <w:color w:val="605E5C"/>
      <w:shd w:fill="E1DFDD" w:val="clear"/>
    </w:rPr>
  </w:style>
  <w:style w:type="character" w:styleId="Vnculodendice">
    <w:name w:val="Vínculo de índice"/>
    <w:qFormat/>
    <w:rPr/>
  </w:style>
  <w:style w:type="paragraph" w:styleId="Ttulo">
    <w:name w:val="Título"/>
    <w:basedOn w:val="Normal"/>
    <w:next w:val="Corpodotexto"/>
    <w:qFormat/>
    <w:pPr>
      <w:keepNext w:val="true"/>
      <w:spacing w:before="240" w:after="120"/>
    </w:pPr>
    <w:rPr>
      <w:rFonts w:ascii="Liberation Sans" w:hAnsi="Liberation Sans" w:eastAsia="Microsoft YaHei" w:cs="Mangal"/>
      <w:sz w:val="28"/>
      <w:szCs w:val="28"/>
    </w:rPr>
  </w:style>
  <w:style w:type="paragraph" w:styleId="Corpodotexto">
    <w:name w:val="Body Text"/>
    <w:basedOn w:val="Normal"/>
    <w:link w:val="CorpodetextoChar"/>
    <w:rsid w:val="00c074da"/>
    <w:pPr>
      <w:spacing w:lineRule="auto" w:line="276" w:before="0" w:after="140"/>
    </w:pPr>
    <w:rPr/>
  </w:style>
  <w:style w:type="paragraph" w:styleId="Lista">
    <w:name w:val="List"/>
    <w:basedOn w:val="Corpodotexto"/>
    <w:rsid w:val="00c074da"/>
    <w:pPr/>
    <w:rPr>
      <w:rFonts w:cs="FreeSans"/>
    </w:rPr>
  </w:style>
  <w:style w:type="paragraph" w:styleId="Legenda">
    <w:name w:val="Caption"/>
    <w:basedOn w:val="Normal"/>
    <w:qFormat/>
    <w:pPr>
      <w:suppressLineNumbers/>
      <w:spacing w:before="120" w:after="120"/>
    </w:pPr>
    <w:rPr>
      <w:rFonts w:cs="Mangal"/>
      <w:i/>
      <w:iCs/>
      <w:sz w:val="24"/>
      <w:szCs w:val="24"/>
    </w:rPr>
  </w:style>
  <w:style w:type="paragraph" w:styleId="Ndice" w:customStyle="1">
    <w:name w:val="Índice"/>
    <w:basedOn w:val="Normal"/>
    <w:qFormat/>
    <w:rsid w:val="00c074da"/>
    <w:pPr>
      <w:suppressLineNumbers/>
    </w:pPr>
    <w:rPr>
      <w:rFonts w:cs="FreeSans"/>
    </w:rPr>
  </w:style>
  <w:style w:type="paragraph" w:styleId="Ttulododocumento">
    <w:name w:val="Title"/>
    <w:basedOn w:val="Normal"/>
    <w:next w:val="Corpodotexto"/>
    <w:link w:val="TtuloChar"/>
    <w:qFormat/>
    <w:rsid w:val="00c074da"/>
    <w:pPr>
      <w:keepNext w:val="true"/>
      <w:spacing w:before="240" w:after="120"/>
    </w:pPr>
    <w:rPr>
      <w:rFonts w:ascii="Liberation Sans" w:hAnsi="Liberation Sans" w:eastAsia="Noto Sans CJK SC" w:cs="FreeSans"/>
      <w:sz w:val="28"/>
      <w:szCs w:val="28"/>
    </w:rPr>
  </w:style>
  <w:style w:type="paragraph" w:styleId="Caption">
    <w:name w:val="caption"/>
    <w:basedOn w:val="Normal"/>
    <w:qFormat/>
    <w:rsid w:val="00c074da"/>
    <w:pPr>
      <w:suppressLineNumbers/>
      <w:spacing w:before="120" w:after="120"/>
    </w:pPr>
    <w:rPr>
      <w:rFonts w:cs="FreeSans"/>
      <w:i/>
      <w:iCs/>
      <w:sz w:val="24"/>
    </w:rPr>
  </w:style>
  <w:style w:type="paragraph" w:styleId="Quote">
    <w:name w:val="Quote"/>
    <w:basedOn w:val="Normal"/>
    <w:next w:val="Normal"/>
    <w:link w:val="CitaoChar"/>
    <w:qFormat/>
    <w:rsid w:val="00c074da"/>
    <w:pPr>
      <w:pBdr>
        <w:top w:val="single" w:sz="4" w:space="1" w:color="1F497D"/>
        <w:left w:val="single" w:sz="4" w:space="4" w:color="1F497D"/>
        <w:bottom w:val="single" w:sz="4" w:space="1" w:color="1F497D"/>
        <w:right w:val="single" w:sz="4" w:space="4" w:color="1F497D"/>
      </w:pBdr>
      <w:shd w:val="clear" w:color="auto" w:fill="FFFFCC"/>
      <w:spacing w:before="120" w:after="0"/>
      <w:jc w:val="both"/>
    </w:pPr>
    <w:rPr>
      <w:rFonts w:eastAsia="Calibri"/>
      <w:i/>
      <w:iCs/>
      <w:color w:val="000000"/>
      <w:lang w:eastAsia="en-US"/>
    </w:rPr>
  </w:style>
  <w:style w:type="paragraph" w:styleId="Nivel01" w:customStyle="1">
    <w:name w:val="Nivel 01"/>
    <w:basedOn w:val="Ttulo1"/>
    <w:next w:val="Normal"/>
    <w:link w:val="Nivel01Char"/>
    <w:qFormat/>
    <w:rsid w:val="00c074da"/>
    <w:pPr>
      <w:numPr>
        <w:ilvl w:val="0"/>
        <w:numId w:val="0"/>
      </w:numPr>
      <w:spacing w:before="480" w:after="120"/>
      <w:ind w:right="-15" w:hanging="0"/>
    </w:pPr>
    <w:rPr>
      <w:rFonts w:cs="Times New Roman"/>
      <w:b w:val="false"/>
      <w:bCs/>
      <w:color w:val="000000"/>
      <w:szCs w:val="20"/>
    </w:rPr>
  </w:style>
  <w:style w:type="paragraph" w:styleId="PADRO" w:customStyle="1">
    <w:name w:val="PADRÃO"/>
    <w:qFormat/>
    <w:rsid w:val="00c074da"/>
    <w:pPr>
      <w:keepNext w:val="true"/>
      <w:widowControl w:val="false"/>
      <w:shd w:val="clear" w:color="auto" w:fill="FFFFFF"/>
      <w:suppressAutoHyphens w:val="true"/>
      <w:bidi w:val="0"/>
      <w:spacing w:lineRule="auto" w:line="276" w:before="119" w:after="119"/>
      <w:ind w:firstLine="567"/>
      <w:jc w:val="both"/>
      <w:textAlignment w:val="baseline"/>
    </w:pPr>
    <w:rPr>
      <w:rFonts w:ascii="Ecofont_Spranq_eco_Sans" w:hAnsi="Ecofont_Spranq_eco_Sans" w:eastAsia="WenQuanYi Micro Hei" w:cs="Lohit Hindi"/>
      <w:color w:val="auto"/>
      <w:kern w:val="0"/>
      <w:sz w:val="20"/>
      <w:szCs w:val="24"/>
      <w:lang w:val="pt-BR" w:eastAsia="zh-CN" w:bidi="hi-IN"/>
    </w:rPr>
  </w:style>
  <w:style w:type="paragraph" w:styleId="ListParagraph">
    <w:name w:val="List Paragraph"/>
    <w:basedOn w:val="Normal"/>
    <w:uiPriority w:val="34"/>
    <w:qFormat/>
    <w:rsid w:val="00c074da"/>
    <w:pPr>
      <w:spacing w:before="0" w:after="0"/>
      <w:ind w:left="720" w:hanging="0"/>
      <w:contextualSpacing/>
    </w:pPr>
    <w:rPr/>
  </w:style>
  <w:style w:type="paragraph" w:styleId="Citao2" w:customStyle="1">
    <w:name w:val="citação 2"/>
    <w:basedOn w:val="Quote"/>
    <w:qFormat/>
    <w:rsid w:val="00c074da"/>
    <w:pPr>
      <w:shd w:val="clear" w:fill="FFFFCC"/>
    </w:pPr>
    <w:rPr>
      <w:szCs w:val="20"/>
    </w:rPr>
  </w:style>
  <w:style w:type="paragraph" w:styleId="Citao1" w:customStyle="1">
    <w:name w:val="Citação1"/>
    <w:basedOn w:val="Normal"/>
    <w:next w:val="Normal"/>
    <w:link w:val="QuoteChar"/>
    <w:qFormat/>
    <w:rsid w:val="00c074da"/>
    <w:pPr>
      <w:pBdr>
        <w:top w:val="single" w:sz="4" w:space="1" w:color="1F497D"/>
        <w:left w:val="single" w:sz="4" w:space="4" w:color="1F497D"/>
        <w:bottom w:val="single" w:sz="4" w:space="1" w:color="1F497D"/>
        <w:right w:val="single" w:sz="4" w:space="4" w:color="1F497D"/>
      </w:pBdr>
      <w:shd w:val="clear" w:color="auto" w:fill="FFFFCC"/>
      <w:spacing w:before="120" w:after="0"/>
      <w:jc w:val="both"/>
    </w:pPr>
    <w:rPr>
      <w:rFonts w:ascii="Ecofont_Spranq_eco_Sans" w:hAnsi="Ecofont_Spranq_eco_Sans" w:eastAsia="Calibri"/>
      <w:i/>
      <w:iCs/>
      <w:color w:val="000000"/>
      <w:sz w:val="22"/>
      <w:szCs w:val="22"/>
      <w:lang w:eastAsia="en-US"/>
    </w:rPr>
  </w:style>
  <w:style w:type="paragraph" w:styleId="Annotationtext">
    <w:name w:val="annotation text"/>
    <w:basedOn w:val="Normal"/>
    <w:link w:val="TextodecomentrioChar"/>
    <w:unhideWhenUsed/>
    <w:qFormat/>
    <w:rsid w:val="00c074da"/>
    <w:pPr/>
    <w:rPr>
      <w:szCs w:val="20"/>
    </w:rPr>
  </w:style>
  <w:style w:type="paragraph" w:styleId="Annotationsubject">
    <w:name w:val="annotation subject"/>
    <w:basedOn w:val="Annotationtext"/>
    <w:next w:val="Annotationtext"/>
    <w:link w:val="AssuntodocomentrioChar"/>
    <w:uiPriority w:val="99"/>
    <w:semiHidden/>
    <w:unhideWhenUsed/>
    <w:qFormat/>
    <w:rsid w:val="00c074da"/>
    <w:pPr/>
    <w:rPr>
      <w:b/>
      <w:bCs/>
    </w:rPr>
  </w:style>
  <w:style w:type="paragraph" w:styleId="Nivel1" w:customStyle="1">
    <w:name w:val="Nivel1"/>
    <w:basedOn w:val="Ttulo1"/>
    <w:qFormat/>
    <w:rsid w:val="00c074da"/>
    <w:pPr>
      <w:numPr>
        <w:ilvl w:val="0"/>
        <w:numId w:val="0"/>
      </w:numPr>
      <w:spacing w:before="480" w:after="120"/>
      <w:ind w:left="644" w:hanging="0"/>
    </w:pPr>
    <w:rPr>
      <w:rFonts w:cs="Times New Roman"/>
      <w:b w:val="false"/>
      <w:color w:val="000000"/>
      <w:szCs w:val="20"/>
    </w:rPr>
  </w:style>
  <w:style w:type="paragraph" w:styleId="Nivel2" w:customStyle="1">
    <w:name w:val="Nivel 2"/>
    <w:qFormat/>
    <w:rsid w:val="00c074da"/>
    <w:pPr>
      <w:widowControl/>
      <w:numPr>
        <w:ilvl w:val="0"/>
        <w:numId w:val="3"/>
      </w:numPr>
      <w:suppressAutoHyphens w:val="true"/>
      <w:bidi w:val="0"/>
      <w:spacing w:lineRule="auto" w:line="276" w:before="120" w:after="120"/>
      <w:jc w:val="both"/>
    </w:pPr>
    <w:rPr>
      <w:rFonts w:ascii="Ecofont_Spranq_eco_Sans" w:hAnsi="Ecofont_Spranq_eco_Sans" w:eastAsia="Arial Unicode MS" w:cs="Times New Roman"/>
      <w:color w:val="auto"/>
      <w:kern w:val="0"/>
      <w:sz w:val="20"/>
      <w:szCs w:val="20"/>
      <w:lang w:val="pt-BR" w:eastAsia="pt-BR" w:bidi="ar-SA"/>
    </w:rPr>
  </w:style>
  <w:style w:type="paragraph" w:styleId="Nivel11" w:customStyle="1">
    <w:name w:val="Nivel 1"/>
    <w:basedOn w:val="Nivel2"/>
    <w:next w:val="Nivel2"/>
    <w:qFormat/>
    <w:rsid w:val="00c074da"/>
    <w:pPr/>
    <w:rPr>
      <w:rFonts w:cs="Arial"/>
      <w:b/>
    </w:rPr>
  </w:style>
  <w:style w:type="paragraph" w:styleId="Nivel3" w:customStyle="1">
    <w:name w:val="Nivel 3"/>
    <w:basedOn w:val="Nivel2"/>
    <w:qFormat/>
    <w:rsid w:val="00c074da"/>
    <w:pPr/>
    <w:rPr>
      <w:rFonts w:cs="Arial"/>
      <w:color w:val="000000"/>
    </w:rPr>
  </w:style>
  <w:style w:type="paragraph" w:styleId="Nivel4" w:customStyle="1">
    <w:name w:val="Nivel 4"/>
    <w:basedOn w:val="Nivel3"/>
    <w:link w:val="Nivel4Char"/>
    <w:qFormat/>
    <w:rsid w:val="00c074da"/>
    <w:pPr/>
    <w:rPr>
      <w:color w:val="auto"/>
    </w:rPr>
  </w:style>
  <w:style w:type="paragraph" w:styleId="Nivel5" w:customStyle="1">
    <w:name w:val="Nivel 5"/>
    <w:basedOn w:val="Nivel4"/>
    <w:qFormat/>
    <w:rsid w:val="00c074da"/>
    <w:pPr>
      <w:tabs>
        <w:tab w:val="clear" w:pos="720"/>
        <w:tab w:val="left" w:pos="360" w:leader="none"/>
      </w:tabs>
    </w:pPr>
    <w:rPr/>
  </w:style>
  <w:style w:type="paragraph" w:styleId="BalloonText">
    <w:name w:val="Balloon Text"/>
    <w:basedOn w:val="Normal"/>
    <w:link w:val="TextodebaloChar"/>
    <w:uiPriority w:val="99"/>
    <w:semiHidden/>
    <w:unhideWhenUsed/>
    <w:qFormat/>
    <w:rsid w:val="00c074da"/>
    <w:pPr/>
    <w:rPr>
      <w:rFonts w:ascii="Segoe UI" w:hAnsi="Segoe UI" w:cs="Segoe UI"/>
      <w:sz w:val="18"/>
      <w:szCs w:val="18"/>
    </w:rPr>
  </w:style>
  <w:style w:type="paragraph" w:styleId="CabealhoeRodap" w:customStyle="1">
    <w:name w:val="Cabeçalho e Rodapé"/>
    <w:basedOn w:val="Normal"/>
    <w:qFormat/>
    <w:rsid w:val="00c074da"/>
    <w:pPr/>
    <w:rPr/>
  </w:style>
  <w:style w:type="paragraph" w:styleId="Cabealho">
    <w:name w:val="Header"/>
    <w:basedOn w:val="Normal"/>
    <w:link w:val="CabealhoChar"/>
    <w:uiPriority w:val="99"/>
    <w:unhideWhenUsed/>
    <w:rsid w:val="00c074da"/>
    <w:pPr>
      <w:tabs>
        <w:tab w:val="clear" w:pos="720"/>
        <w:tab w:val="center" w:pos="4252" w:leader="none"/>
        <w:tab w:val="right" w:pos="8504" w:leader="none"/>
      </w:tabs>
    </w:pPr>
    <w:rPr/>
  </w:style>
  <w:style w:type="paragraph" w:styleId="Rodap">
    <w:name w:val="Footer"/>
    <w:basedOn w:val="Normal"/>
    <w:link w:val="RodapChar"/>
    <w:uiPriority w:val="99"/>
    <w:unhideWhenUsed/>
    <w:rsid w:val="00c074da"/>
    <w:pPr>
      <w:tabs>
        <w:tab w:val="clear" w:pos="720"/>
        <w:tab w:val="center" w:pos="4252" w:leader="none"/>
        <w:tab w:val="right" w:pos="8504" w:leader="none"/>
      </w:tabs>
    </w:pPr>
    <w:rPr/>
  </w:style>
  <w:style w:type="paragraph" w:styleId="Nivel01Titulo" w:customStyle="1">
    <w:name w:val="Nivel_01_Titulo"/>
    <w:basedOn w:val="Ttulo1"/>
    <w:next w:val="Normal"/>
    <w:qFormat/>
    <w:rsid w:val="00c074da"/>
    <w:pPr>
      <w:numPr>
        <w:ilvl w:val="0"/>
        <w:numId w:val="0"/>
      </w:numPr>
      <w:tabs>
        <w:tab w:val="clear" w:pos="720"/>
        <w:tab w:val="left" w:pos="360" w:leader="none"/>
        <w:tab w:val="left" w:pos="567" w:leader="none"/>
      </w:tabs>
      <w:ind w:firstLine="567"/>
    </w:pPr>
    <w:rPr>
      <w:rFonts w:cs="Times New Roman"/>
      <w:b w:val="false"/>
      <w:bCs/>
      <w:szCs w:val="20"/>
    </w:rPr>
  </w:style>
  <w:style w:type="paragraph" w:styleId="Revision">
    <w:name w:val="Revision"/>
    <w:uiPriority w:val="99"/>
    <w:semiHidden/>
    <w:qFormat/>
    <w:rsid w:val="00c074da"/>
    <w:pPr>
      <w:widowControl/>
      <w:suppressAutoHyphens w:val="true"/>
      <w:bidi w:val="0"/>
      <w:spacing w:lineRule="auto" w:line="240" w:before="0" w:after="0"/>
      <w:jc w:val="left"/>
    </w:pPr>
    <w:rPr>
      <w:rFonts w:ascii="Arial" w:hAnsi="Arial" w:eastAsia="Times New Roman" w:cs="Tahoma"/>
      <w:color w:val="auto"/>
      <w:kern w:val="0"/>
      <w:sz w:val="20"/>
      <w:szCs w:val="24"/>
      <w:lang w:val="pt-BR" w:eastAsia="pt-BR" w:bidi="ar-SA"/>
    </w:rPr>
  </w:style>
  <w:style w:type="paragraph" w:styleId="TOCHeading">
    <w:name w:val="TOC Heading"/>
    <w:basedOn w:val="Ttulo1"/>
    <w:next w:val="Normal"/>
    <w:uiPriority w:val="39"/>
    <w:unhideWhenUsed/>
    <w:qFormat/>
    <w:rsid w:val="00781aff"/>
    <w:pPr>
      <w:keepNext w:val="true"/>
      <w:keepLines/>
      <w:numPr>
        <w:ilvl w:val="0"/>
        <w:numId w:val="0"/>
      </w:numPr>
      <w:suppressAutoHyphens w:val="false"/>
      <w:spacing w:lineRule="auto" w:line="259" w:before="240" w:after="0"/>
      <w:ind w:firstLine="567"/>
      <w:jc w:val="left"/>
      <w:textAlignment w:val="auto"/>
    </w:pPr>
    <w:rPr>
      <w:rFonts w:ascii="Calibri Light" w:hAnsi="Calibri Light" w:eastAsia="" w:cs="" w:asciiTheme="majorHAnsi" w:cstheme="majorBidi" w:eastAsiaTheme="majorEastAsia" w:hAnsiTheme="majorHAnsi"/>
      <w:b w:val="false"/>
      <w:color w:val="2E74B5" w:themeColor="accent1" w:themeShade="bf"/>
      <w:sz w:val="32"/>
      <w:szCs w:val="32"/>
      <w:lang w:eastAsia="pt-BR" w:bidi="ar-SA"/>
    </w:rPr>
  </w:style>
  <w:style w:type="paragraph" w:styleId="Sumrio1">
    <w:name w:val="TOC 1"/>
    <w:basedOn w:val="Normal"/>
    <w:next w:val="Normal"/>
    <w:autoRedefine/>
    <w:uiPriority w:val="39"/>
    <w:unhideWhenUsed/>
    <w:rsid w:val="00781aff"/>
    <w:pPr>
      <w:spacing w:before="0" w:after="100"/>
    </w:pPr>
    <w:rPr/>
  </w:style>
  <w:style w:type="numbering" w:styleId="NoList" w:default="1">
    <w:name w:val="No List"/>
    <w:uiPriority w:val="99"/>
    <w:semiHidden/>
    <w:unhideWhenUsed/>
    <w:qFormat/>
  </w:style>
  <w:style w:type="table" w:default="1" w:styleId="Tabelanormal">
    <w:name w:val="Normal Table"/>
    <w:uiPriority w:val="99"/>
    <w:semiHidden/>
    <w:unhideWhenUsed/>
    <w:tblPr>
      <w:tblCellMar>
        <w:top w:w="0" w:type="dxa"/>
        <w:left w:w="108" w:type="dxa"/>
        <w:bottom w:w="0" w:type="dxa"/>
        <w:right w:w="108" w:type="dxa"/>
      </w:tblCellMar>
    </w:tblPr>
  </w:style>
  <w:style w:type="table" w:styleId="Tabelacomgrade">
    <w:name w:val="Table Grid"/>
    <w:basedOn w:val="Tabelanormal"/>
    <w:uiPriority w:val="39"/>
    <w:rsid w:val="00c074da"/>
    <w:pPr>
      <w:spacing w:after="0" w:line="240" w:lineRule="auto"/>
    </w:pPr>
    <w:rPr>
      <w:rFonts w:eastAsiaTheme="minorEastAsia"/>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comments.xml.rels><?xml version="1.0" encoding="UTF-8"?>
<Relationships xmlns="http://schemas.openxmlformats.org/package/2006/relationships"><Relationship Id="rId1" Type="http://schemas.openxmlformats.org/officeDocument/2006/relationships/hyperlink" Target="https://www.gov.br/compras/pt-br/acesso-a-informacao/manuais/dispensa-eletronica/ManualNovoDispensaEletrnica28.01.2022.pdf" TargetMode="External"/><Relationship Id="rId2" Type="http://schemas.openxmlformats.org/officeDocument/2006/relationships/hyperlink" Target="mailto:cgu.modeloscontratacao@agu.gov.br" TargetMode="External"/>
</Relationship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wmf"/><Relationship Id="rId3" Type="http://schemas.openxmlformats.org/officeDocument/2006/relationships/hyperlink" Target="http://www.planalto.gov.br/ccivil_03/_ato2019-2022/2021/lei/L14133.htm" TargetMode="External"/><Relationship Id="rId4" Type="http://schemas.openxmlformats.org/officeDocument/2006/relationships/hyperlink" Target="https://www.gov.br/compras/pt-br/acesso-a-informacao/legislacao/instrucoes-normativas/instrucao-normativa-seges-me-no-67-de-8-de-julho-de-2021" TargetMode="External"/><Relationship Id="rId5" Type="http://schemas.openxmlformats.org/officeDocument/2006/relationships/hyperlink" Target="http://www.gov.br/compras" TargetMode="External"/><Relationship Id="rId6" Type="http://schemas.openxmlformats.org/officeDocument/2006/relationships/hyperlink" Target="http://www.pncp.gov.br/" TargetMode="External"/><Relationship Id="rId7" Type="http://schemas.openxmlformats.org/officeDocument/2006/relationships/hyperlink" Target="https://www.gov.br/compras/pt-br/sistemas/conheca-o-compras/aplicativo-compras" TargetMode="External"/><Relationship Id="rId8" Type="http://schemas.openxmlformats.org/officeDocument/2006/relationships/hyperlink" Target="http://www.planalto.gov.br/ccivil_03/LEIS/L6404consol.htm" TargetMode="External"/><Relationship Id="rId9" Type="http://schemas.openxmlformats.org/officeDocument/2006/relationships/hyperlink" Target="https://www3.comprasnet.gov.br/sicaf-web/index.jsf" TargetMode="External"/><Relationship Id="rId10" Type="http://schemas.openxmlformats.org/officeDocument/2006/relationships/hyperlink" Target="https://portaldatransparencia.gov.br/sancoes/consulta?cadastro=1%2C2" TargetMode="External"/><Relationship Id="rId11" Type="http://schemas.openxmlformats.org/officeDocument/2006/relationships/hyperlink" Target="https://portaldatransparencia.gov.br/sancoes/consulta?cadastro=1%2C2" TargetMode="External"/><Relationship Id="rId12" Type="http://schemas.openxmlformats.org/officeDocument/2006/relationships/hyperlink" Target="http://www.planalto.gov.br/ccivil_03/_ato2019-2022/2021/lei/L14133.htm" TargetMode="External"/><Relationship Id="rId13" Type="http://schemas.openxmlformats.org/officeDocument/2006/relationships/hyperlink" Target="http://www.planalto.gov.br/ccivil_03/_ato2019-2022/2021/lei/L14133.htm" TargetMode="External"/><Relationship Id="rId14" Type="http://schemas.openxmlformats.org/officeDocument/2006/relationships/hyperlink" Target="https://www.planalto.gov.br/ccivil_03/_ato2011-2014/2013/lei/l12846.htm" TargetMode="External"/><Relationship Id="rId15" Type="http://schemas.openxmlformats.org/officeDocument/2006/relationships/hyperlink" Target="https://www.gov.br/empresas-e-negocios/pt-br/empreendedor" TargetMode="External"/><Relationship Id="rId16" Type="http://schemas.openxmlformats.org/officeDocument/2006/relationships/hyperlink" Target="https://www.planalto.gov.br/ccivil_03/leis/lcp/lcp123.htm" TargetMode="External"/><Relationship Id="rId17" Type="http://schemas.openxmlformats.org/officeDocument/2006/relationships/header" Target="header1.xml"/><Relationship Id="rId18" Type="http://schemas.openxmlformats.org/officeDocument/2006/relationships/header" Target="header2.xml"/><Relationship Id="rId19" Type="http://schemas.openxmlformats.org/officeDocument/2006/relationships/footer" Target="footer1.xml"/><Relationship Id="rId20" Type="http://schemas.openxmlformats.org/officeDocument/2006/relationships/comments" Target="comments.xml"/><Relationship Id="rId21" Type="http://schemas.openxmlformats.org/officeDocument/2006/relationships/numbering" Target="numbering.xml"/><Relationship Id="rId22" Type="http://schemas.openxmlformats.org/officeDocument/2006/relationships/fontTable" Target="fontTable.xml"/><Relationship Id="rId23" Type="http://schemas.openxmlformats.org/officeDocument/2006/relationships/settings" Target="settings.xml"/><Relationship Id="rId24" Type="http://schemas.openxmlformats.org/officeDocument/2006/relationships/theme" Target="theme/theme1.xml"/><Relationship Id="rId25" Type="http://schemas.openxmlformats.org/officeDocument/2006/relationships/customXml" Target="../customXml/item1.xml"/>
</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9565020-22B7-4262-B8E6-8374666224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TotalTime>
  <Application>LibreOffice/7.0.0.3$Windows_X86_64 LibreOffice_project/8061b3e9204bef6b321a21033174034a5e2ea88e</Application>
  <Pages>16</Pages>
  <Words>5953</Words>
  <Characters>34110</Characters>
  <CharactersWithSpaces>39628</CharactersWithSpaces>
  <Paragraphs>291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2023-03-27T12:03:00Z</dcterms:created>
  <dc:creator>Manoel Paz</dc:creator>
  <dc:description/>
  <dc:language>pt-BR</dc:language>
  <cp:lastModifiedBy/>
  <cp:lastPrinted>2023-07-27T10:17:41Z</cp:lastPrinted>
  <dcterms:modified xsi:type="dcterms:W3CDTF">2023-07-27T10:21:53Z</dcterms:modified>
  <cp:revision>5</cp:revision>
  <dc:subject/>
  <dc:title>Edital Pregão Compras - Ampla Participação</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Creator">
    <vt:lpwstr>Writer</vt:lpwstr>
  </property>
  <property fmtid="{D5CDD505-2E9C-101B-9397-08002B2CF9AE}" pid="4" name="DocSecurity">
    <vt:i4>0</vt:i4>
  </property>
  <property fmtid="{D5CDD505-2E9C-101B-9397-08002B2CF9AE}" pid="5" name="HyperlinksChanged">
    <vt:bool>0</vt:bool>
  </property>
  <property fmtid="{D5CDD505-2E9C-101B-9397-08002B2CF9AE}" pid="6" name="LinksUpToDate">
    <vt:bool>0</vt:bool>
  </property>
  <property fmtid="{D5CDD505-2E9C-101B-9397-08002B2CF9AE}" pid="7" name="Producer">
    <vt:lpwstr>LibreOffice 7.2</vt:lpwstr>
  </property>
  <property fmtid="{D5CDD505-2E9C-101B-9397-08002B2CF9AE}" pid="8" name="ScaleCrop">
    <vt:bool>0</vt:bool>
  </property>
  <property fmtid="{D5CDD505-2E9C-101B-9397-08002B2CF9AE}" pid="9" name="ShareDoc">
    <vt:bool>0</vt:bool>
  </property>
</Properties>
</file>