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FC051" w14:textId="0D1142F7" w:rsidR="003E2A0A" w:rsidRDefault="003026BF" w:rsidP="003026BF">
      <w:pPr>
        <w:jc w:val="center"/>
      </w:pPr>
      <w:r>
        <w:rPr>
          <w:rFonts w:ascii="Times New Roman" w:hAnsi="Times New Roman" w:cs="Times New Roman"/>
          <w:bCs/>
          <w:noProof/>
          <w:sz w:val="22"/>
          <w:szCs w:val="22"/>
        </w:rPr>
        <w:drawing>
          <wp:anchor distT="0" distB="0" distL="114300" distR="114300" simplePos="0" relativeHeight="2" behindDoc="0" locked="0" layoutInCell="1" allowOverlap="1" wp14:anchorId="30F56469" wp14:editId="48C9A724">
            <wp:simplePos x="0" y="0"/>
            <wp:positionH relativeFrom="column">
              <wp:posOffset>4110990</wp:posOffset>
            </wp:positionH>
            <wp:positionV relativeFrom="paragraph">
              <wp:posOffset>0</wp:posOffset>
            </wp:positionV>
            <wp:extent cx="810895" cy="89725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7"/>
                    <a:srcRect l="-1459" t="-1313" r="-1459" b="-1313"/>
                    <a:stretch>
                      <a:fillRect/>
                    </a:stretch>
                  </pic:blipFill>
                  <pic:spPr bwMode="auto">
                    <a:xfrm>
                      <a:off x="0" y="0"/>
                      <a:ext cx="810895" cy="897255"/>
                    </a:xfrm>
                    <a:prstGeom prst="rect">
                      <a:avLst/>
                    </a:prstGeom>
                  </pic:spPr>
                </pic:pic>
              </a:graphicData>
            </a:graphic>
          </wp:anchor>
        </w:drawing>
      </w:r>
    </w:p>
    <w:p w14:paraId="75D19DB8" w14:textId="1BC5C487" w:rsidR="003E2A0A" w:rsidRDefault="003E2A0A" w:rsidP="003026BF">
      <w:pPr>
        <w:spacing w:line="100" w:lineRule="atLeast"/>
        <w:jc w:val="center"/>
        <w:rPr>
          <w:rFonts w:ascii="Times New Roman" w:hAnsi="Times New Roman" w:cs="Times New Roman"/>
          <w:bCs/>
          <w:sz w:val="22"/>
          <w:szCs w:val="22"/>
        </w:rPr>
      </w:pPr>
    </w:p>
    <w:p w14:paraId="059C81D3" w14:textId="77777777" w:rsidR="003E2A0A" w:rsidRDefault="003E2A0A" w:rsidP="003026BF">
      <w:pPr>
        <w:jc w:val="center"/>
      </w:pPr>
    </w:p>
    <w:p w14:paraId="602D375E" w14:textId="77777777" w:rsidR="003E2A0A" w:rsidRDefault="003E2A0A" w:rsidP="003026BF">
      <w:pPr>
        <w:spacing w:line="100" w:lineRule="atLeast"/>
        <w:jc w:val="center"/>
        <w:rPr>
          <w:rFonts w:ascii="Times New Roman" w:hAnsi="Times New Roman" w:cs="Times New Roman"/>
          <w:bCs/>
          <w:sz w:val="22"/>
          <w:szCs w:val="22"/>
        </w:rPr>
      </w:pPr>
    </w:p>
    <w:p w14:paraId="1DC498E2" w14:textId="77777777" w:rsidR="003026BF" w:rsidRDefault="003026BF" w:rsidP="003026BF">
      <w:pPr>
        <w:spacing w:line="100" w:lineRule="atLeast"/>
        <w:jc w:val="center"/>
      </w:pPr>
    </w:p>
    <w:p w14:paraId="41B2086F" w14:textId="0244A041" w:rsidR="003E2A0A" w:rsidRDefault="00810F93" w:rsidP="003026BF">
      <w:pPr>
        <w:spacing w:line="100" w:lineRule="atLeast"/>
        <w:jc w:val="center"/>
      </w:pPr>
      <w:r>
        <w:br/>
      </w:r>
    </w:p>
    <w:p w14:paraId="181AA128" w14:textId="1A29E395" w:rsidR="003026BF" w:rsidRDefault="00810F93" w:rsidP="003026BF">
      <w:pPr>
        <w:spacing w:line="100" w:lineRule="atLeast"/>
        <w:jc w:val="center"/>
        <w:rPr>
          <w:rFonts w:ascii="Times New Roman" w:hAnsi="Times New Roman" w:cs="Times New Roman"/>
          <w:sz w:val="22"/>
          <w:szCs w:val="22"/>
        </w:rPr>
      </w:pPr>
      <w:r>
        <w:rPr>
          <w:rFonts w:ascii="Times New Roman" w:hAnsi="Times New Roman" w:cs="Times New Roman"/>
          <w:sz w:val="22"/>
          <w:szCs w:val="22"/>
        </w:rPr>
        <w:t>MINISTÉRIO DA DEFESA</w:t>
      </w:r>
    </w:p>
    <w:p w14:paraId="52DE658C" w14:textId="2DF0880F" w:rsidR="003E2A0A" w:rsidRDefault="003026BF" w:rsidP="003026BF">
      <w:pPr>
        <w:spacing w:line="100" w:lineRule="atLeast"/>
        <w:rPr>
          <w:rFonts w:ascii="Times New Roman" w:hAnsi="Times New Roman" w:cs="Times New Roman"/>
          <w:sz w:val="22"/>
          <w:szCs w:val="22"/>
        </w:rPr>
      </w:pPr>
      <w:r>
        <w:rPr>
          <w:rFonts w:ascii="Times New Roman" w:hAnsi="Times New Roman" w:cs="Times New Roman"/>
          <w:sz w:val="22"/>
          <w:szCs w:val="22"/>
        </w:rPr>
        <w:t xml:space="preserve">                                                                                                               </w:t>
      </w:r>
      <w:r w:rsidR="00810F93">
        <w:rPr>
          <w:rFonts w:ascii="Times New Roman" w:hAnsi="Times New Roman" w:cs="Times New Roman"/>
          <w:sz w:val="22"/>
          <w:szCs w:val="22"/>
        </w:rPr>
        <w:t>EXÉRCITO BRASILEIRO</w:t>
      </w:r>
    </w:p>
    <w:p w14:paraId="38EA9A3B" w14:textId="7B2BE2D6" w:rsidR="003E2A0A" w:rsidRDefault="00810F93" w:rsidP="003026BF">
      <w:pPr>
        <w:spacing w:line="100" w:lineRule="atLeast"/>
        <w:jc w:val="center"/>
        <w:rPr>
          <w:rFonts w:ascii="Times New Roman" w:hAnsi="Times New Roman" w:cs="Times New Roman"/>
          <w:sz w:val="22"/>
          <w:szCs w:val="22"/>
        </w:rPr>
      </w:pPr>
      <w:r>
        <w:rPr>
          <w:rFonts w:ascii="Times New Roman" w:hAnsi="Times New Roman" w:cs="Times New Roman"/>
          <w:sz w:val="22"/>
          <w:szCs w:val="22"/>
        </w:rPr>
        <w:t>CML            -            1ª RM</w:t>
      </w:r>
    </w:p>
    <w:p w14:paraId="1B2B9244" w14:textId="77777777" w:rsidR="003E2A0A" w:rsidRDefault="00810F93" w:rsidP="003026BF">
      <w:pPr>
        <w:spacing w:line="100" w:lineRule="atLeast"/>
        <w:jc w:val="center"/>
        <w:rPr>
          <w:rFonts w:ascii="Times New Roman" w:hAnsi="Times New Roman" w:cs="Times New Roman"/>
          <w:b/>
          <w:sz w:val="22"/>
          <w:szCs w:val="22"/>
          <w:u w:val="single"/>
        </w:rPr>
      </w:pPr>
      <w:r>
        <w:rPr>
          <w:rFonts w:ascii="Times New Roman" w:hAnsi="Times New Roman" w:cs="Times New Roman"/>
          <w:b/>
          <w:sz w:val="22"/>
          <w:szCs w:val="22"/>
          <w:u w:val="single"/>
        </w:rPr>
        <w:t>HOSPITAL CENTRAL DO EXÉRCITO</w:t>
      </w:r>
    </w:p>
    <w:p w14:paraId="71970375" w14:textId="77777777" w:rsidR="003E2A0A" w:rsidRDefault="00810F93" w:rsidP="003026BF">
      <w:pPr>
        <w:spacing w:line="100" w:lineRule="atLeast"/>
        <w:jc w:val="center"/>
        <w:rPr>
          <w:rFonts w:ascii="Times New Roman" w:hAnsi="Times New Roman" w:cs="Times New Roman"/>
          <w:b/>
          <w:sz w:val="22"/>
          <w:szCs w:val="22"/>
        </w:rPr>
      </w:pPr>
      <w:r>
        <w:rPr>
          <w:rFonts w:ascii="Times New Roman" w:hAnsi="Times New Roman" w:cs="Times New Roman"/>
          <w:b/>
          <w:sz w:val="22"/>
          <w:szCs w:val="22"/>
        </w:rPr>
        <w:t>(HOSPITAL REAL MILITAR E ULTRAMAR - 1769)</w:t>
      </w:r>
    </w:p>
    <w:p w14:paraId="496C87A7" w14:textId="6411C4E3" w:rsidR="003E2A0A" w:rsidRDefault="00810F93" w:rsidP="003026BF">
      <w:pPr>
        <w:pStyle w:val="Ttulo1"/>
        <w:spacing w:line="100" w:lineRule="atLeast"/>
        <w:jc w:val="center"/>
        <w:rPr>
          <w:rFonts w:ascii="Times New Roman" w:hAnsi="Times New Roman"/>
          <w:b/>
          <w:color w:val="000000"/>
          <w:sz w:val="22"/>
          <w:szCs w:val="22"/>
        </w:rPr>
      </w:pPr>
      <w:r>
        <w:rPr>
          <w:rFonts w:ascii="Times New Roman" w:hAnsi="Times New Roman"/>
          <w:b/>
          <w:color w:val="000000"/>
          <w:sz w:val="22"/>
          <w:szCs w:val="22"/>
        </w:rPr>
        <w:t>TERMO DE REFERÊNCIA Nº 6</w:t>
      </w:r>
      <w:r w:rsidR="00636110">
        <w:rPr>
          <w:rFonts w:ascii="Times New Roman" w:hAnsi="Times New Roman"/>
          <w:b/>
          <w:color w:val="000000"/>
          <w:sz w:val="22"/>
          <w:szCs w:val="22"/>
        </w:rPr>
        <w:t>3</w:t>
      </w:r>
      <w:r>
        <w:rPr>
          <w:rFonts w:ascii="Times New Roman" w:hAnsi="Times New Roman"/>
          <w:b/>
          <w:color w:val="000000"/>
          <w:sz w:val="22"/>
          <w:szCs w:val="22"/>
        </w:rPr>
        <w:t>/2023 – HCE</w:t>
      </w:r>
    </w:p>
    <w:p w14:paraId="639CFE16" w14:textId="77777777" w:rsidR="003E2A0A" w:rsidRDefault="003E2A0A">
      <w:pPr>
        <w:pStyle w:val="Corpodetexto"/>
        <w:spacing w:after="0"/>
        <w:rPr>
          <w:rFonts w:ascii="Times New Roman" w:hAnsi="Times New Roman" w:cs="Times New Roman"/>
          <w:b/>
          <w:sz w:val="22"/>
          <w:szCs w:val="22"/>
        </w:rPr>
      </w:pPr>
    </w:p>
    <w:p w14:paraId="18CC8BD4" w14:textId="77777777" w:rsidR="003E2A0A" w:rsidRDefault="00810F93">
      <w:pPr>
        <w:numPr>
          <w:ilvl w:val="0"/>
          <w:numId w:val="4"/>
        </w:numPr>
        <w:spacing w:after="120"/>
        <w:ind w:left="0" w:right="-15" w:firstLine="0"/>
        <w:jc w:val="both"/>
        <w:rPr>
          <w:rFonts w:ascii="Times New Roman" w:hAnsi="Times New Roman" w:cs="Times New Roman"/>
          <w:b/>
          <w:sz w:val="22"/>
          <w:szCs w:val="22"/>
        </w:rPr>
      </w:pPr>
      <w:r>
        <w:rPr>
          <w:rFonts w:ascii="Times New Roman" w:hAnsi="Times New Roman" w:cs="Times New Roman"/>
          <w:b/>
          <w:sz w:val="22"/>
          <w:szCs w:val="22"/>
        </w:rPr>
        <w:t>DO OBJETO</w:t>
      </w:r>
    </w:p>
    <w:p w14:paraId="7A1D04D3" w14:textId="4FBB6292" w:rsidR="003E2A0A" w:rsidRDefault="00810F93">
      <w:pPr>
        <w:numPr>
          <w:ilvl w:val="1"/>
          <w:numId w:val="4"/>
        </w:numPr>
        <w:spacing w:after="120"/>
        <w:ind w:left="0" w:right="-15" w:firstLine="0"/>
        <w:jc w:val="both"/>
      </w:pPr>
      <w:r>
        <w:rPr>
          <w:rFonts w:ascii="Times New Roman" w:hAnsi="Times New Roman" w:cs="Times New Roman"/>
          <w:sz w:val="22"/>
          <w:szCs w:val="22"/>
        </w:rPr>
        <w:t xml:space="preserve">Aquisição de material </w:t>
      </w:r>
      <w:r w:rsidR="00636110">
        <w:rPr>
          <w:rFonts w:ascii="Times New Roman" w:hAnsi="Times New Roman" w:cs="Times New Roman"/>
          <w:sz w:val="22"/>
          <w:szCs w:val="22"/>
        </w:rPr>
        <w:t>de consumo</w:t>
      </w:r>
      <w:r>
        <w:rPr>
          <w:rFonts w:ascii="Times New Roman" w:hAnsi="Times New Roman" w:cs="Times New Roman"/>
          <w:sz w:val="22"/>
          <w:szCs w:val="22"/>
        </w:rPr>
        <w:t xml:space="preserve"> para a Nutrição do HCE, conforme condições, quantidades, exigências e estimativas, estabelecidas neste instrumento.</w:t>
      </w:r>
    </w:p>
    <w:p w14:paraId="464F176D" w14:textId="77777777" w:rsidR="003E2A0A" w:rsidRDefault="003E2A0A">
      <w:pPr>
        <w:numPr>
          <w:ilvl w:val="1"/>
          <w:numId w:val="4"/>
        </w:numPr>
        <w:spacing w:after="120"/>
        <w:ind w:left="0" w:right="-15" w:firstLine="0"/>
        <w:jc w:val="both"/>
        <w:rPr>
          <w:rFonts w:ascii="Times New Roman" w:hAnsi="Times New Roman" w:cs="Times New Roman"/>
          <w:sz w:val="22"/>
          <w:szCs w:val="22"/>
        </w:rPr>
      </w:pPr>
    </w:p>
    <w:tbl>
      <w:tblPr>
        <w:tblW w:w="13476" w:type="dxa"/>
        <w:tblInd w:w="28" w:type="dxa"/>
        <w:tblCellMar>
          <w:top w:w="28" w:type="dxa"/>
          <w:left w:w="28" w:type="dxa"/>
          <w:bottom w:w="28" w:type="dxa"/>
          <w:right w:w="28" w:type="dxa"/>
        </w:tblCellMar>
        <w:tblLook w:val="0000" w:firstRow="0" w:lastRow="0" w:firstColumn="0" w:lastColumn="0" w:noHBand="0" w:noVBand="0"/>
      </w:tblPr>
      <w:tblGrid>
        <w:gridCol w:w="701"/>
        <w:gridCol w:w="5819"/>
        <w:gridCol w:w="1304"/>
        <w:gridCol w:w="675"/>
        <w:gridCol w:w="659"/>
        <w:gridCol w:w="1157"/>
        <w:gridCol w:w="1527"/>
        <w:gridCol w:w="1634"/>
      </w:tblGrid>
      <w:tr w:rsidR="003E2A0A" w14:paraId="37F82A7B" w14:textId="77777777" w:rsidTr="00636110">
        <w:trPr>
          <w:trHeight w:val="836"/>
          <w:tblHeader/>
        </w:trPr>
        <w:tc>
          <w:tcPr>
            <w:tcW w:w="701"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3428557" w14:textId="77777777" w:rsidR="003E2A0A" w:rsidRDefault="00810F93">
            <w:pPr>
              <w:pStyle w:val="Contedodatabela"/>
              <w:jc w:val="center"/>
              <w:rPr>
                <w:rFonts w:ascii="Times New Roman" w:hAnsi="Times New Roman"/>
                <w:b/>
                <w:sz w:val="14"/>
              </w:rPr>
            </w:pPr>
            <w:r>
              <w:rPr>
                <w:rFonts w:ascii="Times New Roman" w:hAnsi="Times New Roman"/>
                <w:b/>
                <w:sz w:val="14"/>
              </w:rPr>
              <w:t>ITEM</w:t>
            </w:r>
          </w:p>
        </w:tc>
        <w:tc>
          <w:tcPr>
            <w:tcW w:w="5819"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0A024528" w14:textId="77777777" w:rsidR="003E2A0A" w:rsidRDefault="00810F93">
            <w:pPr>
              <w:pStyle w:val="Contedodatabela"/>
              <w:jc w:val="center"/>
              <w:rPr>
                <w:rFonts w:ascii="Times New Roman" w:hAnsi="Times New Roman"/>
                <w:b/>
                <w:sz w:val="14"/>
              </w:rPr>
            </w:pPr>
            <w:r>
              <w:rPr>
                <w:rFonts w:ascii="Times New Roman" w:hAnsi="Times New Roman"/>
                <w:b/>
                <w:sz w:val="14"/>
              </w:rPr>
              <w:t>DESCRIÇÃO DO MATERIAL</w:t>
            </w:r>
          </w:p>
        </w:tc>
        <w:tc>
          <w:tcPr>
            <w:tcW w:w="1304"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1423CE40" w14:textId="77777777" w:rsidR="003E2A0A" w:rsidRDefault="00810F93">
            <w:pPr>
              <w:pStyle w:val="Contedodatabela"/>
              <w:jc w:val="center"/>
              <w:rPr>
                <w:rFonts w:ascii="Times New Roman" w:hAnsi="Times New Roman"/>
                <w:b/>
                <w:sz w:val="14"/>
              </w:rPr>
            </w:pPr>
            <w:r>
              <w:rPr>
                <w:rFonts w:ascii="Times New Roman" w:hAnsi="Times New Roman"/>
                <w:b/>
                <w:sz w:val="14"/>
              </w:rPr>
              <w:t>CATMAT</w:t>
            </w:r>
          </w:p>
        </w:tc>
        <w:tc>
          <w:tcPr>
            <w:tcW w:w="675"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CAC2200" w14:textId="77777777" w:rsidR="003E2A0A" w:rsidRDefault="00810F93">
            <w:pPr>
              <w:pStyle w:val="Contedodatabela"/>
              <w:jc w:val="center"/>
              <w:rPr>
                <w:rFonts w:ascii="Times New Roman" w:hAnsi="Times New Roman"/>
                <w:b/>
                <w:sz w:val="14"/>
              </w:rPr>
            </w:pPr>
            <w:r>
              <w:rPr>
                <w:rFonts w:ascii="Times New Roman" w:hAnsi="Times New Roman"/>
                <w:b/>
                <w:sz w:val="14"/>
              </w:rPr>
              <w:t>APRES</w:t>
            </w:r>
          </w:p>
        </w:tc>
        <w:tc>
          <w:tcPr>
            <w:tcW w:w="659"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2A12F0B" w14:textId="77777777" w:rsidR="003E2A0A" w:rsidRDefault="00810F93">
            <w:pPr>
              <w:pStyle w:val="Contedodatabela"/>
              <w:jc w:val="center"/>
              <w:rPr>
                <w:rFonts w:ascii="Times New Roman" w:hAnsi="Times New Roman"/>
                <w:b/>
                <w:sz w:val="14"/>
              </w:rPr>
            </w:pPr>
            <w:r>
              <w:rPr>
                <w:rFonts w:ascii="Times New Roman" w:hAnsi="Times New Roman"/>
                <w:b/>
                <w:sz w:val="14"/>
              </w:rPr>
              <w:t>QTD</w:t>
            </w:r>
          </w:p>
        </w:tc>
        <w:tc>
          <w:tcPr>
            <w:tcW w:w="1157"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C96990D" w14:textId="77777777" w:rsidR="003E2A0A" w:rsidRDefault="00810F93">
            <w:pPr>
              <w:pStyle w:val="Contedodatabela"/>
              <w:jc w:val="center"/>
              <w:rPr>
                <w:rFonts w:ascii="Times New Roman" w:hAnsi="Times New Roman"/>
                <w:b/>
                <w:sz w:val="14"/>
              </w:rPr>
            </w:pPr>
            <w:r>
              <w:rPr>
                <w:rFonts w:ascii="Times New Roman" w:hAnsi="Times New Roman"/>
                <w:b/>
                <w:sz w:val="14"/>
              </w:rPr>
              <w:t>VALOR TOTAL UNITÁRIO</w:t>
            </w:r>
          </w:p>
        </w:tc>
        <w:tc>
          <w:tcPr>
            <w:tcW w:w="1527"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687A82AE" w14:textId="77777777" w:rsidR="003E2A0A" w:rsidRDefault="00810F93">
            <w:pPr>
              <w:pStyle w:val="Contedodatabela"/>
              <w:jc w:val="center"/>
              <w:rPr>
                <w:rFonts w:ascii="Times New Roman" w:hAnsi="Times New Roman"/>
                <w:b/>
                <w:sz w:val="14"/>
              </w:rPr>
            </w:pPr>
            <w:r>
              <w:rPr>
                <w:rFonts w:ascii="Times New Roman" w:hAnsi="Times New Roman"/>
                <w:b/>
                <w:sz w:val="14"/>
              </w:rPr>
              <w:t>VALOR TOTAL</w:t>
            </w:r>
          </w:p>
        </w:tc>
        <w:tc>
          <w:tcPr>
            <w:tcW w:w="1634"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EF429E6" w14:textId="77777777" w:rsidR="003E2A0A" w:rsidRDefault="00810F93">
            <w:pPr>
              <w:pStyle w:val="Contedodatabela"/>
              <w:jc w:val="center"/>
              <w:rPr>
                <w:rFonts w:ascii="Times New Roman" w:hAnsi="Times New Roman"/>
                <w:b/>
                <w:sz w:val="14"/>
              </w:rPr>
            </w:pPr>
            <w:r>
              <w:rPr>
                <w:rFonts w:ascii="Times New Roman" w:hAnsi="Times New Roman"/>
                <w:b/>
                <w:sz w:val="14"/>
              </w:rPr>
              <w:t>PARTICIPAÇÕES EXCLUSIVAS DE MICROEMPRESAS E EPP</w:t>
            </w:r>
          </w:p>
        </w:tc>
      </w:tr>
      <w:tr w:rsidR="00B461E2" w14:paraId="3C2FDC67" w14:textId="77777777" w:rsidTr="001B40B1">
        <w:trPr>
          <w:trHeight w:val="686"/>
        </w:trPr>
        <w:tc>
          <w:tcPr>
            <w:tcW w:w="70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68286ED" w14:textId="77777777" w:rsidR="00B461E2" w:rsidRDefault="00B461E2" w:rsidP="00B461E2">
            <w:pPr>
              <w:pStyle w:val="Contedodatabela"/>
              <w:jc w:val="center"/>
              <w:rPr>
                <w:rFonts w:ascii="Times New Roman" w:hAnsi="Times New Roman"/>
                <w:sz w:val="14"/>
              </w:rPr>
            </w:pPr>
            <w:r>
              <w:rPr>
                <w:rFonts w:ascii="Times New Roman" w:hAnsi="Times New Roman"/>
                <w:sz w:val="14"/>
              </w:rPr>
              <w:t>1</w:t>
            </w:r>
          </w:p>
        </w:tc>
        <w:tc>
          <w:tcPr>
            <w:tcW w:w="5819" w:type="dxa"/>
            <w:tcBorders>
              <w:top w:val="single" w:sz="4" w:space="0" w:color="auto"/>
              <w:left w:val="single" w:sz="4" w:space="0" w:color="auto"/>
              <w:bottom w:val="single" w:sz="4" w:space="0" w:color="auto"/>
              <w:right w:val="single" w:sz="4" w:space="0" w:color="auto"/>
            </w:tcBorders>
            <w:shd w:val="clear" w:color="FFFFCC" w:fill="FFFFFF"/>
          </w:tcPr>
          <w:p w14:paraId="1C703F1E" w14:textId="77777777" w:rsidR="00B461E2" w:rsidRDefault="00B461E2" w:rsidP="00B461E2">
            <w:pPr>
              <w:suppressAutoHyphens w:val="0"/>
              <w:jc w:val="center"/>
              <w:rPr>
                <w:rFonts w:ascii="Times New Roman" w:eastAsia="Times New Roman" w:hAnsi="Times New Roman" w:cs="Times New Roman"/>
                <w:color w:val="333333"/>
                <w:sz w:val="20"/>
                <w:szCs w:val="20"/>
                <w:lang w:eastAsia="pt-BR" w:bidi="ar-SA"/>
              </w:rPr>
            </w:pPr>
            <w:r>
              <w:rPr>
                <w:rFonts w:ascii="Times New Roman" w:eastAsia="Times New Roman" w:hAnsi="Times New Roman" w:cs="Times New Roman"/>
                <w:color w:val="333333"/>
                <w:sz w:val="20"/>
                <w:szCs w:val="20"/>
                <w:lang w:eastAsia="pt-BR" w:bidi="ar-SA"/>
              </w:rPr>
              <w:t xml:space="preserve">Reagente Para Diagnostico </w:t>
            </w:r>
            <w:proofErr w:type="gramStart"/>
            <w:r>
              <w:rPr>
                <w:rFonts w:ascii="Times New Roman" w:eastAsia="Times New Roman" w:hAnsi="Times New Roman" w:cs="Times New Roman"/>
                <w:color w:val="333333"/>
                <w:sz w:val="20"/>
                <w:szCs w:val="20"/>
                <w:lang w:eastAsia="pt-BR" w:bidi="ar-SA"/>
              </w:rPr>
              <w:t>Clinico</w:t>
            </w:r>
            <w:proofErr w:type="gramEnd"/>
            <w:r>
              <w:rPr>
                <w:rFonts w:ascii="Times New Roman" w:eastAsia="Times New Roman" w:hAnsi="Times New Roman" w:cs="Times New Roman"/>
                <w:color w:val="333333"/>
                <w:sz w:val="20"/>
                <w:szCs w:val="20"/>
                <w:lang w:eastAsia="pt-BR" w:bidi="ar-SA"/>
              </w:rPr>
              <w:t xml:space="preserve"> 5 </w:t>
            </w:r>
            <w:proofErr w:type="spellStart"/>
            <w:r>
              <w:rPr>
                <w:rFonts w:ascii="Times New Roman" w:eastAsia="Times New Roman" w:hAnsi="Times New Roman" w:cs="Times New Roman"/>
                <w:color w:val="333333"/>
                <w:sz w:val="20"/>
                <w:szCs w:val="20"/>
                <w:lang w:eastAsia="pt-BR" w:bidi="ar-SA"/>
              </w:rPr>
              <w:t>tipo:Conjunto</w:t>
            </w:r>
            <w:proofErr w:type="spellEnd"/>
            <w:r>
              <w:rPr>
                <w:rFonts w:ascii="Times New Roman" w:eastAsia="Times New Roman" w:hAnsi="Times New Roman" w:cs="Times New Roman"/>
                <w:color w:val="333333"/>
                <w:sz w:val="20"/>
                <w:szCs w:val="20"/>
                <w:lang w:eastAsia="pt-BR" w:bidi="ar-SA"/>
              </w:rPr>
              <w:t xml:space="preserve"> completo para automação tipo de </w:t>
            </w:r>
            <w:proofErr w:type="spellStart"/>
            <w:r>
              <w:rPr>
                <w:rFonts w:ascii="Times New Roman" w:eastAsia="Times New Roman" w:hAnsi="Times New Roman" w:cs="Times New Roman"/>
                <w:color w:val="333333"/>
                <w:sz w:val="20"/>
                <w:szCs w:val="20"/>
                <w:lang w:eastAsia="pt-BR" w:bidi="ar-SA"/>
              </w:rPr>
              <w:t>análise:quantitativo</w:t>
            </w:r>
            <w:proofErr w:type="spellEnd"/>
            <w:r>
              <w:rPr>
                <w:rFonts w:ascii="Times New Roman" w:eastAsia="Times New Roman" w:hAnsi="Times New Roman" w:cs="Times New Roman"/>
                <w:color w:val="333333"/>
                <w:sz w:val="20"/>
                <w:szCs w:val="20"/>
                <w:lang w:eastAsia="pt-BR" w:bidi="ar-SA"/>
              </w:rPr>
              <w:t xml:space="preserve"> de interleucina 6 método </w:t>
            </w:r>
            <w:proofErr w:type="spellStart"/>
            <w:r>
              <w:rPr>
                <w:rFonts w:ascii="Times New Roman" w:eastAsia="Times New Roman" w:hAnsi="Times New Roman" w:cs="Times New Roman"/>
                <w:color w:val="333333"/>
                <w:sz w:val="20"/>
                <w:szCs w:val="20"/>
                <w:lang w:eastAsia="pt-BR" w:bidi="ar-SA"/>
              </w:rPr>
              <w:t>Quimioluminescência</w:t>
            </w:r>
            <w:proofErr w:type="spellEnd"/>
            <w:r>
              <w:rPr>
                <w:rFonts w:ascii="Times New Roman" w:eastAsia="Times New Roman" w:hAnsi="Times New Roman" w:cs="Times New Roman"/>
                <w:color w:val="333333"/>
                <w:sz w:val="20"/>
                <w:szCs w:val="20"/>
                <w:lang w:eastAsia="pt-BR" w:bidi="ar-SA"/>
              </w:rPr>
              <w:t xml:space="preserve"> </w:t>
            </w:r>
            <w:proofErr w:type="spellStart"/>
            <w:r>
              <w:rPr>
                <w:rFonts w:ascii="Times New Roman" w:eastAsia="Times New Roman" w:hAnsi="Times New Roman" w:cs="Times New Roman"/>
                <w:color w:val="333333"/>
                <w:sz w:val="20"/>
                <w:szCs w:val="20"/>
                <w:lang w:eastAsia="pt-BR" w:bidi="ar-SA"/>
              </w:rPr>
              <w:t>Apresentação:Teste</w:t>
            </w:r>
            <w:proofErr w:type="spellEnd"/>
            <w:r>
              <w:rPr>
                <w:rFonts w:ascii="Times New Roman" w:eastAsia="Times New Roman" w:hAnsi="Times New Roman" w:cs="Times New Roman"/>
                <w:color w:val="333333"/>
                <w:sz w:val="20"/>
                <w:szCs w:val="20"/>
                <w:lang w:eastAsia="pt-BR" w:bidi="ar-SA"/>
              </w:rPr>
              <w:t xml:space="preserve"> </w:t>
            </w:r>
          </w:p>
          <w:p w14:paraId="187F0E90" w14:textId="27D48075" w:rsidR="00E16040" w:rsidRPr="00E16040" w:rsidRDefault="00E16040" w:rsidP="00B461E2">
            <w:pPr>
              <w:suppressAutoHyphens w:val="0"/>
              <w:jc w:val="center"/>
              <w:rPr>
                <w:rFonts w:ascii="Times New Roman" w:hAnsi="Times New Roman" w:cs="Times New Roman"/>
                <w:bCs/>
                <w:sz w:val="16"/>
                <w:szCs w:val="16"/>
              </w:rPr>
            </w:pPr>
            <w:r>
              <w:rPr>
                <w:rFonts w:ascii="Times New Roman" w:hAnsi="Times New Roman" w:cs="Times New Roman"/>
                <w:b/>
                <w:sz w:val="16"/>
                <w:szCs w:val="16"/>
              </w:rPr>
              <w:t>DESCRIÇÃO COMPLEMENTAR: kit completo de ELISA para avaliação de interleucina 6 (IL6) – Placa 96</w:t>
            </w:r>
          </w:p>
        </w:tc>
        <w:tc>
          <w:tcPr>
            <w:tcW w:w="1304" w:type="dxa"/>
            <w:tcBorders>
              <w:top w:val="single" w:sz="4" w:space="0" w:color="auto"/>
              <w:left w:val="nil"/>
              <w:bottom w:val="single" w:sz="4" w:space="0" w:color="auto"/>
              <w:right w:val="single" w:sz="4" w:space="0" w:color="auto"/>
            </w:tcBorders>
            <w:shd w:val="clear" w:color="FFFFCC" w:fill="FFFFFF"/>
            <w:vAlign w:val="center"/>
          </w:tcPr>
          <w:p w14:paraId="5D5E6355" w14:textId="5DE9CEA9"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333555</w:t>
            </w:r>
          </w:p>
        </w:tc>
        <w:tc>
          <w:tcPr>
            <w:tcW w:w="675" w:type="dxa"/>
            <w:tcBorders>
              <w:top w:val="single" w:sz="4" w:space="0" w:color="auto"/>
              <w:left w:val="nil"/>
              <w:bottom w:val="single" w:sz="4" w:space="0" w:color="auto"/>
              <w:right w:val="single" w:sz="4" w:space="0" w:color="auto"/>
            </w:tcBorders>
            <w:shd w:val="clear" w:color="auto" w:fill="auto"/>
            <w:vAlign w:val="center"/>
          </w:tcPr>
          <w:p w14:paraId="0915967D" w14:textId="6DAA0208"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Unidade</w:t>
            </w:r>
          </w:p>
        </w:tc>
        <w:tc>
          <w:tcPr>
            <w:tcW w:w="659" w:type="dxa"/>
            <w:tcBorders>
              <w:top w:val="single" w:sz="4" w:space="0" w:color="auto"/>
              <w:left w:val="nil"/>
              <w:bottom w:val="single" w:sz="4" w:space="0" w:color="auto"/>
              <w:right w:val="single" w:sz="4" w:space="0" w:color="auto"/>
            </w:tcBorders>
            <w:shd w:val="clear" w:color="auto" w:fill="auto"/>
            <w:vAlign w:val="center"/>
          </w:tcPr>
          <w:p w14:paraId="1C3AEE63" w14:textId="73843D20" w:rsidR="00B461E2" w:rsidRPr="00636110" w:rsidRDefault="00467807" w:rsidP="00B461E2">
            <w:pPr>
              <w:pStyle w:val="Contedodatabela"/>
              <w:jc w:val="center"/>
              <w:rPr>
                <w:rFonts w:ascii="Times New Roman" w:hAnsi="Times New Roman" w:cs="Times New Roman"/>
                <w:sz w:val="16"/>
                <w:szCs w:val="16"/>
              </w:rPr>
            </w:pPr>
            <w:r>
              <w:rPr>
                <w:rFonts w:ascii="Times New Roman" w:hAnsi="Times New Roman" w:cs="Times New Roman"/>
                <w:sz w:val="16"/>
                <w:szCs w:val="16"/>
              </w:rPr>
              <w:t>384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BD80F8D" w14:textId="34C19D70"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41,85</w:t>
            </w:r>
          </w:p>
        </w:tc>
        <w:tc>
          <w:tcPr>
            <w:tcW w:w="1527" w:type="dxa"/>
            <w:tcBorders>
              <w:top w:val="single" w:sz="4" w:space="0" w:color="auto"/>
              <w:left w:val="nil"/>
              <w:bottom w:val="single" w:sz="4" w:space="0" w:color="auto"/>
              <w:right w:val="single" w:sz="4" w:space="0" w:color="auto"/>
            </w:tcBorders>
            <w:shd w:val="clear" w:color="auto" w:fill="auto"/>
            <w:vAlign w:val="center"/>
          </w:tcPr>
          <w:p w14:paraId="0D98FD7E" w14:textId="77777777" w:rsidR="00201750" w:rsidRDefault="00201750" w:rsidP="00201750">
            <w:pPr>
              <w:widowControl/>
              <w:suppressAutoHyphens w:val="0"/>
              <w:jc w:val="center"/>
              <w:rPr>
                <w:rFonts w:ascii="Times New Roman" w:eastAsia="Times New Roman" w:hAnsi="Times New Roman" w:cs="Times New Roman"/>
                <w:sz w:val="18"/>
                <w:szCs w:val="18"/>
                <w:lang w:eastAsia="pt-BR" w:bidi="ar-SA"/>
              </w:rPr>
            </w:pPr>
            <w:r>
              <w:rPr>
                <w:sz w:val="18"/>
                <w:szCs w:val="18"/>
              </w:rPr>
              <w:t>16.070,40</w:t>
            </w:r>
          </w:p>
          <w:p w14:paraId="4AD967EB" w14:textId="3AA0A8E3" w:rsidR="00B461E2" w:rsidRPr="00636110" w:rsidRDefault="00B461E2" w:rsidP="00B461E2">
            <w:pPr>
              <w:jc w:val="center"/>
              <w:rPr>
                <w:rFonts w:ascii="Times New Roman" w:hAnsi="Times New Roman" w:cs="Times New Roman"/>
                <w:sz w:val="16"/>
                <w:szCs w:val="16"/>
              </w:rPr>
            </w:pPr>
          </w:p>
        </w:tc>
        <w:tc>
          <w:tcPr>
            <w:tcW w:w="16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747818" w14:textId="77777777"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SIM</w:t>
            </w:r>
          </w:p>
        </w:tc>
      </w:tr>
      <w:tr w:rsidR="00B461E2" w14:paraId="5CBF193A" w14:textId="77777777" w:rsidTr="001B40B1">
        <w:trPr>
          <w:trHeight w:val="686"/>
        </w:trPr>
        <w:tc>
          <w:tcPr>
            <w:tcW w:w="70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ECBA266" w14:textId="6C3D41CA" w:rsidR="00B461E2" w:rsidRDefault="00B461E2" w:rsidP="00B461E2">
            <w:pPr>
              <w:pStyle w:val="Contedodatabela"/>
              <w:jc w:val="center"/>
              <w:rPr>
                <w:rFonts w:ascii="Times New Roman" w:hAnsi="Times New Roman"/>
                <w:sz w:val="14"/>
              </w:rPr>
            </w:pPr>
            <w:r>
              <w:rPr>
                <w:rFonts w:ascii="Times New Roman" w:hAnsi="Times New Roman"/>
                <w:sz w:val="14"/>
              </w:rPr>
              <w:t>2</w:t>
            </w:r>
          </w:p>
        </w:tc>
        <w:tc>
          <w:tcPr>
            <w:tcW w:w="5819" w:type="dxa"/>
            <w:tcBorders>
              <w:top w:val="single" w:sz="4" w:space="0" w:color="auto"/>
              <w:left w:val="single" w:sz="4" w:space="0" w:color="auto"/>
              <w:bottom w:val="single" w:sz="4" w:space="0" w:color="auto"/>
              <w:right w:val="single" w:sz="4" w:space="0" w:color="auto"/>
            </w:tcBorders>
            <w:shd w:val="clear" w:color="FFFFCC" w:fill="FFFFFF"/>
          </w:tcPr>
          <w:p w14:paraId="22137D8D" w14:textId="77777777" w:rsidR="00B461E2" w:rsidRDefault="00B461E2" w:rsidP="00B461E2">
            <w:pPr>
              <w:suppressAutoHyphens w:val="0"/>
              <w:jc w:val="center"/>
              <w:rPr>
                <w:rFonts w:ascii="Times New Roman" w:eastAsia="Times New Roman" w:hAnsi="Times New Roman" w:cs="Times New Roman"/>
                <w:color w:val="333333"/>
                <w:sz w:val="20"/>
                <w:szCs w:val="20"/>
                <w:lang w:eastAsia="pt-BR" w:bidi="ar-SA"/>
              </w:rPr>
            </w:pPr>
            <w:r>
              <w:rPr>
                <w:rFonts w:ascii="Times New Roman" w:eastAsia="Times New Roman" w:hAnsi="Times New Roman" w:cs="Times New Roman"/>
                <w:color w:val="333333"/>
                <w:sz w:val="20"/>
                <w:szCs w:val="20"/>
                <w:lang w:eastAsia="pt-BR" w:bidi="ar-SA"/>
              </w:rPr>
              <w:t xml:space="preserve">Reagente Para Diagnostico </w:t>
            </w:r>
            <w:proofErr w:type="gramStart"/>
            <w:r>
              <w:rPr>
                <w:rFonts w:ascii="Times New Roman" w:eastAsia="Times New Roman" w:hAnsi="Times New Roman" w:cs="Times New Roman"/>
                <w:color w:val="333333"/>
                <w:sz w:val="20"/>
                <w:szCs w:val="20"/>
                <w:lang w:eastAsia="pt-BR" w:bidi="ar-SA"/>
              </w:rPr>
              <w:t>Clinico</w:t>
            </w:r>
            <w:proofErr w:type="gramEnd"/>
            <w:r>
              <w:rPr>
                <w:rFonts w:ascii="Times New Roman" w:eastAsia="Times New Roman" w:hAnsi="Times New Roman" w:cs="Times New Roman"/>
                <w:color w:val="333333"/>
                <w:sz w:val="20"/>
                <w:szCs w:val="20"/>
                <w:lang w:eastAsia="pt-BR" w:bidi="ar-SA"/>
              </w:rPr>
              <w:t xml:space="preserve"> 5 </w:t>
            </w:r>
            <w:proofErr w:type="spellStart"/>
            <w:r>
              <w:rPr>
                <w:rFonts w:ascii="Times New Roman" w:eastAsia="Times New Roman" w:hAnsi="Times New Roman" w:cs="Times New Roman"/>
                <w:color w:val="333333"/>
                <w:sz w:val="20"/>
                <w:szCs w:val="20"/>
                <w:lang w:eastAsia="pt-BR" w:bidi="ar-SA"/>
              </w:rPr>
              <w:t>tipo:Conjunto</w:t>
            </w:r>
            <w:proofErr w:type="spellEnd"/>
            <w:r>
              <w:rPr>
                <w:rFonts w:ascii="Times New Roman" w:eastAsia="Times New Roman" w:hAnsi="Times New Roman" w:cs="Times New Roman"/>
                <w:color w:val="333333"/>
                <w:sz w:val="20"/>
                <w:szCs w:val="20"/>
                <w:lang w:eastAsia="pt-BR" w:bidi="ar-SA"/>
              </w:rPr>
              <w:t xml:space="preserve"> completo para automação tipo de </w:t>
            </w:r>
            <w:proofErr w:type="spellStart"/>
            <w:r>
              <w:rPr>
                <w:rFonts w:ascii="Times New Roman" w:eastAsia="Times New Roman" w:hAnsi="Times New Roman" w:cs="Times New Roman"/>
                <w:color w:val="333333"/>
                <w:sz w:val="20"/>
                <w:szCs w:val="20"/>
                <w:lang w:eastAsia="pt-BR" w:bidi="ar-SA"/>
              </w:rPr>
              <w:t>análise:quantitativo</w:t>
            </w:r>
            <w:proofErr w:type="spellEnd"/>
            <w:r>
              <w:rPr>
                <w:rFonts w:ascii="Times New Roman" w:eastAsia="Times New Roman" w:hAnsi="Times New Roman" w:cs="Times New Roman"/>
                <w:color w:val="333333"/>
                <w:sz w:val="20"/>
                <w:szCs w:val="20"/>
                <w:lang w:eastAsia="pt-BR" w:bidi="ar-SA"/>
              </w:rPr>
              <w:t xml:space="preserve"> de interleucina 6 método </w:t>
            </w:r>
            <w:proofErr w:type="spellStart"/>
            <w:r>
              <w:rPr>
                <w:rFonts w:ascii="Times New Roman" w:eastAsia="Times New Roman" w:hAnsi="Times New Roman" w:cs="Times New Roman"/>
                <w:color w:val="333333"/>
                <w:sz w:val="20"/>
                <w:szCs w:val="20"/>
                <w:lang w:eastAsia="pt-BR" w:bidi="ar-SA"/>
              </w:rPr>
              <w:t>Quimioluminescência</w:t>
            </w:r>
            <w:proofErr w:type="spellEnd"/>
            <w:r>
              <w:rPr>
                <w:rFonts w:ascii="Times New Roman" w:eastAsia="Times New Roman" w:hAnsi="Times New Roman" w:cs="Times New Roman"/>
                <w:color w:val="333333"/>
                <w:sz w:val="20"/>
                <w:szCs w:val="20"/>
                <w:lang w:eastAsia="pt-BR" w:bidi="ar-SA"/>
              </w:rPr>
              <w:t xml:space="preserve"> </w:t>
            </w:r>
            <w:proofErr w:type="spellStart"/>
            <w:r>
              <w:rPr>
                <w:rFonts w:ascii="Times New Roman" w:eastAsia="Times New Roman" w:hAnsi="Times New Roman" w:cs="Times New Roman"/>
                <w:color w:val="333333"/>
                <w:sz w:val="20"/>
                <w:szCs w:val="20"/>
                <w:lang w:eastAsia="pt-BR" w:bidi="ar-SA"/>
              </w:rPr>
              <w:t>Apresentação:Teste</w:t>
            </w:r>
            <w:proofErr w:type="spellEnd"/>
            <w:r>
              <w:rPr>
                <w:rFonts w:ascii="Times New Roman" w:eastAsia="Times New Roman" w:hAnsi="Times New Roman" w:cs="Times New Roman"/>
                <w:color w:val="333333"/>
                <w:sz w:val="20"/>
                <w:szCs w:val="20"/>
                <w:lang w:eastAsia="pt-BR" w:bidi="ar-SA"/>
              </w:rPr>
              <w:t xml:space="preserve"> </w:t>
            </w:r>
          </w:p>
          <w:p w14:paraId="6522316B" w14:textId="75EDC494" w:rsidR="00E16040" w:rsidRPr="00636110" w:rsidRDefault="00E16040" w:rsidP="00B461E2">
            <w:pPr>
              <w:suppressAutoHyphens w:val="0"/>
              <w:jc w:val="center"/>
              <w:rPr>
                <w:rFonts w:ascii="Times New Roman" w:hAnsi="Times New Roman" w:cs="Times New Roman"/>
                <w:sz w:val="16"/>
                <w:szCs w:val="16"/>
              </w:rPr>
            </w:pPr>
            <w:r w:rsidRPr="00E16040">
              <w:rPr>
                <w:rFonts w:ascii="Times New Roman" w:hAnsi="Times New Roman" w:cs="Times New Roman"/>
                <w:b/>
                <w:bCs/>
                <w:sz w:val="16"/>
                <w:szCs w:val="16"/>
              </w:rPr>
              <w:t>DESCRIÇÃO COMPLEMENTAR</w:t>
            </w:r>
            <w:proofErr w:type="gramStart"/>
            <w:r>
              <w:rPr>
                <w:rFonts w:ascii="Times New Roman" w:hAnsi="Times New Roman" w:cs="Times New Roman"/>
                <w:sz w:val="16"/>
                <w:szCs w:val="16"/>
              </w:rPr>
              <w:t xml:space="preserve">: </w:t>
            </w:r>
            <w:r>
              <w:rPr>
                <w:rFonts w:ascii="Times New Roman" w:hAnsi="Times New Roman" w:cs="Times New Roman"/>
                <w:b/>
                <w:sz w:val="16"/>
                <w:szCs w:val="16"/>
              </w:rPr>
              <w:t>:</w:t>
            </w:r>
            <w:proofErr w:type="gramEnd"/>
            <w:r>
              <w:rPr>
                <w:rFonts w:ascii="Times New Roman" w:hAnsi="Times New Roman" w:cs="Times New Roman"/>
                <w:b/>
                <w:sz w:val="16"/>
                <w:szCs w:val="16"/>
              </w:rPr>
              <w:t xml:space="preserve"> kit completo de ELISA para avaliação de interleucina 10 (IL10) – Placa 96</w:t>
            </w:r>
          </w:p>
        </w:tc>
        <w:tc>
          <w:tcPr>
            <w:tcW w:w="1304" w:type="dxa"/>
            <w:tcBorders>
              <w:top w:val="single" w:sz="4" w:space="0" w:color="auto"/>
              <w:left w:val="nil"/>
              <w:bottom w:val="single" w:sz="4" w:space="0" w:color="auto"/>
              <w:right w:val="single" w:sz="4" w:space="0" w:color="auto"/>
            </w:tcBorders>
            <w:shd w:val="clear" w:color="FFFFCC" w:fill="FFFFFF"/>
            <w:vAlign w:val="center"/>
          </w:tcPr>
          <w:p w14:paraId="6BCEB434" w14:textId="3349F873"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333555</w:t>
            </w:r>
          </w:p>
        </w:tc>
        <w:tc>
          <w:tcPr>
            <w:tcW w:w="675" w:type="dxa"/>
            <w:tcBorders>
              <w:top w:val="single" w:sz="4" w:space="0" w:color="auto"/>
              <w:left w:val="nil"/>
              <w:bottom w:val="single" w:sz="4" w:space="0" w:color="auto"/>
              <w:right w:val="single" w:sz="4" w:space="0" w:color="auto"/>
            </w:tcBorders>
            <w:shd w:val="clear" w:color="auto" w:fill="auto"/>
            <w:vAlign w:val="center"/>
          </w:tcPr>
          <w:p w14:paraId="73E42307" w14:textId="37CD3556"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Unidade</w:t>
            </w:r>
          </w:p>
        </w:tc>
        <w:tc>
          <w:tcPr>
            <w:tcW w:w="659" w:type="dxa"/>
            <w:tcBorders>
              <w:top w:val="single" w:sz="4" w:space="0" w:color="auto"/>
              <w:left w:val="nil"/>
              <w:bottom w:val="single" w:sz="4" w:space="0" w:color="auto"/>
              <w:right w:val="single" w:sz="4" w:space="0" w:color="auto"/>
            </w:tcBorders>
            <w:shd w:val="clear" w:color="auto" w:fill="auto"/>
            <w:vAlign w:val="center"/>
          </w:tcPr>
          <w:p w14:paraId="1220B25D" w14:textId="1C815073" w:rsidR="00B461E2" w:rsidRPr="00636110" w:rsidRDefault="00467807" w:rsidP="00B461E2">
            <w:pPr>
              <w:pStyle w:val="Contedodatabela"/>
              <w:jc w:val="center"/>
              <w:rPr>
                <w:rFonts w:ascii="Times New Roman" w:hAnsi="Times New Roman" w:cs="Times New Roman"/>
                <w:sz w:val="16"/>
                <w:szCs w:val="16"/>
              </w:rPr>
            </w:pPr>
            <w:r>
              <w:rPr>
                <w:rFonts w:ascii="Times New Roman" w:hAnsi="Times New Roman" w:cs="Times New Roman"/>
                <w:sz w:val="16"/>
                <w:szCs w:val="16"/>
              </w:rPr>
              <w:t>384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B676624" w14:textId="1DD19EAB"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41,85</w:t>
            </w:r>
          </w:p>
        </w:tc>
        <w:tc>
          <w:tcPr>
            <w:tcW w:w="1527" w:type="dxa"/>
            <w:tcBorders>
              <w:top w:val="single" w:sz="4" w:space="0" w:color="auto"/>
              <w:left w:val="nil"/>
              <w:bottom w:val="single" w:sz="4" w:space="0" w:color="auto"/>
              <w:right w:val="single" w:sz="4" w:space="0" w:color="auto"/>
            </w:tcBorders>
            <w:shd w:val="clear" w:color="auto" w:fill="auto"/>
            <w:vAlign w:val="center"/>
          </w:tcPr>
          <w:p w14:paraId="59E73A44" w14:textId="77777777" w:rsidR="00201750" w:rsidRDefault="00201750" w:rsidP="00201750">
            <w:pPr>
              <w:widowControl/>
              <w:suppressAutoHyphens w:val="0"/>
              <w:jc w:val="center"/>
              <w:rPr>
                <w:rFonts w:ascii="Times New Roman" w:eastAsia="Times New Roman" w:hAnsi="Times New Roman" w:cs="Times New Roman"/>
                <w:sz w:val="18"/>
                <w:szCs w:val="18"/>
                <w:lang w:eastAsia="pt-BR" w:bidi="ar-SA"/>
              </w:rPr>
            </w:pPr>
            <w:r>
              <w:rPr>
                <w:sz w:val="18"/>
                <w:szCs w:val="18"/>
              </w:rPr>
              <w:t>16.070,40</w:t>
            </w:r>
          </w:p>
          <w:p w14:paraId="18C62A14" w14:textId="109DB8D1" w:rsidR="00B461E2" w:rsidRPr="00636110" w:rsidRDefault="00B461E2" w:rsidP="00B461E2">
            <w:pPr>
              <w:jc w:val="center"/>
              <w:rPr>
                <w:rFonts w:ascii="Times New Roman" w:hAnsi="Times New Roman" w:cs="Times New Roman"/>
                <w:sz w:val="16"/>
                <w:szCs w:val="16"/>
              </w:rPr>
            </w:pPr>
          </w:p>
        </w:tc>
        <w:tc>
          <w:tcPr>
            <w:tcW w:w="16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49012F" w14:textId="39A7C5B3"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SIM</w:t>
            </w:r>
          </w:p>
        </w:tc>
      </w:tr>
      <w:tr w:rsidR="00B461E2" w14:paraId="05595FA7" w14:textId="77777777" w:rsidTr="001B40B1">
        <w:trPr>
          <w:trHeight w:val="686"/>
        </w:trPr>
        <w:tc>
          <w:tcPr>
            <w:tcW w:w="701" w:type="dxa"/>
            <w:tcBorders>
              <w:left w:val="single" w:sz="2" w:space="0" w:color="000000"/>
              <w:bottom w:val="single" w:sz="2" w:space="0" w:color="000000"/>
              <w:right w:val="single" w:sz="2" w:space="0" w:color="000000"/>
            </w:tcBorders>
            <w:shd w:val="clear" w:color="auto" w:fill="FFFFFF"/>
            <w:vAlign w:val="center"/>
          </w:tcPr>
          <w:p w14:paraId="1327314A" w14:textId="1956CFDE" w:rsidR="00B461E2" w:rsidRDefault="00B461E2" w:rsidP="00B461E2">
            <w:pPr>
              <w:pStyle w:val="Contedodatabela"/>
              <w:jc w:val="center"/>
              <w:rPr>
                <w:rFonts w:ascii="Times New Roman" w:hAnsi="Times New Roman"/>
                <w:sz w:val="14"/>
              </w:rPr>
            </w:pPr>
            <w:r>
              <w:rPr>
                <w:rFonts w:ascii="Times New Roman" w:hAnsi="Times New Roman"/>
                <w:sz w:val="14"/>
              </w:rPr>
              <w:t>3</w:t>
            </w:r>
          </w:p>
        </w:tc>
        <w:tc>
          <w:tcPr>
            <w:tcW w:w="5819" w:type="dxa"/>
            <w:tcBorders>
              <w:top w:val="nil"/>
              <w:left w:val="single" w:sz="4" w:space="0" w:color="auto"/>
              <w:bottom w:val="single" w:sz="4" w:space="0" w:color="auto"/>
              <w:right w:val="single" w:sz="4" w:space="0" w:color="auto"/>
            </w:tcBorders>
            <w:shd w:val="clear" w:color="FFFFCC" w:fill="FFFFFF"/>
          </w:tcPr>
          <w:p w14:paraId="619A9D80" w14:textId="57A6CDE6" w:rsidR="00B461E2" w:rsidRPr="00636110" w:rsidRDefault="00B461E2" w:rsidP="00B461E2">
            <w:pPr>
              <w:suppressAutoHyphens w:val="0"/>
              <w:jc w:val="center"/>
              <w:rPr>
                <w:rFonts w:ascii="Times New Roman" w:hAnsi="Times New Roman" w:cs="Times New Roman"/>
                <w:sz w:val="16"/>
                <w:szCs w:val="16"/>
              </w:rPr>
            </w:pPr>
            <w:r>
              <w:rPr>
                <w:rFonts w:ascii="Times New Roman" w:eastAsia="Times New Roman" w:hAnsi="Times New Roman" w:cs="Times New Roman"/>
                <w:color w:val="333333"/>
                <w:sz w:val="20"/>
                <w:szCs w:val="20"/>
                <w:lang w:eastAsia="pt-BR" w:bidi="ar-SA"/>
              </w:rPr>
              <w:t xml:space="preserve">Modulo de CHO. Aspecto Físico: pó. Uso enteral ou oral fonte de carboidrato: amido e/ou </w:t>
            </w:r>
            <w:proofErr w:type="spellStart"/>
            <w:r>
              <w:rPr>
                <w:rFonts w:ascii="Times New Roman" w:eastAsia="Times New Roman" w:hAnsi="Times New Roman" w:cs="Times New Roman"/>
                <w:color w:val="333333"/>
                <w:sz w:val="20"/>
                <w:szCs w:val="20"/>
                <w:lang w:eastAsia="pt-BR" w:bidi="ar-SA"/>
              </w:rPr>
              <w:t>maltodextrina</w:t>
            </w:r>
            <w:proofErr w:type="spellEnd"/>
            <w:r>
              <w:rPr>
                <w:rFonts w:ascii="Times New Roman" w:eastAsia="Times New Roman" w:hAnsi="Times New Roman" w:cs="Times New Roman"/>
                <w:color w:val="333333"/>
                <w:sz w:val="20"/>
                <w:szCs w:val="20"/>
                <w:lang w:eastAsia="pt-BR" w:bidi="ar-SA"/>
              </w:rPr>
              <w:t xml:space="preserve">. </w:t>
            </w:r>
            <w:proofErr w:type="spellStart"/>
            <w:r>
              <w:rPr>
                <w:rFonts w:ascii="Times New Roman" w:eastAsia="Times New Roman" w:hAnsi="Times New Roman" w:cs="Times New Roman"/>
                <w:color w:val="333333"/>
                <w:sz w:val="20"/>
                <w:szCs w:val="20"/>
                <w:lang w:eastAsia="pt-BR" w:bidi="ar-SA"/>
              </w:rPr>
              <w:t>Caracteristica</w:t>
            </w:r>
            <w:proofErr w:type="spellEnd"/>
            <w:r>
              <w:rPr>
                <w:rFonts w:ascii="Times New Roman" w:eastAsia="Times New Roman" w:hAnsi="Times New Roman" w:cs="Times New Roman"/>
                <w:color w:val="333333"/>
                <w:sz w:val="20"/>
                <w:szCs w:val="20"/>
                <w:lang w:eastAsia="pt-BR" w:bidi="ar-SA"/>
              </w:rPr>
              <w:t xml:space="preserve"> </w:t>
            </w:r>
            <w:proofErr w:type="spellStart"/>
            <w:r>
              <w:rPr>
                <w:rFonts w:ascii="Times New Roman" w:eastAsia="Times New Roman" w:hAnsi="Times New Roman" w:cs="Times New Roman"/>
                <w:color w:val="333333"/>
                <w:sz w:val="20"/>
                <w:szCs w:val="20"/>
                <w:lang w:eastAsia="pt-BR" w:bidi="ar-SA"/>
              </w:rPr>
              <w:t>adicionais:iseto</w:t>
            </w:r>
            <w:proofErr w:type="spellEnd"/>
            <w:r>
              <w:rPr>
                <w:rFonts w:ascii="Times New Roman" w:eastAsia="Times New Roman" w:hAnsi="Times New Roman" w:cs="Times New Roman"/>
                <w:color w:val="333333"/>
                <w:sz w:val="20"/>
                <w:szCs w:val="20"/>
                <w:lang w:eastAsia="pt-BR" w:bidi="ar-SA"/>
              </w:rPr>
              <w:t xml:space="preserve"> glúten, </w:t>
            </w:r>
            <w:proofErr w:type="spellStart"/>
            <w:r>
              <w:rPr>
                <w:rFonts w:ascii="Times New Roman" w:eastAsia="Times New Roman" w:hAnsi="Times New Roman" w:cs="Times New Roman"/>
                <w:color w:val="333333"/>
                <w:sz w:val="20"/>
                <w:szCs w:val="20"/>
                <w:lang w:eastAsia="pt-BR" w:bidi="ar-SA"/>
              </w:rPr>
              <w:t>lact</w:t>
            </w:r>
            <w:proofErr w:type="spellEnd"/>
            <w:r>
              <w:rPr>
                <w:rFonts w:ascii="Times New Roman" w:eastAsia="Times New Roman" w:hAnsi="Times New Roman" w:cs="Times New Roman"/>
                <w:color w:val="333333"/>
                <w:sz w:val="20"/>
                <w:szCs w:val="20"/>
                <w:lang w:eastAsia="pt-BR" w:bidi="ar-SA"/>
              </w:rPr>
              <w:t>, sacarose.</w:t>
            </w:r>
          </w:p>
        </w:tc>
        <w:tc>
          <w:tcPr>
            <w:tcW w:w="1304" w:type="dxa"/>
            <w:tcBorders>
              <w:top w:val="nil"/>
              <w:left w:val="nil"/>
              <w:bottom w:val="single" w:sz="4" w:space="0" w:color="auto"/>
              <w:right w:val="single" w:sz="4" w:space="0" w:color="auto"/>
            </w:tcBorders>
            <w:shd w:val="clear" w:color="FFFFCC" w:fill="FFFFFF"/>
            <w:vAlign w:val="center"/>
          </w:tcPr>
          <w:p w14:paraId="03992B7E" w14:textId="12BAE846"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403932</w:t>
            </w:r>
          </w:p>
        </w:tc>
        <w:tc>
          <w:tcPr>
            <w:tcW w:w="675" w:type="dxa"/>
            <w:tcBorders>
              <w:top w:val="nil"/>
              <w:left w:val="nil"/>
              <w:bottom w:val="single" w:sz="4" w:space="0" w:color="auto"/>
              <w:right w:val="single" w:sz="4" w:space="0" w:color="auto"/>
            </w:tcBorders>
            <w:shd w:val="clear" w:color="auto" w:fill="auto"/>
            <w:vAlign w:val="center"/>
          </w:tcPr>
          <w:p w14:paraId="26263B25" w14:textId="276D7490"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Unidade</w:t>
            </w:r>
          </w:p>
        </w:tc>
        <w:tc>
          <w:tcPr>
            <w:tcW w:w="659" w:type="dxa"/>
            <w:tcBorders>
              <w:top w:val="nil"/>
              <w:left w:val="nil"/>
              <w:bottom w:val="single" w:sz="4" w:space="0" w:color="auto"/>
              <w:right w:val="single" w:sz="4" w:space="0" w:color="auto"/>
            </w:tcBorders>
            <w:shd w:val="clear" w:color="auto" w:fill="auto"/>
            <w:vAlign w:val="center"/>
          </w:tcPr>
          <w:p w14:paraId="23B7C107" w14:textId="2D1D7575"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90</w:t>
            </w:r>
          </w:p>
        </w:tc>
        <w:tc>
          <w:tcPr>
            <w:tcW w:w="1157" w:type="dxa"/>
            <w:tcBorders>
              <w:top w:val="nil"/>
              <w:left w:val="single" w:sz="4" w:space="0" w:color="auto"/>
              <w:bottom w:val="single" w:sz="4" w:space="0" w:color="auto"/>
              <w:right w:val="single" w:sz="4" w:space="0" w:color="auto"/>
            </w:tcBorders>
            <w:shd w:val="clear" w:color="auto" w:fill="auto"/>
            <w:vAlign w:val="center"/>
          </w:tcPr>
          <w:p w14:paraId="5B74E110" w14:textId="5A657125"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23,00</w:t>
            </w:r>
          </w:p>
        </w:tc>
        <w:tc>
          <w:tcPr>
            <w:tcW w:w="1527" w:type="dxa"/>
            <w:tcBorders>
              <w:top w:val="nil"/>
              <w:left w:val="nil"/>
              <w:bottom w:val="single" w:sz="4" w:space="0" w:color="auto"/>
              <w:right w:val="single" w:sz="4" w:space="0" w:color="auto"/>
            </w:tcBorders>
            <w:shd w:val="clear" w:color="auto" w:fill="auto"/>
            <w:vAlign w:val="center"/>
          </w:tcPr>
          <w:p w14:paraId="2DEB1382" w14:textId="00B28578" w:rsidR="00B461E2" w:rsidRPr="00636110" w:rsidRDefault="00B461E2" w:rsidP="00B461E2">
            <w:pPr>
              <w:jc w:val="center"/>
              <w:rPr>
                <w:rFonts w:ascii="Times New Roman" w:hAnsi="Times New Roman" w:cs="Times New Roman"/>
                <w:sz w:val="16"/>
                <w:szCs w:val="16"/>
              </w:rPr>
            </w:pPr>
            <w:r w:rsidRPr="00636110">
              <w:rPr>
                <w:rFonts w:ascii="Times New Roman" w:hAnsi="Times New Roman" w:cs="Times New Roman"/>
                <w:sz w:val="16"/>
                <w:szCs w:val="16"/>
              </w:rPr>
              <w:t>2.070,00</w:t>
            </w:r>
          </w:p>
        </w:tc>
        <w:tc>
          <w:tcPr>
            <w:tcW w:w="1634" w:type="dxa"/>
            <w:tcBorders>
              <w:left w:val="single" w:sz="2" w:space="0" w:color="000000"/>
              <w:bottom w:val="single" w:sz="2" w:space="0" w:color="000000"/>
              <w:right w:val="single" w:sz="2" w:space="0" w:color="000000"/>
            </w:tcBorders>
            <w:shd w:val="clear" w:color="auto" w:fill="auto"/>
            <w:vAlign w:val="center"/>
          </w:tcPr>
          <w:p w14:paraId="2E581CE6" w14:textId="77777777" w:rsidR="00B461E2" w:rsidRPr="00636110" w:rsidRDefault="00B461E2" w:rsidP="00B461E2">
            <w:pPr>
              <w:pStyle w:val="Contedodatabela"/>
              <w:jc w:val="center"/>
              <w:rPr>
                <w:rFonts w:ascii="Times New Roman" w:hAnsi="Times New Roman" w:cs="Times New Roman"/>
                <w:sz w:val="16"/>
                <w:szCs w:val="16"/>
              </w:rPr>
            </w:pPr>
            <w:r w:rsidRPr="00636110">
              <w:rPr>
                <w:rFonts w:ascii="Times New Roman" w:hAnsi="Times New Roman" w:cs="Times New Roman"/>
                <w:sz w:val="16"/>
                <w:szCs w:val="16"/>
              </w:rPr>
              <w:t>SIM</w:t>
            </w:r>
          </w:p>
        </w:tc>
      </w:tr>
      <w:tr w:rsidR="003026BF" w14:paraId="3C81C6FE" w14:textId="77777777" w:rsidTr="00636110">
        <w:trPr>
          <w:trHeight w:val="686"/>
        </w:trPr>
        <w:tc>
          <w:tcPr>
            <w:tcW w:w="1347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5CB590D3" w14:textId="38F5096D" w:rsidR="003026BF" w:rsidRPr="00353D84" w:rsidRDefault="003026BF" w:rsidP="00353D84">
            <w:pPr>
              <w:pStyle w:val="Contedodatabela"/>
              <w:rPr>
                <w:rFonts w:ascii="Times New Roman" w:hAnsi="Times New Roman" w:cs="Times New Roman"/>
                <w:b/>
                <w:bCs/>
                <w:sz w:val="20"/>
                <w:szCs w:val="20"/>
              </w:rPr>
            </w:pPr>
            <w:r w:rsidRPr="00636110">
              <w:rPr>
                <w:rFonts w:ascii="Times New Roman" w:hAnsi="Times New Roman" w:cs="Times New Roman"/>
                <w:sz w:val="20"/>
                <w:szCs w:val="20"/>
              </w:rPr>
              <w:lastRenderedPageBreak/>
              <w:t xml:space="preserve">VALOR TOTAL                                                                                                                                                                                                 </w:t>
            </w:r>
            <w:r>
              <w:rPr>
                <w:rFonts w:ascii="Times New Roman" w:hAnsi="Times New Roman" w:cs="Times New Roman"/>
                <w:sz w:val="20"/>
                <w:szCs w:val="20"/>
              </w:rPr>
              <w:t xml:space="preserve">      </w:t>
            </w:r>
            <w:r w:rsidRPr="00636110">
              <w:rPr>
                <w:rFonts w:ascii="Times New Roman" w:hAnsi="Times New Roman" w:cs="Times New Roman"/>
                <w:sz w:val="20"/>
                <w:szCs w:val="20"/>
              </w:rPr>
              <w:t xml:space="preserve">                  </w:t>
            </w:r>
            <w:r w:rsidRPr="00636110">
              <w:rPr>
                <w:rFonts w:ascii="Times New Roman" w:hAnsi="Times New Roman" w:cs="Times New Roman"/>
                <w:b/>
                <w:bCs/>
                <w:sz w:val="20"/>
                <w:szCs w:val="20"/>
              </w:rPr>
              <w:t xml:space="preserve">R$ </w:t>
            </w:r>
            <w:r w:rsidR="00353D84" w:rsidRPr="00353D84">
              <w:rPr>
                <w:b/>
                <w:bCs/>
                <w:sz w:val="22"/>
                <w:szCs w:val="22"/>
              </w:rPr>
              <w:t>34.210,80</w:t>
            </w:r>
          </w:p>
        </w:tc>
      </w:tr>
    </w:tbl>
    <w:p w14:paraId="59BBDE08" w14:textId="77777777" w:rsidR="003E2A0A" w:rsidRDefault="003E2A0A">
      <w:pPr>
        <w:sectPr w:rsidR="003E2A0A" w:rsidSect="003026BF">
          <w:headerReference w:type="even" r:id="rId8"/>
          <w:headerReference w:type="default" r:id="rId9"/>
          <w:footerReference w:type="even" r:id="rId10"/>
          <w:footerReference w:type="default" r:id="rId11"/>
          <w:headerReference w:type="first" r:id="rId12"/>
          <w:footerReference w:type="first" r:id="rId13"/>
          <w:pgSz w:w="16838" w:h="11906" w:orient="landscape"/>
          <w:pgMar w:top="567" w:right="1134" w:bottom="1832" w:left="1134" w:header="0" w:footer="1134" w:gutter="0"/>
          <w:cols w:space="720"/>
          <w:formProt w:val="0"/>
          <w:docGrid w:linePitch="312"/>
        </w:sectPr>
      </w:pPr>
    </w:p>
    <w:p w14:paraId="1741B7FE" w14:textId="77777777" w:rsidR="003E2A0A" w:rsidRDefault="00810F93">
      <w:pPr>
        <w:numPr>
          <w:ilvl w:val="1"/>
          <w:numId w:val="1"/>
        </w:numPr>
        <w:spacing w:before="120" w:after="120"/>
        <w:ind w:left="0" w:right="-15"/>
        <w:rPr>
          <w:rFonts w:ascii="Times New Roman" w:hAnsi="Times New Roman" w:cs="Times New Roman"/>
          <w:bCs/>
          <w:iCs/>
          <w:sz w:val="22"/>
          <w:szCs w:val="22"/>
        </w:rPr>
      </w:pPr>
      <w:r>
        <w:rPr>
          <w:rFonts w:ascii="Times New Roman" w:hAnsi="Times New Roman" w:cs="Times New Roman"/>
          <w:bCs/>
          <w:iCs/>
          <w:sz w:val="22"/>
          <w:szCs w:val="22"/>
        </w:rPr>
        <w:lastRenderedPageBreak/>
        <w:t xml:space="preserve"> O prazo de vigência da contratação é de 12(doze) meses contados da assinatura da Ata de Registro de Preços, prorrogável na forma dos artigos 106 e 107 da Lei n° 14.133, de 2021</w:t>
      </w:r>
    </w:p>
    <w:p w14:paraId="4F3C5201" w14:textId="77777777" w:rsidR="003E2A0A" w:rsidRDefault="00810F93">
      <w:pPr>
        <w:numPr>
          <w:ilvl w:val="1"/>
          <w:numId w:val="1"/>
        </w:numPr>
        <w:spacing w:before="120" w:after="120"/>
        <w:ind w:left="0"/>
        <w:rPr>
          <w:rFonts w:ascii="Times New Roman" w:hAnsi="Times New Roman" w:cs="Times New Roman"/>
          <w:sz w:val="22"/>
          <w:szCs w:val="22"/>
        </w:rPr>
      </w:pPr>
      <w:r>
        <w:rPr>
          <w:rFonts w:ascii="Times New Roman" w:hAnsi="Times New Roman" w:cs="Times New Roman"/>
          <w:sz w:val="22"/>
          <w:szCs w:val="22"/>
        </w:rPr>
        <w:t xml:space="preserve"> Da inviabilidade de aquisição preferencial por cota reservada por este Hospital, tendo em vista os seguintes itens.</w:t>
      </w:r>
    </w:p>
    <w:p w14:paraId="5822DC2F" w14:textId="77777777" w:rsidR="003E2A0A" w:rsidRDefault="003E2A0A">
      <w:pPr>
        <w:pStyle w:val="Padro"/>
        <w:spacing w:after="120"/>
        <w:rPr>
          <w:rFonts w:ascii="Times New Roman" w:hAnsi="Times New Roman" w:cs="Times New Roman"/>
          <w:iCs/>
          <w:sz w:val="22"/>
          <w:szCs w:val="22"/>
        </w:rPr>
      </w:pPr>
    </w:p>
    <w:p w14:paraId="4C65DF86" w14:textId="77777777" w:rsidR="003E2A0A" w:rsidRDefault="00810F93">
      <w:pPr>
        <w:pStyle w:val="PargrafodaLista1"/>
        <w:numPr>
          <w:ilvl w:val="0"/>
          <w:numId w:val="2"/>
        </w:numPr>
        <w:spacing w:before="120" w:after="120"/>
        <w:ind w:left="0"/>
      </w:pPr>
      <w:r>
        <w:rPr>
          <w:rFonts w:ascii="Times New Roman" w:hAnsi="Times New Roman" w:cs="Times New Roman"/>
          <w:sz w:val="22"/>
          <w:szCs w:val="22"/>
        </w:rPr>
        <w:t xml:space="preserve"> </w:t>
      </w:r>
      <w:r>
        <w:rPr>
          <w:rFonts w:ascii="Times New Roman" w:hAnsi="Times New Roman" w:cs="Times New Roman"/>
          <w:b/>
          <w:bCs/>
          <w:sz w:val="22"/>
          <w:szCs w:val="22"/>
        </w:rPr>
        <w:t>FUNDAMENTAÇÃO E DESCRIÇÃO DA NECESSIDADE DA CONTRATAÇÃO</w:t>
      </w:r>
    </w:p>
    <w:p w14:paraId="7B3CF975" w14:textId="77777777" w:rsidR="003E2A0A" w:rsidRDefault="00810F93">
      <w:pPr>
        <w:numPr>
          <w:ilvl w:val="1"/>
          <w:numId w:val="2"/>
        </w:numPr>
        <w:spacing w:after="120"/>
        <w:ind w:left="0"/>
      </w:pPr>
      <w:r>
        <w:rPr>
          <w:rFonts w:ascii="Times New Roman" w:hAnsi="Times New Roman" w:cs="Times New Roman"/>
          <w:iCs/>
          <w:sz w:val="22"/>
          <w:szCs w:val="22"/>
        </w:rPr>
        <w:t xml:space="preserve"> </w:t>
      </w:r>
      <w:r>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14:paraId="6D3AFF47" w14:textId="77777777" w:rsidR="003E2A0A" w:rsidRDefault="003E2A0A">
      <w:pPr>
        <w:spacing w:after="120"/>
        <w:rPr>
          <w:rFonts w:ascii="Times New Roman" w:hAnsi="Times New Roman" w:cs="Times New Roman"/>
          <w:iCs/>
          <w:sz w:val="22"/>
          <w:szCs w:val="22"/>
        </w:rPr>
      </w:pPr>
    </w:p>
    <w:p w14:paraId="0B6037B7" w14:textId="77777777" w:rsidR="003E2A0A" w:rsidRDefault="00810F93">
      <w:pPr>
        <w:numPr>
          <w:ilvl w:val="0"/>
          <w:numId w:val="2"/>
        </w:numPr>
        <w:ind w:left="0"/>
        <w:rPr>
          <w:rFonts w:ascii="Times New Roman" w:eastAsia="MS Gothic" w:hAnsi="Times New Roman" w:cs="Times New Roman"/>
          <w:b/>
          <w:sz w:val="22"/>
          <w:szCs w:val="22"/>
        </w:rPr>
      </w:pPr>
      <w:r>
        <w:rPr>
          <w:rFonts w:ascii="Times New Roman" w:eastAsia="MS Gothic" w:hAnsi="Times New Roman" w:cs="Times New Roman"/>
          <w:b/>
          <w:sz w:val="22"/>
          <w:szCs w:val="22"/>
        </w:rPr>
        <w:t>DESCRIÇÃO DA SOLUÇÃO COMO UM TODO CONSIDERADO O CICLO DE VIDA DO OBJETO E ESPECIFICAÇÃO DO PRODUTO</w:t>
      </w:r>
    </w:p>
    <w:p w14:paraId="054610C5" w14:textId="77777777" w:rsidR="003E2A0A" w:rsidRDefault="003E2A0A">
      <w:pPr>
        <w:pStyle w:val="PargrafodaLista1"/>
        <w:keepNext/>
        <w:keepLines/>
        <w:numPr>
          <w:ilvl w:val="0"/>
          <w:numId w:val="3"/>
        </w:numPr>
        <w:suppressAutoHyphens w:val="0"/>
        <w:spacing w:before="120"/>
        <w:ind w:left="0"/>
        <w:rPr>
          <w:rFonts w:ascii="Times New Roman" w:eastAsia="MS Gothic" w:hAnsi="Times New Roman" w:cs="Times New Roman"/>
          <w:b/>
          <w:iCs/>
          <w:vanish/>
          <w:sz w:val="22"/>
          <w:szCs w:val="22"/>
        </w:rPr>
      </w:pPr>
    </w:p>
    <w:p w14:paraId="6BFE0C43" w14:textId="77777777" w:rsidR="003E2A0A" w:rsidRDefault="003E2A0A">
      <w:pPr>
        <w:pStyle w:val="PargrafodaLista1"/>
        <w:keepNext/>
        <w:keepLines/>
        <w:numPr>
          <w:ilvl w:val="0"/>
          <w:numId w:val="3"/>
        </w:numPr>
        <w:suppressAutoHyphens w:val="0"/>
        <w:spacing w:before="120" w:after="120"/>
        <w:ind w:left="0"/>
        <w:rPr>
          <w:rFonts w:ascii="Times New Roman" w:eastAsia="MS Gothic" w:hAnsi="Times New Roman" w:cs="Times New Roman"/>
          <w:b/>
          <w:iCs/>
          <w:vanish/>
          <w:sz w:val="22"/>
          <w:szCs w:val="22"/>
        </w:rPr>
      </w:pPr>
    </w:p>
    <w:p w14:paraId="0C29571C" w14:textId="77777777" w:rsidR="003E2A0A" w:rsidRDefault="003E2A0A">
      <w:pPr>
        <w:pStyle w:val="PargrafodaLista1"/>
        <w:keepNext/>
        <w:keepLines/>
        <w:numPr>
          <w:ilvl w:val="0"/>
          <w:numId w:val="3"/>
        </w:numPr>
        <w:suppressAutoHyphens w:val="0"/>
        <w:spacing w:before="120" w:after="120"/>
        <w:ind w:left="0"/>
        <w:rPr>
          <w:rFonts w:ascii="Times New Roman" w:eastAsia="MS Gothic" w:hAnsi="Times New Roman" w:cs="Times New Roman"/>
          <w:b/>
          <w:iCs/>
          <w:vanish/>
          <w:sz w:val="22"/>
          <w:szCs w:val="22"/>
        </w:rPr>
      </w:pPr>
    </w:p>
    <w:p w14:paraId="28FF8EE3" w14:textId="77777777" w:rsidR="003E2A0A" w:rsidRDefault="00810F93">
      <w:pPr>
        <w:pStyle w:val="PargrafodaLista1"/>
        <w:spacing w:before="120" w:after="120"/>
        <w:ind w:left="0"/>
        <w:rPr>
          <w:rFonts w:ascii="Times New Roman" w:hAnsi="Times New Roman" w:cs="Times New Roman"/>
          <w:iCs/>
          <w:sz w:val="22"/>
          <w:szCs w:val="22"/>
        </w:rPr>
      </w:pPr>
      <w:r>
        <w:rPr>
          <w:rFonts w:ascii="Times New Roman" w:hAnsi="Times New Roman" w:cs="Times New Roman"/>
          <w:iCs/>
          <w:sz w:val="22"/>
          <w:szCs w:val="22"/>
        </w:rPr>
        <w:t xml:space="preserve">3.1 A descrição da solução como um todo, encontra-se pormenorizada em Tópico específico dos </w:t>
      </w:r>
      <w:r>
        <w:rPr>
          <w:rFonts w:ascii="Times New Roman" w:hAnsi="Times New Roman" w:cs="Times New Roman"/>
          <w:iCs/>
          <w:sz w:val="22"/>
          <w:szCs w:val="22"/>
        </w:rPr>
        <w:tab/>
        <w:t>Estudos Técnicos Preliminares, apêndice deste Termo de Referência.</w:t>
      </w:r>
    </w:p>
    <w:p w14:paraId="6F195967" w14:textId="77777777" w:rsidR="003E2A0A" w:rsidRDefault="003E2A0A">
      <w:pPr>
        <w:pStyle w:val="PargrafodaLista1"/>
        <w:spacing w:before="120" w:after="120"/>
        <w:ind w:left="0"/>
        <w:rPr>
          <w:rFonts w:ascii="Times New Roman" w:hAnsi="Times New Roman" w:cs="Times New Roman"/>
          <w:iCs/>
          <w:sz w:val="22"/>
          <w:szCs w:val="22"/>
        </w:rPr>
      </w:pPr>
    </w:p>
    <w:p w14:paraId="3A87B470" w14:textId="77777777" w:rsidR="003E2A0A" w:rsidRDefault="00810F93">
      <w:pPr>
        <w:numPr>
          <w:ilvl w:val="0"/>
          <w:numId w:val="2"/>
        </w:numPr>
        <w:spacing w:before="120" w:after="120"/>
        <w:ind w:left="0"/>
        <w:rPr>
          <w:rFonts w:ascii="Times New Roman" w:hAnsi="Times New Roman" w:cs="Times New Roman"/>
          <w:b/>
          <w:sz w:val="22"/>
          <w:szCs w:val="22"/>
        </w:rPr>
      </w:pPr>
      <w:r>
        <w:rPr>
          <w:rFonts w:ascii="Times New Roman" w:hAnsi="Times New Roman" w:cs="Times New Roman"/>
          <w:b/>
          <w:sz w:val="22"/>
          <w:szCs w:val="22"/>
        </w:rPr>
        <w:t>REQUISITOS DA CONTRATAÇÃO</w:t>
      </w:r>
    </w:p>
    <w:p w14:paraId="0321F572" w14:textId="77777777" w:rsidR="003E2A0A" w:rsidRDefault="00810F93">
      <w:pPr>
        <w:spacing w:before="120" w:after="120"/>
        <w:rPr>
          <w:rFonts w:ascii="Times New Roman" w:hAnsi="Times New Roman" w:cs="Times New Roman"/>
          <w:b/>
          <w:bCs/>
          <w:sz w:val="22"/>
          <w:szCs w:val="22"/>
        </w:rPr>
      </w:pPr>
      <w:r>
        <w:rPr>
          <w:rFonts w:ascii="Times New Roman" w:hAnsi="Times New Roman" w:cs="Times New Roman"/>
          <w:b/>
          <w:bCs/>
          <w:sz w:val="22"/>
          <w:szCs w:val="22"/>
        </w:rPr>
        <w:t>Sustentabilidade:</w:t>
      </w:r>
    </w:p>
    <w:p w14:paraId="48D1D833" w14:textId="77777777" w:rsidR="003E2A0A" w:rsidRDefault="00810F93">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 xml:space="preserve">  Além dos critérios de sustentabilidade eventualmente inseridos na descrição do objeto, devem ser atendidos os seguintes requisitos, que se baseiam no Guia Nacional de Contratações Sustentáveis: </w:t>
      </w:r>
    </w:p>
    <w:p w14:paraId="356008CD" w14:textId="77777777" w:rsidR="003E2A0A" w:rsidRDefault="00810F93">
      <w:pPr>
        <w:numPr>
          <w:ilvl w:val="1"/>
          <w:numId w:val="2"/>
        </w:numPr>
        <w:spacing w:before="120" w:after="120"/>
        <w:ind w:left="0" w:firstLine="0"/>
        <w:rPr>
          <w:rFonts w:ascii="Times New Roman" w:eastAsia="Times New Roman" w:hAnsi="Times New Roman" w:cs="Times New Roman"/>
          <w:bCs/>
          <w:kern w:val="2"/>
          <w:sz w:val="22"/>
          <w:szCs w:val="22"/>
          <w:highlight w:val="white"/>
          <w:lang w:bidi="ar-SA"/>
        </w:rPr>
      </w:pPr>
      <w:r>
        <w:rPr>
          <w:rFonts w:ascii="Times New Roman" w:eastAsia="Times New Roman" w:hAnsi="Times New Roman" w:cs="Times New Roman"/>
          <w:bCs/>
          <w:kern w:val="2"/>
          <w:sz w:val="22"/>
          <w:szCs w:val="22"/>
          <w:shd w:val="clear" w:color="auto" w:fill="FFFFFF"/>
          <w:lang w:bidi="ar-SA"/>
        </w:rPr>
        <w:t>Os critérios de sustentabilidade são aqueles previstos nas especificações do objeto e/ou obrigações da contratada e/ou no edital como requisito previsto em lei especial</w:t>
      </w:r>
    </w:p>
    <w:p w14:paraId="403E7D02" w14:textId="77777777" w:rsidR="003E2A0A" w:rsidRDefault="00810F93">
      <w:pPr>
        <w:spacing w:before="120" w:after="120"/>
        <w:rPr>
          <w:rFonts w:ascii="Times New Roman" w:hAnsi="Times New Roman" w:cs="Times New Roman"/>
          <w:b/>
          <w:bCs/>
          <w:sz w:val="22"/>
          <w:szCs w:val="22"/>
        </w:rPr>
      </w:pPr>
      <w:r>
        <w:rPr>
          <w:rFonts w:ascii="Times New Roman" w:hAnsi="Times New Roman" w:cs="Times New Roman"/>
          <w:b/>
          <w:bCs/>
          <w:sz w:val="22"/>
          <w:szCs w:val="22"/>
        </w:rPr>
        <w:t>Da exigência de carta de solidariedade:</w:t>
      </w:r>
    </w:p>
    <w:p w14:paraId="384E9C14" w14:textId="77777777" w:rsidR="003E2A0A" w:rsidRDefault="00810F93">
      <w:pPr>
        <w:pStyle w:val="PargrafodaLista"/>
        <w:numPr>
          <w:ilvl w:val="1"/>
          <w:numId w:val="2"/>
        </w:numPr>
        <w:spacing w:before="120" w:after="120"/>
        <w:ind w:left="360"/>
        <w:rPr>
          <w:rFonts w:ascii="Times New Roman" w:hAnsi="Times New Roman" w:cs="Times New Roman"/>
          <w:sz w:val="22"/>
          <w:szCs w:val="22"/>
        </w:rPr>
      </w:pPr>
      <w:r>
        <w:rPr>
          <w:rFonts w:ascii="Times New Roman" w:hAnsi="Times New Roman" w:cs="Times New Roman"/>
          <w:sz w:val="22"/>
          <w:szCs w:val="22"/>
        </w:rPr>
        <w:t xml:space="preserve"> Não será admitida a subcontratação do objeto licitatório.</w:t>
      </w:r>
    </w:p>
    <w:p w14:paraId="3AC689C0" w14:textId="77777777" w:rsidR="003E2A0A" w:rsidRDefault="00810F93">
      <w:pPr>
        <w:spacing w:before="120" w:after="120"/>
        <w:rPr>
          <w:rFonts w:ascii="Times New Roman" w:hAnsi="Times New Roman" w:cs="Times New Roman"/>
          <w:b/>
          <w:bCs/>
          <w:sz w:val="22"/>
          <w:szCs w:val="22"/>
        </w:rPr>
      </w:pPr>
      <w:r>
        <w:rPr>
          <w:rFonts w:ascii="Times New Roman" w:hAnsi="Times New Roman" w:cs="Times New Roman"/>
          <w:b/>
          <w:bCs/>
          <w:sz w:val="22"/>
          <w:szCs w:val="22"/>
        </w:rPr>
        <w:t xml:space="preserve">Garantia da contratação: </w:t>
      </w:r>
    </w:p>
    <w:p w14:paraId="6D9F6676" w14:textId="77777777" w:rsidR="003E2A0A" w:rsidRDefault="00810F93">
      <w:pPr>
        <w:pStyle w:val="Nvel2-Red"/>
        <w:numPr>
          <w:ilvl w:val="1"/>
          <w:numId w:val="2"/>
        </w:numPr>
        <w:spacing w:after="288" w:line="312" w:lineRule="auto"/>
        <w:ind w:left="360"/>
      </w:pPr>
      <w:r>
        <w:rPr>
          <w:rFonts w:ascii="Times New Roman" w:hAnsi="Times New Roman" w:cs="Times New Roman"/>
          <w:i w:val="0"/>
          <w:iCs w:val="0"/>
          <w:color w:val="000000"/>
          <w:sz w:val="22"/>
          <w:szCs w:val="22"/>
        </w:rPr>
        <w:t xml:space="preserve">Não haverá exigência da garantia da contratação dos </w:t>
      </w:r>
      <w:hyperlink r:id="rId14" w:anchor="art96" w:history="1">
        <w:r>
          <w:rPr>
            <w:rStyle w:val="LinkdaInternet"/>
            <w:rFonts w:ascii="Times New Roman" w:hAnsi="Times New Roman" w:cs="Times New Roman"/>
            <w:i w:val="0"/>
            <w:iCs w:val="0"/>
            <w:color w:val="000000"/>
            <w:sz w:val="22"/>
            <w:szCs w:val="22"/>
            <w:u w:val="none"/>
          </w:rPr>
          <w:t>artigos 96 e seguintes da Lei nº 14.133, de 2021</w:t>
        </w:r>
      </w:hyperlink>
      <w:r>
        <w:rPr>
          <w:rFonts w:ascii="Times New Roman" w:hAnsi="Times New Roman" w:cs="Times New Roman"/>
          <w:i w:val="0"/>
          <w:iCs w:val="0"/>
          <w:color w:val="000000"/>
          <w:sz w:val="22"/>
          <w:szCs w:val="22"/>
        </w:rPr>
        <w:t>, pelas razões constantes do Estudo Técnico Preliminar.</w:t>
      </w:r>
    </w:p>
    <w:p w14:paraId="172AA34C" w14:textId="77777777" w:rsidR="003E2A0A" w:rsidRDefault="00810F93">
      <w:pPr>
        <w:pStyle w:val="Nivel1"/>
        <w:numPr>
          <w:ilvl w:val="0"/>
          <w:numId w:val="2"/>
        </w:numPr>
        <w:ind w:left="0"/>
        <w:jc w:val="left"/>
        <w:rPr>
          <w:rFonts w:ascii="Times New Roman" w:hAnsi="Times New Roman" w:cs="Times New Roman"/>
          <w:sz w:val="22"/>
          <w:szCs w:val="22"/>
        </w:rPr>
      </w:pPr>
      <w:r>
        <w:rPr>
          <w:rFonts w:ascii="Times New Roman" w:hAnsi="Times New Roman" w:cs="Times New Roman"/>
          <w:sz w:val="22"/>
          <w:szCs w:val="22"/>
        </w:rPr>
        <w:t>MODELO DE EXECUÇÃO DO OBJETO</w:t>
      </w:r>
    </w:p>
    <w:p w14:paraId="59C759C6" w14:textId="77777777" w:rsidR="003E2A0A" w:rsidRDefault="00810F93">
      <w:pPr>
        <w:numPr>
          <w:ilvl w:val="1"/>
          <w:numId w:val="2"/>
        </w:numPr>
        <w:spacing w:before="120" w:after="120"/>
        <w:ind w:left="0" w:firstLine="0"/>
        <w:rPr>
          <w:rFonts w:ascii="Times New Roman" w:hAnsi="Times New Roman" w:cs="Times New Roman"/>
          <w:bCs/>
          <w:sz w:val="22"/>
          <w:szCs w:val="22"/>
        </w:rPr>
      </w:pPr>
      <w:r>
        <w:rPr>
          <w:rFonts w:ascii="Times New Roman" w:hAnsi="Times New Roman" w:cs="Times New Roman"/>
          <w:bCs/>
          <w:sz w:val="22"/>
          <w:szCs w:val="22"/>
        </w:rPr>
        <w:t xml:space="preserve"> O prazo máximo de entrega do (s) material (</w:t>
      </w:r>
      <w:proofErr w:type="spellStart"/>
      <w:r>
        <w:rPr>
          <w:rFonts w:ascii="Times New Roman" w:hAnsi="Times New Roman" w:cs="Times New Roman"/>
          <w:bCs/>
          <w:sz w:val="22"/>
          <w:szCs w:val="22"/>
        </w:rPr>
        <w:t>is</w:t>
      </w:r>
      <w:proofErr w:type="spellEnd"/>
      <w:r>
        <w:rPr>
          <w:rFonts w:ascii="Times New Roman" w:hAnsi="Times New Roman" w:cs="Times New Roman"/>
          <w:bCs/>
          <w:sz w:val="22"/>
          <w:szCs w:val="22"/>
        </w:rPr>
        <w:t xml:space="preserve">) será de até 30 (trinta) dias corridos contados a partir do recebimento da Nota de Empenho, em remessa parcelada, no Almoxarifado do HCE. Situado no seguinte endereço: </w:t>
      </w:r>
    </w:p>
    <w:p w14:paraId="4FCBDF7D" w14:textId="77777777" w:rsidR="003E2A0A" w:rsidRDefault="00810F93">
      <w:pPr>
        <w:numPr>
          <w:ilvl w:val="2"/>
          <w:numId w:val="2"/>
        </w:numPr>
        <w:ind w:left="0"/>
        <w:rPr>
          <w:rFonts w:ascii="Times New Roman" w:hAnsi="Times New Roman" w:cs="Times New Roman"/>
          <w:bCs/>
          <w:sz w:val="22"/>
          <w:szCs w:val="22"/>
        </w:rPr>
      </w:pPr>
      <w:r>
        <w:rPr>
          <w:rFonts w:ascii="Times New Roman" w:hAnsi="Times New Roman" w:cs="Times New Roman"/>
          <w:bCs/>
          <w:sz w:val="22"/>
          <w:szCs w:val="22"/>
        </w:rPr>
        <w:t>Hospital Central do Exército, no seguinte endereço: Rua Francisco Manuel, 126 – Benfica – Rio de Janeiro – RJ. CEP: 20.911-270</w:t>
      </w:r>
    </w:p>
    <w:p w14:paraId="5B49A117" w14:textId="77777777" w:rsidR="003E2A0A" w:rsidRDefault="00810F93">
      <w:pPr>
        <w:numPr>
          <w:ilvl w:val="1"/>
          <w:numId w:val="2"/>
        </w:numPr>
        <w:spacing w:before="120" w:after="120"/>
        <w:ind w:left="0" w:firstLine="0"/>
        <w:rPr>
          <w:rFonts w:ascii="Times New Roman" w:hAnsi="Times New Roman" w:cs="Times New Roman"/>
          <w:bCs/>
          <w:sz w:val="22"/>
          <w:szCs w:val="22"/>
        </w:rPr>
      </w:pPr>
      <w:r>
        <w:rPr>
          <w:rFonts w:ascii="Times New Roman" w:hAnsi="Times New Roman" w:cs="Times New Roman"/>
          <w:bCs/>
          <w:sz w:val="22"/>
          <w:szCs w:val="22"/>
        </w:rPr>
        <w:t xml:space="preserve"> O prazo de validade na data da entrega deverá ser no mínimo, a metade do total da validade recomendada pelo fabricante.</w:t>
      </w:r>
    </w:p>
    <w:p w14:paraId="32B5D1AA" w14:textId="77777777" w:rsidR="003E2A0A" w:rsidRDefault="00810F93">
      <w:pPr>
        <w:numPr>
          <w:ilvl w:val="1"/>
          <w:numId w:val="2"/>
        </w:numPr>
        <w:spacing w:before="120" w:after="120"/>
        <w:ind w:left="0" w:firstLine="0"/>
      </w:pPr>
      <w:r>
        <w:rPr>
          <w:rFonts w:ascii="Times New Roman" w:hAnsi="Times New Roman" w:cs="Times New Roman"/>
          <w:sz w:val="22"/>
          <w:szCs w:val="22"/>
          <w:lang w:eastAsia="en-US"/>
        </w:rPr>
        <w:t xml:space="preserve"> </w:t>
      </w:r>
      <w:r>
        <w:rPr>
          <w:rFonts w:ascii="Times New Roman" w:hAnsi="Times New Roman" w:cs="Times New Roman"/>
          <w:sz w:val="22"/>
          <w:szCs w:val="22"/>
        </w:rPr>
        <w:t>O prazo de garantia contratual dos bens, complementar à garantia legal, é de, no mínimo, 12 (meses) meses, ou pelo prazo fornecido pelo fabricante, se superior, contado a partir do primeiro dia útil subsequente à data do recebimento definitivo do objeto</w:t>
      </w:r>
    </w:p>
    <w:p w14:paraId="0439263A" w14:textId="77777777" w:rsidR="003E2A0A" w:rsidRDefault="00810F93">
      <w:pPr>
        <w:numPr>
          <w:ilvl w:val="1"/>
          <w:numId w:val="2"/>
        </w:numPr>
        <w:spacing w:before="120" w:after="120"/>
        <w:ind w:left="0" w:firstLine="0"/>
        <w:rPr>
          <w:rFonts w:ascii="Times New Roman" w:hAnsi="Times New Roman" w:cs="Times New Roman"/>
          <w:color w:val="auto"/>
          <w:sz w:val="22"/>
          <w:szCs w:val="22"/>
        </w:rPr>
      </w:pPr>
      <w:r>
        <w:rPr>
          <w:rFonts w:ascii="Times New Roman" w:hAnsi="Times New Roman" w:cs="Times New Roman"/>
          <w:color w:val="auto"/>
          <w:sz w:val="22"/>
          <w:szCs w:val="22"/>
        </w:rPr>
        <w:t>A garantia será prestada com vistas a manter os equipamentos fornecidos em perfeitas condições de uso, sem qualquer ônus ou custo adicional para o Contratante.</w:t>
      </w:r>
    </w:p>
    <w:p w14:paraId="1F7C2CC7" w14:textId="77777777" w:rsidR="003E2A0A" w:rsidRDefault="00810F93">
      <w:pPr>
        <w:numPr>
          <w:ilvl w:val="1"/>
          <w:numId w:val="2"/>
        </w:numPr>
        <w:spacing w:before="120" w:after="120"/>
        <w:ind w:left="0" w:firstLine="0"/>
        <w:rPr>
          <w:rFonts w:ascii="Times New Roman" w:hAnsi="Times New Roman" w:cs="Times New Roman"/>
          <w:color w:val="auto"/>
          <w:sz w:val="22"/>
          <w:szCs w:val="22"/>
        </w:rPr>
      </w:pPr>
      <w:r>
        <w:rPr>
          <w:rFonts w:ascii="Times New Roman" w:hAnsi="Times New Roman" w:cs="Times New Roman"/>
          <w:color w:val="auto"/>
          <w:sz w:val="22"/>
          <w:szCs w:val="22"/>
        </w:rPr>
        <w:lastRenderedPageBreak/>
        <w:t>A garantia abrange a realização da manutenção corretiva dos bens pelo próprio Contratado, ou, se for o caso, por meio de assistência técnica autorizada, de acordo com as normas técnicas específicas</w:t>
      </w:r>
    </w:p>
    <w:p w14:paraId="79CEA07C" w14:textId="77777777" w:rsidR="003E2A0A" w:rsidRDefault="00810F93">
      <w:pPr>
        <w:pStyle w:val="Nvel2-Red"/>
        <w:numPr>
          <w:ilvl w:val="1"/>
          <w:numId w:val="2"/>
        </w:numPr>
        <w:spacing w:after="288" w:line="312" w:lineRule="auto"/>
        <w:rPr>
          <w:rFonts w:ascii="Times New Roman" w:hAnsi="Times New Roman" w:cs="Times New Roman"/>
          <w:i w:val="0"/>
          <w:iCs w:val="0"/>
          <w:color w:val="auto"/>
          <w:sz w:val="22"/>
          <w:szCs w:val="22"/>
        </w:rPr>
      </w:pPr>
      <w:r>
        <w:rPr>
          <w:rFonts w:ascii="Times New Roman" w:hAnsi="Times New Roman" w:cs="Times New Roman"/>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06EFBF38" w14:textId="77777777" w:rsidR="003E2A0A" w:rsidRDefault="00810F93">
      <w:pPr>
        <w:pStyle w:val="Nvel2-Red"/>
        <w:numPr>
          <w:ilvl w:val="1"/>
          <w:numId w:val="2"/>
        </w:numPr>
        <w:spacing w:after="288" w:line="312" w:lineRule="auto"/>
        <w:rPr>
          <w:rFonts w:ascii="Times New Roman" w:hAnsi="Times New Roman" w:cs="Times New Roman"/>
          <w:i w:val="0"/>
          <w:iCs w:val="0"/>
          <w:color w:val="auto"/>
          <w:sz w:val="22"/>
          <w:szCs w:val="22"/>
        </w:rPr>
      </w:pPr>
      <w:r>
        <w:rPr>
          <w:rFonts w:ascii="Times New Roman" w:hAnsi="Times New Roman" w:cs="Times New Roman"/>
          <w:i w:val="0"/>
          <w:iCs w:val="0"/>
          <w:color w:val="auto"/>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68778B9" w14:textId="77777777" w:rsidR="003E2A0A" w:rsidRDefault="00810F93">
      <w:pPr>
        <w:numPr>
          <w:ilvl w:val="1"/>
          <w:numId w:val="2"/>
        </w:numPr>
        <w:spacing w:before="120" w:after="120"/>
        <w:ind w:left="0" w:firstLine="0"/>
        <w:rPr>
          <w:rFonts w:ascii="Times New Roman" w:hAnsi="Times New Roman" w:cs="Times New Roman"/>
          <w:sz w:val="22"/>
          <w:szCs w:val="22"/>
          <w:lang w:eastAsia="en-US"/>
        </w:rPr>
      </w:pPr>
      <w:r>
        <w:rPr>
          <w:rFonts w:ascii="Times New Roman" w:hAnsi="Times New Roman" w:cs="Times New Roman"/>
          <w:sz w:val="22"/>
          <w:szCs w:val="22"/>
          <w:lang w:eastAsia="en-US"/>
        </w:rPr>
        <w:t xml:space="preserve"> Os bens serão recebidos definitivamente no prazo de 10 (dez) dias, contados do recebimento provisório, após a verificação da qualidade e quantidade do material e consequente aceitação mediante termo circunstanciado.</w:t>
      </w:r>
    </w:p>
    <w:p w14:paraId="062F1F96" w14:textId="77777777" w:rsidR="003E2A0A" w:rsidRDefault="00810F93">
      <w:pPr>
        <w:numPr>
          <w:ilvl w:val="2"/>
          <w:numId w:val="2"/>
        </w:numPr>
        <w:spacing w:before="120" w:after="120"/>
        <w:ind w:left="0" w:firstLine="0"/>
        <w:rPr>
          <w:rFonts w:ascii="Times New Roman" w:hAnsi="Times New Roman" w:cs="Times New Roman"/>
          <w:sz w:val="22"/>
          <w:szCs w:val="22"/>
          <w:lang w:eastAsia="en-US"/>
        </w:rPr>
      </w:pPr>
      <w:r>
        <w:rPr>
          <w:rFonts w:ascii="Times New Roman" w:hAnsi="Times New Roman" w:cs="Times New Roman"/>
          <w:sz w:val="22"/>
          <w:szCs w:val="22"/>
          <w:lang w:eastAsia="en-US"/>
        </w:rPr>
        <w:t>Na hipótese de a verificação a que se refere o subitem anterior não ser procedida dentro do prazo fixado, reputar-se-á como realizada, consumando-se o recebimento definitivo no dia do esgotamento do prazo.</w:t>
      </w:r>
    </w:p>
    <w:p w14:paraId="58DB70D1" w14:textId="77777777" w:rsidR="003E2A0A" w:rsidRDefault="00810F93">
      <w:pPr>
        <w:numPr>
          <w:ilvl w:val="1"/>
          <w:numId w:val="2"/>
        </w:numPr>
        <w:spacing w:before="120" w:after="120"/>
        <w:ind w:left="0" w:firstLine="0"/>
        <w:rPr>
          <w:rFonts w:ascii="Times New Roman" w:hAnsi="Times New Roman" w:cs="Times New Roman"/>
          <w:sz w:val="22"/>
          <w:szCs w:val="22"/>
          <w:lang w:eastAsia="en-US"/>
        </w:rPr>
      </w:pPr>
      <w:r>
        <w:rPr>
          <w:rFonts w:ascii="Times New Roman" w:hAnsi="Times New Roman" w:cs="Times New Roman"/>
          <w:sz w:val="22"/>
          <w:szCs w:val="22"/>
          <w:lang w:eastAsia="en-US"/>
        </w:rPr>
        <w:t>O recebimento provisório ou definitivo do objeto não exclui a responsabilidade da contratada pelos prejuízos resultantes da incorreta execução do contrato.</w:t>
      </w:r>
    </w:p>
    <w:p w14:paraId="7583EC05" w14:textId="77777777" w:rsidR="003E2A0A" w:rsidRDefault="003E2A0A">
      <w:pPr>
        <w:spacing w:before="120" w:after="120"/>
        <w:rPr>
          <w:rFonts w:ascii="Times New Roman" w:hAnsi="Times New Roman" w:cs="Times New Roman"/>
          <w:sz w:val="22"/>
          <w:szCs w:val="22"/>
          <w:lang w:eastAsia="en-US"/>
        </w:rPr>
      </w:pPr>
    </w:p>
    <w:p w14:paraId="610283CF" w14:textId="77777777" w:rsidR="003E2A0A" w:rsidRDefault="00810F93">
      <w:pPr>
        <w:numPr>
          <w:ilvl w:val="0"/>
          <w:numId w:val="2"/>
        </w:numPr>
        <w:tabs>
          <w:tab w:val="left" w:pos="426"/>
        </w:tabs>
        <w:spacing w:before="120" w:after="120"/>
        <w:ind w:left="0" w:firstLine="0"/>
        <w:rPr>
          <w:rFonts w:ascii="Times New Roman" w:hAnsi="Times New Roman" w:cs="Times New Roman"/>
          <w:b/>
          <w:bCs/>
          <w:sz w:val="22"/>
          <w:szCs w:val="22"/>
          <w:lang w:eastAsia="en-US"/>
        </w:rPr>
      </w:pPr>
      <w:r>
        <w:rPr>
          <w:rFonts w:ascii="Times New Roman" w:hAnsi="Times New Roman" w:cs="Times New Roman"/>
          <w:b/>
          <w:bCs/>
          <w:sz w:val="22"/>
          <w:szCs w:val="22"/>
          <w:lang w:eastAsia="en-US"/>
        </w:rPr>
        <w:t>MODELO DE GESTÃO DO CONTRATO</w:t>
      </w:r>
    </w:p>
    <w:p w14:paraId="3887901D" w14:textId="77777777" w:rsidR="003E2A0A" w:rsidRDefault="00810F93">
      <w:pPr>
        <w:pStyle w:val="Nivel2"/>
        <w:numPr>
          <w:ilvl w:val="1"/>
          <w:numId w:val="2"/>
        </w:numPr>
        <w:spacing w:after="288" w:line="312" w:lineRule="auto"/>
        <w:ind w:left="360"/>
        <w:rPr>
          <w:rFonts w:ascii="Times New Roman" w:eastAsia="Arial" w:hAnsi="Times New Roman" w:cs="Times New Roman"/>
          <w:sz w:val="22"/>
          <w:szCs w:val="22"/>
        </w:rPr>
      </w:pPr>
      <w:r>
        <w:rPr>
          <w:rFonts w:ascii="Times New Roman" w:eastAsia="Arial"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43B0824D" w14:textId="77777777" w:rsidR="003E2A0A" w:rsidRDefault="00810F93">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65838EAD" w14:textId="77777777" w:rsidR="003E2A0A" w:rsidRDefault="00810F93">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0305605D" w14:textId="77777777" w:rsidR="003E2A0A" w:rsidRDefault="00810F93">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órgão ou entidade poderá convocar representante da empresa para adoção de providências que devam ser cumpridas de imediato.</w:t>
      </w:r>
    </w:p>
    <w:p w14:paraId="004E7747" w14:textId="77777777" w:rsidR="003E2A0A" w:rsidRDefault="00810F93">
      <w:pPr>
        <w:pStyle w:val="Nvel2-Red"/>
        <w:numPr>
          <w:ilvl w:val="1"/>
          <w:numId w:val="2"/>
        </w:numPr>
        <w:spacing w:after="288" w:line="312" w:lineRule="auto"/>
        <w:ind w:left="360"/>
      </w:pPr>
      <w:r>
        <w:rPr>
          <w:rFonts w:ascii="Times New Roman" w:hAnsi="Times New Roman" w:cs="Times New Roman"/>
          <w:i w:val="0"/>
          <w:iCs w:val="0"/>
          <w:color w:val="000000"/>
          <w:sz w:val="22"/>
          <w:szCs w:val="22"/>
        </w:rPr>
        <w:t>Após a assinatura do contrato ou instrumento equivalente</w:t>
      </w:r>
      <w:r>
        <w:rPr>
          <w:rFonts w:ascii="Times New Roman" w:hAnsi="Times New Roman" w:cs="Times New Roman"/>
          <w:i w:val="0"/>
          <w:iCs w:val="0"/>
          <w:strike/>
          <w:color w:val="000000"/>
          <w:sz w:val="22"/>
          <w:szCs w:val="22"/>
        </w:rPr>
        <w:t>,</w:t>
      </w:r>
      <w:r>
        <w:rPr>
          <w:rFonts w:ascii="Times New Roman" w:hAnsi="Times New Roman" w:cs="Times New Roman"/>
          <w:i w:val="0"/>
          <w:iCs w:val="0"/>
          <w:color w:val="000000"/>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4287B4" w14:textId="77777777" w:rsidR="003E2A0A" w:rsidRDefault="00810F93">
      <w:pPr>
        <w:pStyle w:val="Nivel2"/>
        <w:numPr>
          <w:ilvl w:val="1"/>
          <w:numId w:val="2"/>
        </w:numPr>
        <w:spacing w:after="288" w:line="312" w:lineRule="auto"/>
        <w:ind w:left="360"/>
      </w:pPr>
      <w:r>
        <w:rPr>
          <w:rFonts w:ascii="Times New Roman" w:hAnsi="Times New Roman" w:cs="Times New Roman"/>
          <w:sz w:val="22"/>
          <w:szCs w:val="22"/>
        </w:rPr>
        <w:lastRenderedPageBreak/>
        <w:t>A execução do contrato deverá ser acompanhada e fiscalizada pelo(s) fiscal(</w:t>
      </w:r>
      <w:proofErr w:type="spellStart"/>
      <w:r>
        <w:rPr>
          <w:rFonts w:ascii="Times New Roman" w:hAnsi="Times New Roman" w:cs="Times New Roman"/>
          <w:sz w:val="22"/>
          <w:szCs w:val="22"/>
        </w:rPr>
        <w:t>is</w:t>
      </w:r>
      <w:proofErr w:type="spellEnd"/>
      <w:r>
        <w:rPr>
          <w:rFonts w:ascii="Times New Roman" w:hAnsi="Times New Roman" w:cs="Times New Roman"/>
          <w:sz w:val="22"/>
          <w:szCs w:val="22"/>
        </w:rPr>
        <w:t xml:space="preserve">) do contrato, ou pelos respectivos substitutos </w:t>
      </w:r>
      <w:r>
        <w:rPr>
          <w:rFonts w:ascii="Times New Roman" w:hAnsi="Times New Roman" w:cs="Times New Roman"/>
          <w:color w:val="auto"/>
          <w:sz w:val="22"/>
          <w:szCs w:val="22"/>
        </w:rPr>
        <w:t>(</w:t>
      </w:r>
      <w:hyperlink r:id="rId15" w:anchor="art117" w:history="1">
        <w:r>
          <w:rPr>
            <w:rStyle w:val="LinkdaInternet"/>
            <w:rFonts w:ascii="Times New Roman" w:hAnsi="Times New Roman" w:cs="Times New Roman"/>
            <w:color w:val="auto"/>
            <w:sz w:val="22"/>
            <w:szCs w:val="22"/>
            <w:u w:val="none"/>
          </w:rPr>
          <w:t>Lei nº 14.133, de 2021, art. 117, caput</w:t>
        </w:r>
      </w:hyperlink>
      <w:r>
        <w:rPr>
          <w:rFonts w:ascii="Times New Roman" w:hAnsi="Times New Roman" w:cs="Times New Roman"/>
          <w:color w:val="auto"/>
          <w:sz w:val="22"/>
          <w:szCs w:val="22"/>
        </w:rPr>
        <w:t>).</w:t>
      </w:r>
    </w:p>
    <w:p w14:paraId="5C5CFBF8" w14:textId="77777777" w:rsidR="003E2A0A" w:rsidRDefault="00810F93">
      <w:pPr>
        <w:pStyle w:val="Nivel2"/>
        <w:numPr>
          <w:ilvl w:val="1"/>
          <w:numId w:val="2"/>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763B4523" w14:textId="77777777" w:rsidR="003E2A0A" w:rsidRDefault="00810F93">
      <w:pPr>
        <w:pStyle w:val="Nivel3"/>
        <w:spacing w:after="288" w:line="312" w:lineRule="auto"/>
        <w:ind w:left="879"/>
      </w:pPr>
      <w:r>
        <w:rPr>
          <w:rFonts w:ascii="Times New Roman" w:hAnsi="Times New Roman" w:cs="Times New Roman"/>
          <w:sz w:val="22"/>
          <w:szCs w:val="22"/>
        </w:rPr>
        <w:t xml:space="preserve">        6.7.1 O fiscal técnico do contrato anotará no histórico de gerenciamento do contrato todas as ocorrências relacionadas à execução do contrato, com a descrição do que for necessário para a regularização das faltas ou dos defeitos observados. (</w:t>
      </w:r>
      <w:hyperlink r:id="rId16" w:anchor="art117§1" w:history="1">
        <w:r>
          <w:rPr>
            <w:rStyle w:val="LinkdaInternet"/>
            <w:rFonts w:ascii="Times New Roman" w:hAnsi="Times New Roman" w:cs="Times New Roman"/>
            <w:color w:val="000000"/>
            <w:sz w:val="22"/>
            <w:szCs w:val="22"/>
            <w:u w:val="none"/>
          </w:rPr>
          <w:t>Lei nº 14.133, de 2021, art. 117, §1º</w:t>
        </w:r>
      </w:hyperlink>
      <w:r>
        <w:rPr>
          <w:rFonts w:ascii="Times New Roman" w:hAnsi="Times New Roman" w:cs="Times New Roman"/>
          <w:sz w:val="22"/>
          <w:szCs w:val="22"/>
        </w:rPr>
        <w:t xml:space="preserve">, e </w:t>
      </w:r>
      <w:hyperlink r:id="rId17" w:anchor="art22" w:history="1">
        <w:r>
          <w:rPr>
            <w:rStyle w:val="LinkdaInternet"/>
            <w:rFonts w:ascii="Times New Roman" w:hAnsi="Times New Roman" w:cs="Times New Roman"/>
            <w:color w:val="000000"/>
            <w:sz w:val="22"/>
            <w:szCs w:val="22"/>
            <w:u w:val="none"/>
          </w:rPr>
          <w:t>Decreto nº 11.246, de 2022, art. 22, II);</w:t>
        </w:r>
      </w:hyperlink>
    </w:p>
    <w:p w14:paraId="5AD84D12" w14:textId="77777777" w:rsidR="003E2A0A" w:rsidRDefault="00810F93">
      <w:pPr>
        <w:pStyle w:val="Nivel3"/>
        <w:spacing w:after="288" w:line="312" w:lineRule="auto"/>
      </w:pPr>
      <w:r>
        <w:rPr>
          <w:rFonts w:ascii="Times New Roman" w:hAnsi="Times New Roman" w:cs="Times New Roman"/>
          <w:sz w:val="22"/>
          <w:szCs w:val="22"/>
        </w:rPr>
        <w:t xml:space="preserve">                6.7.2 Identificada qualquer inexatidão ou irregularidade, o fiscal técnico do contrato emitirá notificações para a correção da execução do contrato, determinando prazo para a correção. (</w:t>
      </w:r>
      <w:hyperlink r:id="rId18" w:anchor="art22" w:history="1">
        <w:r>
          <w:rPr>
            <w:rStyle w:val="LinkdaInternet"/>
            <w:rFonts w:ascii="Times New Roman" w:hAnsi="Times New Roman" w:cs="Times New Roman"/>
            <w:color w:val="000000"/>
            <w:sz w:val="22"/>
            <w:szCs w:val="22"/>
          </w:rPr>
          <w:t>Decreto nº 11.246, de 2022, art. 22, III</w:t>
        </w:r>
      </w:hyperlink>
      <w:r>
        <w:rPr>
          <w:rFonts w:ascii="Times New Roman" w:hAnsi="Times New Roman" w:cs="Times New Roman"/>
          <w:sz w:val="22"/>
          <w:szCs w:val="22"/>
        </w:rPr>
        <w:t xml:space="preserve">); </w:t>
      </w:r>
    </w:p>
    <w:p w14:paraId="37118108" w14:textId="77777777" w:rsidR="003E2A0A" w:rsidRDefault="00810F93">
      <w:pPr>
        <w:pStyle w:val="Nivel3"/>
        <w:spacing w:after="288" w:line="312" w:lineRule="auto"/>
      </w:pPr>
      <w:r>
        <w:rPr>
          <w:rFonts w:ascii="Times New Roman" w:hAnsi="Times New Roman" w:cs="Times New Roman"/>
          <w:sz w:val="22"/>
          <w:szCs w:val="22"/>
        </w:rPr>
        <w:t xml:space="preserve">                  6.7.3 O fiscal técnico do contrato informará ao gestor do contato, em tempo hábil, a situação que demandar decisão ou adoção de medidas que ultrapassem sua competência, para que adote as medidas necessárias e saneadoras, se for o caso. (</w:t>
      </w:r>
      <w:hyperlink r:id="rId19" w:anchor="art22" w:history="1">
        <w:r>
          <w:rPr>
            <w:rStyle w:val="LinkdaInternet"/>
            <w:rFonts w:ascii="Times New Roman" w:hAnsi="Times New Roman" w:cs="Times New Roman"/>
            <w:color w:val="000000"/>
            <w:sz w:val="22"/>
            <w:szCs w:val="22"/>
          </w:rPr>
          <w:t>Decreto nº 11.246, de 2022, art. 22, IV</w:t>
        </w:r>
      </w:hyperlink>
      <w:r>
        <w:rPr>
          <w:rFonts w:ascii="Times New Roman" w:hAnsi="Times New Roman" w:cs="Times New Roman"/>
          <w:sz w:val="22"/>
          <w:szCs w:val="22"/>
        </w:rPr>
        <w:t>).</w:t>
      </w:r>
    </w:p>
    <w:p w14:paraId="358FF369" w14:textId="77777777" w:rsidR="003E2A0A" w:rsidRDefault="00810F93">
      <w:pPr>
        <w:pStyle w:val="Nivel3"/>
        <w:numPr>
          <w:ilvl w:val="2"/>
          <w:numId w:val="5"/>
        </w:numPr>
        <w:spacing w:after="288" w:line="312" w:lineRule="auto"/>
        <w:ind w:left="435" w:hanging="435"/>
      </w:pPr>
      <w:r>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 (</w:t>
      </w:r>
      <w:hyperlink r:id="rId20" w:anchor="art22" w:history="1">
        <w:r>
          <w:rPr>
            <w:rStyle w:val="LinkdaInternet"/>
            <w:rFonts w:ascii="Times New Roman" w:hAnsi="Times New Roman" w:cs="Times New Roman"/>
            <w:color w:val="000000"/>
            <w:sz w:val="22"/>
            <w:szCs w:val="22"/>
          </w:rPr>
          <w:t>Decreto nº 11.246, de 2022, art. 22, V</w:t>
        </w:r>
      </w:hyperlink>
      <w:r>
        <w:rPr>
          <w:rFonts w:ascii="Times New Roman" w:hAnsi="Times New Roman" w:cs="Times New Roman"/>
          <w:sz w:val="22"/>
          <w:szCs w:val="22"/>
        </w:rPr>
        <w:t>).</w:t>
      </w:r>
    </w:p>
    <w:p w14:paraId="6E79E55F" w14:textId="77777777" w:rsidR="003E2A0A" w:rsidRDefault="00810F93">
      <w:pPr>
        <w:pStyle w:val="Nivel3"/>
        <w:numPr>
          <w:ilvl w:val="2"/>
          <w:numId w:val="5"/>
        </w:numPr>
        <w:spacing w:after="288" w:line="312" w:lineRule="auto"/>
        <w:ind w:left="435" w:hanging="435"/>
      </w:pPr>
      <w:r>
        <w:rPr>
          <w:rFonts w:ascii="Times New Roman" w:hAnsi="Times New Roman" w:cs="Times New Roman"/>
          <w:sz w:val="22"/>
          <w:szCs w:val="22"/>
        </w:rPr>
        <w:t xml:space="preserve">O fiscal técnico do contrato comunicar ao gestor do contrato, em tempo hábil, o término do contrato sob sua responsabilidade, com vistas à renovação tempestiva ou à prorrogação contratual </w:t>
      </w:r>
      <w:hyperlink r:id="rId21" w:anchor="art22" w:history="1">
        <w:r>
          <w:rPr>
            <w:rStyle w:val="LinkdaInternet"/>
            <w:rFonts w:ascii="Times New Roman" w:hAnsi="Times New Roman" w:cs="Times New Roman"/>
            <w:color w:val="000000"/>
            <w:sz w:val="22"/>
            <w:szCs w:val="22"/>
          </w:rPr>
          <w:t>(Decreto nº 11.246, de 2022, art. 22, VII</w:t>
        </w:r>
      </w:hyperlink>
      <w:r>
        <w:rPr>
          <w:rFonts w:ascii="Times New Roman" w:hAnsi="Times New Roman" w:cs="Times New Roman"/>
          <w:sz w:val="22"/>
          <w:szCs w:val="22"/>
        </w:rPr>
        <w:t>).</w:t>
      </w:r>
    </w:p>
    <w:p w14:paraId="556172BC" w14:textId="77777777" w:rsidR="003E2A0A" w:rsidRDefault="00810F93">
      <w:pPr>
        <w:pStyle w:val="Nivel2"/>
        <w:numPr>
          <w:ilvl w:val="1"/>
          <w:numId w:val="5"/>
        </w:numPr>
        <w:spacing w:after="288" w:line="312" w:lineRule="auto"/>
        <w:ind w:left="435"/>
      </w:pPr>
      <w:r>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2" w:anchor="art23" w:history="1">
        <w:r>
          <w:rPr>
            <w:rStyle w:val="LinkdaInternet"/>
            <w:rFonts w:ascii="Times New Roman" w:hAnsi="Times New Roman" w:cs="Times New Roman"/>
            <w:color w:val="000000"/>
            <w:sz w:val="22"/>
            <w:szCs w:val="22"/>
          </w:rPr>
          <w:t>Art. 23, I e II, do Decreto nº 11.246, de 2022</w:t>
        </w:r>
      </w:hyperlink>
      <w:r>
        <w:rPr>
          <w:rFonts w:ascii="Times New Roman" w:hAnsi="Times New Roman" w:cs="Times New Roman"/>
          <w:sz w:val="22"/>
          <w:szCs w:val="22"/>
        </w:rPr>
        <w:t>).</w:t>
      </w:r>
    </w:p>
    <w:p w14:paraId="167B6EA4" w14:textId="77777777" w:rsidR="003E2A0A" w:rsidRDefault="00810F93">
      <w:pPr>
        <w:pStyle w:val="Nivel3"/>
        <w:numPr>
          <w:ilvl w:val="2"/>
          <w:numId w:val="6"/>
        </w:numPr>
        <w:spacing w:after="288" w:line="312" w:lineRule="auto"/>
        <w:ind w:left="435" w:hanging="435"/>
      </w:pPr>
      <w:r>
        <w:rPr>
          <w:rFonts w:ascii="Times New Roman" w:hAnsi="Times New Roman" w:cs="Times New Roman"/>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23" w:anchor="art23" w:history="1">
        <w:r>
          <w:rPr>
            <w:rStyle w:val="LinkdaInternet"/>
            <w:rFonts w:ascii="Times New Roman" w:hAnsi="Times New Roman" w:cs="Times New Roman"/>
            <w:color w:val="000000"/>
            <w:sz w:val="22"/>
            <w:szCs w:val="22"/>
          </w:rPr>
          <w:t>Decreto nº 11.246, de 2022, art. 23, IV</w:t>
        </w:r>
      </w:hyperlink>
      <w:r>
        <w:rPr>
          <w:rFonts w:ascii="Times New Roman" w:hAnsi="Times New Roman" w:cs="Times New Roman"/>
          <w:sz w:val="22"/>
          <w:szCs w:val="22"/>
        </w:rPr>
        <w:t>).</w:t>
      </w:r>
    </w:p>
    <w:p w14:paraId="185042FA" w14:textId="77777777" w:rsidR="003E2A0A" w:rsidRDefault="00810F93">
      <w:pPr>
        <w:pStyle w:val="Nivel2"/>
        <w:numPr>
          <w:ilvl w:val="1"/>
          <w:numId w:val="6"/>
        </w:numPr>
        <w:spacing w:after="288" w:line="312" w:lineRule="auto"/>
        <w:ind w:left="0" w:firstLine="709"/>
      </w:pPr>
      <w:r>
        <w:rPr>
          <w:rFonts w:ascii="Times New Roman" w:hAnsi="Times New Roman" w:cs="Times New Roman"/>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w:t>
      </w:r>
      <w:r>
        <w:rPr>
          <w:rFonts w:ascii="Times New Roman" w:hAnsi="Times New Roman" w:cs="Times New Roman"/>
          <w:sz w:val="22"/>
          <w:szCs w:val="22"/>
        </w:rPr>
        <w:lastRenderedPageBreak/>
        <w:t>contratuais, elaborando relatório com vistas à verificação da necessidade de adequações do contrato para fins de atendimento da finalidade da administração. (</w:t>
      </w:r>
      <w:hyperlink r:id="rId24" w:anchor="art21" w:history="1">
        <w:r>
          <w:rPr>
            <w:rStyle w:val="LinkdaInternet"/>
            <w:rFonts w:ascii="Times New Roman" w:hAnsi="Times New Roman" w:cs="Times New Roman"/>
            <w:color w:val="000000"/>
            <w:sz w:val="22"/>
            <w:szCs w:val="22"/>
          </w:rPr>
          <w:t>Decreto nº 11.246, de 2022, art. 21, IV</w:t>
        </w:r>
      </w:hyperlink>
      <w:r>
        <w:rPr>
          <w:rFonts w:ascii="Times New Roman" w:hAnsi="Times New Roman" w:cs="Times New Roman"/>
          <w:sz w:val="22"/>
          <w:szCs w:val="22"/>
        </w:rPr>
        <w:t>).</w:t>
      </w:r>
    </w:p>
    <w:p w14:paraId="5A26298A" w14:textId="77777777" w:rsidR="003E2A0A" w:rsidRDefault="00810F93">
      <w:pPr>
        <w:pStyle w:val="Nivel3"/>
        <w:numPr>
          <w:ilvl w:val="2"/>
          <w:numId w:val="6"/>
        </w:numPr>
        <w:spacing w:after="288" w:line="312" w:lineRule="auto"/>
        <w:ind w:left="170" w:firstLine="709"/>
      </w:pPr>
      <w:r>
        <w:rPr>
          <w:rFonts w:ascii="Times New Roman" w:hAnsi="Times New Roman" w:cs="Times New Roman"/>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5" w:anchor="art21" w:history="1">
        <w:r>
          <w:rPr>
            <w:rStyle w:val="LinkdaInternet"/>
            <w:rFonts w:ascii="Times New Roman" w:hAnsi="Times New Roman" w:cs="Times New Roman"/>
            <w:color w:val="000000"/>
            <w:sz w:val="22"/>
            <w:szCs w:val="22"/>
          </w:rPr>
          <w:t>Decreto nº 11.246, de 2022, art. 21, III</w:t>
        </w:r>
      </w:hyperlink>
      <w:r>
        <w:rPr>
          <w:rFonts w:ascii="Times New Roman" w:hAnsi="Times New Roman" w:cs="Times New Roman"/>
          <w:sz w:val="22"/>
          <w:szCs w:val="22"/>
        </w:rPr>
        <w:t>).</w:t>
      </w:r>
    </w:p>
    <w:p w14:paraId="0514803B" w14:textId="77777777" w:rsidR="003E2A0A" w:rsidRDefault="00810F93">
      <w:pPr>
        <w:pStyle w:val="Nivel3"/>
        <w:numPr>
          <w:ilvl w:val="2"/>
          <w:numId w:val="6"/>
        </w:numPr>
        <w:spacing w:after="288" w:line="312" w:lineRule="auto"/>
        <w:ind w:left="170" w:firstLine="709"/>
      </w:pPr>
      <w:r>
        <w:rPr>
          <w:rFonts w:ascii="Times New Roman" w:hAnsi="Times New Roman" w:cs="Times New Roman"/>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26" w:anchor="art21" w:history="1">
        <w:r>
          <w:rPr>
            <w:rStyle w:val="LinkdaInternet"/>
            <w:rFonts w:ascii="Times New Roman" w:hAnsi="Times New Roman" w:cs="Times New Roman"/>
            <w:color w:val="000000"/>
            <w:sz w:val="22"/>
            <w:szCs w:val="22"/>
          </w:rPr>
          <w:t>Decreto nº 11.246, de 2022, art. 21, II</w:t>
        </w:r>
      </w:hyperlink>
      <w:r>
        <w:rPr>
          <w:rFonts w:ascii="Times New Roman" w:hAnsi="Times New Roman" w:cs="Times New Roman"/>
          <w:sz w:val="22"/>
          <w:szCs w:val="22"/>
        </w:rPr>
        <w:t>).</w:t>
      </w:r>
    </w:p>
    <w:p w14:paraId="7E881CE3" w14:textId="77777777" w:rsidR="003E2A0A" w:rsidRDefault="00810F93">
      <w:pPr>
        <w:pStyle w:val="Nivel3"/>
        <w:numPr>
          <w:ilvl w:val="2"/>
          <w:numId w:val="6"/>
        </w:numPr>
        <w:spacing w:after="288" w:line="312" w:lineRule="auto"/>
        <w:ind w:left="170" w:firstLine="709"/>
      </w:pPr>
      <w:r>
        <w:rPr>
          <w:rFonts w:ascii="Times New Roman" w:hAnsi="Times New Roman" w:cs="Times New Roman"/>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7" w:anchor="art21" w:history="1">
        <w:r>
          <w:rPr>
            <w:rStyle w:val="LinkdaInternet"/>
            <w:rFonts w:ascii="Times New Roman" w:hAnsi="Times New Roman" w:cs="Times New Roman"/>
            <w:color w:val="000000"/>
            <w:sz w:val="22"/>
            <w:szCs w:val="22"/>
          </w:rPr>
          <w:t>Decreto nº 11.246, de 2022, art. 21, VIII</w:t>
        </w:r>
      </w:hyperlink>
      <w:r>
        <w:rPr>
          <w:rFonts w:ascii="Times New Roman" w:hAnsi="Times New Roman" w:cs="Times New Roman"/>
          <w:sz w:val="22"/>
          <w:szCs w:val="22"/>
        </w:rPr>
        <w:t>).</w:t>
      </w:r>
    </w:p>
    <w:p w14:paraId="46C93F47" w14:textId="77777777" w:rsidR="003E2A0A" w:rsidRDefault="00810F93">
      <w:pPr>
        <w:pStyle w:val="Nivel3"/>
        <w:numPr>
          <w:ilvl w:val="2"/>
          <w:numId w:val="6"/>
        </w:numPr>
        <w:spacing w:after="288" w:line="312" w:lineRule="auto"/>
        <w:ind w:left="170" w:firstLine="709"/>
      </w:pPr>
      <w:r>
        <w:rPr>
          <w:rFonts w:ascii="Times New Roman" w:hAnsi="Times New Roman" w:cs="Times New Roman"/>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28" w:anchor="art21" w:history="1">
        <w:r>
          <w:rPr>
            <w:rStyle w:val="LinkdaInternet"/>
            <w:rFonts w:ascii="Times New Roman" w:hAnsi="Times New Roman" w:cs="Times New Roman"/>
            <w:color w:val="000000"/>
            <w:sz w:val="22"/>
            <w:szCs w:val="22"/>
          </w:rPr>
          <w:t>Decreto nº 11.246, de 2022, art. 21, X</w:t>
        </w:r>
      </w:hyperlink>
      <w:r>
        <w:rPr>
          <w:rFonts w:ascii="Times New Roman" w:hAnsi="Times New Roman" w:cs="Times New Roman"/>
          <w:sz w:val="22"/>
          <w:szCs w:val="22"/>
        </w:rPr>
        <w:t>).</w:t>
      </w:r>
    </w:p>
    <w:p w14:paraId="318D68BA" w14:textId="77777777" w:rsidR="003E2A0A" w:rsidRDefault="00810F93">
      <w:pPr>
        <w:pStyle w:val="Nivel2"/>
        <w:numPr>
          <w:ilvl w:val="1"/>
          <w:numId w:val="6"/>
        </w:numPr>
        <w:spacing w:after="288" w:line="312" w:lineRule="auto"/>
        <w:ind w:left="0" w:firstLine="709"/>
      </w:pPr>
      <w:r>
        <w:rPr>
          <w:rFonts w:ascii="Times New Roman" w:hAnsi="Times New Roman" w:cs="Times New Roman"/>
          <w:sz w:val="22"/>
          <w:szCs w:val="22"/>
        </w:rPr>
        <w:t>O fiscal administrativo do contrato comunicará ao gestor do contrato, em tempo hábil, o término do contrato sob sua responsabilidade, com vistas à tempestiva renovação ou prorrogação contratual. (</w:t>
      </w:r>
      <w:hyperlink r:id="rId29" w:anchor="art22" w:history="1">
        <w:r>
          <w:rPr>
            <w:rStyle w:val="LinkdaInternet"/>
            <w:rFonts w:ascii="Times New Roman" w:hAnsi="Times New Roman" w:cs="Times New Roman"/>
            <w:color w:val="000000"/>
            <w:sz w:val="22"/>
            <w:szCs w:val="22"/>
          </w:rPr>
          <w:t>Decreto nº 11.246, de 2022, art. 22, VII</w:t>
        </w:r>
      </w:hyperlink>
      <w:r>
        <w:rPr>
          <w:rFonts w:ascii="Times New Roman" w:hAnsi="Times New Roman" w:cs="Times New Roman"/>
          <w:sz w:val="22"/>
          <w:szCs w:val="22"/>
        </w:rPr>
        <w:t>).</w:t>
      </w:r>
    </w:p>
    <w:p w14:paraId="18F76A8F" w14:textId="77777777" w:rsidR="003E2A0A" w:rsidRDefault="00810F93">
      <w:pPr>
        <w:pStyle w:val="Nivel2"/>
        <w:spacing w:after="288" w:line="312" w:lineRule="auto"/>
        <w:ind w:left="425"/>
      </w:pPr>
      <w:r>
        <w:rPr>
          <w:rFonts w:ascii="Times New Roman" w:hAnsi="Times New Roman" w:cs="Times New Roman"/>
          <w:sz w:val="22"/>
          <w:szCs w:val="22"/>
        </w:rPr>
        <w:t>O gestor do contrato deverá elaborará relatório final com informações sobre a consecução dos objetivos que tenham justificado a contratação e eventuais condutas a serem adotadas para o aprimoramento das atividades da Administração. (</w:t>
      </w:r>
      <w:hyperlink r:id="rId30" w:anchor="art21" w:history="1">
        <w:r>
          <w:rPr>
            <w:rStyle w:val="LinkdaInternet"/>
            <w:rFonts w:ascii="Times New Roman" w:hAnsi="Times New Roman" w:cs="Times New Roman"/>
            <w:color w:val="000000"/>
            <w:sz w:val="22"/>
            <w:szCs w:val="22"/>
          </w:rPr>
          <w:t>Decreto nº 11.246, de 2022, art. 21, VI</w:t>
        </w:r>
      </w:hyperlink>
      <w:r>
        <w:rPr>
          <w:rFonts w:ascii="Times New Roman" w:hAnsi="Times New Roman" w:cs="Times New Roman"/>
          <w:sz w:val="22"/>
          <w:szCs w:val="22"/>
        </w:rPr>
        <w:t>).</w:t>
      </w:r>
    </w:p>
    <w:p w14:paraId="66BFB242" w14:textId="77777777" w:rsidR="003E2A0A" w:rsidRDefault="003E2A0A">
      <w:pPr>
        <w:pStyle w:val="Nivel2"/>
        <w:spacing w:after="288" w:line="312" w:lineRule="auto"/>
        <w:ind w:left="425"/>
        <w:rPr>
          <w:rFonts w:ascii="Times New Roman" w:hAnsi="Times New Roman" w:cs="Times New Roman"/>
          <w:sz w:val="22"/>
          <w:szCs w:val="22"/>
        </w:rPr>
      </w:pPr>
    </w:p>
    <w:p w14:paraId="632684A9" w14:textId="77777777" w:rsidR="003E2A0A" w:rsidRDefault="003E2A0A">
      <w:pPr>
        <w:pStyle w:val="Nivel2"/>
        <w:spacing w:after="288" w:line="312" w:lineRule="auto"/>
        <w:ind w:left="425"/>
        <w:rPr>
          <w:rFonts w:ascii="Times New Roman" w:hAnsi="Times New Roman" w:cs="Times New Roman"/>
          <w:sz w:val="22"/>
          <w:szCs w:val="22"/>
        </w:rPr>
      </w:pPr>
    </w:p>
    <w:p w14:paraId="57BC3CCE" w14:textId="77777777" w:rsidR="003E2A0A" w:rsidRDefault="00810F93">
      <w:pPr>
        <w:numPr>
          <w:ilvl w:val="0"/>
          <w:numId w:val="2"/>
        </w:numPr>
        <w:suppressAutoHyphens w:val="0"/>
        <w:spacing w:after="120"/>
        <w:ind w:left="0" w:right="-15"/>
        <w:rPr>
          <w:rFonts w:ascii="Times New Roman" w:hAnsi="Times New Roman" w:cs="Times New Roman"/>
          <w:b/>
          <w:sz w:val="22"/>
          <w:szCs w:val="22"/>
        </w:rPr>
      </w:pPr>
      <w:r>
        <w:rPr>
          <w:rFonts w:ascii="Times New Roman" w:hAnsi="Times New Roman" w:cs="Times New Roman"/>
          <w:b/>
          <w:sz w:val="22"/>
          <w:szCs w:val="22"/>
        </w:rPr>
        <w:t>CRITÉRIOS DE MEDIÇÃO E DE PAGAMENTO</w:t>
      </w:r>
    </w:p>
    <w:p w14:paraId="6B759CE0" w14:textId="77777777" w:rsidR="003E2A0A" w:rsidRDefault="00810F93">
      <w:pPr>
        <w:pStyle w:val="Nivel2"/>
        <w:numPr>
          <w:ilvl w:val="1"/>
          <w:numId w:val="7"/>
        </w:numPr>
        <w:spacing w:after="288" w:line="312" w:lineRule="auto"/>
        <w:ind w:left="360"/>
      </w:pPr>
      <w:r>
        <w:rPr>
          <w:rFonts w:ascii="Times New Roman" w:hAnsi="Times New Roman" w:cs="Times New Roman"/>
          <w:sz w:val="22"/>
          <w:szCs w:val="22"/>
        </w:rPr>
        <w:t xml:space="preserve"> </w:t>
      </w:r>
      <w:r>
        <w:rPr>
          <w:rFonts w:ascii="Times New Roman" w:hAnsi="Times New Roman" w:cs="Times New Roman"/>
          <w:sz w:val="22"/>
          <w:szCs w:val="22"/>
          <w:lang w:eastAsia="en-US"/>
        </w:rPr>
        <w:t xml:space="preserve">Os bens serão recebidos provisoriamente, de forma sumária, no ato da entrega, juntamente com a </w:t>
      </w:r>
      <w:r>
        <w:rPr>
          <w:rFonts w:ascii="Times New Roman" w:eastAsia="Calibri" w:hAnsi="Times New Roman" w:cs="Times New Roman"/>
          <w:sz w:val="22"/>
          <w:szCs w:val="22"/>
          <w:lang w:eastAsia="en-US"/>
        </w:rPr>
        <w:t>nota</w:t>
      </w:r>
      <w:r>
        <w:rPr>
          <w:rFonts w:ascii="Times New Roman" w:hAnsi="Times New Roman" w:cs="Times New Roman"/>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A1028C0" w14:textId="77777777" w:rsidR="003E2A0A" w:rsidRDefault="00810F93">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Os bens poderão ser rejeitados, no todo ou em parte, inclusive antes do recebimento provisório, quando em desacordo com as especificações constantes no Termo de Referência e na proposta, devendo ser substituídos no prazo de 30 dias, a contar da notificação da contratada, às suas custas, sem prejuízo da aplicação das penalidades.</w:t>
      </w:r>
    </w:p>
    <w:p w14:paraId="78F80C76" w14:textId="77777777" w:rsidR="003E2A0A" w:rsidRDefault="00810F93">
      <w:pPr>
        <w:pStyle w:val="Nivel2"/>
        <w:numPr>
          <w:ilvl w:val="1"/>
          <w:numId w:val="7"/>
        </w:numPr>
        <w:spacing w:after="288" w:line="312" w:lineRule="auto"/>
        <w:ind w:left="360"/>
      </w:pPr>
      <w:r>
        <w:rPr>
          <w:rFonts w:ascii="Times New Roman" w:hAnsi="Times New Roman" w:cs="Times New Roman"/>
          <w:sz w:val="22"/>
          <w:szCs w:val="22"/>
          <w:lang w:eastAsia="en-US"/>
        </w:rPr>
        <w:t>O recebimento definitivo ocorrerá no prazo de 10 (dez) dias úteis, a contar de recebimento da nota fiscal ou instrumento de cobrança equivalente pela Administração, após a verificação da qualidade e quantidade do material e consequentemente aceitação mediante termo detalhado.</w:t>
      </w:r>
    </w:p>
    <w:p w14:paraId="5F030C57" w14:textId="77777777" w:rsidR="003E2A0A" w:rsidRDefault="00810F93">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 xml:space="preserve">Para as contratações decorrentes de despesas cujo valores não ultrapassem o limite de que trata o inciso II do art. 75 da Lei n° 14.133, de 2021, o prazo máximo para o recebimento definitivo será de até 5 </w:t>
      </w:r>
      <w:proofErr w:type="gramStart"/>
      <w:r>
        <w:rPr>
          <w:rFonts w:ascii="Times New Roman" w:hAnsi="Times New Roman" w:cs="Times New Roman"/>
          <w:sz w:val="22"/>
          <w:szCs w:val="22"/>
          <w:lang w:eastAsia="en-US"/>
        </w:rPr>
        <w:t>( cinco</w:t>
      </w:r>
      <w:proofErr w:type="gramEnd"/>
      <w:r>
        <w:rPr>
          <w:rFonts w:ascii="Times New Roman" w:hAnsi="Times New Roman" w:cs="Times New Roman"/>
          <w:sz w:val="22"/>
          <w:szCs w:val="22"/>
          <w:lang w:eastAsia="en-US"/>
        </w:rPr>
        <w:t>) dias úteis.]</w:t>
      </w:r>
    </w:p>
    <w:p w14:paraId="12FD6104" w14:textId="77777777" w:rsidR="003E2A0A" w:rsidRDefault="00810F93">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D7F9026" w14:textId="77777777" w:rsidR="003E2A0A" w:rsidRDefault="00810F93">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O recebimento provisório ou definitivo não excluirá a responsabilidade civil pela solidez e pela segurança do serviço nem a responsabilidade ético-profissional pela perfeita execução do contrato.</w:t>
      </w:r>
    </w:p>
    <w:p w14:paraId="41C9D666" w14:textId="77777777" w:rsidR="003E2A0A" w:rsidRDefault="00810F93">
      <w:pPr>
        <w:pStyle w:val="Nivel2"/>
        <w:numPr>
          <w:ilvl w:val="1"/>
          <w:numId w:val="7"/>
        </w:numPr>
        <w:spacing w:after="288" w:line="312" w:lineRule="auto"/>
        <w:ind w:left="360"/>
      </w:pPr>
      <w:r>
        <w:rPr>
          <w:rFonts w:ascii="Times New Roman" w:hAnsi="Times New Roman" w:cs="Times New Roman"/>
          <w:sz w:val="22"/>
          <w:szCs w:val="22"/>
          <w:lang w:eastAsia="en-US"/>
        </w:rPr>
        <w:t xml:space="preserve">Recebida a Nota Fiscal ou documento de cobrança equivalente, correrá o prazo de dez dias úteis para fins de liquidação, na forma desta seção, prorrogáveis por igual período, nos termos do </w:t>
      </w:r>
      <w:hyperlink r:id="rId31" w:anchor="art7§2" w:history="1">
        <w:r>
          <w:rPr>
            <w:rStyle w:val="LinkdaInternet"/>
            <w:rFonts w:ascii="Times New Roman" w:hAnsi="Times New Roman" w:cs="Times New Roman"/>
            <w:color w:val="000000"/>
            <w:sz w:val="22"/>
            <w:szCs w:val="22"/>
            <w:lang w:eastAsia="en-US"/>
          </w:rPr>
          <w:t>art. 7º, §2º da Instrução Normativa SEGES/ME nº 77/2022</w:t>
        </w:r>
      </w:hyperlink>
    </w:p>
    <w:p w14:paraId="7732E3AA" w14:textId="77777777" w:rsidR="003E2A0A" w:rsidRDefault="00810F93">
      <w:pPr>
        <w:pStyle w:val="Nivel3"/>
        <w:numPr>
          <w:ilvl w:val="2"/>
          <w:numId w:val="7"/>
        </w:numPr>
        <w:spacing w:after="288" w:line="312" w:lineRule="auto"/>
        <w:ind w:left="360" w:hanging="360"/>
      </w:pPr>
      <w:r>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history="1">
        <w:r>
          <w:rPr>
            <w:rStyle w:val="LinkdaInternet"/>
            <w:rFonts w:ascii="Times New Roman" w:hAnsi="Times New Roman" w:cs="Times New Roman"/>
            <w:color w:val="000000"/>
            <w:sz w:val="22"/>
            <w:szCs w:val="22"/>
          </w:rPr>
          <w:t>inciso II do art. 75 da Lei nº 14.133, de 2021</w:t>
        </w:r>
      </w:hyperlink>
      <w:r>
        <w:rPr>
          <w:rFonts w:ascii="Times New Roman" w:hAnsi="Times New Roman" w:cs="Times New Roman"/>
          <w:sz w:val="22"/>
          <w:szCs w:val="22"/>
        </w:rPr>
        <w:t>.</w:t>
      </w:r>
    </w:p>
    <w:p w14:paraId="7654DE13" w14:textId="77777777" w:rsidR="003E2A0A" w:rsidRDefault="00810F93">
      <w:pPr>
        <w:pStyle w:val="Nivel2"/>
        <w:numPr>
          <w:ilvl w:val="1"/>
          <w:numId w:val="7"/>
        </w:numPr>
        <w:spacing w:after="288" w:line="312" w:lineRule="auto"/>
        <w:ind w:left="360"/>
        <w:rPr>
          <w:rFonts w:ascii="Times New Roman" w:hAnsi="Times New Roman" w:cs="Times New Roman"/>
          <w:sz w:val="22"/>
          <w:szCs w:val="22"/>
          <w:lang w:eastAsia="en-US"/>
        </w:rPr>
      </w:pPr>
      <w:r>
        <w:rPr>
          <w:rFonts w:ascii="Times New Roman" w:hAnsi="Times New Roman" w:cs="Times New Roman"/>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30D87FB5" w14:textId="77777777" w:rsidR="003E2A0A" w:rsidRDefault="00810F93">
      <w:pPr>
        <w:pStyle w:val="Nivel3"/>
        <w:numPr>
          <w:ilvl w:val="0"/>
          <w:numId w:val="8"/>
        </w:numPr>
        <w:spacing w:after="288" w:line="312" w:lineRule="auto"/>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o prazo de validade</w:t>
      </w:r>
    </w:p>
    <w:p w14:paraId="7CA7FF84" w14:textId="77777777" w:rsidR="003E2A0A" w:rsidRDefault="00810F93">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a data da emissão; </w:t>
      </w:r>
    </w:p>
    <w:p w14:paraId="54027711" w14:textId="77777777" w:rsidR="003E2A0A" w:rsidRDefault="00810F93">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os dados do contrato e do órgão contratante; </w:t>
      </w:r>
    </w:p>
    <w:p w14:paraId="7D9EBAC9" w14:textId="77777777" w:rsidR="003E2A0A" w:rsidRDefault="00810F93">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o período respectivo de execução do contrato; </w:t>
      </w:r>
    </w:p>
    <w:p w14:paraId="4D70BBA3" w14:textId="77777777" w:rsidR="003E2A0A" w:rsidRDefault="00810F93">
      <w:pPr>
        <w:widowControl/>
        <w:numPr>
          <w:ilvl w:val="0"/>
          <w:numId w:val="8"/>
        </w:numPr>
        <w:spacing w:before="120" w:after="288" w:line="312" w:lineRule="auto"/>
        <w:contextualSpacing/>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o valor a pagar; e </w:t>
      </w:r>
    </w:p>
    <w:p w14:paraId="78DB378D" w14:textId="77777777" w:rsidR="003E2A0A" w:rsidRDefault="00810F93">
      <w:pPr>
        <w:pStyle w:val="Nivel3"/>
        <w:numPr>
          <w:ilvl w:val="0"/>
          <w:numId w:val="8"/>
        </w:numPr>
        <w:spacing w:after="288" w:line="312" w:lineRule="auto"/>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Eventual destaque do valor de retenções tributárias cabíveis</w:t>
      </w:r>
    </w:p>
    <w:p w14:paraId="0CEF062D" w14:textId="77777777" w:rsidR="003E2A0A" w:rsidRDefault="00810F93">
      <w:pPr>
        <w:pStyle w:val="Nivel3"/>
        <w:spacing w:after="288" w:line="312" w:lineRule="auto"/>
      </w:pPr>
      <w:r>
        <w:rPr>
          <w:rFonts w:ascii="Times New Roman" w:hAnsi="Times New Roman" w:cs="Times New Roman"/>
          <w:sz w:val="22"/>
          <w:szCs w:val="22"/>
        </w:rPr>
        <w:lastRenderedPageBreak/>
        <w:t xml:space="preserve">10.11. </w:t>
      </w:r>
      <w:r>
        <w:rPr>
          <w:rFonts w:ascii="Times New Roman" w:eastAsia="Calibri" w:hAnsi="Times New Roman" w:cs="Times New Roman"/>
          <w:sz w:val="22"/>
          <w:szCs w:val="22"/>
          <w:lang w:eastAsia="en-US"/>
        </w:rPr>
        <w:t xml:space="preserve">Havendo erro na apresentação da nota fiscal ou instrumento de cobrança equivalente, ou circunstância que impeça a </w:t>
      </w:r>
      <w:r>
        <w:rPr>
          <w:rFonts w:ascii="Times New Roman" w:hAnsi="Times New Roman" w:cs="Times New Roman"/>
          <w:sz w:val="22"/>
          <w:szCs w:val="22"/>
          <w:lang w:eastAsia="en-US"/>
        </w:rPr>
        <w:t>liquidação da despesa, esta ficará sobrestada até que o contratado providencie as medidas saneadoras, reiniciando-se o prazo após a comprovação da regularização da situação, sem ônus ao contratante;</w:t>
      </w:r>
    </w:p>
    <w:p w14:paraId="48CC99D4" w14:textId="77777777" w:rsidR="003E2A0A" w:rsidRDefault="00810F93">
      <w:pPr>
        <w:pStyle w:val="Nivel3"/>
        <w:spacing w:after="288" w:line="312" w:lineRule="auto"/>
      </w:pPr>
      <w:r>
        <w:rPr>
          <w:rFonts w:ascii="Times New Roman" w:hAnsi="Times New Roman" w:cs="Times New Roman"/>
          <w:sz w:val="22"/>
          <w:szCs w:val="22"/>
          <w:lang w:eastAsia="en-US"/>
        </w:rPr>
        <w:t xml:space="preserve">10.12. A nota fiscal ou instrumento de cobrança equivalente deverá ser obrigatoriamente acompanhado da comprovação da regularidade fiscal, constatada por meio de consulta </w:t>
      </w:r>
      <w:r>
        <w:rPr>
          <w:rFonts w:ascii="Times New Roman" w:hAnsi="Times New Roman" w:cs="Times New Roman"/>
          <w:i/>
          <w:iCs/>
          <w:sz w:val="22"/>
          <w:szCs w:val="22"/>
          <w:lang w:eastAsia="en-US"/>
        </w:rPr>
        <w:t>on-line</w:t>
      </w:r>
      <w:r>
        <w:rPr>
          <w:rFonts w:ascii="Times New Roman" w:hAnsi="Times New Roman" w:cs="Times New Roman"/>
          <w:sz w:val="22"/>
          <w:szCs w:val="22"/>
          <w:lang w:eastAsia="en-US"/>
        </w:rPr>
        <w:t xml:space="preserve"> ao SICAF ou, na impossibilidade de acesso ao referido Sistema, mediante consulta aos sítios eletrônicos oficiais ou à documentação mencionada no </w:t>
      </w:r>
      <w:hyperlink r:id="rId33" w:anchor="art68" w:history="1">
        <w:r>
          <w:rPr>
            <w:rStyle w:val="LinkdaInternet"/>
            <w:rFonts w:ascii="Times New Roman" w:hAnsi="Times New Roman" w:cs="Times New Roman"/>
            <w:color w:val="000000"/>
            <w:sz w:val="22"/>
            <w:szCs w:val="22"/>
            <w:lang w:eastAsia="en-US"/>
          </w:rPr>
          <w:t xml:space="preserve">art. 68 da Lei nº 14.133, de 2021.  </w:t>
        </w:r>
      </w:hyperlink>
    </w:p>
    <w:p w14:paraId="6C363DAB" w14:textId="77777777" w:rsidR="003E2A0A" w:rsidRDefault="00810F93">
      <w:pPr>
        <w:pStyle w:val="Nivel3"/>
        <w:spacing w:after="288" w:line="312" w:lineRule="auto"/>
        <w:rPr>
          <w:rFonts w:ascii="Times New Roman" w:hAnsi="Times New Roman" w:cs="Times New Roman"/>
          <w:sz w:val="22"/>
          <w:szCs w:val="22"/>
          <w:lang w:eastAsia="en-US"/>
        </w:rPr>
      </w:pPr>
      <w:r>
        <w:rPr>
          <w:rFonts w:ascii="Times New Roman" w:hAnsi="Times New Roman" w:cs="Times New Roman"/>
          <w:sz w:val="22"/>
          <w:szCs w:val="22"/>
          <w:lang w:eastAsia="en-US"/>
        </w:rPr>
        <w:t>7.13 A Administração deverá realizar consulta ao SICAF para:</w:t>
      </w:r>
    </w:p>
    <w:p w14:paraId="77E8B949" w14:textId="77777777" w:rsidR="003E2A0A" w:rsidRDefault="00810F93">
      <w:pPr>
        <w:pStyle w:val="Nivel3"/>
        <w:spacing w:after="288" w:line="312"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a) verificar a manutenção das condições de habilitação exigidas no edital; </w:t>
      </w:r>
    </w:p>
    <w:p w14:paraId="36192293" w14:textId="77777777" w:rsidR="003E2A0A" w:rsidRDefault="00810F93">
      <w:pPr>
        <w:pStyle w:val="Nivel3"/>
        <w:spacing w:after="288" w:line="312" w:lineRule="auto"/>
        <w:rPr>
          <w:rFonts w:ascii="Times New Roman" w:hAnsi="Times New Roman" w:cs="Times New Roman"/>
          <w:sz w:val="22"/>
          <w:szCs w:val="22"/>
          <w:lang w:eastAsia="en-US"/>
        </w:rPr>
      </w:pPr>
      <w:r>
        <w:rPr>
          <w:rFonts w:ascii="Times New Roman" w:hAnsi="Times New Roman" w:cs="Times New Roman"/>
          <w:sz w:val="22"/>
          <w:szCs w:val="22"/>
          <w:lang w:eastAsia="en-US"/>
        </w:rPr>
        <w:t>b) identificar possível razão que impeça a participação em licitação, no âmbito do órgão ou entidade, que implique proibição de contratar com o Poder Público, bem como ocorrências impeditivas indiretas.</w:t>
      </w:r>
    </w:p>
    <w:p w14:paraId="7D504162" w14:textId="77777777" w:rsidR="003E2A0A" w:rsidRDefault="00810F93">
      <w:pPr>
        <w:pStyle w:val="Nivel2"/>
        <w:spacing w:after="288" w:line="312" w:lineRule="auto"/>
        <w:ind w:left="567"/>
        <w:rPr>
          <w:rFonts w:ascii="Times New Roman" w:hAnsi="Times New Roman" w:cs="Times New Roman"/>
          <w:sz w:val="22"/>
          <w:szCs w:val="22"/>
          <w:lang w:eastAsia="en-US"/>
        </w:rPr>
      </w:pPr>
      <w:r>
        <w:rPr>
          <w:rFonts w:ascii="Times New Roman" w:hAnsi="Times New Roman" w:cs="Times New Roman"/>
          <w:sz w:val="22"/>
          <w:szCs w:val="22"/>
          <w:lang w:eastAsia="en-US"/>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E94098" w14:textId="77777777" w:rsidR="003E2A0A" w:rsidRDefault="00810F93">
      <w:pPr>
        <w:pStyle w:val="Nivel2"/>
        <w:spacing w:after="288" w:line="312" w:lineRule="auto"/>
        <w:ind w:left="567"/>
        <w:rPr>
          <w:rFonts w:ascii="Times New Roman" w:hAnsi="Times New Roman" w:cs="Times New Roman"/>
          <w:sz w:val="22"/>
          <w:szCs w:val="22"/>
          <w:lang w:eastAsia="en-US"/>
        </w:rPr>
      </w:pPr>
      <w:r>
        <w:rPr>
          <w:rFonts w:ascii="Times New Roman" w:hAnsi="Times New Roman" w:cs="Times New Roman"/>
          <w:sz w:val="22"/>
          <w:szCs w:val="22"/>
          <w:lang w:eastAsia="en-US"/>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15FC197" w14:textId="77777777" w:rsidR="003E2A0A" w:rsidRDefault="00810F93">
      <w:pPr>
        <w:pStyle w:val="Nivel2"/>
        <w:spacing w:after="288" w:line="312" w:lineRule="auto"/>
        <w:ind w:left="567"/>
        <w:rPr>
          <w:rFonts w:ascii="Times New Roman" w:hAnsi="Times New Roman" w:cs="Times New Roman"/>
          <w:sz w:val="22"/>
          <w:szCs w:val="22"/>
          <w:lang w:eastAsia="en-US"/>
        </w:rPr>
      </w:pPr>
      <w:r>
        <w:rPr>
          <w:rFonts w:ascii="Times New Roman" w:hAnsi="Times New Roman" w:cs="Times New Roman"/>
          <w:sz w:val="22"/>
          <w:szCs w:val="22"/>
          <w:lang w:eastAsia="en-US"/>
        </w:rPr>
        <w:t xml:space="preserve">7.16. Persistindo a irregularidade, o contratante deverá adotar as medidas necessárias à rescisão contratual nos autos do processo administrativo correspondente, assegurada ao contratado a ampla defesa. </w:t>
      </w:r>
    </w:p>
    <w:p w14:paraId="41928470" w14:textId="77777777" w:rsidR="003E2A0A" w:rsidRDefault="00810F93">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2CEF9A93" w14:textId="77777777" w:rsidR="003E2A0A" w:rsidRDefault="00810F93">
      <w:pPr>
        <w:pStyle w:val="Nivel2"/>
        <w:numPr>
          <w:ilvl w:val="1"/>
          <w:numId w:val="9"/>
        </w:numPr>
        <w:spacing w:after="288" w:line="312" w:lineRule="auto"/>
        <w:ind w:left="435"/>
      </w:pPr>
      <w:r>
        <w:rPr>
          <w:rFonts w:ascii="Times New Roman" w:hAnsi="Times New Roman" w:cs="Times New Roman"/>
          <w:sz w:val="22"/>
          <w:szCs w:val="22"/>
        </w:rPr>
        <w:t xml:space="preserve">O pagamento será efetuado no prazo de até 10 (dez) dias úteis contados da finalização da liquidação da despesa, conforme seção anterior, nos termos da </w:t>
      </w:r>
      <w:hyperlink r:id="rId34">
        <w:r>
          <w:rPr>
            <w:rStyle w:val="LinkdaInternet"/>
            <w:rFonts w:ascii="Times New Roman" w:hAnsi="Times New Roman" w:cs="Times New Roman"/>
            <w:color w:val="000000"/>
            <w:sz w:val="22"/>
            <w:szCs w:val="22"/>
          </w:rPr>
          <w:t>Instrução Normativa SEGES/ME nº 77, de 2022</w:t>
        </w:r>
      </w:hyperlink>
      <w:r>
        <w:rPr>
          <w:rFonts w:ascii="Times New Roman" w:hAnsi="Times New Roman" w:cs="Times New Roman"/>
          <w:sz w:val="22"/>
          <w:szCs w:val="22"/>
        </w:rPr>
        <w:t>.</w:t>
      </w:r>
    </w:p>
    <w:p w14:paraId="7F09C3BA" w14:textId="77777777" w:rsidR="003E2A0A" w:rsidRDefault="00810F93">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No caso de atraso pela contratante, os valores devidos ao contratado serão atualizados monetariamente entre o termo final do prazo de pagamento até a data de sua efetiva realização, mediante aplicação do índice de correção monetária.</w:t>
      </w:r>
    </w:p>
    <w:p w14:paraId="34A6BDF7" w14:textId="77777777" w:rsidR="003E2A0A" w:rsidRDefault="00810F93">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O pagamento será realizado por meio de ordem bancária, para crédito em banco, agência e conta corrente indicados pelo contratado.</w:t>
      </w:r>
    </w:p>
    <w:p w14:paraId="7BD28F42" w14:textId="77777777" w:rsidR="003E2A0A" w:rsidRDefault="00810F93">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Será considerada data do pagamento o dia em que constar como emitida a ordem bancária para pagamento.</w:t>
      </w:r>
      <w:bookmarkStart w:id="0" w:name="_Hlk125965235"/>
      <w:bookmarkEnd w:id="0"/>
    </w:p>
    <w:p w14:paraId="57CED1B5" w14:textId="77777777" w:rsidR="003E2A0A" w:rsidRDefault="00810F93">
      <w:pPr>
        <w:pStyle w:val="Nivel2"/>
        <w:numPr>
          <w:ilvl w:val="1"/>
          <w:numId w:val="9"/>
        </w:numPr>
        <w:spacing w:after="288" w:line="312" w:lineRule="auto"/>
        <w:ind w:left="435"/>
        <w:rPr>
          <w:rFonts w:ascii="Times New Roman" w:hAnsi="Times New Roman" w:cs="Times New Roman"/>
          <w:sz w:val="22"/>
          <w:szCs w:val="22"/>
          <w:lang w:eastAsia="en-US"/>
        </w:rPr>
      </w:pPr>
      <w:r>
        <w:rPr>
          <w:rFonts w:ascii="Times New Roman" w:hAnsi="Times New Roman" w:cs="Times New Roman"/>
          <w:sz w:val="22"/>
          <w:szCs w:val="22"/>
          <w:lang w:eastAsia="en-US"/>
        </w:rPr>
        <w:t>Quando do pagamento, será efetuada a retenção tributária prevista na legislação aplicável.</w:t>
      </w:r>
    </w:p>
    <w:p w14:paraId="344FFAF9" w14:textId="77777777" w:rsidR="003E2A0A" w:rsidRDefault="00810F93">
      <w:pPr>
        <w:pStyle w:val="Nivel2"/>
        <w:spacing w:after="288" w:line="312" w:lineRule="auto"/>
        <w:ind w:left="1002"/>
        <w:rPr>
          <w:rFonts w:ascii="Times New Roman" w:hAnsi="Times New Roman" w:cs="Times New Roman"/>
          <w:sz w:val="22"/>
          <w:szCs w:val="22"/>
          <w:lang w:eastAsia="en-US"/>
        </w:rPr>
      </w:pPr>
      <w:r>
        <w:rPr>
          <w:rFonts w:ascii="Times New Roman" w:hAnsi="Times New Roman" w:cs="Times New Roman"/>
          <w:sz w:val="22"/>
          <w:szCs w:val="22"/>
          <w:lang w:eastAsia="en-US"/>
        </w:rPr>
        <w:t>7.22.1 Independentemente do percentual de tributo inserido na planilha, quando houver, serão retidos na fonte, quando da realização do pagamento, os percentuais estabelecidos na legislação vigente.</w:t>
      </w:r>
    </w:p>
    <w:p w14:paraId="7B5C03B6" w14:textId="77777777" w:rsidR="003E2A0A" w:rsidRDefault="00810F93">
      <w:pPr>
        <w:pStyle w:val="Nivel2"/>
        <w:spacing w:after="288" w:line="312" w:lineRule="auto"/>
        <w:ind w:left="567"/>
      </w:pPr>
      <w:r>
        <w:rPr>
          <w:rFonts w:ascii="Times New Roman" w:hAnsi="Times New Roman" w:cs="Times New Roman"/>
          <w:sz w:val="22"/>
          <w:szCs w:val="22"/>
          <w:lang w:eastAsia="en-US"/>
        </w:rPr>
        <w:t xml:space="preserve">7.23. O contratado regularmente optante pelo Simples Nacional, nos termos da </w:t>
      </w:r>
      <w:hyperlink r:id="rId35">
        <w:r>
          <w:rPr>
            <w:rStyle w:val="LinkdaInternet"/>
            <w:rFonts w:ascii="Times New Roman" w:hAnsi="Times New Roman" w:cs="Times New Roman"/>
            <w:color w:val="000000"/>
            <w:sz w:val="22"/>
            <w:szCs w:val="22"/>
            <w:lang w:eastAsia="en-US"/>
          </w:rPr>
          <w:t>Lei Complementar nº 123, de 2006</w:t>
        </w:r>
      </w:hyperlink>
      <w:r>
        <w:rPr>
          <w:rFonts w:ascii="Times New Roman" w:hAnsi="Times New Roman" w:cs="Times New Roman"/>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07547B" w14:textId="77777777" w:rsidR="003E2A0A" w:rsidRDefault="00810F93">
      <w:pPr>
        <w:pStyle w:val="Nivel2"/>
        <w:spacing w:after="288" w:line="312" w:lineRule="auto"/>
        <w:ind w:left="567"/>
      </w:pPr>
      <w:r>
        <w:rPr>
          <w:rFonts w:ascii="Times New Roman" w:hAnsi="Times New Roman" w:cs="Times New Roman"/>
          <w:sz w:val="22"/>
          <w:szCs w:val="22"/>
          <w:lang w:eastAsia="en-US"/>
        </w:rPr>
        <w:t xml:space="preserve">7.24. É admitida a cessão fiduciária de direitos creditícios com instituição financeira, nos termos e de acordo com os procedimentos previstos na </w:t>
      </w:r>
      <w:hyperlink r:id="rId36">
        <w:r>
          <w:rPr>
            <w:rStyle w:val="LinkdaInternet"/>
            <w:rFonts w:ascii="Times New Roman" w:hAnsi="Times New Roman" w:cs="Times New Roman"/>
            <w:color w:val="000000"/>
            <w:sz w:val="22"/>
            <w:szCs w:val="22"/>
            <w:lang w:eastAsia="en-US"/>
          </w:rPr>
          <w:t>Instrução Normativa SEGES/ME nº 53, de 8 de Julho de 2020</w:t>
        </w:r>
      </w:hyperlink>
      <w:r>
        <w:rPr>
          <w:rFonts w:ascii="Times New Roman" w:hAnsi="Times New Roman" w:cs="Times New Roman"/>
          <w:sz w:val="22"/>
          <w:szCs w:val="22"/>
          <w:lang w:eastAsia="en-US"/>
        </w:rPr>
        <w:t>, conforme as regras deste presente tópico.</w:t>
      </w:r>
    </w:p>
    <w:p w14:paraId="7840B3CB" w14:textId="77777777" w:rsidR="003E2A0A" w:rsidRDefault="003E2A0A">
      <w:pPr>
        <w:widowControl/>
        <w:suppressAutoHyphens w:val="0"/>
        <w:spacing w:before="120" w:after="120"/>
        <w:rPr>
          <w:rFonts w:ascii="Times New Roman" w:hAnsi="Times New Roman" w:cs="Times New Roman"/>
          <w:sz w:val="22"/>
          <w:szCs w:val="22"/>
        </w:rPr>
      </w:pPr>
    </w:p>
    <w:p w14:paraId="653E6D07" w14:textId="77777777" w:rsidR="003E2A0A" w:rsidRDefault="00810F93">
      <w:pPr>
        <w:pStyle w:val="PargrafodaLista"/>
        <w:numPr>
          <w:ilvl w:val="0"/>
          <w:numId w:val="7"/>
        </w:numPr>
        <w:spacing w:after="120"/>
        <w:ind w:right="-15"/>
        <w:rPr>
          <w:rFonts w:ascii="Times New Roman" w:hAnsi="Times New Roman" w:cs="Times New Roman"/>
          <w:b/>
          <w:sz w:val="22"/>
          <w:szCs w:val="22"/>
          <w:lang w:eastAsia="en-US"/>
        </w:rPr>
      </w:pPr>
      <w:r>
        <w:rPr>
          <w:rFonts w:ascii="Times New Roman" w:hAnsi="Times New Roman" w:cs="Times New Roman"/>
          <w:b/>
          <w:sz w:val="22"/>
          <w:szCs w:val="22"/>
          <w:lang w:eastAsia="en-US"/>
        </w:rPr>
        <w:t>FORMA E CRITÉRIOS DE SELEÇÃO DO FORNECEDOR</w:t>
      </w:r>
    </w:p>
    <w:p w14:paraId="26E9902B" w14:textId="77777777" w:rsidR="003E2A0A" w:rsidRDefault="003E2A0A">
      <w:pPr>
        <w:pStyle w:val="PargrafodaLista"/>
        <w:spacing w:after="120"/>
        <w:ind w:left="360" w:right="-15"/>
        <w:rPr>
          <w:rFonts w:ascii="Times New Roman" w:hAnsi="Times New Roman" w:cs="Times New Roman"/>
          <w:bCs/>
          <w:sz w:val="22"/>
          <w:szCs w:val="22"/>
          <w:lang w:eastAsia="en-US"/>
        </w:rPr>
      </w:pPr>
    </w:p>
    <w:p w14:paraId="694C874D" w14:textId="77777777" w:rsidR="003E2A0A" w:rsidRDefault="00810F93">
      <w:pPr>
        <w:pStyle w:val="PargrafodaLista"/>
        <w:numPr>
          <w:ilvl w:val="1"/>
          <w:numId w:val="7"/>
        </w:numPr>
        <w:spacing w:after="120"/>
        <w:ind w:right="-15"/>
        <w:rPr>
          <w:rFonts w:ascii="Times New Roman" w:eastAsia="Arial" w:hAnsi="Times New Roman" w:cs="Times New Roman"/>
          <w:sz w:val="22"/>
          <w:szCs w:val="22"/>
        </w:rPr>
      </w:pPr>
      <w:r>
        <w:rPr>
          <w:rFonts w:ascii="Times New Roman" w:eastAsia="Arial" w:hAnsi="Times New Roman" w:cs="Times New Roman"/>
          <w:sz w:val="22"/>
          <w:szCs w:val="22"/>
        </w:rPr>
        <w:t>O fornecedor será selecionado por meio da realização de procedimento de LICITAÇÃO, na modalidade PREGÃO, sob a forma ELETRÔNICA, com adoção do critério de julgamento pelo [MENOR PREÇO] OU [MAIOR DESCONTO].</w:t>
      </w:r>
    </w:p>
    <w:p w14:paraId="37EF9254"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Para fins de habilitação, deverá o licitante comprovar os seguintes requisitos:</w:t>
      </w:r>
    </w:p>
    <w:p w14:paraId="7CCD75EE" w14:textId="77777777" w:rsidR="003E2A0A" w:rsidRDefault="00810F93">
      <w:pPr>
        <w:pStyle w:val="Nivel2"/>
        <w:numPr>
          <w:ilvl w:val="1"/>
          <w:numId w:val="7"/>
        </w:numPr>
        <w:spacing w:after="288" w:line="312" w:lineRule="auto"/>
        <w:ind w:left="360"/>
      </w:pPr>
      <w:bookmarkStart w:id="1" w:name="_Ref115800561"/>
      <w:r>
        <w:rPr>
          <w:rFonts w:ascii="Times New Roman" w:hAnsi="Times New Roman" w:cs="Times New Roman"/>
          <w:b/>
          <w:bCs/>
          <w:sz w:val="22"/>
          <w:szCs w:val="22"/>
        </w:rPr>
        <w:t>Pessoa física:</w:t>
      </w:r>
      <w:r>
        <w:rPr>
          <w:rFonts w:ascii="Times New Roman" w:hAnsi="Times New Roman" w:cs="Times New Roman"/>
          <w:sz w:val="22"/>
          <w:szCs w:val="22"/>
        </w:rPr>
        <w:t xml:space="preserve"> cédula de identidade (RG) ou documento equivalente que, por força de lei, tenha validade para fins de identificação em todo o território nacional;</w:t>
      </w:r>
      <w:bookmarkEnd w:id="1"/>
    </w:p>
    <w:p w14:paraId="71322E5C"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Empresário individual:</w:t>
      </w:r>
      <w:r>
        <w:rPr>
          <w:rFonts w:ascii="Times New Roman" w:hAnsi="Times New Roman" w:cs="Times New Roman"/>
          <w:sz w:val="22"/>
          <w:szCs w:val="22"/>
        </w:rPr>
        <w:t xml:space="preserve"> inscrição no Registro Público de Empresas Mercantis, a cargo da Junta Comercial da respectiva sede; </w:t>
      </w:r>
    </w:p>
    <w:p w14:paraId="2D2965DA"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Microempreendedor Individual - MEI:</w:t>
      </w:r>
      <w:r>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37">
        <w:r>
          <w:rPr>
            <w:rStyle w:val="LinkdaInternet"/>
            <w:rFonts w:ascii="Times New Roman" w:hAnsi="Times New Roman" w:cs="Times New Roman"/>
            <w:color w:val="000000"/>
            <w:sz w:val="22"/>
            <w:szCs w:val="22"/>
          </w:rPr>
          <w:t>https://www.gov.br/empresas-e-negocios/pt-br/empreendedor</w:t>
        </w:r>
      </w:hyperlink>
      <w:r>
        <w:rPr>
          <w:rFonts w:ascii="Times New Roman" w:hAnsi="Times New Roman" w:cs="Times New Roman"/>
          <w:sz w:val="22"/>
          <w:szCs w:val="22"/>
        </w:rPr>
        <w:t xml:space="preserve">; </w:t>
      </w:r>
    </w:p>
    <w:p w14:paraId="28351B5D"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lastRenderedPageBreak/>
        <w:t>Sociedade empresária, sociedade limitada unipessoal – SLU ou sociedade identificada como empresa individual de responsabilidade limitada - EIRELI:</w:t>
      </w:r>
      <w:r>
        <w:rPr>
          <w:rFonts w:ascii="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186776FC" w14:textId="77777777" w:rsidR="003E2A0A" w:rsidRDefault="00810F93">
      <w:pPr>
        <w:pStyle w:val="PargrafodaLista"/>
        <w:numPr>
          <w:ilvl w:val="1"/>
          <w:numId w:val="7"/>
        </w:numPr>
        <w:spacing w:after="120"/>
        <w:ind w:right="-15"/>
      </w:pPr>
      <w:r>
        <w:rPr>
          <w:rFonts w:ascii="Times New Roman" w:hAnsi="Times New Roman" w:cs="Times New Roman"/>
          <w:b/>
          <w:bCs/>
          <w:sz w:val="22"/>
          <w:szCs w:val="22"/>
        </w:rPr>
        <w:t>Sociedade empresária estrangeira:</w:t>
      </w:r>
      <w:r>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8">
        <w:r>
          <w:rPr>
            <w:rStyle w:val="LinkdaInternet"/>
          </w:rPr>
          <w:t>Normativa DREI/ME n.º 77, de 18 de março de 2020</w:t>
        </w:r>
      </w:hyperlink>
      <w:r>
        <w:rPr>
          <w:rStyle w:val="LinkdaInternet"/>
          <w:rFonts w:ascii="Times New Roman" w:hAnsi="Times New Roman" w:cs="Times New Roman"/>
          <w:color w:val="000000"/>
          <w:sz w:val="22"/>
          <w:szCs w:val="22"/>
        </w:rPr>
        <w:t>.</w:t>
      </w:r>
    </w:p>
    <w:p w14:paraId="544C5DDD"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 xml:space="preserve">Sociedade simples: </w:t>
      </w:r>
      <w:r>
        <w:rPr>
          <w:rFonts w:ascii="Times New Roman" w:hAnsi="Times New Roman" w:cs="Times New Roman"/>
          <w:sz w:val="22"/>
          <w:szCs w:val="22"/>
        </w:rPr>
        <w:t>inscrição do ato constitutivo no Registro Civil de Pessoas Jurídicas do local de sua sede, acompanhada de documento comprobatório de seus administradores;</w:t>
      </w:r>
    </w:p>
    <w:p w14:paraId="10B9C998"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Filial, sucursal ou agência de sociedade simples ou empresária:</w:t>
      </w:r>
      <w:r>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Pr>
          <w:rFonts w:ascii="Times New Roman" w:hAnsi="Times New Roman" w:cs="Times New Roman"/>
          <w:sz w:val="22"/>
          <w:szCs w:val="22"/>
        </w:rPr>
        <w:t>Mercantis onde</w:t>
      </w:r>
      <w:bookmarkEnd w:id="2"/>
      <w:r>
        <w:rPr>
          <w:rFonts w:ascii="Times New Roman" w:hAnsi="Times New Roman" w:cs="Times New Roman"/>
          <w:sz w:val="22"/>
          <w:szCs w:val="22"/>
        </w:rPr>
        <w:t xml:space="preserve"> opera, com averbação no Registro onde tem sede a matriz</w:t>
      </w:r>
    </w:p>
    <w:p w14:paraId="42778BAF"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Sociedade cooperativa:</w:t>
      </w:r>
      <w:r>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9" w:anchor="art107" w:history="1">
        <w:r>
          <w:rPr>
            <w:rStyle w:val="LinkdaInternet"/>
            <w:rFonts w:ascii="Times New Roman" w:hAnsi="Times New Roman" w:cs="Times New Roman"/>
            <w:color w:val="000000"/>
            <w:sz w:val="22"/>
            <w:szCs w:val="22"/>
          </w:rPr>
          <w:t>art. 107 da Lei nº 5.764, de 16 de dezembro 1971</w:t>
        </w:r>
      </w:hyperlink>
      <w:r>
        <w:rPr>
          <w:rFonts w:ascii="Times New Roman" w:hAnsi="Times New Roman" w:cs="Times New Roman"/>
          <w:sz w:val="22"/>
          <w:szCs w:val="22"/>
        </w:rPr>
        <w:t>.</w:t>
      </w:r>
    </w:p>
    <w:p w14:paraId="7F368CA4"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Agricultor familiar:</w:t>
      </w:r>
      <w:r>
        <w:rPr>
          <w:rFonts w:ascii="Times New Roman" w:hAnsi="Times New Roman" w:cs="Times New Roman"/>
          <w:sz w:val="22"/>
          <w:szCs w:val="22"/>
        </w:rPr>
        <w:t xml:space="preserve"> Declaração de Aptidão ao Pronaf – DAP ou DAP-P válida, ou, ainda, outros documentos definidos pela Secretaria Especial de Agricultura Familiar e do Desenvolvimento Agrário, nos termos do</w:t>
      </w:r>
      <w:hyperlink r:id="rId40" w:anchor="art4§2" w:history="1">
        <w:r>
          <w:rPr>
            <w:rStyle w:val="LinkdaInternet"/>
            <w:rFonts w:ascii="Times New Roman" w:hAnsi="Times New Roman" w:cs="Times New Roman"/>
            <w:color w:val="000000"/>
            <w:sz w:val="22"/>
            <w:szCs w:val="22"/>
          </w:rPr>
          <w:t xml:space="preserve"> art. 4º, §2º do Decreto nº 10.880, de 2 de dezembro de 2021</w:t>
        </w:r>
      </w:hyperlink>
      <w:r>
        <w:rPr>
          <w:rFonts w:ascii="Times New Roman" w:hAnsi="Times New Roman" w:cs="Times New Roman"/>
          <w:sz w:val="22"/>
          <w:szCs w:val="22"/>
        </w:rPr>
        <w:t>.</w:t>
      </w:r>
    </w:p>
    <w:p w14:paraId="6ABE6823" w14:textId="77777777" w:rsidR="003E2A0A" w:rsidRDefault="00810F93">
      <w:pPr>
        <w:pStyle w:val="Nivel2"/>
        <w:numPr>
          <w:ilvl w:val="1"/>
          <w:numId w:val="7"/>
        </w:numPr>
        <w:spacing w:after="288" w:line="312" w:lineRule="auto"/>
        <w:ind w:left="360"/>
      </w:pPr>
      <w:r>
        <w:rPr>
          <w:rFonts w:ascii="Times New Roman" w:hAnsi="Times New Roman" w:cs="Times New Roman"/>
          <w:b/>
          <w:bCs/>
          <w:sz w:val="22"/>
          <w:szCs w:val="22"/>
        </w:rPr>
        <w:t>Produtor Rural:</w:t>
      </w:r>
      <w:r>
        <w:rPr>
          <w:rFonts w:ascii="Times New Roman" w:hAnsi="Times New Roman" w:cs="Times New Roman"/>
          <w:sz w:val="22"/>
          <w:szCs w:val="22"/>
        </w:rPr>
        <w:t xml:space="preserve"> matrícula no Cadastro Específico do INSS – CEI, que comprove a qualificação como produtor rural pessoa física, nos termos da </w:t>
      </w:r>
      <w:hyperlink r:id="rId41">
        <w:r>
          <w:rPr>
            <w:rStyle w:val="LinkdaInternet"/>
            <w:rFonts w:ascii="Times New Roman" w:hAnsi="Times New Roman" w:cs="Times New Roman"/>
            <w:color w:val="000000"/>
            <w:sz w:val="22"/>
            <w:szCs w:val="22"/>
          </w:rPr>
          <w:t>Instrução Normativa RFB n. 971, de 13 de novembro de 2009</w:t>
        </w:r>
      </w:hyperlink>
      <w:r>
        <w:rPr>
          <w:rFonts w:ascii="Times New Roman" w:hAnsi="Times New Roman" w:cs="Times New Roman"/>
          <w:sz w:val="22"/>
          <w:szCs w:val="22"/>
        </w:rPr>
        <w:t xml:space="preserve"> (</w:t>
      </w:r>
      <w:proofErr w:type="spellStart"/>
      <w:r>
        <w:rPr>
          <w:rFonts w:ascii="Times New Roman" w:hAnsi="Times New Roman" w:cs="Times New Roman"/>
          <w:sz w:val="22"/>
          <w:szCs w:val="22"/>
        </w:rPr>
        <w:t>arts</w:t>
      </w:r>
      <w:proofErr w:type="spellEnd"/>
      <w:r>
        <w:rPr>
          <w:rFonts w:ascii="Times New Roman" w:hAnsi="Times New Roman" w:cs="Times New Roman"/>
          <w:sz w:val="22"/>
          <w:szCs w:val="22"/>
        </w:rPr>
        <w:t>. 17 a 19 e 165).</w:t>
      </w:r>
    </w:p>
    <w:p w14:paraId="25ADEA99"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Os documentos apresentados deverão estar acompanhados de todas as alterações ou da consolidação respectiva.</w:t>
      </w:r>
    </w:p>
    <w:p w14:paraId="1C0DA7EE"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inscrição no Cadastro Nacional de Pessoas Jurídicas ou no Cadastro de Pessoas Físicas, conforme o caso;</w:t>
      </w:r>
    </w:p>
    <w:p w14:paraId="52F01FB7" w14:textId="77777777" w:rsidR="003E2A0A" w:rsidRDefault="00810F93">
      <w:pPr>
        <w:pStyle w:val="Nivel2"/>
        <w:numPr>
          <w:ilvl w:val="1"/>
          <w:numId w:val="7"/>
        </w:numPr>
        <w:spacing w:after="288" w:line="312" w:lineRule="auto"/>
        <w:ind w:left="360"/>
      </w:pPr>
      <w:r>
        <w:rPr>
          <w:rFonts w:ascii="Times New Roman" w:hAnsi="Times New Roman" w:cs="Times New Roman"/>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Pr>
          <w:rFonts w:ascii="Times New Roman" w:hAnsi="Times New Roman" w:cs="Times New Roman"/>
          <w:sz w:val="22"/>
          <w:szCs w:val="22"/>
        </w:rPr>
        <w:lastRenderedPageBreak/>
        <w:t>termos da Portaria Conjunta nº 1.751, de 02 de outubro de 2014, do Secretário da Receita Federal do Brasil e da Procuradora-Geral da Fazenda Nacional.</w:t>
      </w:r>
    </w:p>
    <w:p w14:paraId="60FD898B"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regularidade com o Fundo de Garantia do Tempo de Serviço (FGTS);</w:t>
      </w:r>
    </w:p>
    <w:p w14:paraId="79928012"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4825EF"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 xml:space="preserve">Prova de inscrição no cadastro de contribuintes relativo ao domicílio ou sede do fornecedor, pertinente ao seu ramo de atividade e compatível com o objeto contratual; </w:t>
      </w:r>
    </w:p>
    <w:p w14:paraId="5EE3EACF"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Prova de regularidade com a Fazenda do domicílio ou sede do fornecedor, relativa à atividade em cujo exercício contrata ou concorre;</w:t>
      </w:r>
    </w:p>
    <w:p w14:paraId="68B3EEBF"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59DB16A3"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0051B7" w14:textId="77777777" w:rsidR="003E2A0A" w:rsidRDefault="00810F93">
      <w:pPr>
        <w:pStyle w:val="Nivel2"/>
        <w:numPr>
          <w:ilvl w:val="1"/>
          <w:numId w:val="7"/>
        </w:numPr>
        <w:spacing w:after="288" w:line="312" w:lineRule="auto"/>
        <w:ind w:left="360"/>
      </w:pPr>
      <w:r>
        <w:rPr>
          <w:rFonts w:ascii="Times New Roman" w:hAnsi="Times New Roman" w:cs="Times New Roman"/>
          <w:sz w:val="22"/>
          <w:szCs w:val="22"/>
        </w:rPr>
        <w:t>Certidão negativa de insolvência civil expedida pelo distribuidor do domicílio ou sede do licitante, caso se trate de pessoa física, desde que admitida a sua participação na licitação (</w:t>
      </w:r>
      <w:hyperlink r:id="rId42" w:anchor="art5" w:history="1">
        <w:r>
          <w:rPr>
            <w:rStyle w:val="LinkdaInternet"/>
            <w:rFonts w:ascii="Times New Roman" w:hAnsi="Times New Roman" w:cs="Times New Roman"/>
            <w:color w:val="000000"/>
            <w:sz w:val="22"/>
            <w:szCs w:val="22"/>
          </w:rPr>
          <w:t>art. 5º, inciso II, alínea “c”, da Instrução Normativa Seges/ME nº 116, de 2021</w:t>
        </w:r>
      </w:hyperlink>
      <w:r>
        <w:rPr>
          <w:rFonts w:ascii="Times New Roman" w:hAnsi="Times New Roman" w:cs="Times New Roman"/>
          <w:sz w:val="22"/>
          <w:szCs w:val="22"/>
        </w:rPr>
        <w:t xml:space="preserve">), ou de sociedade simples; </w:t>
      </w:r>
    </w:p>
    <w:p w14:paraId="384BC5E7" w14:textId="77777777" w:rsidR="003E2A0A" w:rsidRDefault="00810F93">
      <w:pPr>
        <w:pStyle w:val="Nivel2"/>
        <w:numPr>
          <w:ilvl w:val="1"/>
          <w:numId w:val="7"/>
        </w:numPr>
        <w:spacing w:after="288" w:line="312" w:lineRule="auto"/>
        <w:ind w:left="360"/>
      </w:pPr>
      <w:r>
        <w:rPr>
          <w:rFonts w:ascii="Times New Roman" w:hAnsi="Times New Roman" w:cs="Times New Roman"/>
          <w:sz w:val="22"/>
          <w:szCs w:val="22"/>
        </w:rPr>
        <w:t xml:space="preserve">Certidão negativa de falência expedida pelo distribuidor da sede do fornecedor - </w:t>
      </w:r>
      <w:hyperlink r:id="rId43" w:anchor="art69" w:history="1">
        <w:r>
          <w:rPr>
            <w:rStyle w:val="LinkdaInternet"/>
            <w:rFonts w:ascii="Times New Roman" w:hAnsi="Times New Roman" w:cs="Times New Roman"/>
            <w:color w:val="000000"/>
            <w:sz w:val="22"/>
            <w:szCs w:val="22"/>
          </w:rPr>
          <w:t>Lei nº 14.133, de 2021, art. 69, caput, inciso II</w:t>
        </w:r>
      </w:hyperlink>
      <w:r>
        <w:rPr>
          <w:rFonts w:ascii="Times New Roman" w:hAnsi="Times New Roman" w:cs="Times New Roman"/>
          <w:sz w:val="22"/>
          <w:szCs w:val="22"/>
        </w:rPr>
        <w:t>);</w:t>
      </w:r>
    </w:p>
    <w:p w14:paraId="4DF40263"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50C7725" w14:textId="77777777" w:rsidR="003E2A0A" w:rsidRDefault="00810F93">
      <w:pPr>
        <w:pStyle w:val="Nivel2"/>
        <w:spacing w:after="288" w:line="312" w:lineRule="auto"/>
        <w:ind w:left="900"/>
        <w:contextualSpacing/>
        <w:rPr>
          <w:rFonts w:ascii="Times New Roman" w:eastAsia="Arial" w:hAnsi="Times New Roman" w:cs="Times New Roman"/>
          <w:sz w:val="22"/>
          <w:szCs w:val="22"/>
        </w:rPr>
      </w:pPr>
      <w:r>
        <w:rPr>
          <w:rFonts w:ascii="Times New Roman" w:eastAsia="Arial" w:hAnsi="Times New Roman" w:cs="Times New Roman"/>
          <w:sz w:val="22"/>
          <w:szCs w:val="22"/>
        </w:rPr>
        <w:t xml:space="preserve">I - Liquidez Geral (LG) = (Ativo Circulante + Realizável a Longo </w:t>
      </w:r>
      <w:proofErr w:type="gramStart"/>
      <w:r>
        <w:rPr>
          <w:rFonts w:ascii="Times New Roman" w:eastAsia="Arial" w:hAnsi="Times New Roman" w:cs="Times New Roman"/>
          <w:sz w:val="22"/>
          <w:szCs w:val="22"/>
        </w:rPr>
        <w:t>Prazo )</w:t>
      </w:r>
      <w:proofErr w:type="gramEnd"/>
      <w:r>
        <w:rPr>
          <w:rFonts w:ascii="Times New Roman" w:eastAsia="Arial" w:hAnsi="Times New Roman" w:cs="Times New Roman"/>
          <w:sz w:val="22"/>
          <w:szCs w:val="22"/>
        </w:rPr>
        <w:t>/( Passivo Circulante + Passivo Não Circulante);</w:t>
      </w:r>
    </w:p>
    <w:p w14:paraId="6A437E7C" w14:textId="77777777" w:rsidR="003E2A0A" w:rsidRDefault="00810F93">
      <w:pPr>
        <w:pStyle w:val="Nivel3"/>
        <w:spacing w:after="288" w:line="312" w:lineRule="auto"/>
        <w:ind w:left="900"/>
        <w:rPr>
          <w:rFonts w:ascii="Times New Roman" w:eastAsia="Arial" w:hAnsi="Times New Roman" w:cs="Times New Roman"/>
          <w:sz w:val="22"/>
          <w:szCs w:val="22"/>
        </w:rPr>
      </w:pPr>
      <w:r>
        <w:rPr>
          <w:rFonts w:ascii="Times New Roman" w:eastAsia="Arial" w:hAnsi="Times New Roman" w:cs="Times New Roman"/>
          <w:sz w:val="22"/>
          <w:szCs w:val="22"/>
        </w:rPr>
        <w:t xml:space="preserve">II - Solvência Geral (SG)= (Ativo </w:t>
      </w:r>
      <w:proofErr w:type="gramStart"/>
      <w:r>
        <w:rPr>
          <w:rFonts w:ascii="Times New Roman" w:eastAsia="Arial" w:hAnsi="Times New Roman" w:cs="Times New Roman"/>
          <w:sz w:val="22"/>
          <w:szCs w:val="22"/>
        </w:rPr>
        <w:t>Total)/</w:t>
      </w:r>
      <w:proofErr w:type="gramEnd"/>
      <w:r>
        <w:rPr>
          <w:rFonts w:ascii="Times New Roman" w:eastAsia="Arial" w:hAnsi="Times New Roman" w:cs="Times New Roman"/>
          <w:sz w:val="22"/>
          <w:szCs w:val="22"/>
        </w:rPr>
        <w:t>(Passivo Circulante +Passivo não Circulante); e</w:t>
      </w:r>
    </w:p>
    <w:p w14:paraId="3A585628" w14:textId="77777777" w:rsidR="003E2A0A" w:rsidRDefault="00810F93">
      <w:pPr>
        <w:pStyle w:val="Nivel3"/>
        <w:spacing w:after="288" w:line="312" w:lineRule="auto"/>
        <w:ind w:left="900"/>
        <w:rPr>
          <w:rFonts w:ascii="Times New Roman" w:eastAsia="Arial" w:hAnsi="Times New Roman" w:cs="Times New Roman"/>
          <w:sz w:val="22"/>
          <w:szCs w:val="22"/>
        </w:rPr>
      </w:pPr>
      <w:r>
        <w:rPr>
          <w:rFonts w:ascii="Times New Roman" w:eastAsia="Arial" w:hAnsi="Times New Roman" w:cs="Times New Roman"/>
          <w:sz w:val="22"/>
          <w:szCs w:val="22"/>
        </w:rPr>
        <w:t xml:space="preserve">III - Liquidez Corrente (LC) = (Ativo </w:t>
      </w:r>
      <w:proofErr w:type="gramStart"/>
      <w:r>
        <w:rPr>
          <w:rFonts w:ascii="Times New Roman" w:eastAsia="Arial" w:hAnsi="Times New Roman" w:cs="Times New Roman"/>
          <w:sz w:val="22"/>
          <w:szCs w:val="22"/>
        </w:rPr>
        <w:t>Circulante)/</w:t>
      </w:r>
      <w:proofErr w:type="gramEnd"/>
      <w:r>
        <w:rPr>
          <w:rFonts w:ascii="Times New Roman" w:eastAsia="Arial" w:hAnsi="Times New Roman" w:cs="Times New Roman"/>
          <w:sz w:val="22"/>
          <w:szCs w:val="22"/>
        </w:rPr>
        <w:t>(Passivo Circulante).</w:t>
      </w:r>
    </w:p>
    <w:p w14:paraId="69EE00B7" w14:textId="77777777" w:rsidR="003E2A0A" w:rsidRDefault="00810F93">
      <w:pPr>
        <w:pStyle w:val="Nivel2"/>
        <w:numPr>
          <w:ilvl w:val="1"/>
          <w:numId w:val="7"/>
        </w:numPr>
        <w:spacing w:after="288" w:line="312" w:lineRule="auto"/>
        <w:ind w:left="360"/>
        <w:rPr>
          <w:rFonts w:ascii="Times New Roman" w:eastAsia="Arial" w:hAnsi="Times New Roman" w:cs="Times New Roman"/>
          <w:sz w:val="22"/>
          <w:szCs w:val="22"/>
        </w:rPr>
      </w:pPr>
      <w:r>
        <w:rPr>
          <w:rFonts w:ascii="Times New Roman" w:eastAsia="Arial" w:hAnsi="Times New Roman" w:cs="Times New Roman"/>
          <w:sz w:val="22"/>
          <w:szCs w:val="22"/>
        </w:rPr>
        <w:lastRenderedPageBreak/>
        <w:t>Caso a empresa licitante apresente resultado inferior ou igual a 1 (um) em qualquer dos índices de Liquidez Geral (LG), Solvência Geral (SG) e Liquidez Corrente (LC), será exigido para fins de habilitação de 10% do valor total estimado da contratação</w:t>
      </w:r>
    </w:p>
    <w:p w14:paraId="6A9E518E"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As empresas criadas no exercício financeiro da licitação deverão atender a todas as exigências da habilitação e poderão substituir os demonstrativos contábeis pelo balanço de abertura. (Lei nº 14.133, de 2021, art. 65, §1º).</w:t>
      </w:r>
    </w:p>
    <w:p w14:paraId="56ABB610" w14:textId="77777777" w:rsidR="003E2A0A" w:rsidRDefault="00810F93">
      <w:pPr>
        <w:pStyle w:val="Nivel2"/>
        <w:numPr>
          <w:ilvl w:val="1"/>
          <w:numId w:val="7"/>
        </w:numPr>
        <w:spacing w:after="288" w:line="312" w:lineRule="auto"/>
        <w:ind w:left="360"/>
        <w:rPr>
          <w:rFonts w:ascii="Times New Roman" w:hAnsi="Times New Roman" w:cs="Times New Roman"/>
          <w:sz w:val="22"/>
          <w:szCs w:val="22"/>
        </w:rPr>
      </w:pPr>
      <w:r>
        <w:rPr>
          <w:rFonts w:ascii="Times New Roman" w:hAnsi="Times New Roman" w:cs="Times New Roman"/>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147458DC" w14:textId="77777777" w:rsidR="003E2A0A" w:rsidRDefault="003E2A0A">
      <w:pPr>
        <w:pStyle w:val="PargrafodaLista"/>
        <w:numPr>
          <w:ilvl w:val="1"/>
          <w:numId w:val="7"/>
        </w:numPr>
        <w:spacing w:after="120"/>
        <w:ind w:right="-15"/>
        <w:rPr>
          <w:rFonts w:ascii="Times New Roman" w:hAnsi="Times New Roman" w:cs="Times New Roman"/>
          <w:bCs/>
          <w:sz w:val="22"/>
          <w:szCs w:val="22"/>
          <w:lang w:eastAsia="en-US"/>
        </w:rPr>
      </w:pPr>
    </w:p>
    <w:p w14:paraId="4E81A99E" w14:textId="77777777" w:rsidR="003E2A0A" w:rsidRDefault="003E2A0A">
      <w:pPr>
        <w:spacing w:before="120" w:after="120"/>
        <w:rPr>
          <w:rFonts w:ascii="Times New Roman" w:hAnsi="Times New Roman" w:cs="Times New Roman"/>
          <w:sz w:val="22"/>
          <w:szCs w:val="22"/>
        </w:rPr>
      </w:pPr>
    </w:p>
    <w:p w14:paraId="5F54E6FE" w14:textId="77777777" w:rsidR="003E2A0A" w:rsidRDefault="003E2A0A">
      <w:pPr>
        <w:spacing w:before="120" w:after="120"/>
        <w:rPr>
          <w:rFonts w:ascii="Times New Roman" w:hAnsi="Times New Roman" w:cs="Times New Roman"/>
          <w:sz w:val="22"/>
          <w:szCs w:val="22"/>
        </w:rPr>
      </w:pPr>
    </w:p>
    <w:p w14:paraId="572E7AE2" w14:textId="77777777" w:rsidR="003E2A0A" w:rsidRDefault="00810F93">
      <w:pPr>
        <w:pStyle w:val="PargrafodaLista"/>
        <w:numPr>
          <w:ilvl w:val="0"/>
          <w:numId w:val="7"/>
        </w:numPr>
        <w:spacing w:after="120"/>
        <w:ind w:right="-15"/>
        <w:rPr>
          <w:rFonts w:ascii="Times New Roman" w:hAnsi="Times New Roman" w:cs="Times New Roman"/>
          <w:b/>
          <w:sz w:val="22"/>
          <w:szCs w:val="22"/>
          <w:lang w:eastAsia="en-US"/>
        </w:rPr>
      </w:pPr>
      <w:r>
        <w:rPr>
          <w:rFonts w:ascii="Times New Roman" w:hAnsi="Times New Roman" w:cs="Times New Roman"/>
          <w:b/>
          <w:sz w:val="22"/>
          <w:szCs w:val="22"/>
          <w:lang w:eastAsia="en-US"/>
        </w:rPr>
        <w:t xml:space="preserve">ESTIMATIVAS DO VALOR DA CONTRATAÇÃO </w:t>
      </w:r>
    </w:p>
    <w:p w14:paraId="2D2D1D6C" w14:textId="5AB6FE37" w:rsidR="003E2A0A" w:rsidRDefault="00810F93">
      <w:pPr>
        <w:pStyle w:val="Nvel2-Red"/>
        <w:spacing w:after="288" w:line="312" w:lineRule="auto"/>
        <w:ind w:left="567"/>
      </w:pPr>
      <w:r>
        <w:rPr>
          <w:rFonts w:ascii="Times New Roman" w:hAnsi="Times New Roman" w:cs="Times New Roman"/>
          <w:bCs/>
          <w:i w:val="0"/>
          <w:iCs w:val="0"/>
          <w:color w:val="000000"/>
          <w:sz w:val="22"/>
          <w:szCs w:val="22"/>
          <w:lang w:eastAsia="en-US"/>
        </w:rPr>
        <w:t xml:space="preserve">9.1 </w:t>
      </w:r>
      <w:r>
        <w:rPr>
          <w:rFonts w:ascii="Times New Roman" w:hAnsi="Times New Roman" w:cs="Times New Roman"/>
          <w:i w:val="0"/>
          <w:iCs w:val="0"/>
          <w:color w:val="000000"/>
          <w:sz w:val="22"/>
          <w:szCs w:val="22"/>
        </w:rPr>
        <w:t xml:space="preserve">O custo estimado total da contratação é de </w:t>
      </w:r>
      <w:r w:rsidR="003026BF" w:rsidRPr="003026BF">
        <w:rPr>
          <w:rFonts w:ascii="Times New Roman" w:hAnsi="Times New Roman" w:cs="Times New Roman"/>
          <w:i w:val="0"/>
          <w:iCs w:val="0"/>
          <w:color w:val="auto"/>
        </w:rPr>
        <w:t>2.404,80</w:t>
      </w:r>
      <w:r w:rsidR="00636110" w:rsidRPr="003026BF">
        <w:rPr>
          <w:rFonts w:ascii="Times New Roman" w:hAnsi="Times New Roman" w:cs="Times New Roman"/>
          <w:i w:val="0"/>
          <w:iCs w:val="0"/>
          <w:color w:val="auto"/>
        </w:rPr>
        <w:t xml:space="preserve"> </w:t>
      </w:r>
      <w:r>
        <w:rPr>
          <w:rFonts w:ascii="Times New Roman" w:hAnsi="Times New Roman" w:cs="Times New Roman"/>
          <w:b/>
          <w:bCs/>
          <w:i w:val="0"/>
          <w:iCs w:val="0"/>
          <w:color w:val="000000"/>
          <w:sz w:val="22"/>
          <w:szCs w:val="22"/>
        </w:rPr>
        <w:t>(</w:t>
      </w:r>
      <w:r w:rsidR="00636110">
        <w:rPr>
          <w:rFonts w:ascii="Times New Roman" w:hAnsi="Times New Roman" w:cs="Times New Roman"/>
          <w:b/>
          <w:bCs/>
          <w:i w:val="0"/>
          <w:iCs w:val="0"/>
          <w:color w:val="000000"/>
          <w:sz w:val="22"/>
          <w:szCs w:val="22"/>
        </w:rPr>
        <w:t xml:space="preserve">dois mil, </w:t>
      </w:r>
      <w:r w:rsidR="003026BF">
        <w:rPr>
          <w:rFonts w:ascii="Times New Roman" w:hAnsi="Times New Roman" w:cs="Times New Roman"/>
          <w:b/>
          <w:bCs/>
          <w:i w:val="0"/>
          <w:iCs w:val="0"/>
          <w:color w:val="000000"/>
          <w:sz w:val="22"/>
          <w:szCs w:val="22"/>
        </w:rPr>
        <w:t>quatrocentos e quatro reais e oitenta centavos</w:t>
      </w:r>
      <w:r>
        <w:rPr>
          <w:rFonts w:ascii="Times New Roman" w:hAnsi="Times New Roman" w:cs="Times New Roman"/>
          <w:b/>
          <w:bCs/>
          <w:i w:val="0"/>
          <w:iCs w:val="0"/>
          <w:color w:val="000000"/>
          <w:sz w:val="22"/>
          <w:szCs w:val="22"/>
        </w:rPr>
        <w:t>)</w:t>
      </w:r>
      <w:r>
        <w:rPr>
          <w:rFonts w:ascii="Times New Roman" w:hAnsi="Times New Roman" w:cs="Times New Roman"/>
          <w:i w:val="0"/>
          <w:iCs w:val="0"/>
          <w:color w:val="000000"/>
          <w:sz w:val="22"/>
          <w:szCs w:val="22"/>
        </w:rPr>
        <w:t xml:space="preserve"> conforme custos unitários apostos na tabela acima e em anexo.</w:t>
      </w:r>
    </w:p>
    <w:p w14:paraId="36CE9299" w14:textId="77777777" w:rsidR="003E2A0A" w:rsidRDefault="00810F93">
      <w:pPr>
        <w:pStyle w:val="Nvel2-Red"/>
        <w:spacing w:after="288" w:line="312" w:lineRule="auto"/>
        <w:ind w:left="567"/>
      </w:pPr>
      <w:r>
        <w:rPr>
          <w:rFonts w:ascii="Times New Roman" w:hAnsi="Times New Roman" w:cs="Times New Roman"/>
          <w:b/>
          <w:bCs/>
          <w:i w:val="0"/>
          <w:iCs w:val="0"/>
          <w:color w:val="000000"/>
          <w:sz w:val="22"/>
          <w:szCs w:val="22"/>
        </w:rPr>
        <w:t xml:space="preserve">9.2. </w:t>
      </w:r>
      <w:r>
        <w:rPr>
          <w:rFonts w:ascii="Times New Roman" w:hAnsi="Times New Roman" w:cs="Times New Roman"/>
          <w:b/>
          <w:bCs/>
          <w:i w:val="0"/>
          <w:iCs w:val="0"/>
          <w:color w:val="000000"/>
        </w:rPr>
        <w:t xml:space="preserve"> </w:t>
      </w:r>
      <w:r>
        <w:rPr>
          <w:rFonts w:ascii="Times New Roman" w:hAnsi="Times New Roman" w:cs="Times New Roman"/>
          <w:bCs/>
          <w:i w:val="0"/>
          <w:iCs w:val="0"/>
          <w:color w:val="000000"/>
        </w:rPr>
        <w:t>FONTE DE PESQUISA DE PREÇOS; esta Administração utilizou como parâmetro de pesquisa o inciso I da IN SLTI / MPOG 65/2021</w:t>
      </w:r>
    </w:p>
    <w:p w14:paraId="2DDAD3AC" w14:textId="77777777" w:rsidR="003E2A0A" w:rsidRDefault="00810F93">
      <w:pPr>
        <w:pStyle w:val="Nvel2-Red"/>
        <w:spacing w:after="288" w:line="312" w:lineRule="auto"/>
        <w:ind w:left="567"/>
        <w:rPr>
          <w:rFonts w:ascii="Times New Roman" w:hAnsi="Times New Roman" w:cs="Times New Roman"/>
          <w:bCs/>
          <w:i w:val="0"/>
          <w:iCs w:val="0"/>
          <w:color w:val="000000"/>
        </w:rPr>
      </w:pPr>
      <w:r>
        <w:rPr>
          <w:rFonts w:ascii="Times New Roman" w:hAnsi="Times New Roman" w:cs="Times New Roman"/>
          <w:bCs/>
          <w:i w:val="0"/>
          <w:iCs w:val="0"/>
          <w:color w:val="000000"/>
        </w:rPr>
        <w:t xml:space="preserve">9.3.  Os valores das colunas "PREÇOS PÚBLICOS", numeradas de 1 a 3, são resultados da pesquisa realizada no </w:t>
      </w:r>
      <w:proofErr w:type="spellStart"/>
      <w:r>
        <w:rPr>
          <w:rFonts w:ascii="Times New Roman" w:hAnsi="Times New Roman" w:cs="Times New Roman"/>
          <w:bCs/>
          <w:i w:val="0"/>
          <w:iCs w:val="0"/>
          <w:color w:val="000000"/>
        </w:rPr>
        <w:t>ComprasNet</w:t>
      </w:r>
      <w:proofErr w:type="spellEnd"/>
      <w:r>
        <w:rPr>
          <w:rFonts w:ascii="Times New Roman" w:hAnsi="Times New Roman" w:cs="Times New Roman"/>
          <w:bCs/>
          <w:i w:val="0"/>
          <w:iCs w:val="0"/>
          <w:color w:val="000000"/>
        </w:rPr>
        <w:t>, desenvolvido pela equipe da Secretaria de Gestão - SEGES do Ministério do Planejamento, Desenvolvimento e Gestão – MP</w:t>
      </w:r>
    </w:p>
    <w:p w14:paraId="3EF72A07" w14:textId="77777777" w:rsidR="003E2A0A" w:rsidRDefault="003E2A0A">
      <w:pPr>
        <w:pStyle w:val="Nvel2-Red"/>
        <w:spacing w:after="288" w:line="312" w:lineRule="auto"/>
        <w:ind w:left="567"/>
        <w:rPr>
          <w:rFonts w:ascii="Times New Roman" w:hAnsi="Times New Roman" w:cs="Times New Roman"/>
          <w:bCs/>
          <w:i w:val="0"/>
          <w:iCs w:val="0"/>
          <w:color w:val="000000"/>
        </w:rPr>
      </w:pPr>
    </w:p>
    <w:p w14:paraId="2B141F64" w14:textId="77777777" w:rsidR="003E2A0A" w:rsidRDefault="00810F93">
      <w:pPr>
        <w:pStyle w:val="Nivel01"/>
        <w:spacing w:before="120" w:after="288" w:line="312" w:lineRule="auto"/>
        <w:ind w:left="360" w:hanging="360"/>
      </w:pPr>
      <w:r>
        <w:rPr>
          <w:rFonts w:ascii="Times New Roman" w:hAnsi="Times New Roman" w:cs="Times New Roman"/>
          <w:sz w:val="22"/>
          <w:szCs w:val="22"/>
          <w:lang w:eastAsia="en-US"/>
        </w:rPr>
        <w:t>10</w:t>
      </w:r>
      <w:r>
        <w:rPr>
          <w:rFonts w:ascii="Times New Roman" w:hAnsi="Times New Roman" w:cs="Times New Roman"/>
          <w:sz w:val="22"/>
          <w:szCs w:val="22"/>
          <w:lang w:eastAsia="en-US"/>
        </w:rPr>
        <w:tab/>
      </w:r>
      <w:r>
        <w:rPr>
          <w:rFonts w:ascii="Times New Roman" w:hAnsi="Times New Roman" w:cs="Times New Roman"/>
          <w:sz w:val="22"/>
          <w:szCs w:val="22"/>
        </w:rPr>
        <w:t>ADEQUAÇÃO ORÇAMENTÁRIA</w:t>
      </w:r>
    </w:p>
    <w:p w14:paraId="3E0518CB" w14:textId="77777777" w:rsidR="003E2A0A" w:rsidRDefault="00810F93">
      <w:pPr>
        <w:pStyle w:val="Nivel2"/>
        <w:spacing w:after="288" w:line="312" w:lineRule="auto"/>
        <w:ind w:left="709"/>
      </w:pPr>
      <w:r>
        <w:rPr>
          <w:rFonts w:ascii="Times New Roman" w:hAnsi="Times New Roman" w:cs="Times New Roman"/>
          <w:sz w:val="22"/>
          <w:szCs w:val="22"/>
        </w:rPr>
        <w:t xml:space="preserve">10.1 </w:t>
      </w:r>
      <w:r>
        <w:rPr>
          <w:rFonts w:ascii="Times New Roman" w:eastAsia="Arial" w:hAnsi="Times New Roman" w:cs="Times New Roman"/>
          <w:sz w:val="22"/>
          <w:szCs w:val="22"/>
        </w:rPr>
        <w:t>As despesas decorrentes da presente contratação correrão à conta de recursos específicos consignados no Orçamento Geral da União.</w:t>
      </w:r>
    </w:p>
    <w:p w14:paraId="6494F8F0" w14:textId="77777777" w:rsidR="003E2A0A" w:rsidRDefault="00810F93">
      <w:pPr>
        <w:pStyle w:val="Nivel2"/>
        <w:spacing w:after="288" w:line="312" w:lineRule="auto"/>
        <w:ind w:left="567"/>
      </w:pPr>
      <w:r>
        <w:rPr>
          <w:rFonts w:ascii="Times New Roman" w:eastAsia="Arial" w:hAnsi="Times New Roman" w:cs="Times New Roman"/>
          <w:sz w:val="22"/>
          <w:szCs w:val="22"/>
        </w:rPr>
        <w:t xml:space="preserve">10.2 </w:t>
      </w:r>
      <w:r>
        <w:rPr>
          <w:rFonts w:ascii="Times New Roman" w:hAnsi="Times New Roman" w:cs="Times New Roman"/>
          <w:sz w:val="22"/>
          <w:szCs w:val="22"/>
        </w:rPr>
        <w:t>A contratação será atendida pela seguinte dotação:</w:t>
      </w:r>
    </w:p>
    <w:p w14:paraId="421EFD2F" w14:textId="77777777" w:rsidR="003E2A0A" w:rsidRDefault="00810F93">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I) Gestão/Unidade: [...];</w:t>
      </w:r>
    </w:p>
    <w:p w14:paraId="39E3C06D" w14:textId="77777777" w:rsidR="003E2A0A" w:rsidRDefault="00810F93">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Fonte de Recursos: [...];</w:t>
      </w:r>
    </w:p>
    <w:p w14:paraId="7159F2F5" w14:textId="77777777" w:rsidR="003E2A0A" w:rsidRDefault="00810F93">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Programa de Trabalho: [...];</w:t>
      </w:r>
    </w:p>
    <w:p w14:paraId="22CA8748" w14:textId="77777777" w:rsidR="003E2A0A" w:rsidRDefault="00810F93">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Elemento de Despesa: [...];</w:t>
      </w:r>
    </w:p>
    <w:p w14:paraId="4EB4ACBF" w14:textId="77777777" w:rsidR="003E2A0A" w:rsidRDefault="00810F93">
      <w:pPr>
        <w:pStyle w:val="PargrafodaLista"/>
        <w:widowControl/>
        <w:numPr>
          <w:ilvl w:val="0"/>
          <w:numId w:val="10"/>
        </w:numPr>
        <w:suppressAutoHyphens w:val="0"/>
        <w:spacing w:before="120" w:after="288" w:line="312" w:lineRule="auto"/>
        <w:ind w:left="851" w:firstLine="0"/>
        <w:jc w:val="both"/>
        <w:rPr>
          <w:rFonts w:ascii="Times New Roman" w:eastAsia="Arial" w:hAnsi="Times New Roman" w:cs="Times New Roman"/>
          <w:sz w:val="22"/>
          <w:szCs w:val="22"/>
        </w:rPr>
      </w:pPr>
      <w:r>
        <w:rPr>
          <w:rFonts w:ascii="Times New Roman" w:eastAsia="Arial" w:hAnsi="Times New Roman" w:cs="Times New Roman"/>
          <w:sz w:val="22"/>
          <w:szCs w:val="22"/>
        </w:rPr>
        <w:t>Plano Interno: [...];</w:t>
      </w:r>
    </w:p>
    <w:p w14:paraId="04540231" w14:textId="77777777" w:rsidR="003E2A0A" w:rsidRDefault="00810F93">
      <w:pPr>
        <w:pStyle w:val="Nvel2-Red"/>
        <w:spacing w:after="288" w:line="312" w:lineRule="auto"/>
        <w:ind w:left="709"/>
      </w:pPr>
      <w:r>
        <w:rPr>
          <w:rFonts w:ascii="Times New Roman" w:hAnsi="Times New Roman" w:cs="Times New Roman"/>
          <w:color w:val="000000"/>
          <w:sz w:val="22"/>
          <w:szCs w:val="22"/>
        </w:rPr>
        <w:lastRenderedPageBreak/>
        <w:t xml:space="preserve">10.3 </w:t>
      </w:r>
      <w:r>
        <w:rPr>
          <w:rFonts w:ascii="Times New Roman" w:hAnsi="Times New Roman" w:cs="Times New Roman"/>
          <w:i w:val="0"/>
          <w:iCs w:val="0"/>
          <w:color w:val="000000"/>
          <w:sz w:val="22"/>
          <w:szCs w:val="22"/>
        </w:rPr>
        <w:t>A dotação relativa aos exercícios financeiros subsequentes será indicada após aprovação da Lei Orçamentária respectiva e liberação dos créditos correspondentes, mediante apostilamento</w:t>
      </w:r>
      <w:r>
        <w:rPr>
          <w:rFonts w:ascii="Times New Roman" w:hAnsi="Times New Roman" w:cs="Times New Roman"/>
          <w:color w:val="000000"/>
          <w:sz w:val="22"/>
          <w:szCs w:val="22"/>
        </w:rPr>
        <w:t>.</w:t>
      </w:r>
    </w:p>
    <w:p w14:paraId="25E4CD5F" w14:textId="77777777" w:rsidR="003E2A0A" w:rsidRDefault="00810F93">
      <w:pPr>
        <w:pStyle w:val="Nvel2-Red"/>
        <w:spacing w:after="288" w:line="312" w:lineRule="auto"/>
        <w:rPr>
          <w:rFonts w:ascii="Times New Roman" w:hAnsi="Times New Roman" w:cs="Times New Roman"/>
          <w:b/>
          <w:bCs/>
          <w:i w:val="0"/>
          <w:iCs w:val="0"/>
          <w:color w:val="000000"/>
          <w:sz w:val="22"/>
          <w:szCs w:val="22"/>
        </w:rPr>
      </w:pPr>
      <w:r>
        <w:rPr>
          <w:rFonts w:ascii="Times New Roman" w:hAnsi="Times New Roman" w:cs="Times New Roman"/>
          <w:b/>
          <w:bCs/>
          <w:i w:val="0"/>
          <w:iCs w:val="0"/>
          <w:color w:val="000000"/>
          <w:sz w:val="22"/>
          <w:szCs w:val="22"/>
        </w:rPr>
        <w:t>11 OBRIGAÇÕES DA CONTRATADA</w:t>
      </w:r>
    </w:p>
    <w:p w14:paraId="55A7787F" w14:textId="77777777" w:rsidR="003E2A0A" w:rsidRDefault="00810F93">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11.1 2 responsabilizar-se pelos vícios e danos decorrentes do objeto, de acordo com os artigos 12, 13 e 17 a 27, do Código de Defesa do Consumidor (Lei nº 8.078, de 1990);</w:t>
      </w:r>
    </w:p>
    <w:p w14:paraId="14C688D1" w14:textId="77777777" w:rsidR="003E2A0A" w:rsidRDefault="00810F93">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11.2 substituir, reparar ou corrigir, às suas expensas, no prazo fixado neste Termo de Referência, o objeto com avarias ou defeitos;</w:t>
      </w:r>
    </w:p>
    <w:p w14:paraId="1F7B63E3" w14:textId="77777777" w:rsidR="003E2A0A" w:rsidRDefault="00810F93">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11.3 comunicar à Contratante, no prazo máximo de 24 (vinte e quatro) horas que antecede a data da entrega, os motivos que impossibilitem o cumprimento do prazo previsto, com a devida comprovação;</w:t>
      </w:r>
    </w:p>
    <w:p w14:paraId="5BB3CA83" w14:textId="77777777" w:rsidR="003E2A0A" w:rsidRDefault="00810F93">
      <w:pPr>
        <w:pStyle w:val="Nvel2-Red"/>
        <w:spacing w:after="288" w:line="312" w:lineRule="auto"/>
        <w:rPr>
          <w:rFonts w:ascii="Times New Roman" w:hAnsi="Times New Roman" w:cs="Times New Roman"/>
          <w:i w:val="0"/>
          <w:iCs w:val="0"/>
          <w:color w:val="000000"/>
          <w:sz w:val="22"/>
          <w:szCs w:val="22"/>
        </w:rPr>
      </w:pPr>
      <w:r>
        <w:rPr>
          <w:rFonts w:ascii="Times New Roman" w:hAnsi="Times New Roman" w:cs="Times New Roman"/>
          <w:i w:val="0"/>
          <w:iCs w:val="0"/>
          <w:color w:val="000000"/>
          <w:sz w:val="22"/>
          <w:szCs w:val="22"/>
        </w:rPr>
        <w:t>11.4 manter, durante toda a execução do contrato, em compatibilidade com as obrigações assumidas, todas as condições de habilitação e qualificação exigidas na licitação;</w:t>
      </w:r>
    </w:p>
    <w:p w14:paraId="1B6CF5A2" w14:textId="77777777" w:rsidR="003E2A0A" w:rsidRDefault="00810F93">
      <w:pPr>
        <w:suppressAutoHyphens w:val="0"/>
        <w:spacing w:before="120" w:after="120"/>
        <w:jc w:val="both"/>
        <w:rPr>
          <w:rFonts w:ascii="Times New Roman" w:hAnsi="Times New Roman" w:cs="Times New Roman"/>
          <w:sz w:val="22"/>
          <w:szCs w:val="22"/>
        </w:rPr>
      </w:pPr>
      <w:r>
        <w:rPr>
          <w:rFonts w:ascii="Times New Roman" w:hAnsi="Times New Roman" w:cs="Times New Roman"/>
          <w:sz w:val="22"/>
          <w:szCs w:val="22"/>
        </w:rPr>
        <w:t>11.5 indicar preposto para representá-la durante a execução do contrato.</w:t>
      </w:r>
    </w:p>
    <w:p w14:paraId="3E180CDC" w14:textId="77777777" w:rsidR="003E2A0A" w:rsidRDefault="00810F93">
      <w:pPr>
        <w:suppressAutoHyphens w:val="0"/>
        <w:spacing w:before="120" w:after="120"/>
        <w:jc w:val="both"/>
      </w:pPr>
      <w:r>
        <w:rPr>
          <w:rFonts w:ascii="Ecofont_Spranq_eco_Sans" w:eastAsia="Times New Roman" w:hAnsi="Ecofont_Spranq_eco_Sans"/>
          <w:color w:val="auto"/>
          <w:lang w:bidi="ar-SA"/>
        </w:rPr>
        <w:t xml:space="preserve">11.6 </w:t>
      </w:r>
      <w:r>
        <w:rPr>
          <w:rFonts w:ascii="Times New Roman" w:hAnsi="Times New Roman" w:cs="Times New Roman"/>
          <w:sz w:val="22"/>
          <w:szCs w:val="22"/>
        </w:rPr>
        <w:t>Quanto ao gerenciamento dos resíduos de serviços de saúde, a contratada deverá obedecer às disposições do Plano de Gerenciamento de Resíduos de Serviços de Saúde – PGRSS elaborado pelo órgão, além de obedecer às diretrizes constantes da Lei nº 12.305, de 2010 – Política Nacional de Resíduos Sólidos, Resolução CONAMA n° 358, de 29/04/2005 e RDC 222, de 28/03/2018 - ANVISA.</w:t>
      </w:r>
    </w:p>
    <w:p w14:paraId="3BB238ED" w14:textId="77777777" w:rsidR="003E2A0A" w:rsidRDefault="00810F93">
      <w:pPr>
        <w:suppressAutoHyphens w:val="0"/>
        <w:spacing w:line="360" w:lineRule="auto"/>
        <w:ind w:left="907"/>
        <w:jc w:val="both"/>
      </w:pPr>
      <w:r>
        <w:rPr>
          <w:rFonts w:ascii="Times New Roman" w:hAnsi="Times New Roman" w:cs="Times New Roman"/>
          <w:sz w:val="22"/>
          <w:szCs w:val="22"/>
        </w:rPr>
        <w:t>a) os resíduos de serviços de saúde devem ser acondicionados atendendo às exigências legais referentes ao meio ambiente, à saúde e à limpeza urbana, e às normas da Associação Brasileira de Normas Técnicas – NBR 7.500:2018, NBR 12807:2013, NBR 12808:2016, NBR 12809:2013, NBR 13853-1:2018 e NBR 9191:2008.</w:t>
      </w:r>
    </w:p>
    <w:p w14:paraId="3F3EB03E" w14:textId="77777777" w:rsidR="003E2A0A" w:rsidRDefault="003E2A0A">
      <w:pPr>
        <w:suppressAutoHyphens w:val="0"/>
        <w:spacing w:line="360" w:lineRule="auto"/>
        <w:ind w:left="907"/>
        <w:jc w:val="both"/>
        <w:rPr>
          <w:rFonts w:ascii="Times New Roman" w:hAnsi="Times New Roman" w:cs="Times New Roman"/>
          <w:sz w:val="22"/>
          <w:szCs w:val="22"/>
        </w:rPr>
      </w:pPr>
    </w:p>
    <w:p w14:paraId="62FC13B0" w14:textId="77777777" w:rsidR="003E2A0A" w:rsidRDefault="00810F93">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b) os resíduos de serviços de saúde devem ser armazenados atendendo às exigências legais referentes ao meio ambiente, à saúde e à limpeza urbana, e às normas da Associação Brasileira de Normas Técnicas – ABNT NBR12235:1992, NBR 12809:2013, NBR 12810:2016.</w:t>
      </w:r>
    </w:p>
    <w:p w14:paraId="7B8C269E" w14:textId="77777777" w:rsidR="003E2A0A" w:rsidRDefault="00810F93">
      <w:pPr>
        <w:suppressAutoHyphens w:val="0"/>
        <w:spacing w:line="360" w:lineRule="auto"/>
        <w:ind w:left="907"/>
        <w:jc w:val="both"/>
      </w:pPr>
      <w:r>
        <w:rPr>
          <w:rFonts w:ascii="Times New Roman" w:hAnsi="Times New Roman" w:cs="Times New Roman"/>
          <w:sz w:val="22"/>
          <w:szCs w:val="22"/>
        </w:rPr>
        <w:t>c) a coleta e o transporte de resíduos de serviços de saúde devem atender às exigências legais e às normas da ABNT – NBR12.810:2016 e NBR14652:2013;</w:t>
      </w:r>
    </w:p>
    <w:p w14:paraId="4AB279E1" w14:textId="77777777" w:rsidR="003E2A0A" w:rsidRDefault="003E2A0A">
      <w:pPr>
        <w:suppressAutoHyphens w:val="0"/>
        <w:spacing w:line="360" w:lineRule="auto"/>
        <w:ind w:left="907"/>
        <w:jc w:val="both"/>
        <w:rPr>
          <w:rFonts w:ascii="Times New Roman" w:hAnsi="Times New Roman" w:cs="Times New Roman"/>
          <w:sz w:val="22"/>
          <w:szCs w:val="22"/>
        </w:rPr>
      </w:pPr>
    </w:p>
    <w:p w14:paraId="3BFA7798" w14:textId="77777777" w:rsidR="003E2A0A" w:rsidRDefault="00810F93">
      <w:pPr>
        <w:suppressAutoHyphens w:val="0"/>
        <w:spacing w:line="360" w:lineRule="auto"/>
        <w:ind w:left="907"/>
        <w:jc w:val="both"/>
      </w:pPr>
      <w:r>
        <w:rPr>
          <w:rFonts w:ascii="Times New Roman" w:hAnsi="Times New Roman" w:cs="Times New Roman"/>
          <w:sz w:val="22"/>
          <w:szCs w:val="22"/>
        </w:rPr>
        <w:t>d) as estações para transferência de resíduos de serviços de saúde devem estar licenciadas pelo órgão ambiental competente e manter as características originais de acondicionamento, sendo vedada a abertura, rompimento ou transferência do conteúdo de uma embalagem para outra;</w:t>
      </w:r>
    </w:p>
    <w:p w14:paraId="12CAC74E" w14:textId="77777777" w:rsidR="003E2A0A" w:rsidRDefault="003E2A0A">
      <w:pPr>
        <w:suppressAutoHyphens w:val="0"/>
        <w:spacing w:line="360" w:lineRule="auto"/>
        <w:ind w:left="907"/>
        <w:jc w:val="both"/>
        <w:rPr>
          <w:rFonts w:ascii="Times New Roman" w:hAnsi="Times New Roman" w:cs="Times New Roman"/>
          <w:sz w:val="22"/>
          <w:szCs w:val="22"/>
        </w:rPr>
      </w:pPr>
    </w:p>
    <w:p w14:paraId="084CC0F3" w14:textId="77777777" w:rsidR="003E2A0A" w:rsidRDefault="00810F93">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 xml:space="preserve">e) a destinação ambiental dos resíduos de saúde deve observar a lei 12.305/10, legislação e </w:t>
      </w:r>
      <w:r>
        <w:rPr>
          <w:rFonts w:ascii="Times New Roman" w:hAnsi="Times New Roman" w:cs="Times New Roman"/>
          <w:sz w:val="22"/>
          <w:szCs w:val="22"/>
        </w:rPr>
        <w:lastRenderedPageBreak/>
        <w:t>normas ambientais incidentes.</w:t>
      </w:r>
    </w:p>
    <w:p w14:paraId="0392D3F1" w14:textId="77777777" w:rsidR="003E2A0A" w:rsidRDefault="00810F93">
      <w:pPr>
        <w:suppressAutoHyphens w:val="0"/>
        <w:spacing w:line="360" w:lineRule="auto"/>
        <w:ind w:left="907"/>
        <w:jc w:val="both"/>
      </w:pPr>
      <w:r>
        <w:rPr>
          <w:rFonts w:ascii="Times New Roman" w:hAnsi="Times New Roman" w:cs="Times New Roman"/>
          <w:sz w:val="22"/>
          <w:szCs w:val="22"/>
        </w:rPr>
        <w:t>f) os resíduos pertencentes ao Grupo A do Anexo I da Resolução CONAMA n° 358, de 29/04/2005, não podem ser reciclados, reutilizados ou reaproveitados, inclusive para alimentação animal.</w:t>
      </w:r>
    </w:p>
    <w:p w14:paraId="32D977BA" w14:textId="77777777" w:rsidR="003E2A0A" w:rsidRDefault="003E2A0A">
      <w:pPr>
        <w:suppressAutoHyphens w:val="0"/>
        <w:spacing w:line="360" w:lineRule="auto"/>
        <w:ind w:left="907"/>
        <w:jc w:val="both"/>
        <w:rPr>
          <w:rFonts w:ascii="Times New Roman" w:hAnsi="Times New Roman" w:cs="Times New Roman"/>
          <w:sz w:val="22"/>
          <w:szCs w:val="22"/>
        </w:rPr>
      </w:pPr>
    </w:p>
    <w:p w14:paraId="5BD2F6BB" w14:textId="77777777" w:rsidR="003E2A0A" w:rsidRDefault="00810F93">
      <w:pPr>
        <w:suppressAutoHyphens w:val="0"/>
        <w:spacing w:line="360" w:lineRule="auto"/>
        <w:ind w:left="1134"/>
        <w:jc w:val="both"/>
      </w:pPr>
      <w:r>
        <w:rPr>
          <w:rFonts w:ascii="Times New Roman" w:hAnsi="Times New Roman" w:cs="Times New Roman"/>
          <w:sz w:val="22"/>
          <w:szCs w:val="22"/>
        </w:rPr>
        <w:t>f.1) De acordo com o art. 46 da RDC nº 222/20108 da ANVISA as culturas e os estoques de microrganismos; os resíduos de fabricação de produtos biológicos, exceto os de medicamentos hemoderivados; os meios de cultura e os instrumentais utilizados para transferência, inoculação ou mistura de culturas; e os resíduos de laboratórios de manipulação genética devem ser tratados utilizando processos que vierem a ser validados para a obtenção de redução ou eliminação da carga microbiana, em equipamento compatível com Nível III de inativação microbiana (RSS do Grupo A – Subgrupo A1).</w:t>
      </w:r>
    </w:p>
    <w:p w14:paraId="47504DCF" w14:textId="77777777" w:rsidR="003E2A0A" w:rsidRDefault="003E2A0A">
      <w:pPr>
        <w:suppressAutoHyphens w:val="0"/>
        <w:spacing w:line="360" w:lineRule="auto"/>
        <w:ind w:left="1134"/>
        <w:jc w:val="both"/>
        <w:rPr>
          <w:rFonts w:ascii="Times New Roman" w:hAnsi="Times New Roman" w:cs="Times New Roman"/>
          <w:sz w:val="22"/>
          <w:szCs w:val="22"/>
        </w:rPr>
      </w:pPr>
    </w:p>
    <w:p w14:paraId="6EC5CAEC" w14:textId="77777777" w:rsidR="003E2A0A" w:rsidRDefault="00810F93">
      <w:pPr>
        <w:suppressAutoHyphens w:val="0"/>
        <w:spacing w:line="360" w:lineRule="auto"/>
        <w:ind w:left="1531"/>
        <w:jc w:val="both"/>
      </w:pPr>
      <w:r>
        <w:rPr>
          <w:rFonts w:ascii="Times New Roman" w:hAnsi="Times New Roman" w:cs="Times New Roman"/>
          <w:sz w:val="22"/>
          <w:szCs w:val="22"/>
        </w:rPr>
        <w:t>f.1.1) As culturas e os estoques de microrganismos, bem como os meios de cultura e os instrumentais utilizados para transferência, inoculação ou mistura de culturas contendo microrganismos das classes de risco 1 e 2 podem ser tratados fora da unidade geradora, desde que este tratamento ocorra nas dependências do serviço de saúde e os das classes de risco 3 e 4 devem ser tratados na unidade geradora. Estes RSS devem ser acondicionados de maneira compatível com o processo de tratamento e após o tratamento, os rejeitos devem ser encaminhados para disposição final ambientalmente adequada.</w:t>
      </w:r>
    </w:p>
    <w:p w14:paraId="3506BFF0" w14:textId="77777777" w:rsidR="003E2A0A" w:rsidRDefault="003E2A0A">
      <w:pPr>
        <w:suppressAutoHyphens w:val="0"/>
        <w:spacing w:line="360" w:lineRule="auto"/>
        <w:ind w:left="1531"/>
        <w:jc w:val="both"/>
        <w:rPr>
          <w:rFonts w:ascii="Times New Roman" w:hAnsi="Times New Roman" w:cs="Times New Roman"/>
          <w:sz w:val="22"/>
          <w:szCs w:val="22"/>
        </w:rPr>
      </w:pPr>
    </w:p>
    <w:p w14:paraId="5EFE2BEF" w14:textId="77777777" w:rsidR="003E2A0A" w:rsidRDefault="00810F93">
      <w:pPr>
        <w:suppressAutoHyphens w:val="0"/>
        <w:spacing w:line="360" w:lineRule="auto"/>
        <w:ind w:left="1134"/>
        <w:jc w:val="both"/>
      </w:pPr>
      <w:r>
        <w:rPr>
          <w:rFonts w:ascii="Times New Roman" w:hAnsi="Times New Roman" w:cs="Times New Roman"/>
          <w:sz w:val="22"/>
          <w:szCs w:val="22"/>
        </w:rPr>
        <w:t>f.2) os resíduos pertencentes ao Grupo A1 do Anexo I da Resolução CONAMA n° 358, de 29/04/2005, devem ser submetidos a processo de tratamento que promova redução de carga microbiana compatível com nível III de inativação e devem ser encaminhados para aterro sanitário licenciado ou local devidamente licenciado para disposição final de resíduos dos serviços de saúde.</w:t>
      </w:r>
    </w:p>
    <w:p w14:paraId="57E8502E" w14:textId="77777777" w:rsidR="003E2A0A" w:rsidRDefault="003E2A0A">
      <w:pPr>
        <w:suppressAutoHyphens w:val="0"/>
        <w:spacing w:line="360" w:lineRule="auto"/>
        <w:ind w:left="1134"/>
        <w:jc w:val="both"/>
        <w:rPr>
          <w:rFonts w:ascii="Times New Roman" w:hAnsi="Times New Roman" w:cs="Times New Roman"/>
          <w:sz w:val="22"/>
          <w:szCs w:val="22"/>
        </w:rPr>
      </w:pPr>
    </w:p>
    <w:p w14:paraId="0658E52F" w14:textId="77777777" w:rsidR="003E2A0A" w:rsidRDefault="00810F93">
      <w:pPr>
        <w:suppressAutoHyphens w:val="0"/>
        <w:spacing w:line="360" w:lineRule="auto"/>
        <w:ind w:left="1134"/>
        <w:jc w:val="both"/>
        <w:rPr>
          <w:rFonts w:ascii="Times New Roman" w:hAnsi="Times New Roman" w:cs="Times New Roman"/>
          <w:sz w:val="22"/>
          <w:szCs w:val="22"/>
        </w:rPr>
      </w:pPr>
      <w:r>
        <w:rPr>
          <w:rFonts w:ascii="Times New Roman" w:hAnsi="Times New Roman" w:cs="Times New Roman"/>
          <w:sz w:val="22"/>
          <w:szCs w:val="22"/>
        </w:rPr>
        <w:t>f.3) As sobras de amostras de laboratório contendo sangue ou líquidos corpóreos podem ser descartadas diretamente no sistema de coleta de esgotos, desde que atendam respectivamente as regras estabelecidas pelos órgãos ambientais e pelos serviços de saneamento competentes e caso o tratamento venha a ser realizado fora da unidade geradora ou do serviço, estes RSS devem ser acondicionados em saco vermelho e transportados em recipiente rígido, impermeável, resistente à punctura, ruptura, vazamento, com tampa provida de controle de fechamento e identificado (art. 49 da RCD nº 222/2018)</w:t>
      </w:r>
    </w:p>
    <w:p w14:paraId="1B5CE1D7" w14:textId="77777777" w:rsidR="003E2A0A" w:rsidRDefault="00810F93">
      <w:pPr>
        <w:suppressAutoHyphens w:val="0"/>
        <w:spacing w:line="360" w:lineRule="auto"/>
        <w:ind w:left="1134"/>
        <w:jc w:val="both"/>
      </w:pPr>
      <w:r>
        <w:rPr>
          <w:rFonts w:ascii="Times New Roman" w:hAnsi="Times New Roman" w:cs="Times New Roman"/>
          <w:sz w:val="22"/>
          <w:szCs w:val="22"/>
        </w:rPr>
        <w:t xml:space="preserve">f.4) os resíduos pertencentes ao Grupo A2 do Anexo I da Resolução CONAMA n° 358, de </w:t>
      </w:r>
      <w:r>
        <w:rPr>
          <w:rFonts w:ascii="Times New Roman" w:hAnsi="Times New Roman" w:cs="Times New Roman"/>
          <w:sz w:val="22"/>
          <w:szCs w:val="22"/>
        </w:rPr>
        <w:lastRenderedPageBreak/>
        <w:t>29/04/2005, devem ser submetidos a processo de tratamento, de acordo com o porte do animal, que promova redução de carga microbiana compatível com nível III de inativação e devem ser encaminhados para aterro sanitário licenciado ou local devidamente licenciado para disposição final de resíduos dos serviços de saúde, ou para sepultamento em cemitério de animais.</w:t>
      </w:r>
    </w:p>
    <w:p w14:paraId="5550BD8F" w14:textId="77777777" w:rsidR="003E2A0A" w:rsidRDefault="003E2A0A">
      <w:pPr>
        <w:suppressAutoHyphens w:val="0"/>
        <w:spacing w:line="360" w:lineRule="auto"/>
        <w:ind w:left="1134"/>
        <w:jc w:val="both"/>
        <w:rPr>
          <w:rFonts w:ascii="Times New Roman" w:hAnsi="Times New Roman" w:cs="Times New Roman"/>
          <w:sz w:val="22"/>
          <w:szCs w:val="22"/>
        </w:rPr>
      </w:pPr>
    </w:p>
    <w:p w14:paraId="15850998" w14:textId="77777777" w:rsidR="003E2A0A" w:rsidRDefault="00810F93">
      <w:pPr>
        <w:suppressAutoHyphens w:val="0"/>
        <w:spacing w:line="360" w:lineRule="auto"/>
        <w:ind w:left="1531"/>
        <w:jc w:val="both"/>
      </w:pPr>
      <w:r>
        <w:rPr>
          <w:rFonts w:ascii="Times New Roman" w:hAnsi="Times New Roman" w:cs="Times New Roman"/>
          <w:sz w:val="22"/>
          <w:szCs w:val="22"/>
        </w:rPr>
        <w:t>f.4.1) quando houver necessidade de fracionamento de carcaça de animais, este deve ser autorizado previamente pelo órgão de saúde competente.</w:t>
      </w:r>
    </w:p>
    <w:p w14:paraId="2BCDBC40" w14:textId="77777777" w:rsidR="003E2A0A" w:rsidRDefault="003E2A0A">
      <w:pPr>
        <w:suppressAutoHyphens w:val="0"/>
        <w:spacing w:line="360" w:lineRule="auto"/>
        <w:ind w:left="1531"/>
        <w:jc w:val="both"/>
        <w:rPr>
          <w:rFonts w:ascii="Times New Roman" w:hAnsi="Times New Roman" w:cs="Times New Roman"/>
          <w:sz w:val="22"/>
          <w:szCs w:val="22"/>
        </w:rPr>
      </w:pPr>
    </w:p>
    <w:p w14:paraId="0EBBA74A" w14:textId="77777777" w:rsidR="003E2A0A" w:rsidRDefault="00810F93">
      <w:pPr>
        <w:suppressAutoHyphens w:val="0"/>
        <w:spacing w:line="360" w:lineRule="auto"/>
        <w:ind w:left="1531"/>
        <w:jc w:val="both"/>
      </w:pPr>
      <w:r>
        <w:rPr>
          <w:rFonts w:ascii="Times New Roman" w:hAnsi="Times New Roman" w:cs="Times New Roman"/>
          <w:sz w:val="22"/>
          <w:szCs w:val="22"/>
        </w:rPr>
        <w:t>f.4.2) Os RSS do Grupo A - Subgrupo A2 devem ser tratados antes da disposição final ambientalmente adequada conforme especificam os artigos 50 e 51 da RDC nº 222/20108 da ANVISA.</w:t>
      </w:r>
    </w:p>
    <w:p w14:paraId="500D72A9" w14:textId="77777777" w:rsidR="003E2A0A" w:rsidRDefault="003E2A0A">
      <w:pPr>
        <w:suppressAutoHyphens w:val="0"/>
        <w:spacing w:line="360" w:lineRule="auto"/>
        <w:ind w:left="1531"/>
        <w:jc w:val="both"/>
        <w:rPr>
          <w:rFonts w:ascii="Times New Roman" w:hAnsi="Times New Roman" w:cs="Times New Roman"/>
          <w:sz w:val="22"/>
          <w:szCs w:val="22"/>
        </w:rPr>
      </w:pPr>
    </w:p>
    <w:p w14:paraId="2EF4A0C0" w14:textId="77777777" w:rsidR="003E2A0A" w:rsidRDefault="00810F93">
      <w:pPr>
        <w:suppressAutoHyphens w:val="0"/>
        <w:spacing w:line="360" w:lineRule="auto"/>
        <w:ind w:left="1134"/>
        <w:jc w:val="both"/>
      </w:pPr>
      <w:r>
        <w:rPr>
          <w:rFonts w:ascii="Times New Roman" w:hAnsi="Times New Roman" w:cs="Times New Roman"/>
          <w:sz w:val="22"/>
          <w:szCs w:val="22"/>
        </w:rPr>
        <w:t xml:space="preserve">f.5) os resíduos pertencentes ao Grupo A3 do Anexo I da Resolução CONAMA n° 358, de 29/04/2005, quando não houver requisição pelo paciente ou familiares e/ou não tenham mais valor científico ou legal, devem ser encaminhados para sepultamento em cemitério, desde que haja autorização do órgão competente do Município, do Estado ou do Distrito Federal, ou para tratamento térmico por incineração ou cremação, em equipamento devidamente licenciado para esse fim. </w:t>
      </w:r>
    </w:p>
    <w:p w14:paraId="79C7BA0B" w14:textId="77777777" w:rsidR="003E2A0A" w:rsidRDefault="003E2A0A">
      <w:pPr>
        <w:suppressAutoHyphens w:val="0"/>
        <w:spacing w:line="360" w:lineRule="auto"/>
        <w:ind w:left="1134"/>
        <w:jc w:val="both"/>
        <w:rPr>
          <w:rFonts w:ascii="Times New Roman" w:hAnsi="Times New Roman" w:cs="Times New Roman"/>
          <w:sz w:val="22"/>
          <w:szCs w:val="22"/>
        </w:rPr>
      </w:pPr>
    </w:p>
    <w:p w14:paraId="7E391F18" w14:textId="77777777" w:rsidR="003E2A0A" w:rsidRDefault="00810F93">
      <w:pPr>
        <w:suppressAutoHyphens w:val="0"/>
        <w:spacing w:line="360" w:lineRule="auto"/>
        <w:ind w:left="1531"/>
        <w:jc w:val="both"/>
      </w:pPr>
      <w:r>
        <w:rPr>
          <w:rFonts w:ascii="Times New Roman" w:hAnsi="Times New Roman" w:cs="Times New Roman"/>
          <w:sz w:val="22"/>
          <w:szCs w:val="22"/>
        </w:rPr>
        <w:t>f.5.1) na impossibilidade de atendimento de tais destinações, o órgão ambiental competente nos Estados, Municípios e Distrito Federal pode aprovar outros processos alternativos de destinação.</w:t>
      </w:r>
    </w:p>
    <w:p w14:paraId="706AD985" w14:textId="77777777" w:rsidR="003E2A0A" w:rsidRDefault="003E2A0A">
      <w:pPr>
        <w:suppressAutoHyphens w:val="0"/>
        <w:spacing w:line="360" w:lineRule="auto"/>
        <w:ind w:left="1531"/>
        <w:jc w:val="both"/>
        <w:rPr>
          <w:rFonts w:ascii="Times New Roman" w:hAnsi="Times New Roman" w:cs="Times New Roman"/>
          <w:sz w:val="22"/>
          <w:szCs w:val="22"/>
        </w:rPr>
      </w:pPr>
    </w:p>
    <w:p w14:paraId="4E27C29E" w14:textId="77777777" w:rsidR="003E2A0A" w:rsidRDefault="00810F93">
      <w:pPr>
        <w:suppressAutoHyphens w:val="0"/>
        <w:spacing w:line="360" w:lineRule="auto"/>
        <w:ind w:left="1531"/>
        <w:jc w:val="both"/>
      </w:pPr>
      <w:r>
        <w:rPr>
          <w:rFonts w:ascii="Times New Roman" w:hAnsi="Times New Roman" w:cs="Times New Roman"/>
          <w:sz w:val="22"/>
          <w:szCs w:val="22"/>
        </w:rPr>
        <w:t>f.5.2) A RDC nº 222/2018 estabelece em seu art. 52 que os RSS do Grupo A – Subgrupo A3 devem ser destinados para sepultamento, cremação, incineração ou outra destinação licenciada pelo órgão ambiental competente.</w:t>
      </w:r>
    </w:p>
    <w:p w14:paraId="6662189D" w14:textId="77777777" w:rsidR="003E2A0A" w:rsidRDefault="003E2A0A">
      <w:pPr>
        <w:suppressAutoHyphens w:val="0"/>
        <w:spacing w:line="360" w:lineRule="auto"/>
        <w:ind w:left="1531"/>
        <w:jc w:val="both"/>
        <w:rPr>
          <w:rFonts w:ascii="Times New Roman" w:hAnsi="Times New Roman" w:cs="Times New Roman"/>
          <w:sz w:val="22"/>
          <w:szCs w:val="22"/>
        </w:rPr>
      </w:pPr>
    </w:p>
    <w:p w14:paraId="5C572A7B" w14:textId="77777777" w:rsidR="003E2A0A" w:rsidRDefault="00810F93">
      <w:pPr>
        <w:suppressAutoHyphens w:val="0"/>
        <w:spacing w:line="360" w:lineRule="auto"/>
        <w:ind w:left="1134"/>
        <w:jc w:val="both"/>
        <w:rPr>
          <w:rFonts w:ascii="Times New Roman" w:hAnsi="Times New Roman" w:cs="Times New Roman"/>
          <w:sz w:val="22"/>
          <w:szCs w:val="22"/>
        </w:rPr>
      </w:pPr>
      <w:r>
        <w:rPr>
          <w:rFonts w:ascii="Times New Roman" w:hAnsi="Times New Roman" w:cs="Times New Roman"/>
          <w:sz w:val="22"/>
          <w:szCs w:val="22"/>
        </w:rPr>
        <w:t>f.6) os resíduos pertencentes ao Grupo A4 do Anexo I da Resolução CONAMA n° 358, de 29/04/2005, podem ser encaminhados sem tratamento prévio para local devidamente licenciado para a disposição final de resíduos dos serviços de saúde, a não ser que haja exigência de tratamento prévio por parte dos órgãos ambientais estaduais e municipais. Conforme a RDC nº 222/2018 da ANVISA os RSS do Subgrupo A4 não necessitam de tratamento prévio.</w:t>
      </w:r>
    </w:p>
    <w:p w14:paraId="17059CA8" w14:textId="77777777" w:rsidR="003E2A0A" w:rsidRDefault="00810F93">
      <w:pPr>
        <w:suppressAutoHyphens w:val="0"/>
        <w:spacing w:line="360" w:lineRule="auto"/>
        <w:ind w:left="1134"/>
        <w:jc w:val="both"/>
      </w:pPr>
      <w:r>
        <w:rPr>
          <w:rFonts w:ascii="Times New Roman" w:hAnsi="Times New Roman" w:cs="Times New Roman"/>
          <w:sz w:val="22"/>
          <w:szCs w:val="22"/>
        </w:rPr>
        <w:t xml:space="preserve">f.7) os resíduos pertencentes ao Grupo A5 do Anexo I da Resolução CONAMA n° 358, de 29/04/2005 e RSS do Grupo A- Subgrupo A5 da RDC nº 222/2018 da ANVISA devem ser </w:t>
      </w:r>
      <w:r>
        <w:rPr>
          <w:rFonts w:ascii="Times New Roman" w:hAnsi="Times New Roman" w:cs="Times New Roman"/>
          <w:sz w:val="22"/>
          <w:szCs w:val="22"/>
        </w:rPr>
        <w:lastRenderedPageBreak/>
        <w:t>submetidos a tratamento térmico por incineração e devem ser segregados e acondicionados em saco vermelho duplo, como barreira de proteção, e contidos em recipiente exclusivo devidamente identificado.</w:t>
      </w:r>
    </w:p>
    <w:p w14:paraId="4D57A90E" w14:textId="77777777" w:rsidR="003E2A0A" w:rsidRDefault="003E2A0A">
      <w:pPr>
        <w:suppressAutoHyphens w:val="0"/>
        <w:spacing w:line="360" w:lineRule="auto"/>
        <w:ind w:left="1134"/>
        <w:jc w:val="both"/>
        <w:rPr>
          <w:rFonts w:ascii="Times New Roman" w:hAnsi="Times New Roman" w:cs="Times New Roman"/>
          <w:sz w:val="22"/>
          <w:szCs w:val="22"/>
        </w:rPr>
      </w:pPr>
    </w:p>
    <w:p w14:paraId="36FD57A0" w14:textId="77777777" w:rsidR="003E2A0A" w:rsidRDefault="00810F93">
      <w:pPr>
        <w:suppressAutoHyphens w:val="0"/>
        <w:spacing w:line="360" w:lineRule="auto"/>
        <w:ind w:left="907"/>
        <w:jc w:val="both"/>
      </w:pPr>
      <w:r>
        <w:rPr>
          <w:rFonts w:ascii="Times New Roman" w:hAnsi="Times New Roman" w:cs="Times New Roman"/>
          <w:sz w:val="22"/>
          <w:szCs w:val="22"/>
        </w:rPr>
        <w:t>g) os resíduos pertencentes ao Grupo B do Anexo I da Resolução CONAMA n° 358, de 29/04/2005, com características de periculosidade, conforme Ficha de Informações de Segurança de Produtos Químicos – FISPQ, quando não forem submetidos a processo de reutilização, recuperação ou reciclagem, devem ser submetidos a tratamento e disposição final específicos.</w:t>
      </w:r>
    </w:p>
    <w:p w14:paraId="3017714A" w14:textId="77777777" w:rsidR="003E2A0A" w:rsidRDefault="003E2A0A">
      <w:pPr>
        <w:suppressAutoHyphens w:val="0"/>
        <w:spacing w:line="360" w:lineRule="auto"/>
        <w:ind w:left="907"/>
        <w:jc w:val="both"/>
        <w:rPr>
          <w:rFonts w:ascii="Times New Roman" w:hAnsi="Times New Roman" w:cs="Times New Roman"/>
          <w:sz w:val="22"/>
          <w:szCs w:val="22"/>
        </w:rPr>
      </w:pPr>
    </w:p>
    <w:p w14:paraId="0E61E766" w14:textId="77777777" w:rsidR="003E2A0A" w:rsidRDefault="00810F93">
      <w:pPr>
        <w:suppressAutoHyphens w:val="0"/>
        <w:spacing w:line="360" w:lineRule="auto"/>
        <w:ind w:left="1134"/>
        <w:jc w:val="both"/>
      </w:pPr>
      <w:r>
        <w:rPr>
          <w:rFonts w:ascii="Times New Roman" w:hAnsi="Times New Roman" w:cs="Times New Roman"/>
          <w:sz w:val="22"/>
          <w:szCs w:val="22"/>
        </w:rPr>
        <w:t>g1) O gerenciamento dos RSS do Grupo B deve observar a periculosidade das substâncias presentes, decorrentes das características de inflamabilidade, corrosividade, reatividade e toxicidade. (art. 56 da RDC nº 222/2018 da ANVISA)</w:t>
      </w:r>
    </w:p>
    <w:p w14:paraId="5CF6DA6B" w14:textId="77777777" w:rsidR="003E2A0A" w:rsidRDefault="003E2A0A">
      <w:pPr>
        <w:suppressAutoHyphens w:val="0"/>
        <w:spacing w:line="360" w:lineRule="auto"/>
        <w:ind w:left="1134"/>
        <w:jc w:val="both"/>
        <w:rPr>
          <w:rFonts w:ascii="Times New Roman" w:hAnsi="Times New Roman" w:cs="Times New Roman"/>
          <w:sz w:val="22"/>
          <w:szCs w:val="22"/>
        </w:rPr>
      </w:pPr>
    </w:p>
    <w:p w14:paraId="052614B7" w14:textId="77777777" w:rsidR="003E2A0A" w:rsidRDefault="00810F93">
      <w:pPr>
        <w:suppressAutoHyphens w:val="0"/>
        <w:spacing w:line="360" w:lineRule="auto"/>
        <w:ind w:left="1134"/>
        <w:jc w:val="both"/>
      </w:pPr>
      <w:r>
        <w:rPr>
          <w:rFonts w:ascii="Times New Roman" w:hAnsi="Times New Roman" w:cs="Times New Roman"/>
          <w:sz w:val="22"/>
          <w:szCs w:val="22"/>
        </w:rPr>
        <w:t>g.2) os resíduos no estado sólido, quando não tratados, devem ser dispostos em aterro de resíduos perigosos - Classe I.</w:t>
      </w:r>
    </w:p>
    <w:p w14:paraId="20F55BCB" w14:textId="77777777" w:rsidR="003E2A0A" w:rsidRDefault="003E2A0A">
      <w:pPr>
        <w:suppressAutoHyphens w:val="0"/>
        <w:spacing w:line="360" w:lineRule="auto"/>
        <w:ind w:left="1134"/>
        <w:jc w:val="both"/>
        <w:rPr>
          <w:rFonts w:ascii="Times New Roman" w:hAnsi="Times New Roman" w:cs="Times New Roman"/>
          <w:sz w:val="22"/>
          <w:szCs w:val="22"/>
        </w:rPr>
      </w:pPr>
    </w:p>
    <w:p w14:paraId="7FCF2DC5" w14:textId="77777777" w:rsidR="003E2A0A" w:rsidRDefault="00810F93">
      <w:pPr>
        <w:suppressAutoHyphens w:val="0"/>
        <w:spacing w:line="360" w:lineRule="auto"/>
        <w:ind w:left="1134"/>
        <w:jc w:val="both"/>
      </w:pPr>
      <w:r>
        <w:rPr>
          <w:rFonts w:ascii="Times New Roman" w:hAnsi="Times New Roman" w:cs="Times New Roman"/>
          <w:sz w:val="22"/>
          <w:szCs w:val="22"/>
        </w:rPr>
        <w:t>g.3) os resíduos no estado líquido não devem ser encaminhados para disposição final em aterros.</w:t>
      </w:r>
    </w:p>
    <w:p w14:paraId="4A1BD328" w14:textId="77777777" w:rsidR="003E2A0A" w:rsidRDefault="003E2A0A">
      <w:pPr>
        <w:suppressAutoHyphens w:val="0"/>
        <w:spacing w:line="360" w:lineRule="auto"/>
        <w:ind w:left="1134"/>
        <w:jc w:val="both"/>
        <w:rPr>
          <w:rFonts w:ascii="Times New Roman" w:hAnsi="Times New Roman" w:cs="Times New Roman"/>
          <w:sz w:val="22"/>
          <w:szCs w:val="22"/>
        </w:rPr>
      </w:pPr>
    </w:p>
    <w:p w14:paraId="28807149" w14:textId="77777777" w:rsidR="003E2A0A" w:rsidRDefault="00810F93">
      <w:pPr>
        <w:suppressAutoHyphens w:val="0"/>
        <w:spacing w:line="360" w:lineRule="auto"/>
        <w:ind w:left="1134"/>
        <w:jc w:val="both"/>
      </w:pPr>
      <w:r>
        <w:rPr>
          <w:rFonts w:ascii="Times New Roman" w:hAnsi="Times New Roman" w:cs="Times New Roman"/>
          <w:sz w:val="22"/>
          <w:szCs w:val="22"/>
        </w:rPr>
        <w:t>g.4) os resíduos sem características de periculosidade não necessitam de tratamento prévio e podem ter disposição final em aterro licenciado, quando no estado sólido, ou ser lançados em corpo receptor ou na rede pública de esgoto, quando no estado líquido, desde que atendam as diretrizes estabelecidas pelos órgãos ambientais, gestores de recursos hídricos e de saneamento competentes.</w:t>
      </w:r>
    </w:p>
    <w:p w14:paraId="6286C97F" w14:textId="77777777" w:rsidR="003E2A0A" w:rsidRDefault="003E2A0A">
      <w:pPr>
        <w:suppressAutoHyphens w:val="0"/>
        <w:spacing w:line="360" w:lineRule="auto"/>
        <w:ind w:left="1134"/>
        <w:jc w:val="both"/>
        <w:rPr>
          <w:rFonts w:ascii="Times New Roman" w:hAnsi="Times New Roman" w:cs="Times New Roman"/>
          <w:sz w:val="22"/>
          <w:szCs w:val="22"/>
        </w:rPr>
      </w:pPr>
    </w:p>
    <w:p w14:paraId="67ECEE04" w14:textId="77777777" w:rsidR="003E2A0A" w:rsidRDefault="00810F93">
      <w:pPr>
        <w:suppressAutoHyphens w:val="0"/>
        <w:spacing w:line="360" w:lineRule="auto"/>
        <w:ind w:left="1134"/>
        <w:jc w:val="both"/>
      </w:pPr>
      <w:r>
        <w:rPr>
          <w:rFonts w:ascii="Times New Roman" w:hAnsi="Times New Roman" w:cs="Times New Roman"/>
          <w:sz w:val="22"/>
          <w:szCs w:val="22"/>
        </w:rPr>
        <w:t>g.5) Resíduos de medicamentos, acondicionamento de RSS do Grupo B, excretas de pacientes tratados com quimioterápicos antineoplásicos, resíduos de produtos e insumos farmacêuticos e RSS sólidos contendo metais pesados possuem disciplina específica a ser seguida nos artigos 59 a 71 da RDC nº 222/2018 da ANVISA.</w:t>
      </w:r>
    </w:p>
    <w:p w14:paraId="07740A57" w14:textId="77777777" w:rsidR="003E2A0A" w:rsidRDefault="003E2A0A">
      <w:pPr>
        <w:suppressAutoHyphens w:val="0"/>
        <w:spacing w:line="360" w:lineRule="auto"/>
        <w:ind w:left="1134"/>
        <w:jc w:val="both"/>
        <w:rPr>
          <w:rFonts w:ascii="Times New Roman" w:hAnsi="Times New Roman" w:cs="Times New Roman"/>
          <w:sz w:val="22"/>
          <w:szCs w:val="22"/>
        </w:rPr>
      </w:pPr>
    </w:p>
    <w:p w14:paraId="09BD5AE4" w14:textId="77777777" w:rsidR="003E2A0A" w:rsidRDefault="00810F93">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h) os rejeitos radioativos devem obedecer às exigências definidas pela Comissão Nacional de Energia Nuclear - CNEN.</w:t>
      </w:r>
    </w:p>
    <w:p w14:paraId="4054818B" w14:textId="77777777" w:rsidR="003E2A0A" w:rsidRDefault="00810F93">
      <w:pPr>
        <w:suppressAutoHyphens w:val="0"/>
        <w:spacing w:line="360" w:lineRule="auto"/>
        <w:ind w:left="1134"/>
        <w:jc w:val="both"/>
      </w:pPr>
      <w:r>
        <w:rPr>
          <w:rFonts w:ascii="Times New Roman" w:hAnsi="Times New Roman" w:cs="Times New Roman"/>
          <w:sz w:val="22"/>
          <w:szCs w:val="22"/>
        </w:rPr>
        <w:t>h1) Os rejeitos radioativos devem ser segregados de acordo com o radionuclídeo ou natureza da radiação, estado físico, concentração e taxa de exposição de acordo com o art. 72 da RDC nº 222/2018 da ANVISA.</w:t>
      </w:r>
    </w:p>
    <w:p w14:paraId="04FA8B7D" w14:textId="77777777" w:rsidR="003E2A0A" w:rsidRDefault="003E2A0A">
      <w:pPr>
        <w:suppressAutoHyphens w:val="0"/>
        <w:spacing w:line="360" w:lineRule="auto"/>
        <w:ind w:left="1134"/>
        <w:jc w:val="both"/>
        <w:rPr>
          <w:rFonts w:ascii="Times New Roman" w:hAnsi="Times New Roman" w:cs="Times New Roman"/>
          <w:sz w:val="22"/>
          <w:szCs w:val="22"/>
        </w:rPr>
      </w:pPr>
    </w:p>
    <w:p w14:paraId="1AC5F3A8" w14:textId="77777777" w:rsidR="003E2A0A" w:rsidRDefault="00810F93">
      <w:pPr>
        <w:suppressAutoHyphens w:val="0"/>
        <w:spacing w:line="360" w:lineRule="auto"/>
        <w:ind w:left="1134"/>
        <w:jc w:val="both"/>
      </w:pPr>
      <w:r>
        <w:rPr>
          <w:rFonts w:ascii="Times New Roman" w:hAnsi="Times New Roman" w:cs="Times New Roman"/>
          <w:sz w:val="22"/>
          <w:szCs w:val="22"/>
        </w:rPr>
        <w:t>h.2) os rejeitos radioativos não podem ser considerados resíduos até que seja decorrido o tempo de decaimento necessário ao atingimento do limite de eliminação.</w:t>
      </w:r>
    </w:p>
    <w:p w14:paraId="3721452E" w14:textId="77777777" w:rsidR="003E2A0A" w:rsidRDefault="003E2A0A">
      <w:pPr>
        <w:suppressAutoHyphens w:val="0"/>
        <w:spacing w:line="360" w:lineRule="auto"/>
        <w:ind w:left="1134"/>
        <w:jc w:val="both"/>
        <w:rPr>
          <w:rFonts w:ascii="Times New Roman" w:hAnsi="Times New Roman" w:cs="Times New Roman"/>
          <w:sz w:val="22"/>
          <w:szCs w:val="22"/>
        </w:rPr>
      </w:pPr>
    </w:p>
    <w:p w14:paraId="1267C4B0" w14:textId="77777777" w:rsidR="003E2A0A" w:rsidRDefault="00810F93">
      <w:pPr>
        <w:suppressAutoHyphens w:val="0"/>
        <w:spacing w:line="360" w:lineRule="auto"/>
        <w:ind w:left="1134"/>
        <w:jc w:val="both"/>
      </w:pPr>
      <w:r>
        <w:rPr>
          <w:rFonts w:ascii="Times New Roman" w:hAnsi="Times New Roman" w:cs="Times New Roman"/>
          <w:sz w:val="22"/>
          <w:szCs w:val="22"/>
        </w:rPr>
        <w:t>h.3) os rejeitos radioativos, quando atingido o limite de eliminação, passam a ser considerados resíduos das categorias biológica, química ou de resíduo comum, devendo seguir as determinações do grupo ao qual pertencem.</w:t>
      </w:r>
    </w:p>
    <w:p w14:paraId="31F158A6" w14:textId="77777777" w:rsidR="003E2A0A" w:rsidRDefault="003E2A0A">
      <w:pPr>
        <w:suppressAutoHyphens w:val="0"/>
        <w:spacing w:line="360" w:lineRule="auto"/>
        <w:ind w:left="1134"/>
        <w:jc w:val="both"/>
        <w:rPr>
          <w:rFonts w:ascii="Times New Roman" w:hAnsi="Times New Roman" w:cs="Times New Roman"/>
          <w:sz w:val="22"/>
          <w:szCs w:val="22"/>
        </w:rPr>
      </w:pPr>
    </w:p>
    <w:p w14:paraId="12E2A170" w14:textId="77777777" w:rsidR="003E2A0A" w:rsidRDefault="00810F93">
      <w:pPr>
        <w:suppressAutoHyphens w:val="0"/>
        <w:spacing w:line="360" w:lineRule="auto"/>
        <w:ind w:left="1134"/>
        <w:jc w:val="both"/>
      </w:pPr>
      <w:r>
        <w:rPr>
          <w:rFonts w:ascii="Times New Roman" w:hAnsi="Times New Roman" w:cs="Times New Roman"/>
          <w:sz w:val="22"/>
          <w:szCs w:val="22"/>
        </w:rPr>
        <w:t>h.4) Os rejeitos radioativos devem ser armazenados e descartados conforme o disposto nos artigos 72 a 79 da RDC nº 222/2018.</w:t>
      </w:r>
    </w:p>
    <w:p w14:paraId="1B5803F5" w14:textId="77777777" w:rsidR="003E2A0A" w:rsidRDefault="003E2A0A">
      <w:pPr>
        <w:suppressAutoHyphens w:val="0"/>
        <w:spacing w:line="360" w:lineRule="auto"/>
        <w:ind w:left="1134"/>
        <w:jc w:val="both"/>
        <w:rPr>
          <w:rFonts w:ascii="Times New Roman" w:hAnsi="Times New Roman" w:cs="Times New Roman"/>
          <w:sz w:val="22"/>
          <w:szCs w:val="22"/>
        </w:rPr>
      </w:pPr>
    </w:p>
    <w:p w14:paraId="1A9C7F4F" w14:textId="77777777" w:rsidR="003E2A0A" w:rsidRDefault="00810F93">
      <w:pPr>
        <w:suppressAutoHyphens w:val="0"/>
        <w:spacing w:line="360" w:lineRule="auto"/>
        <w:ind w:left="907"/>
        <w:jc w:val="both"/>
      </w:pPr>
      <w:r>
        <w:rPr>
          <w:rFonts w:ascii="Times New Roman" w:hAnsi="Times New Roman" w:cs="Times New Roman"/>
          <w:sz w:val="22"/>
          <w:szCs w:val="22"/>
        </w:rPr>
        <w:t>i) os resíduos pertencentes ao Grupo D Do Anexo I da Resolução CONAMA n° 358, de 29/04/2005, quando não forem passíveis de processo de reutilização, recuperação ou reciclagem, devem ser encaminhados para aterro sanitário de resíduos sólidos urbanos, devidamente licenciado pelo órgão ambiental competente.</w:t>
      </w:r>
    </w:p>
    <w:p w14:paraId="00CCC11C" w14:textId="77777777" w:rsidR="003E2A0A" w:rsidRDefault="003E2A0A">
      <w:pPr>
        <w:suppressAutoHyphens w:val="0"/>
        <w:spacing w:line="360" w:lineRule="auto"/>
        <w:ind w:left="907"/>
        <w:jc w:val="both"/>
        <w:rPr>
          <w:rFonts w:ascii="Times New Roman" w:hAnsi="Times New Roman" w:cs="Times New Roman"/>
          <w:sz w:val="22"/>
          <w:szCs w:val="22"/>
        </w:rPr>
      </w:pPr>
    </w:p>
    <w:p w14:paraId="4A19069E" w14:textId="77777777" w:rsidR="003E2A0A" w:rsidRDefault="00810F93">
      <w:pPr>
        <w:suppressAutoHyphens w:val="0"/>
        <w:spacing w:line="360" w:lineRule="auto"/>
        <w:ind w:left="1134"/>
        <w:jc w:val="both"/>
      </w:pPr>
      <w:r>
        <w:rPr>
          <w:rFonts w:ascii="Times New Roman" w:hAnsi="Times New Roman" w:cs="Times New Roman"/>
          <w:sz w:val="22"/>
          <w:szCs w:val="22"/>
        </w:rPr>
        <w:t>i1) Os RSS do Grupo D, na forma do art. 80 da RDC nº 222/2018 da ANVISA, quando não encaminhados para reutilização, recuperação, reciclagem, compostagem, logística reversa ou aproveitamento energético, devem ser classificados como rejeitos.</w:t>
      </w:r>
    </w:p>
    <w:p w14:paraId="3D1FC520" w14:textId="77777777" w:rsidR="003E2A0A" w:rsidRDefault="003E2A0A">
      <w:pPr>
        <w:suppressAutoHyphens w:val="0"/>
        <w:spacing w:line="360" w:lineRule="auto"/>
        <w:ind w:left="1134"/>
        <w:jc w:val="both"/>
        <w:rPr>
          <w:rFonts w:ascii="Times New Roman" w:hAnsi="Times New Roman" w:cs="Times New Roman"/>
          <w:sz w:val="22"/>
          <w:szCs w:val="22"/>
        </w:rPr>
      </w:pPr>
    </w:p>
    <w:p w14:paraId="06DA26E2" w14:textId="77777777" w:rsidR="003E2A0A" w:rsidRDefault="00810F93">
      <w:pPr>
        <w:suppressAutoHyphens w:val="0"/>
        <w:spacing w:line="360" w:lineRule="auto"/>
        <w:ind w:left="1134"/>
        <w:jc w:val="both"/>
      </w:pPr>
      <w:r>
        <w:rPr>
          <w:rFonts w:ascii="Times New Roman" w:hAnsi="Times New Roman" w:cs="Times New Roman"/>
          <w:sz w:val="22"/>
          <w:szCs w:val="22"/>
        </w:rPr>
        <w:t>i.2) quando tais resíduos forem passíveis de processo de reutilização, recuperação ou reciclagem, devem atender as normas legais de higienização e descontaminação e a Resolução CONAMA n° 275, de 25/04/2001.</w:t>
      </w:r>
    </w:p>
    <w:p w14:paraId="7A125FCD" w14:textId="77777777" w:rsidR="003E2A0A" w:rsidRDefault="003E2A0A">
      <w:pPr>
        <w:suppressAutoHyphens w:val="0"/>
        <w:spacing w:line="360" w:lineRule="auto"/>
        <w:ind w:left="1134"/>
        <w:jc w:val="both"/>
        <w:rPr>
          <w:rFonts w:ascii="Times New Roman" w:hAnsi="Times New Roman" w:cs="Times New Roman"/>
          <w:sz w:val="22"/>
          <w:szCs w:val="22"/>
        </w:rPr>
      </w:pPr>
    </w:p>
    <w:p w14:paraId="2DF2220D" w14:textId="77777777" w:rsidR="003E2A0A" w:rsidRDefault="00810F93">
      <w:pPr>
        <w:suppressAutoHyphens w:val="0"/>
        <w:spacing w:line="360" w:lineRule="auto"/>
        <w:ind w:left="1134"/>
        <w:jc w:val="both"/>
      </w:pPr>
      <w:r>
        <w:rPr>
          <w:rFonts w:ascii="Times New Roman" w:hAnsi="Times New Roman" w:cs="Times New Roman"/>
          <w:sz w:val="22"/>
          <w:szCs w:val="22"/>
        </w:rPr>
        <w:t>i.3) Os rejeitos sólidos de RSS do Grupo D devem ser dispostos conforme as normas ambientais vigentes e os efluentes líquidos podem ser lançados em rede coletora de esgotos.</w:t>
      </w:r>
    </w:p>
    <w:p w14:paraId="3D1119D3" w14:textId="77777777" w:rsidR="003E2A0A" w:rsidRDefault="003E2A0A">
      <w:pPr>
        <w:suppressAutoHyphens w:val="0"/>
        <w:spacing w:line="360" w:lineRule="auto"/>
        <w:ind w:left="1134"/>
        <w:jc w:val="both"/>
        <w:rPr>
          <w:rFonts w:ascii="Times New Roman" w:hAnsi="Times New Roman" w:cs="Times New Roman"/>
          <w:sz w:val="22"/>
          <w:szCs w:val="22"/>
        </w:rPr>
      </w:pPr>
    </w:p>
    <w:p w14:paraId="541889F8" w14:textId="77777777" w:rsidR="003E2A0A" w:rsidRDefault="00810F93">
      <w:pPr>
        <w:tabs>
          <w:tab w:val="left" w:pos="993"/>
        </w:tabs>
        <w:suppressAutoHyphens w:val="0"/>
        <w:spacing w:line="360" w:lineRule="auto"/>
        <w:ind w:left="1134"/>
        <w:jc w:val="both"/>
        <w:rPr>
          <w:rFonts w:ascii="Times New Roman" w:hAnsi="Times New Roman" w:cs="Times New Roman"/>
          <w:sz w:val="22"/>
          <w:szCs w:val="22"/>
        </w:rPr>
      </w:pPr>
      <w:r>
        <w:rPr>
          <w:rFonts w:ascii="Times New Roman" w:hAnsi="Times New Roman" w:cs="Times New Roman"/>
          <w:sz w:val="22"/>
          <w:szCs w:val="22"/>
        </w:rPr>
        <w:t>i.4) O lançamento de rejeitos líquidos em rede coletora de esgotos, conectada à estação de tratamento, deve atender às normas ambientais e às diretrizes do serviço de saneamento. Quando não houver acesso à sistema de coleta e tratamento de esgoto por empresa de saneamento, estes efluentes devem ser tratados em sistema ambientalmente licenciado antes do lançamento em corpo receptor.</w:t>
      </w:r>
    </w:p>
    <w:p w14:paraId="4C71D286" w14:textId="77777777" w:rsidR="003E2A0A" w:rsidRDefault="00810F93">
      <w:pPr>
        <w:suppressAutoHyphens w:val="0"/>
        <w:spacing w:line="360" w:lineRule="auto"/>
        <w:ind w:left="1134"/>
        <w:jc w:val="both"/>
      </w:pPr>
      <w:r>
        <w:rPr>
          <w:rFonts w:ascii="Times New Roman" w:hAnsi="Times New Roman" w:cs="Times New Roman"/>
          <w:sz w:val="22"/>
          <w:szCs w:val="22"/>
        </w:rPr>
        <w:t>i.5) Artigos e materiais utilizados na área de trabalho, incluindo vestimentas e Equipamento de Proteção Individual (EPI), desde que não apresentem sinais ou suspeita de contaminação química, biológica ou radiológica, podem ter seu manejo realizado como RSS do Grupo D.</w:t>
      </w:r>
    </w:p>
    <w:p w14:paraId="45A639F1" w14:textId="77777777" w:rsidR="003E2A0A" w:rsidRDefault="003E2A0A">
      <w:pPr>
        <w:suppressAutoHyphens w:val="0"/>
        <w:spacing w:line="360" w:lineRule="auto"/>
        <w:ind w:left="1134"/>
        <w:jc w:val="both"/>
        <w:rPr>
          <w:rFonts w:ascii="Times New Roman" w:hAnsi="Times New Roman" w:cs="Times New Roman"/>
          <w:sz w:val="22"/>
          <w:szCs w:val="22"/>
        </w:rPr>
      </w:pPr>
    </w:p>
    <w:p w14:paraId="1509B589" w14:textId="77777777" w:rsidR="003E2A0A" w:rsidRDefault="00810F93">
      <w:pPr>
        <w:suppressAutoHyphens w:val="0"/>
        <w:spacing w:line="360" w:lineRule="auto"/>
        <w:ind w:left="1134"/>
        <w:jc w:val="both"/>
      </w:pPr>
      <w:r>
        <w:rPr>
          <w:rFonts w:ascii="Times New Roman" w:hAnsi="Times New Roman" w:cs="Times New Roman"/>
          <w:sz w:val="22"/>
          <w:szCs w:val="22"/>
        </w:rPr>
        <w:lastRenderedPageBreak/>
        <w:t>i.6) Os procedimentos de segregação, acondicionamento e identificação dos coletores dos resíduos do Grupo D, para fins de reciclagem, devem estar descritos no PGRSS.</w:t>
      </w:r>
    </w:p>
    <w:p w14:paraId="3085FA39" w14:textId="77777777" w:rsidR="003E2A0A" w:rsidRDefault="003E2A0A">
      <w:pPr>
        <w:suppressAutoHyphens w:val="0"/>
        <w:spacing w:line="360" w:lineRule="auto"/>
        <w:ind w:left="1134"/>
        <w:jc w:val="both"/>
        <w:rPr>
          <w:rFonts w:ascii="Times New Roman" w:hAnsi="Times New Roman" w:cs="Times New Roman"/>
          <w:sz w:val="22"/>
          <w:szCs w:val="22"/>
        </w:rPr>
      </w:pPr>
    </w:p>
    <w:p w14:paraId="1EDD320D" w14:textId="77777777" w:rsidR="003E2A0A" w:rsidRDefault="00810F93">
      <w:pPr>
        <w:suppressAutoHyphens w:val="0"/>
        <w:spacing w:line="360" w:lineRule="auto"/>
        <w:ind w:left="1134"/>
        <w:jc w:val="both"/>
      </w:pPr>
      <w:r>
        <w:rPr>
          <w:rFonts w:ascii="Times New Roman" w:hAnsi="Times New Roman" w:cs="Times New Roman"/>
          <w:sz w:val="22"/>
          <w:szCs w:val="22"/>
        </w:rPr>
        <w:t>i.7) Só podem ser destinados para compostagem forrações de animais de biotérios que não tenham risco biológico associado, os resíduos de flores, podas de árvores, jardinagem, sobras de alimentos e de seu pré-preparo, restos alimentares de refeitórios e restos alimentares de pacientes que não estejam em isolamento.</w:t>
      </w:r>
    </w:p>
    <w:p w14:paraId="26D5F24B" w14:textId="77777777" w:rsidR="003E2A0A" w:rsidRDefault="003E2A0A">
      <w:pPr>
        <w:suppressAutoHyphens w:val="0"/>
        <w:spacing w:line="360" w:lineRule="auto"/>
        <w:ind w:left="1134"/>
        <w:jc w:val="both"/>
        <w:rPr>
          <w:rFonts w:ascii="Times New Roman" w:hAnsi="Times New Roman" w:cs="Times New Roman"/>
          <w:sz w:val="22"/>
          <w:szCs w:val="22"/>
        </w:rPr>
      </w:pPr>
    </w:p>
    <w:p w14:paraId="78BCEB5A" w14:textId="77777777" w:rsidR="003E2A0A" w:rsidRDefault="00810F93">
      <w:pPr>
        <w:suppressAutoHyphens w:val="0"/>
        <w:spacing w:line="360" w:lineRule="auto"/>
        <w:ind w:left="1134"/>
        <w:jc w:val="both"/>
      </w:pPr>
      <w:r>
        <w:rPr>
          <w:rFonts w:ascii="Times New Roman" w:hAnsi="Times New Roman" w:cs="Times New Roman"/>
          <w:sz w:val="22"/>
          <w:szCs w:val="22"/>
        </w:rPr>
        <w:t>i.8) Os restos e sobras de alimentos só podem ser utilizados como ração animal, se forem submetidos a processo que garanta a inocuidade do composto, com a concordância do órgão competente do Ministério da Agricultura e de Vigilância Sanitária.</w:t>
      </w:r>
    </w:p>
    <w:p w14:paraId="029DE02C" w14:textId="77777777" w:rsidR="003E2A0A" w:rsidRDefault="003E2A0A">
      <w:pPr>
        <w:suppressAutoHyphens w:val="0"/>
        <w:spacing w:line="360" w:lineRule="auto"/>
        <w:ind w:left="1134"/>
        <w:jc w:val="both"/>
        <w:rPr>
          <w:rFonts w:ascii="Times New Roman" w:hAnsi="Times New Roman" w:cs="Times New Roman"/>
          <w:sz w:val="22"/>
          <w:szCs w:val="22"/>
        </w:rPr>
      </w:pPr>
    </w:p>
    <w:p w14:paraId="7DADB0DA" w14:textId="77777777" w:rsidR="003E2A0A" w:rsidRDefault="00810F93">
      <w:pPr>
        <w:suppressAutoHyphens w:val="0"/>
        <w:spacing w:line="360" w:lineRule="auto"/>
        <w:ind w:left="907"/>
        <w:jc w:val="both"/>
      </w:pPr>
      <w:r>
        <w:rPr>
          <w:rFonts w:ascii="Times New Roman" w:hAnsi="Times New Roman" w:cs="Times New Roman"/>
          <w:sz w:val="22"/>
          <w:szCs w:val="22"/>
        </w:rPr>
        <w:t>j) os resíduos pertencentes ao Grupo E do Anexo I da Resolução CONAMA n° 358, de 29/04/2005, devem ser apresentados para coleta acondicionados em coletores estanques, rígidos e hígidos, resistentes à ruptura, à punctura, ao corte ou à escarificação, de acordo com a ABNT NBR 13853-1:2018, e ter tratamento específico de acordo com a contaminação química, biológica ou radiológica.</w:t>
      </w:r>
    </w:p>
    <w:p w14:paraId="0B66963C" w14:textId="77777777" w:rsidR="003E2A0A" w:rsidRDefault="003E2A0A">
      <w:pPr>
        <w:suppressAutoHyphens w:val="0"/>
        <w:spacing w:line="360" w:lineRule="auto"/>
        <w:ind w:left="907"/>
        <w:jc w:val="both"/>
        <w:rPr>
          <w:rFonts w:ascii="Times New Roman" w:hAnsi="Times New Roman" w:cs="Times New Roman"/>
          <w:sz w:val="22"/>
          <w:szCs w:val="22"/>
        </w:rPr>
      </w:pPr>
    </w:p>
    <w:p w14:paraId="799E29BA" w14:textId="77777777" w:rsidR="003E2A0A" w:rsidRDefault="00810F93">
      <w:pPr>
        <w:suppressAutoHyphens w:val="0"/>
        <w:spacing w:line="360" w:lineRule="auto"/>
        <w:ind w:left="1134"/>
        <w:jc w:val="both"/>
      </w:pPr>
      <w:r>
        <w:rPr>
          <w:rFonts w:ascii="Times New Roman" w:hAnsi="Times New Roman" w:cs="Times New Roman"/>
          <w:sz w:val="22"/>
          <w:szCs w:val="22"/>
        </w:rPr>
        <w:t>j1) Conforme o art. 86 da RDC nº 222/2018, os materiais perfurocortantes devem ser descartados em recipientes identificados, rígidos, providos com tampa, resistentes à punctura, ruptura e vazamento.</w:t>
      </w:r>
    </w:p>
    <w:p w14:paraId="43B3ABAC" w14:textId="77777777" w:rsidR="003E2A0A" w:rsidRDefault="003E2A0A">
      <w:pPr>
        <w:suppressAutoHyphens w:val="0"/>
        <w:spacing w:line="360" w:lineRule="auto"/>
        <w:ind w:left="1134"/>
        <w:jc w:val="both"/>
        <w:rPr>
          <w:rFonts w:ascii="Times New Roman" w:hAnsi="Times New Roman" w:cs="Times New Roman"/>
          <w:sz w:val="22"/>
          <w:szCs w:val="22"/>
        </w:rPr>
      </w:pPr>
    </w:p>
    <w:p w14:paraId="5ECDBCED" w14:textId="77777777" w:rsidR="003E2A0A" w:rsidRDefault="00810F93">
      <w:pPr>
        <w:suppressAutoHyphens w:val="0"/>
        <w:spacing w:line="360" w:lineRule="auto"/>
        <w:ind w:left="1134"/>
        <w:jc w:val="both"/>
      </w:pPr>
      <w:r>
        <w:rPr>
          <w:rFonts w:ascii="Times New Roman" w:hAnsi="Times New Roman" w:cs="Times New Roman"/>
          <w:sz w:val="22"/>
          <w:szCs w:val="22"/>
        </w:rPr>
        <w:t>j.2) os resíduos com contaminação radiológica devem seguir as orientações relativas aos resíduos do Grupo C.</w:t>
      </w:r>
    </w:p>
    <w:p w14:paraId="15D5A8F7" w14:textId="77777777" w:rsidR="003E2A0A" w:rsidRDefault="003E2A0A">
      <w:pPr>
        <w:suppressAutoHyphens w:val="0"/>
        <w:spacing w:line="360" w:lineRule="auto"/>
        <w:ind w:left="1134"/>
        <w:jc w:val="both"/>
        <w:rPr>
          <w:rFonts w:ascii="Times New Roman" w:hAnsi="Times New Roman" w:cs="Times New Roman"/>
          <w:sz w:val="22"/>
          <w:szCs w:val="22"/>
        </w:rPr>
      </w:pPr>
    </w:p>
    <w:p w14:paraId="40BFCF8A" w14:textId="77777777" w:rsidR="003E2A0A" w:rsidRDefault="00810F93">
      <w:pPr>
        <w:suppressAutoHyphens w:val="0"/>
        <w:spacing w:line="360" w:lineRule="auto"/>
        <w:ind w:left="1134"/>
        <w:jc w:val="both"/>
      </w:pPr>
      <w:r>
        <w:rPr>
          <w:rFonts w:ascii="Times New Roman" w:hAnsi="Times New Roman" w:cs="Times New Roman"/>
          <w:sz w:val="22"/>
          <w:szCs w:val="22"/>
        </w:rPr>
        <w:t>j.3) os resíduos que contenham medicamentos citostáticos ou antineoplásicos devem seguir as orientações relativas aos resíduos do Grupo B com características de periculosidade.</w:t>
      </w:r>
    </w:p>
    <w:p w14:paraId="1989C9BC" w14:textId="77777777" w:rsidR="003E2A0A" w:rsidRDefault="003E2A0A">
      <w:pPr>
        <w:suppressAutoHyphens w:val="0"/>
        <w:spacing w:line="360" w:lineRule="auto"/>
        <w:ind w:left="1134"/>
        <w:jc w:val="both"/>
        <w:rPr>
          <w:rFonts w:ascii="Times New Roman" w:hAnsi="Times New Roman" w:cs="Times New Roman"/>
          <w:sz w:val="22"/>
          <w:szCs w:val="22"/>
        </w:rPr>
      </w:pPr>
    </w:p>
    <w:p w14:paraId="560CFAA7" w14:textId="77777777" w:rsidR="003E2A0A" w:rsidRDefault="00810F93">
      <w:pPr>
        <w:suppressAutoHyphens w:val="0"/>
        <w:spacing w:line="360" w:lineRule="auto"/>
        <w:ind w:left="1134"/>
        <w:jc w:val="both"/>
      </w:pPr>
      <w:r>
        <w:rPr>
          <w:rFonts w:ascii="Times New Roman" w:hAnsi="Times New Roman" w:cs="Times New Roman"/>
          <w:sz w:val="22"/>
          <w:szCs w:val="22"/>
        </w:rPr>
        <w:t>j.4) As seringas e agulhas, inclusive as usadas na coleta laboratorial de amostra de doadores e de pacientes, e os demais materiais perfurocortantes que não apresentem risco químico, biológico ou radiológico não necessitam de tratamento prévio à disposição final ambientalmente adequada. É permitida a separação do conjunto seringa agulha com auxílio de dispositivos de segurança, sendo vedada a desconexão e o reencape manual de agulhas.</w:t>
      </w:r>
    </w:p>
    <w:p w14:paraId="4AF8ABD7" w14:textId="77777777" w:rsidR="003E2A0A" w:rsidRDefault="003E2A0A">
      <w:pPr>
        <w:suppressAutoHyphens w:val="0"/>
        <w:spacing w:line="360" w:lineRule="auto"/>
        <w:ind w:left="1134"/>
        <w:jc w:val="both"/>
        <w:rPr>
          <w:rFonts w:ascii="Times New Roman" w:hAnsi="Times New Roman" w:cs="Times New Roman"/>
          <w:sz w:val="22"/>
          <w:szCs w:val="22"/>
        </w:rPr>
      </w:pPr>
    </w:p>
    <w:p w14:paraId="40E52269" w14:textId="77777777" w:rsidR="003E2A0A" w:rsidRDefault="00810F93">
      <w:pPr>
        <w:suppressAutoHyphens w:val="0"/>
        <w:spacing w:line="360" w:lineRule="auto"/>
        <w:ind w:left="907"/>
        <w:jc w:val="both"/>
        <w:rPr>
          <w:rFonts w:ascii="Times New Roman" w:hAnsi="Times New Roman" w:cs="Times New Roman"/>
          <w:sz w:val="22"/>
          <w:szCs w:val="22"/>
        </w:rPr>
      </w:pPr>
      <w:r>
        <w:rPr>
          <w:rFonts w:ascii="Times New Roman" w:hAnsi="Times New Roman" w:cs="Times New Roman"/>
          <w:sz w:val="22"/>
          <w:szCs w:val="22"/>
        </w:rPr>
        <w:t xml:space="preserve">k) A RDC nº 222/2018 da ANVISA (artigos 90 e 91) estabelece medidas de segurança ocupacional para os serviços que geram RSS. Os serviços devem garantir que os trabalhadores </w:t>
      </w:r>
      <w:r>
        <w:rPr>
          <w:rFonts w:ascii="Times New Roman" w:hAnsi="Times New Roman" w:cs="Times New Roman"/>
          <w:sz w:val="22"/>
          <w:szCs w:val="22"/>
        </w:rPr>
        <w:lastRenderedPageBreak/>
        <w:t>sejam avaliados periodicamente, seguindo a legislação específica, em relação à saúde ocupacional, mantendo registros desta avaliação, bem como manter um programa de educação continuada para os trabalhadores e todos os envolvidos nas atividades de gerenciamento de resíduos, mesmo os que atuam temporariamente, que contemple os temas que indica.</w:t>
      </w:r>
    </w:p>
    <w:p w14:paraId="3165DEAD" w14:textId="77777777" w:rsidR="003E2A0A" w:rsidRDefault="003E2A0A">
      <w:pPr>
        <w:suppressAutoHyphens w:val="0"/>
        <w:spacing w:line="360" w:lineRule="auto"/>
        <w:jc w:val="both"/>
        <w:rPr>
          <w:rFonts w:ascii="Times New Roman" w:hAnsi="Times New Roman" w:cs="Times New Roman"/>
          <w:sz w:val="22"/>
          <w:szCs w:val="22"/>
        </w:rPr>
      </w:pPr>
    </w:p>
    <w:p w14:paraId="2C1C6618" w14:textId="77777777" w:rsidR="003E2A0A" w:rsidRDefault="003E2A0A">
      <w:pPr>
        <w:suppressAutoHyphens w:val="0"/>
        <w:spacing w:line="360" w:lineRule="auto"/>
        <w:jc w:val="both"/>
        <w:rPr>
          <w:rFonts w:ascii="Times New Roman" w:hAnsi="Times New Roman" w:cs="Times New Roman"/>
          <w:sz w:val="22"/>
          <w:szCs w:val="22"/>
        </w:rPr>
      </w:pPr>
    </w:p>
    <w:p w14:paraId="588578FD" w14:textId="34C089B1" w:rsidR="003E2A0A" w:rsidRDefault="00810F93">
      <w:pPr>
        <w:suppressAutoHyphens w:val="0"/>
        <w:spacing w:line="360" w:lineRule="auto"/>
        <w:jc w:val="both"/>
      </w:pPr>
      <w:r>
        <w:rPr>
          <w:rFonts w:ascii="Times New Roman" w:hAnsi="Times New Roman" w:cs="Times New Roman"/>
          <w:sz w:val="22"/>
          <w:szCs w:val="22"/>
        </w:rPr>
        <w:t xml:space="preserve">Rio de Janeiro, </w:t>
      </w:r>
      <w:r w:rsidR="00384EAF">
        <w:rPr>
          <w:rFonts w:ascii="Times New Roman" w:hAnsi="Times New Roman" w:cs="Times New Roman"/>
          <w:sz w:val="22"/>
          <w:szCs w:val="22"/>
        </w:rPr>
        <w:t>21</w:t>
      </w:r>
      <w:r>
        <w:rPr>
          <w:rFonts w:ascii="Times New Roman" w:hAnsi="Times New Roman" w:cs="Times New Roman"/>
          <w:sz w:val="22"/>
          <w:szCs w:val="22"/>
        </w:rPr>
        <w:t xml:space="preserve"> </w:t>
      </w:r>
      <w:r>
        <w:rPr>
          <w:rFonts w:ascii="Times New Roman" w:eastAsia="Times New Roman" w:hAnsi="Times New Roman" w:cs="Times New Roman"/>
          <w:kern w:val="2"/>
          <w:sz w:val="22"/>
          <w:szCs w:val="22"/>
          <w:lang w:bidi="ar-SA"/>
        </w:rPr>
        <w:t>de Ju</w:t>
      </w:r>
      <w:r w:rsidR="00393A4D">
        <w:rPr>
          <w:rFonts w:ascii="Times New Roman" w:eastAsia="Times New Roman" w:hAnsi="Times New Roman" w:cs="Times New Roman"/>
          <w:kern w:val="2"/>
          <w:sz w:val="22"/>
          <w:szCs w:val="22"/>
          <w:lang w:bidi="ar-SA"/>
        </w:rPr>
        <w:t>lho</w:t>
      </w:r>
      <w:r>
        <w:rPr>
          <w:rFonts w:ascii="Times New Roman" w:eastAsia="Times New Roman" w:hAnsi="Times New Roman" w:cs="Times New Roman"/>
          <w:kern w:val="2"/>
          <w:sz w:val="22"/>
          <w:szCs w:val="22"/>
          <w:lang w:bidi="ar-SA"/>
        </w:rPr>
        <w:t xml:space="preserve"> </w:t>
      </w:r>
      <w:r>
        <w:rPr>
          <w:rFonts w:ascii="Times New Roman" w:hAnsi="Times New Roman" w:cs="Times New Roman"/>
          <w:sz w:val="22"/>
          <w:szCs w:val="22"/>
        </w:rPr>
        <w:t>de 2023.</w:t>
      </w:r>
    </w:p>
    <w:p w14:paraId="137F6CB0" w14:textId="77777777" w:rsidR="003E2A0A" w:rsidRDefault="003E2A0A">
      <w:pPr>
        <w:ind w:left="-426" w:right="-15"/>
        <w:rPr>
          <w:rFonts w:ascii="Times New Roman" w:hAnsi="Times New Roman" w:cs="Times New Roman"/>
          <w:bCs/>
          <w:sz w:val="22"/>
          <w:szCs w:val="22"/>
        </w:rPr>
      </w:pPr>
    </w:p>
    <w:p w14:paraId="3FF6D42D" w14:textId="77777777" w:rsidR="003E2A0A" w:rsidRDefault="003E2A0A">
      <w:pPr>
        <w:ind w:right="-15"/>
        <w:rPr>
          <w:rFonts w:ascii="Times New Roman" w:hAnsi="Times New Roman" w:cs="Times New Roman"/>
          <w:bCs/>
          <w:sz w:val="22"/>
          <w:szCs w:val="22"/>
        </w:rPr>
      </w:pPr>
    </w:p>
    <w:p w14:paraId="7B3697D6" w14:textId="77777777" w:rsidR="003E2A0A" w:rsidRDefault="00810F93">
      <w:pPr>
        <w:ind w:left="-426" w:right="-15"/>
        <w:rPr>
          <w:rFonts w:ascii="Times New Roman" w:hAnsi="Times New Roman" w:cs="Times New Roman"/>
          <w:bCs/>
          <w:sz w:val="22"/>
          <w:szCs w:val="22"/>
        </w:rPr>
      </w:pPr>
      <w:r>
        <w:rPr>
          <w:rFonts w:ascii="Times New Roman" w:hAnsi="Times New Roman" w:cs="Times New Roman"/>
          <w:bCs/>
          <w:sz w:val="22"/>
          <w:szCs w:val="22"/>
        </w:rPr>
        <w:t>Requisitante:</w:t>
      </w:r>
    </w:p>
    <w:p w14:paraId="786BF69B" w14:textId="77777777" w:rsidR="003E2A0A" w:rsidRDefault="003E2A0A">
      <w:pPr>
        <w:ind w:left="-426" w:right="-15"/>
        <w:rPr>
          <w:rFonts w:ascii="Times New Roman" w:hAnsi="Times New Roman" w:cs="Times New Roman"/>
          <w:bCs/>
          <w:sz w:val="22"/>
          <w:szCs w:val="22"/>
        </w:rPr>
      </w:pPr>
    </w:p>
    <w:p w14:paraId="60E0A0E7" w14:textId="77777777" w:rsidR="003E2A0A" w:rsidRDefault="003E2A0A">
      <w:pPr>
        <w:ind w:left="-426" w:right="-15"/>
        <w:rPr>
          <w:rFonts w:ascii="Times New Roman" w:hAnsi="Times New Roman" w:cs="Times New Roman"/>
          <w:bCs/>
          <w:sz w:val="22"/>
          <w:szCs w:val="22"/>
        </w:rPr>
      </w:pPr>
    </w:p>
    <w:p w14:paraId="24899CDB" w14:textId="77777777" w:rsidR="003E2A0A" w:rsidRDefault="003E2A0A">
      <w:pPr>
        <w:pStyle w:val="SemEspaamento1"/>
        <w:ind w:hanging="426"/>
        <w:rPr>
          <w:sz w:val="22"/>
          <w:szCs w:val="22"/>
        </w:rPr>
      </w:pPr>
    </w:p>
    <w:p w14:paraId="4E53365B" w14:textId="77777777" w:rsidR="003E2A0A" w:rsidRDefault="00810F93">
      <w:pPr>
        <w:pStyle w:val="SemEspaamento1"/>
        <w:ind w:hanging="426"/>
        <w:rPr>
          <w:sz w:val="22"/>
          <w:szCs w:val="22"/>
        </w:rPr>
      </w:pPr>
      <w:r>
        <w:rPr>
          <w:sz w:val="22"/>
          <w:szCs w:val="22"/>
        </w:rPr>
        <w:t xml:space="preserve"> _________________________________________________</w:t>
      </w:r>
    </w:p>
    <w:p w14:paraId="69590EC2" w14:textId="43F60DA3" w:rsidR="003E2A0A" w:rsidRDefault="00181F16">
      <w:pPr>
        <w:pStyle w:val="SemEspaamento1"/>
        <w:ind w:hanging="426"/>
      </w:pPr>
      <w:r>
        <w:rPr>
          <w:b/>
          <w:bCs/>
          <w:sz w:val="20"/>
          <w:szCs w:val="20"/>
        </w:rPr>
        <w:t>DÉBORA CRISTINA PERES DE OLIVEIRA</w:t>
      </w:r>
      <w:r w:rsidR="00810F93">
        <w:rPr>
          <w:sz w:val="20"/>
          <w:szCs w:val="20"/>
        </w:rPr>
        <w:t xml:space="preserve">– 1° </w:t>
      </w:r>
      <w:proofErr w:type="spellStart"/>
      <w:r w:rsidR="00810F93">
        <w:rPr>
          <w:sz w:val="20"/>
          <w:szCs w:val="20"/>
        </w:rPr>
        <w:t>Ten</w:t>
      </w:r>
      <w:proofErr w:type="spellEnd"/>
    </w:p>
    <w:p w14:paraId="1898102E" w14:textId="77777777" w:rsidR="003E2A0A" w:rsidRDefault="00810F93">
      <w:pPr>
        <w:pStyle w:val="SemEspaamento1"/>
        <w:ind w:hanging="426"/>
        <w:rPr>
          <w:sz w:val="22"/>
          <w:szCs w:val="22"/>
        </w:rPr>
      </w:pPr>
      <w:r>
        <w:rPr>
          <w:sz w:val="22"/>
          <w:szCs w:val="22"/>
        </w:rPr>
        <w:t>Chefe da SND</w:t>
      </w:r>
    </w:p>
    <w:p w14:paraId="29DD84B2" w14:textId="77777777" w:rsidR="003E2A0A" w:rsidRDefault="003E2A0A" w:rsidP="00810F93">
      <w:pPr>
        <w:pStyle w:val="SemEspaamento1"/>
        <w:rPr>
          <w:kern w:val="0"/>
          <w:sz w:val="22"/>
          <w:szCs w:val="22"/>
        </w:rPr>
      </w:pPr>
    </w:p>
    <w:p w14:paraId="39BDEFAF" w14:textId="77777777" w:rsidR="003E2A0A" w:rsidRDefault="003E2A0A" w:rsidP="00810F93">
      <w:pPr>
        <w:pStyle w:val="SemEspaamento1"/>
        <w:rPr>
          <w:kern w:val="0"/>
          <w:sz w:val="22"/>
          <w:szCs w:val="22"/>
        </w:rPr>
      </w:pPr>
    </w:p>
    <w:p w14:paraId="46A0EEBB" w14:textId="77777777" w:rsidR="003E2A0A" w:rsidRDefault="003E2A0A">
      <w:pPr>
        <w:pStyle w:val="SemEspaamento1"/>
        <w:ind w:left="-426"/>
        <w:rPr>
          <w:kern w:val="0"/>
          <w:sz w:val="22"/>
          <w:szCs w:val="22"/>
        </w:rPr>
      </w:pPr>
    </w:p>
    <w:p w14:paraId="26F353D4" w14:textId="77777777" w:rsidR="003E2A0A" w:rsidRDefault="00810F93">
      <w:pPr>
        <w:ind w:left="-426" w:right="-15"/>
        <w:rPr>
          <w:rFonts w:ascii="Times New Roman" w:hAnsi="Times New Roman" w:cs="Times New Roman"/>
          <w:sz w:val="22"/>
          <w:szCs w:val="22"/>
        </w:rPr>
      </w:pPr>
      <w:r>
        <w:rPr>
          <w:rFonts w:ascii="Times New Roman" w:hAnsi="Times New Roman" w:cs="Times New Roman"/>
          <w:sz w:val="22"/>
          <w:szCs w:val="22"/>
        </w:rPr>
        <w:t xml:space="preserve">  Planejamento e Pesquisa de Mercado</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14:paraId="5FE3A1F6" w14:textId="77777777" w:rsidR="003E2A0A" w:rsidRDefault="003E2A0A">
      <w:pPr>
        <w:ind w:right="-15"/>
        <w:rPr>
          <w:rFonts w:ascii="Times New Roman" w:hAnsi="Times New Roman" w:cs="Times New Roman"/>
          <w:bCs/>
          <w:sz w:val="22"/>
          <w:szCs w:val="22"/>
        </w:rPr>
      </w:pPr>
    </w:p>
    <w:p w14:paraId="58627332" w14:textId="77777777" w:rsidR="003E2A0A" w:rsidRDefault="003E2A0A">
      <w:pPr>
        <w:ind w:right="-15"/>
        <w:rPr>
          <w:rFonts w:ascii="Times New Roman" w:hAnsi="Times New Roman" w:cs="Times New Roman"/>
          <w:bCs/>
          <w:sz w:val="22"/>
          <w:szCs w:val="22"/>
        </w:rPr>
      </w:pPr>
    </w:p>
    <w:p w14:paraId="57D0F9BE" w14:textId="77777777" w:rsidR="003E2A0A" w:rsidRDefault="003E2A0A">
      <w:pPr>
        <w:ind w:right="-15"/>
        <w:rPr>
          <w:rFonts w:ascii="Times New Roman" w:hAnsi="Times New Roman" w:cs="Times New Roman"/>
          <w:bCs/>
          <w:sz w:val="22"/>
          <w:szCs w:val="22"/>
        </w:rPr>
      </w:pPr>
    </w:p>
    <w:p w14:paraId="0709C492" w14:textId="77777777" w:rsidR="003E2A0A" w:rsidRDefault="00810F93">
      <w:pPr>
        <w:pStyle w:val="SemEspaamento1"/>
        <w:ind w:hanging="426"/>
        <w:rPr>
          <w:sz w:val="22"/>
          <w:szCs w:val="22"/>
        </w:rPr>
      </w:pPr>
      <w:r>
        <w:rPr>
          <w:sz w:val="22"/>
          <w:szCs w:val="22"/>
        </w:rPr>
        <w:t xml:space="preserve">  _______________________________________________</w:t>
      </w:r>
    </w:p>
    <w:p w14:paraId="1CC6C0A6" w14:textId="68129C63" w:rsidR="003E2A0A" w:rsidRDefault="00810F93">
      <w:pPr>
        <w:pStyle w:val="SemEspaamento1"/>
        <w:ind w:hanging="426"/>
        <w:rPr>
          <w:b/>
          <w:bCs/>
        </w:rPr>
      </w:pPr>
      <w:r>
        <w:rPr>
          <w:b/>
          <w:bCs/>
          <w:sz w:val="22"/>
          <w:szCs w:val="22"/>
        </w:rPr>
        <w:t xml:space="preserve">  </w:t>
      </w:r>
      <w:r w:rsidR="00C644A2">
        <w:rPr>
          <w:b/>
          <w:bCs/>
          <w:sz w:val="22"/>
          <w:szCs w:val="22"/>
        </w:rPr>
        <w:t xml:space="preserve">PAULO SÉRGIO </w:t>
      </w:r>
      <w:r w:rsidR="00C644A2" w:rsidRPr="00C644A2">
        <w:rPr>
          <w:sz w:val="22"/>
          <w:szCs w:val="22"/>
        </w:rPr>
        <w:t>RODRIGUES GONÇALVES</w:t>
      </w:r>
      <w:r w:rsidR="00204F05" w:rsidRPr="00204F05">
        <w:rPr>
          <w:b/>
          <w:bCs/>
          <w:sz w:val="22"/>
          <w:szCs w:val="22"/>
        </w:rPr>
        <w:t xml:space="preserve"> - </w:t>
      </w:r>
      <w:r w:rsidR="00C644A2">
        <w:rPr>
          <w:b/>
          <w:bCs/>
          <w:sz w:val="22"/>
          <w:szCs w:val="22"/>
        </w:rPr>
        <w:t>CAP</w:t>
      </w:r>
    </w:p>
    <w:p w14:paraId="0FD96F35" w14:textId="532638D9" w:rsidR="003E2A0A" w:rsidRDefault="00810F93">
      <w:pPr>
        <w:pStyle w:val="SemEspaamento1"/>
        <w:ind w:hanging="426"/>
        <w:rPr>
          <w:sz w:val="22"/>
          <w:szCs w:val="22"/>
        </w:rPr>
      </w:pPr>
      <w:r>
        <w:rPr>
          <w:sz w:val="22"/>
          <w:szCs w:val="22"/>
        </w:rPr>
        <w:t xml:space="preserve">  </w:t>
      </w:r>
      <w:r w:rsidR="00204F05">
        <w:rPr>
          <w:sz w:val="22"/>
          <w:szCs w:val="22"/>
        </w:rPr>
        <w:t xml:space="preserve">Respondendo pela </w:t>
      </w:r>
      <w:r>
        <w:rPr>
          <w:sz w:val="22"/>
          <w:szCs w:val="22"/>
        </w:rPr>
        <w:t>Chef</w:t>
      </w:r>
      <w:r w:rsidR="00204F05">
        <w:rPr>
          <w:sz w:val="22"/>
          <w:szCs w:val="22"/>
        </w:rPr>
        <w:t>ia</w:t>
      </w:r>
      <w:r>
        <w:rPr>
          <w:sz w:val="22"/>
          <w:szCs w:val="22"/>
        </w:rPr>
        <w:t xml:space="preserve"> da Seção de Planejamento e Pesquisa </w:t>
      </w:r>
    </w:p>
    <w:p w14:paraId="238C01FF" w14:textId="77777777" w:rsidR="003E2A0A" w:rsidRDefault="003E2A0A">
      <w:pPr>
        <w:pStyle w:val="SemEspaamento1"/>
        <w:spacing w:line="276" w:lineRule="auto"/>
        <w:ind w:hanging="426"/>
        <w:rPr>
          <w:sz w:val="22"/>
          <w:szCs w:val="22"/>
        </w:rPr>
      </w:pPr>
    </w:p>
    <w:p w14:paraId="4D3560E3" w14:textId="77777777" w:rsidR="003E2A0A" w:rsidRDefault="003E2A0A">
      <w:pPr>
        <w:ind w:right="-15" w:hanging="426"/>
        <w:rPr>
          <w:rFonts w:ascii="Times New Roman" w:eastAsia="Times New Roman" w:hAnsi="Times New Roman" w:cs="Times New Roman"/>
          <w:bCs/>
          <w:sz w:val="22"/>
          <w:szCs w:val="22"/>
          <w:u w:val="single"/>
          <w:lang w:bidi="ar-SA"/>
        </w:rPr>
      </w:pPr>
    </w:p>
    <w:p w14:paraId="5F390CEB" w14:textId="77777777" w:rsidR="003E2A0A" w:rsidRDefault="003E2A0A" w:rsidP="00810F93">
      <w:pPr>
        <w:suppressAutoHyphens w:val="0"/>
        <w:rPr>
          <w:rFonts w:ascii="Times New Roman" w:hAnsi="Times New Roman" w:cs="Times New Roman"/>
          <w:b/>
          <w:sz w:val="22"/>
          <w:szCs w:val="22"/>
          <w:u w:val="single"/>
        </w:rPr>
      </w:pPr>
    </w:p>
    <w:p w14:paraId="2AB16F4F" w14:textId="77777777" w:rsidR="003E2A0A" w:rsidRDefault="003E2A0A">
      <w:pPr>
        <w:suppressAutoHyphens w:val="0"/>
        <w:ind w:left="-426"/>
        <w:rPr>
          <w:rFonts w:ascii="Times New Roman" w:hAnsi="Times New Roman" w:cs="Times New Roman"/>
          <w:b/>
          <w:sz w:val="22"/>
          <w:szCs w:val="22"/>
          <w:u w:val="single"/>
        </w:rPr>
      </w:pPr>
    </w:p>
    <w:p w14:paraId="7407FEAA" w14:textId="77777777" w:rsidR="003E2A0A" w:rsidRDefault="003E2A0A">
      <w:pPr>
        <w:suppressAutoHyphens w:val="0"/>
        <w:ind w:left="-426"/>
        <w:rPr>
          <w:rFonts w:ascii="Times New Roman" w:hAnsi="Times New Roman" w:cs="Times New Roman"/>
          <w:b/>
          <w:sz w:val="22"/>
          <w:szCs w:val="22"/>
          <w:u w:val="single"/>
        </w:rPr>
      </w:pPr>
    </w:p>
    <w:p w14:paraId="71C1BF35" w14:textId="77777777" w:rsidR="003E2A0A" w:rsidRDefault="00810F93">
      <w:pPr>
        <w:suppressAutoHyphens w:val="0"/>
        <w:ind w:left="-426"/>
        <w:rPr>
          <w:rFonts w:ascii="Times New Roman" w:hAnsi="Times New Roman" w:cs="Times New Roman"/>
          <w:b/>
          <w:sz w:val="22"/>
          <w:szCs w:val="22"/>
          <w:u w:val="single"/>
        </w:rPr>
      </w:pPr>
      <w:r>
        <w:rPr>
          <w:rFonts w:ascii="Times New Roman" w:hAnsi="Times New Roman" w:cs="Times New Roman"/>
          <w:b/>
          <w:sz w:val="22"/>
          <w:szCs w:val="22"/>
          <w:u w:val="single"/>
        </w:rPr>
        <w:t xml:space="preserve">  APROVAÇÃO DA AUTORIDADE COMPETENTE</w:t>
      </w:r>
    </w:p>
    <w:p w14:paraId="30D15369" w14:textId="77777777" w:rsidR="003E2A0A" w:rsidRDefault="003E2A0A">
      <w:pPr>
        <w:suppressAutoHyphens w:val="0"/>
        <w:ind w:left="-426"/>
        <w:rPr>
          <w:rFonts w:ascii="Times New Roman" w:hAnsi="Times New Roman" w:cs="Times New Roman"/>
          <w:b/>
          <w:sz w:val="22"/>
          <w:szCs w:val="22"/>
          <w:u w:val="single"/>
        </w:rPr>
      </w:pPr>
    </w:p>
    <w:p w14:paraId="6979A00F" w14:textId="77777777" w:rsidR="003E2A0A" w:rsidRDefault="00810F93">
      <w:pPr>
        <w:suppressAutoHyphens w:val="0"/>
        <w:ind w:left="-426"/>
        <w:jc w:val="both"/>
        <w:rPr>
          <w:rFonts w:ascii="Times New Roman" w:hAnsi="Times New Roman" w:cs="Times New Roman"/>
          <w:sz w:val="22"/>
          <w:szCs w:val="22"/>
        </w:rPr>
      </w:pPr>
      <w:r>
        <w:rPr>
          <w:rFonts w:ascii="Times New Roman" w:hAnsi="Times New Roman" w:cs="Times New Roman"/>
          <w:sz w:val="22"/>
          <w:szCs w:val="22"/>
        </w:rPr>
        <w:t xml:space="preserve"> Assim decido:</w:t>
      </w:r>
    </w:p>
    <w:p w14:paraId="79FE5323" w14:textId="77777777" w:rsidR="003E2A0A" w:rsidRDefault="00810F93">
      <w:pPr>
        <w:suppressAutoHyphens w:val="0"/>
        <w:ind w:left="-426"/>
        <w:jc w:val="both"/>
        <w:rPr>
          <w:rFonts w:ascii="Times New Roman" w:hAnsi="Times New Roman" w:cs="Times New Roman"/>
          <w:sz w:val="22"/>
          <w:szCs w:val="22"/>
        </w:rPr>
      </w:pPr>
      <w:r>
        <w:rPr>
          <w:rFonts w:ascii="Times New Roman" w:hAnsi="Times New Roman" w:cs="Times New Roman"/>
          <w:sz w:val="22"/>
          <w:szCs w:val="22"/>
        </w:rPr>
        <w:t xml:space="preserve"> </w:t>
      </w:r>
    </w:p>
    <w:p w14:paraId="2CC850F0" w14:textId="77777777" w:rsidR="003E2A0A" w:rsidRDefault="003E2A0A">
      <w:pPr>
        <w:suppressAutoHyphens w:val="0"/>
        <w:spacing w:line="2" w:lineRule="exact"/>
        <w:ind w:left="-426"/>
        <w:jc w:val="both"/>
        <w:rPr>
          <w:rFonts w:ascii="Times New Roman" w:hAnsi="Times New Roman" w:cs="Times New Roman"/>
          <w:sz w:val="22"/>
          <w:szCs w:val="22"/>
        </w:rPr>
      </w:pPr>
    </w:p>
    <w:p w14:paraId="1BD5DE55" w14:textId="3DD377F7" w:rsidR="003E2A0A" w:rsidRDefault="00810F93">
      <w:pPr>
        <w:ind w:left="-426" w:right="-15"/>
        <w:jc w:val="both"/>
      </w:pPr>
      <w:r>
        <w:rPr>
          <w:rFonts w:ascii="Times New Roman" w:hAnsi="Times New Roman" w:cs="Times New Roman"/>
          <w:sz w:val="22"/>
          <w:szCs w:val="22"/>
        </w:rPr>
        <w:t xml:space="preserve">a. aprovar, nos termos do inciso II, do </w:t>
      </w:r>
      <w:proofErr w:type="spellStart"/>
      <w:r>
        <w:rPr>
          <w:rFonts w:ascii="Times New Roman" w:hAnsi="Times New Roman" w:cs="Times New Roman"/>
          <w:sz w:val="22"/>
          <w:szCs w:val="22"/>
        </w:rPr>
        <w:t>Art</w:t>
      </w:r>
      <w:proofErr w:type="spellEnd"/>
      <w:r>
        <w:rPr>
          <w:rFonts w:ascii="Times New Roman" w:hAnsi="Times New Roman" w:cs="Times New Roman"/>
          <w:sz w:val="22"/>
          <w:szCs w:val="22"/>
        </w:rPr>
        <w:t xml:space="preserve"> 14º do Decreto nº 10.024, de 20 setembro 2019, o Termo de Referência nº 6</w:t>
      </w:r>
      <w:r w:rsidR="00636110">
        <w:rPr>
          <w:rFonts w:ascii="Times New Roman" w:hAnsi="Times New Roman" w:cs="Times New Roman"/>
          <w:sz w:val="22"/>
          <w:szCs w:val="22"/>
        </w:rPr>
        <w:t>3</w:t>
      </w:r>
      <w:r>
        <w:rPr>
          <w:rFonts w:ascii="Times New Roman" w:eastAsia="Times New Roman" w:hAnsi="Times New Roman" w:cs="Times New Roman"/>
          <w:kern w:val="2"/>
          <w:sz w:val="22"/>
          <w:szCs w:val="22"/>
          <w:lang w:bidi="ar-SA"/>
        </w:rPr>
        <w:t>/</w:t>
      </w:r>
      <w:r>
        <w:rPr>
          <w:rFonts w:ascii="Times New Roman" w:hAnsi="Times New Roman" w:cs="Times New Roman"/>
          <w:sz w:val="22"/>
          <w:szCs w:val="22"/>
        </w:rPr>
        <w:t xml:space="preserve">2023, que trata do registro de preços para eventual aquisição de material </w:t>
      </w:r>
      <w:r w:rsidR="00636110">
        <w:rPr>
          <w:rFonts w:ascii="Times New Roman" w:hAnsi="Times New Roman" w:cs="Times New Roman"/>
          <w:sz w:val="22"/>
          <w:szCs w:val="22"/>
        </w:rPr>
        <w:t>de consumo</w:t>
      </w:r>
      <w:r>
        <w:rPr>
          <w:rFonts w:ascii="Times New Roman" w:hAnsi="Times New Roman" w:cs="Times New Roman"/>
          <w:sz w:val="22"/>
          <w:szCs w:val="22"/>
        </w:rPr>
        <w:t xml:space="preserve"> para a Nutrição do Hospital Central do Exército (HCE).</w:t>
      </w:r>
    </w:p>
    <w:p w14:paraId="76BF1FDE" w14:textId="77777777" w:rsidR="003E2A0A" w:rsidRDefault="00810F93">
      <w:pPr>
        <w:ind w:left="-426" w:right="-15"/>
        <w:jc w:val="both"/>
        <w:rPr>
          <w:rFonts w:ascii="Times New Roman" w:hAnsi="Times New Roman" w:cs="Times New Roman"/>
          <w:sz w:val="22"/>
          <w:szCs w:val="22"/>
        </w:rPr>
      </w:pPr>
      <w:r>
        <w:rPr>
          <w:rFonts w:ascii="Times New Roman" w:hAnsi="Times New Roman" w:cs="Times New Roman"/>
          <w:sz w:val="22"/>
          <w:szCs w:val="22"/>
        </w:rPr>
        <w:t>b. a SALC adote as providências cabíveis, de acordo com as normas em vigor, e autue o presente Termo de Referência no respectivo Processo Administrativo atinente ao processo licitatório.</w:t>
      </w:r>
    </w:p>
    <w:p w14:paraId="1D36824F" w14:textId="77777777" w:rsidR="003E2A0A" w:rsidRDefault="003E2A0A">
      <w:pPr>
        <w:ind w:left="-426" w:right="-15"/>
        <w:rPr>
          <w:rFonts w:ascii="Times New Roman" w:hAnsi="Times New Roman" w:cs="Times New Roman"/>
          <w:sz w:val="22"/>
          <w:szCs w:val="22"/>
        </w:rPr>
      </w:pPr>
    </w:p>
    <w:p w14:paraId="4F31D183" w14:textId="77777777" w:rsidR="003E2A0A" w:rsidRDefault="003E2A0A">
      <w:pPr>
        <w:ind w:left="-426" w:right="-15"/>
        <w:rPr>
          <w:rFonts w:ascii="Times New Roman" w:hAnsi="Times New Roman" w:cs="Times New Roman"/>
          <w:sz w:val="22"/>
          <w:szCs w:val="22"/>
        </w:rPr>
      </w:pPr>
    </w:p>
    <w:p w14:paraId="453F6D00" w14:textId="77777777" w:rsidR="003E2A0A" w:rsidRDefault="003E2A0A">
      <w:pPr>
        <w:pStyle w:val="SemEspaamento1"/>
        <w:ind w:hanging="426"/>
        <w:rPr>
          <w:sz w:val="22"/>
          <w:szCs w:val="22"/>
        </w:rPr>
      </w:pPr>
    </w:p>
    <w:p w14:paraId="2D456DBF" w14:textId="77777777" w:rsidR="003E2A0A" w:rsidRDefault="003E2A0A">
      <w:pPr>
        <w:pStyle w:val="SemEspaamento1"/>
        <w:ind w:hanging="426"/>
        <w:rPr>
          <w:sz w:val="22"/>
          <w:szCs w:val="22"/>
        </w:rPr>
      </w:pPr>
    </w:p>
    <w:p w14:paraId="5B8FFC92" w14:textId="77777777" w:rsidR="003E2A0A" w:rsidRDefault="003E2A0A">
      <w:pPr>
        <w:pStyle w:val="SemEspaamento1"/>
        <w:ind w:hanging="426"/>
        <w:rPr>
          <w:sz w:val="22"/>
          <w:szCs w:val="22"/>
        </w:rPr>
      </w:pPr>
    </w:p>
    <w:p w14:paraId="3DD9521E" w14:textId="77777777" w:rsidR="003E2A0A" w:rsidRDefault="00810F93">
      <w:pPr>
        <w:pStyle w:val="SemEspaamento1"/>
        <w:ind w:hanging="426"/>
        <w:rPr>
          <w:sz w:val="22"/>
          <w:szCs w:val="22"/>
        </w:rPr>
      </w:pPr>
      <w:r>
        <w:rPr>
          <w:sz w:val="22"/>
          <w:szCs w:val="22"/>
        </w:rPr>
        <w:t>____________________________________</w:t>
      </w:r>
    </w:p>
    <w:p w14:paraId="55302403" w14:textId="5418CBB9" w:rsidR="003E2A0A" w:rsidRDefault="00592773">
      <w:pPr>
        <w:pStyle w:val="SemEspaamento1"/>
        <w:ind w:hanging="426"/>
      </w:pPr>
      <w:r>
        <w:rPr>
          <w:bCs/>
          <w:sz w:val="22"/>
          <w:szCs w:val="22"/>
        </w:rPr>
        <w:t>GESSER GOMES DE MATTOS</w:t>
      </w:r>
      <w:r w:rsidR="00810F93">
        <w:rPr>
          <w:bCs/>
          <w:sz w:val="22"/>
          <w:szCs w:val="22"/>
        </w:rPr>
        <w:t xml:space="preserve">- </w:t>
      </w:r>
      <w:proofErr w:type="spellStart"/>
      <w:r w:rsidR="00810F93">
        <w:rPr>
          <w:b/>
          <w:bCs/>
          <w:sz w:val="22"/>
          <w:szCs w:val="22"/>
        </w:rPr>
        <w:t>Cel</w:t>
      </w:r>
      <w:proofErr w:type="spellEnd"/>
    </w:p>
    <w:p w14:paraId="32E25C22" w14:textId="1B6FD480" w:rsidR="003E2A0A" w:rsidRDefault="00810F93">
      <w:pPr>
        <w:pStyle w:val="SemEspaamento1"/>
        <w:ind w:hanging="426"/>
      </w:pPr>
      <w:r>
        <w:rPr>
          <w:sz w:val="22"/>
          <w:szCs w:val="22"/>
        </w:rPr>
        <w:t xml:space="preserve">Ordenador de Despesas </w:t>
      </w:r>
      <w:r w:rsidR="00636110">
        <w:rPr>
          <w:sz w:val="22"/>
          <w:szCs w:val="22"/>
        </w:rPr>
        <w:t xml:space="preserve">Substituto </w:t>
      </w:r>
      <w:r>
        <w:rPr>
          <w:sz w:val="22"/>
          <w:szCs w:val="22"/>
        </w:rPr>
        <w:t>do HCE</w:t>
      </w:r>
    </w:p>
    <w:sectPr w:rsidR="003E2A0A">
      <w:headerReference w:type="default" r:id="rId44"/>
      <w:footerReference w:type="default" r:id="rId45"/>
      <w:pgSz w:w="11906" w:h="16838"/>
      <w:pgMar w:top="777" w:right="1134" w:bottom="1135" w:left="1701" w:header="720" w:footer="708"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617AB" w14:textId="77777777" w:rsidR="00062DC8" w:rsidRDefault="00810F93">
      <w:r>
        <w:separator/>
      </w:r>
    </w:p>
  </w:endnote>
  <w:endnote w:type="continuationSeparator" w:id="0">
    <w:p w14:paraId="48DAE4C2" w14:textId="77777777" w:rsidR="00062DC8" w:rsidRDefault="00810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mbria"/>
    <w:charset w:val="00"/>
    <w:family w:val="roman"/>
    <w:pitch w:val="variable"/>
  </w:font>
  <w:font w:name="Liberation Mono">
    <w:panose1 w:val="02070409020205020404"/>
    <w:charset w:val="00"/>
    <w:family w:val="modern"/>
    <w:pitch w:val="fixed"/>
    <w:sig w:usb0="E0000AFF" w:usb1="400078FF" w:usb2="0000000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awline">
    <w:altName w:val="Cambria"/>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3D70F" w14:textId="77777777" w:rsidR="00543D73" w:rsidRDefault="00543D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AA8A1" w14:textId="77777777" w:rsidR="003E2A0A" w:rsidRDefault="00810F93">
    <w:pPr>
      <w:pStyle w:val="Rodap"/>
      <w:rPr>
        <w:color w:val="8496B0"/>
        <w:spacing w:val="60"/>
        <w:sz w:val="22"/>
        <w:szCs w:val="22"/>
      </w:rPr>
    </w:pPr>
    <w:r>
      <w:rPr>
        <w:color w:val="8496B0"/>
        <w:spacing w:val="60"/>
        <w:sz w:val="22"/>
        <w:szCs w:val="22"/>
      </w:rPr>
      <w:tab/>
    </w:r>
    <w:r>
      <w:rPr>
        <w:color w:val="8496B0"/>
        <w:spacing w:val="60"/>
        <w:sz w:val="22"/>
        <w:szCs w:val="22"/>
      </w:rPr>
      <w:tab/>
    </w:r>
  </w:p>
  <w:p w14:paraId="5183E3FB" w14:textId="77777777" w:rsidR="003E2A0A" w:rsidRDefault="00810F93">
    <w:pPr>
      <w:pStyle w:val="Rodap"/>
    </w:pPr>
    <w:r>
      <w:rPr>
        <w:color w:val="7F7F7F"/>
        <w:spacing w:val="60"/>
        <w:sz w:val="22"/>
        <w:szCs w:val="22"/>
      </w:rPr>
      <w:tab/>
    </w:r>
    <w:r>
      <w:rPr>
        <w:color w:val="7F7F7F"/>
        <w:spacing w:val="60"/>
        <w:sz w:val="22"/>
        <w:szCs w:val="22"/>
      </w:rPr>
      <w:tab/>
    </w:r>
    <w:r>
      <w:rPr>
        <w:color w:val="595959"/>
        <w:spacing w:val="60"/>
        <w:sz w:val="22"/>
        <w:szCs w:val="22"/>
      </w:rPr>
      <w:t>Página</w:t>
    </w:r>
    <w:r>
      <w:rPr>
        <w:color w:val="595959"/>
        <w:sz w:val="22"/>
        <w:szCs w:val="22"/>
      </w:rPr>
      <w:t xml:space="preserve"> </w:t>
    </w:r>
    <w:r>
      <w:rPr>
        <w:color w:val="595959"/>
        <w:sz w:val="22"/>
        <w:szCs w:val="22"/>
      </w:rPr>
      <w:fldChar w:fldCharType="begin"/>
    </w:r>
    <w:r>
      <w:rPr>
        <w:sz w:val="22"/>
        <w:szCs w:val="22"/>
      </w:rPr>
      <w:instrText>PAGE</w:instrText>
    </w:r>
    <w:r>
      <w:rPr>
        <w:sz w:val="22"/>
        <w:szCs w:val="22"/>
      </w:rPr>
      <w:fldChar w:fldCharType="separate"/>
    </w:r>
    <w:r>
      <w:rPr>
        <w:sz w:val="22"/>
        <w:szCs w:val="22"/>
      </w:rPr>
      <w:t>2</w:t>
    </w:r>
    <w:r>
      <w:rPr>
        <w:sz w:val="22"/>
        <w:szCs w:val="22"/>
      </w:rPr>
      <w:fldChar w:fldCharType="end"/>
    </w:r>
    <w:r>
      <w:rPr>
        <w:color w:val="595959"/>
        <w:sz w:val="22"/>
        <w:szCs w:val="22"/>
      </w:rPr>
      <w:t xml:space="preserve"> | </w:t>
    </w:r>
    <w:r>
      <w:rPr>
        <w:color w:val="595959"/>
        <w:sz w:val="22"/>
        <w:szCs w:val="22"/>
      </w:rPr>
      <w:fldChar w:fldCharType="begin"/>
    </w:r>
    <w:r>
      <w:rPr>
        <w:sz w:val="22"/>
        <w:szCs w:val="22"/>
      </w:rPr>
      <w:instrText>NUMPAGES</w:instrText>
    </w:r>
    <w:r>
      <w:rPr>
        <w:sz w:val="22"/>
        <w:szCs w:val="22"/>
      </w:rPr>
      <w:fldChar w:fldCharType="separate"/>
    </w:r>
    <w:r>
      <w:rPr>
        <w:sz w:val="22"/>
        <w:szCs w:val="22"/>
      </w:rPr>
      <w:t>20</w:t>
    </w:r>
    <w:r>
      <w:rPr>
        <w:sz w:val="22"/>
        <w:szCs w:val="22"/>
      </w:rPr>
      <w:fldChar w:fldCharType="end"/>
    </w:r>
  </w:p>
  <w:p w14:paraId="4BCDF690" w14:textId="77777777" w:rsidR="003E2A0A" w:rsidRDefault="00810F93">
    <w:pPr>
      <w:pStyle w:val="Rodap"/>
      <w:rPr>
        <w:rFonts w:ascii="Rawline" w:hAnsi="Rawline" w:cs="Arial"/>
        <w:sz w:val="12"/>
      </w:rPr>
    </w:pPr>
    <w:r>
      <w:rPr>
        <w:rFonts w:ascii="Rawline" w:hAnsi="Rawline" w:cs="Arial"/>
        <w:sz w:val="12"/>
      </w:rPr>
      <w:t>Câmara Nacional de Modelos de Licitações e Contratos da Consultoria-Geral da União</w:t>
    </w:r>
  </w:p>
  <w:p w14:paraId="3778DF1C" w14:textId="77777777" w:rsidR="003E2A0A" w:rsidRDefault="00810F93">
    <w:pPr>
      <w:pStyle w:val="Rodap"/>
      <w:rPr>
        <w:rFonts w:ascii="Rawline" w:hAnsi="Rawline" w:cs="Arial"/>
        <w:sz w:val="12"/>
      </w:rPr>
    </w:pPr>
    <w:r>
      <w:rPr>
        <w:rFonts w:ascii="Rawline" w:hAnsi="Rawline" w:cs="Arial"/>
        <w:sz w:val="12"/>
      </w:rPr>
      <w:t>Atualização: maio/2023</w:t>
    </w:r>
  </w:p>
  <w:p w14:paraId="3314051F" w14:textId="77777777" w:rsidR="003E2A0A" w:rsidRDefault="00810F93">
    <w:pPr>
      <w:pStyle w:val="Rodap"/>
      <w:rPr>
        <w:rFonts w:ascii="Rawline" w:hAnsi="Rawline" w:cs="Arial"/>
        <w:sz w:val="12"/>
        <w:szCs w:val="12"/>
      </w:rPr>
    </w:pPr>
    <w:r>
      <w:rPr>
        <w:rFonts w:ascii="Rawline" w:hAnsi="Rawline" w:cs="Arial"/>
        <w:sz w:val="12"/>
        <w:szCs w:val="12"/>
      </w:rPr>
      <w:t>Termo de Referência Aquisições – Licitação - Modelo para Pregão Eletrônico</w:t>
    </w:r>
    <w:r>
      <w:rPr>
        <w:rFonts w:ascii="Rawline" w:hAnsi="Rawline" w:cs="Arial"/>
        <w:sz w:val="12"/>
        <w:szCs w:val="12"/>
      </w:rPr>
      <w:tab/>
    </w:r>
    <w:r>
      <w:rPr>
        <w:rFonts w:ascii="Rawline" w:hAnsi="Rawline" w:cs="Arial"/>
        <w:sz w:val="12"/>
        <w:szCs w:val="12"/>
      </w:rPr>
      <w:tab/>
    </w:r>
  </w:p>
  <w:p w14:paraId="221548D6" w14:textId="77777777" w:rsidR="003E2A0A" w:rsidRDefault="00810F93">
    <w:pPr>
      <w:pStyle w:val="Rodap"/>
      <w:rPr>
        <w:rFonts w:ascii="Rawline" w:hAnsi="Rawline"/>
        <w:sz w:val="12"/>
        <w:szCs w:val="12"/>
      </w:rPr>
    </w:pPr>
    <w:r>
      <w:rPr>
        <w:rFonts w:ascii="Rawline" w:hAnsi="Rawline"/>
        <w:sz w:val="12"/>
        <w:szCs w:val="12"/>
      </w:rPr>
      <w:t>Aprovado pela Secretaria de Gestão.</w:t>
    </w:r>
  </w:p>
  <w:p w14:paraId="2597F3AA" w14:textId="1A48074F" w:rsidR="003E2A0A" w:rsidRDefault="00810F93">
    <w:pPr>
      <w:pStyle w:val="Rodap"/>
      <w:rPr>
        <w:rFonts w:ascii="Rawline" w:hAnsi="Rawline"/>
        <w:sz w:val="12"/>
        <w:szCs w:val="12"/>
      </w:rPr>
    </w:pPr>
    <w:r>
      <w:rPr>
        <w:rFonts w:ascii="Rawline" w:hAnsi="Rawline"/>
        <w:sz w:val="12"/>
        <w:szCs w:val="12"/>
      </w:rPr>
      <w:t>Identidade visual pela Secretaria de Gestão (versão dezembro/202</w:t>
    </w:r>
    <w:r w:rsidR="00543D73">
      <w:rPr>
        <w:rFonts w:ascii="Rawline" w:hAnsi="Rawline"/>
        <w:sz w:val="12"/>
        <w:szCs w:val="12"/>
      </w:rPr>
      <w:t>3</w:t>
    </w:r>
    <w:r>
      <w:rPr>
        <w:rFonts w:ascii="Rawline" w:hAnsi="Rawline"/>
        <w:sz w:val="12"/>
        <w:szCs w:val="12"/>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0E862" w14:textId="77777777" w:rsidR="00543D73" w:rsidRDefault="00543D73">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6DB27" w14:textId="77777777" w:rsidR="003E2A0A" w:rsidRDefault="00810F93">
    <w:pPr>
      <w:pStyle w:val="Corpodetexto"/>
      <w:tabs>
        <w:tab w:val="center" w:pos="4252"/>
        <w:tab w:val="right" w:pos="8504"/>
      </w:tabs>
      <w:suppressAutoHyphens w:val="0"/>
      <w:spacing w:after="0" w:line="100" w:lineRule="atLeast"/>
      <w:rPr>
        <w:rFonts w:ascii="Times New Roman" w:hAnsi="Times New Roman" w:cs="Times New Roman"/>
        <w:sz w:val="12"/>
        <w:szCs w:val="12"/>
      </w:rPr>
    </w:pPr>
    <w:r>
      <w:rPr>
        <w:rFonts w:ascii="Times New Roman" w:hAnsi="Times New Roman" w:cs="Times New Roman"/>
        <w:sz w:val="12"/>
        <w:szCs w:val="12"/>
      </w:rPr>
      <w:t>________________________________________________________________________________________________________________</w:t>
    </w:r>
  </w:p>
  <w:p w14:paraId="03A22BCE" w14:textId="77777777" w:rsidR="003E2A0A" w:rsidRDefault="00810F93">
    <w:pPr>
      <w:pStyle w:val="Rodap"/>
      <w:rPr>
        <w:color w:val="8496B0"/>
        <w:spacing w:val="60"/>
        <w:sz w:val="22"/>
        <w:szCs w:val="22"/>
      </w:rPr>
    </w:pPr>
    <w:r>
      <w:rPr>
        <w:color w:val="8496B0"/>
        <w:spacing w:val="60"/>
        <w:sz w:val="22"/>
        <w:szCs w:val="22"/>
      </w:rPr>
      <w:tab/>
    </w:r>
    <w:r>
      <w:rPr>
        <w:color w:val="8496B0"/>
        <w:spacing w:val="60"/>
        <w:sz w:val="22"/>
        <w:szCs w:val="22"/>
      </w:rPr>
      <w:tab/>
    </w:r>
  </w:p>
  <w:p w14:paraId="7F773FFE" w14:textId="77777777" w:rsidR="003E2A0A" w:rsidRDefault="00810F93">
    <w:pPr>
      <w:pStyle w:val="Rodap"/>
    </w:pPr>
    <w:r>
      <w:rPr>
        <w:color w:val="7F7F7F"/>
        <w:spacing w:val="60"/>
        <w:sz w:val="22"/>
        <w:szCs w:val="22"/>
      </w:rPr>
      <w:tab/>
    </w:r>
    <w:r>
      <w:rPr>
        <w:color w:val="7F7F7F"/>
        <w:spacing w:val="60"/>
        <w:sz w:val="22"/>
        <w:szCs w:val="22"/>
      </w:rPr>
      <w:tab/>
    </w:r>
    <w:r>
      <w:rPr>
        <w:color w:val="595959"/>
        <w:spacing w:val="60"/>
        <w:sz w:val="22"/>
        <w:szCs w:val="22"/>
      </w:rPr>
      <w:t>Página</w:t>
    </w:r>
    <w:r>
      <w:rPr>
        <w:color w:val="595959"/>
        <w:sz w:val="22"/>
        <w:szCs w:val="22"/>
      </w:rPr>
      <w:t xml:space="preserve"> </w:t>
    </w:r>
    <w:r>
      <w:rPr>
        <w:color w:val="595959"/>
        <w:sz w:val="22"/>
        <w:szCs w:val="22"/>
      </w:rPr>
      <w:fldChar w:fldCharType="begin"/>
    </w:r>
    <w:r>
      <w:rPr>
        <w:sz w:val="22"/>
        <w:szCs w:val="22"/>
      </w:rPr>
      <w:instrText>PAGE</w:instrText>
    </w:r>
    <w:r>
      <w:rPr>
        <w:sz w:val="22"/>
        <w:szCs w:val="22"/>
      </w:rPr>
      <w:fldChar w:fldCharType="separate"/>
    </w:r>
    <w:r>
      <w:rPr>
        <w:sz w:val="22"/>
        <w:szCs w:val="22"/>
      </w:rPr>
      <w:t>20</w:t>
    </w:r>
    <w:r>
      <w:rPr>
        <w:sz w:val="22"/>
        <w:szCs w:val="22"/>
      </w:rPr>
      <w:fldChar w:fldCharType="end"/>
    </w:r>
    <w:r>
      <w:rPr>
        <w:color w:val="595959"/>
        <w:sz w:val="22"/>
        <w:szCs w:val="22"/>
      </w:rPr>
      <w:t xml:space="preserve"> | </w:t>
    </w:r>
    <w:r>
      <w:rPr>
        <w:color w:val="595959"/>
        <w:sz w:val="22"/>
        <w:szCs w:val="22"/>
      </w:rPr>
      <w:fldChar w:fldCharType="begin"/>
    </w:r>
    <w:r>
      <w:rPr>
        <w:sz w:val="22"/>
        <w:szCs w:val="22"/>
      </w:rPr>
      <w:instrText>NUMPAGES</w:instrText>
    </w:r>
    <w:r>
      <w:rPr>
        <w:sz w:val="22"/>
        <w:szCs w:val="22"/>
      </w:rPr>
      <w:fldChar w:fldCharType="separate"/>
    </w:r>
    <w:r>
      <w:rPr>
        <w:sz w:val="22"/>
        <w:szCs w:val="22"/>
      </w:rPr>
      <w:t>20</w:t>
    </w:r>
    <w:r>
      <w:rPr>
        <w:sz w:val="22"/>
        <w:szCs w:val="22"/>
      </w:rPr>
      <w:fldChar w:fldCharType="end"/>
    </w:r>
  </w:p>
  <w:p w14:paraId="1CDF0264" w14:textId="77777777" w:rsidR="003E2A0A" w:rsidRDefault="00810F93">
    <w:pPr>
      <w:pStyle w:val="Rodap"/>
    </w:pPr>
    <w:r>
      <w:rPr>
        <w:rFonts w:ascii="Rawline" w:hAnsi="Rawline" w:cs="Arial"/>
        <w:sz w:val="12"/>
      </w:rPr>
      <w:t>Câmara Nacional de Modelos de Licitações e Contratos da Consultoria-Geral da União</w:t>
    </w:r>
    <w:r>
      <w:rPr>
        <w:color w:val="595959"/>
        <w:spacing w:val="60"/>
        <w:sz w:val="22"/>
        <w:szCs w:val="22"/>
      </w:rPr>
      <w:t xml:space="preserve">                           Página</w:t>
    </w:r>
    <w:r>
      <w:rPr>
        <w:color w:val="595959"/>
        <w:sz w:val="22"/>
        <w:szCs w:val="22"/>
      </w:rPr>
      <w:t xml:space="preserve"> </w:t>
    </w:r>
    <w:r>
      <w:rPr>
        <w:color w:val="595959"/>
        <w:sz w:val="22"/>
        <w:szCs w:val="22"/>
      </w:rPr>
      <w:fldChar w:fldCharType="begin"/>
    </w:r>
    <w:r>
      <w:rPr>
        <w:sz w:val="22"/>
        <w:szCs w:val="22"/>
      </w:rPr>
      <w:instrText>PAGE</w:instrText>
    </w:r>
    <w:r>
      <w:rPr>
        <w:sz w:val="22"/>
        <w:szCs w:val="22"/>
      </w:rPr>
      <w:fldChar w:fldCharType="separate"/>
    </w:r>
    <w:r>
      <w:rPr>
        <w:sz w:val="22"/>
        <w:szCs w:val="22"/>
      </w:rPr>
      <w:t>20</w:t>
    </w:r>
    <w:r>
      <w:rPr>
        <w:sz w:val="22"/>
        <w:szCs w:val="22"/>
      </w:rPr>
      <w:fldChar w:fldCharType="end"/>
    </w:r>
    <w:r>
      <w:rPr>
        <w:color w:val="595959"/>
        <w:sz w:val="22"/>
        <w:szCs w:val="22"/>
      </w:rPr>
      <w:t xml:space="preserve"> | </w:t>
    </w:r>
    <w:r>
      <w:rPr>
        <w:color w:val="595959"/>
        <w:sz w:val="22"/>
        <w:szCs w:val="22"/>
      </w:rPr>
      <w:fldChar w:fldCharType="begin"/>
    </w:r>
    <w:r>
      <w:rPr>
        <w:sz w:val="22"/>
        <w:szCs w:val="22"/>
      </w:rPr>
      <w:instrText>NUMPAGES</w:instrText>
    </w:r>
    <w:r>
      <w:rPr>
        <w:sz w:val="22"/>
        <w:szCs w:val="22"/>
      </w:rPr>
      <w:fldChar w:fldCharType="separate"/>
    </w:r>
    <w:r>
      <w:rPr>
        <w:sz w:val="22"/>
        <w:szCs w:val="22"/>
      </w:rPr>
      <w:t>20</w:t>
    </w:r>
    <w:r>
      <w:rPr>
        <w:sz w:val="22"/>
        <w:szCs w:val="22"/>
      </w:rPr>
      <w:fldChar w:fldCharType="end"/>
    </w:r>
  </w:p>
  <w:p w14:paraId="326B6768" w14:textId="77777777" w:rsidR="003E2A0A" w:rsidRDefault="00810F93">
    <w:pPr>
      <w:pStyle w:val="Rodap"/>
      <w:rPr>
        <w:rFonts w:ascii="Rawline" w:hAnsi="Rawline" w:cs="Arial"/>
        <w:sz w:val="12"/>
      </w:rPr>
    </w:pPr>
    <w:r>
      <w:rPr>
        <w:rFonts w:ascii="Rawline" w:hAnsi="Rawline" w:cs="Arial"/>
        <w:sz w:val="12"/>
      </w:rPr>
      <w:t>Atualização: maio/2023</w:t>
    </w:r>
  </w:p>
  <w:p w14:paraId="5D6AD9A5" w14:textId="77777777" w:rsidR="003E2A0A" w:rsidRDefault="00810F93">
    <w:pPr>
      <w:pStyle w:val="Rodap"/>
      <w:rPr>
        <w:rFonts w:ascii="Rawline" w:hAnsi="Rawline" w:cs="Arial"/>
        <w:sz w:val="12"/>
        <w:szCs w:val="12"/>
      </w:rPr>
    </w:pPr>
    <w:r>
      <w:rPr>
        <w:rFonts w:ascii="Rawline" w:hAnsi="Rawline" w:cs="Arial"/>
        <w:sz w:val="12"/>
        <w:szCs w:val="12"/>
      </w:rPr>
      <w:t>Termo de Referência Aquisições – Licitação - Modelo para Pregão Eletrônico</w:t>
    </w:r>
    <w:r>
      <w:rPr>
        <w:rFonts w:ascii="Rawline" w:hAnsi="Rawline" w:cs="Arial"/>
        <w:sz w:val="12"/>
        <w:szCs w:val="12"/>
      </w:rPr>
      <w:tab/>
    </w:r>
    <w:r>
      <w:rPr>
        <w:rFonts w:ascii="Rawline" w:hAnsi="Rawline" w:cs="Arial"/>
        <w:sz w:val="12"/>
        <w:szCs w:val="12"/>
      </w:rPr>
      <w:tab/>
    </w:r>
  </w:p>
  <w:p w14:paraId="672C791D" w14:textId="77777777" w:rsidR="003E2A0A" w:rsidRDefault="00810F93">
    <w:pPr>
      <w:pStyle w:val="Rodap"/>
      <w:rPr>
        <w:rFonts w:ascii="Rawline" w:hAnsi="Rawline"/>
        <w:sz w:val="12"/>
        <w:szCs w:val="12"/>
      </w:rPr>
    </w:pPr>
    <w:r>
      <w:rPr>
        <w:rFonts w:ascii="Rawline" w:hAnsi="Rawline"/>
        <w:sz w:val="12"/>
        <w:szCs w:val="12"/>
      </w:rPr>
      <w:t>Aprovado pela Secretaria de Gestão.</w:t>
    </w:r>
  </w:p>
  <w:p w14:paraId="302F3623" w14:textId="0AC88E93" w:rsidR="003E2A0A" w:rsidRDefault="00810F93">
    <w:pPr>
      <w:pStyle w:val="Rodap"/>
      <w:rPr>
        <w:rFonts w:ascii="Rawline" w:hAnsi="Rawline"/>
        <w:sz w:val="12"/>
        <w:szCs w:val="12"/>
      </w:rPr>
    </w:pPr>
    <w:r>
      <w:rPr>
        <w:rFonts w:ascii="Rawline" w:hAnsi="Rawline"/>
        <w:sz w:val="12"/>
        <w:szCs w:val="12"/>
      </w:rPr>
      <w:t>Identidade visual pela Secretaria de Gestão (versão dezembro/202</w:t>
    </w:r>
    <w:r w:rsidR="00543D73">
      <w:rPr>
        <w:rFonts w:ascii="Rawline" w:hAnsi="Rawline"/>
        <w:sz w:val="12"/>
        <w:szCs w:val="12"/>
      </w:rPr>
      <w:t>3</w:t>
    </w:r>
    <w:r>
      <w:rPr>
        <w:rFonts w:ascii="Rawline" w:hAnsi="Rawline"/>
        <w:sz w:val="12"/>
        <w:szCs w:val="12"/>
      </w:rPr>
      <w:t>)</w:t>
    </w:r>
  </w:p>
  <w:p w14:paraId="1E3CA612" w14:textId="77777777" w:rsidR="003E2A0A" w:rsidRDefault="003E2A0A">
    <w:pPr>
      <w:tabs>
        <w:tab w:val="center" w:pos="4252"/>
        <w:tab w:val="right" w:pos="8504"/>
      </w:tabs>
      <w:suppressAutoHyphens w:val="0"/>
      <w:spacing w:line="100" w:lineRule="atLeast"/>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90345" w14:textId="77777777" w:rsidR="00062DC8" w:rsidRDefault="00810F93">
      <w:r>
        <w:separator/>
      </w:r>
    </w:p>
  </w:footnote>
  <w:footnote w:type="continuationSeparator" w:id="0">
    <w:p w14:paraId="6E51BF53" w14:textId="77777777" w:rsidR="00062DC8" w:rsidRDefault="00810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017F8" w14:textId="77777777" w:rsidR="00543D73" w:rsidRDefault="00543D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C0C0C" w14:textId="77777777" w:rsidR="00543D73" w:rsidRDefault="00543D7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763B9" w14:textId="77777777" w:rsidR="00543D73" w:rsidRDefault="00543D73">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B871" w14:textId="77777777" w:rsidR="003E2A0A" w:rsidRDefault="003E2A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B07BA"/>
    <w:multiLevelType w:val="multilevel"/>
    <w:tmpl w:val="2B1C5230"/>
    <w:lvl w:ilvl="0">
      <w:start w:val="6"/>
      <w:numFmt w:val="decimal"/>
      <w:lvlText w:val="%1"/>
      <w:lvlJc w:val="left"/>
      <w:pPr>
        <w:ind w:left="435" w:hanging="435"/>
      </w:pPr>
    </w:lvl>
    <w:lvl w:ilvl="1">
      <w:start w:val="7"/>
      <w:numFmt w:val="decimal"/>
      <w:lvlText w:val="%1.%2"/>
      <w:lvlJc w:val="left"/>
      <w:pPr>
        <w:ind w:left="874" w:hanging="435"/>
      </w:pPr>
    </w:lvl>
    <w:lvl w:ilvl="2">
      <w:start w:val="4"/>
      <w:numFmt w:val="decimal"/>
      <w:lvlText w:val="%1.%2.%3"/>
      <w:lvlJc w:val="left"/>
      <w:pPr>
        <w:ind w:left="1598" w:hanging="720"/>
      </w:pPr>
    </w:lvl>
    <w:lvl w:ilvl="3">
      <w:start w:val="1"/>
      <w:numFmt w:val="decimal"/>
      <w:lvlText w:val="%1.%2.%3.%4"/>
      <w:lvlJc w:val="left"/>
      <w:pPr>
        <w:ind w:left="2037" w:hanging="720"/>
      </w:pPr>
    </w:lvl>
    <w:lvl w:ilvl="4">
      <w:start w:val="1"/>
      <w:numFmt w:val="decimal"/>
      <w:lvlText w:val="%1.%2.%3.%4.%5"/>
      <w:lvlJc w:val="left"/>
      <w:pPr>
        <w:ind w:left="2836" w:hanging="1080"/>
      </w:pPr>
    </w:lvl>
    <w:lvl w:ilvl="5">
      <w:start w:val="1"/>
      <w:numFmt w:val="decimal"/>
      <w:lvlText w:val="%1.%2.%3.%4.%5.%6"/>
      <w:lvlJc w:val="left"/>
      <w:pPr>
        <w:ind w:left="3275" w:hanging="1080"/>
      </w:pPr>
    </w:lvl>
    <w:lvl w:ilvl="6">
      <w:start w:val="1"/>
      <w:numFmt w:val="decimal"/>
      <w:lvlText w:val="%1.%2.%3.%4.%5.%6.%7"/>
      <w:lvlJc w:val="left"/>
      <w:pPr>
        <w:ind w:left="4074" w:hanging="1440"/>
      </w:pPr>
    </w:lvl>
    <w:lvl w:ilvl="7">
      <w:start w:val="1"/>
      <w:numFmt w:val="decimal"/>
      <w:lvlText w:val="%1.%2.%3.%4.%5.%6.%7.%8"/>
      <w:lvlJc w:val="left"/>
      <w:pPr>
        <w:ind w:left="4513" w:hanging="1440"/>
      </w:pPr>
    </w:lvl>
    <w:lvl w:ilvl="8">
      <w:start w:val="1"/>
      <w:numFmt w:val="decimal"/>
      <w:lvlText w:val="%1.%2.%3.%4.%5.%6.%7.%8.%9"/>
      <w:lvlJc w:val="left"/>
      <w:pPr>
        <w:ind w:left="5312" w:hanging="1800"/>
      </w:pPr>
    </w:lvl>
  </w:abstractNum>
  <w:abstractNum w:abstractNumId="1" w15:restartNumberingAfterBreak="0">
    <w:nsid w:val="16305983"/>
    <w:multiLevelType w:val="multilevel"/>
    <w:tmpl w:val="6F5473EE"/>
    <w:lvl w:ilvl="0">
      <w:start w:val="1"/>
      <w:numFmt w:val="upperRoman"/>
      <w:lvlText w:val="%1)"/>
      <w:lvlJc w:val="left"/>
      <w:pPr>
        <w:ind w:left="2136" w:hanging="720"/>
      </w:pPr>
    </w:lvl>
    <w:lvl w:ilvl="1">
      <w:start w:val="1"/>
      <w:numFmt w:val="lowerLetter"/>
      <w:lvlText w:val="%1.%2."/>
      <w:lvlJc w:val="left"/>
      <w:pPr>
        <w:ind w:left="2496" w:hanging="360"/>
      </w:pPr>
    </w:lvl>
    <w:lvl w:ilvl="2">
      <w:start w:val="1"/>
      <w:numFmt w:val="lowerRoman"/>
      <w:lvlText w:val="%2.%3."/>
      <w:lvlJc w:val="right"/>
      <w:pPr>
        <w:ind w:left="3216" w:hanging="180"/>
      </w:pPr>
    </w:lvl>
    <w:lvl w:ilvl="3">
      <w:start w:val="1"/>
      <w:numFmt w:val="decimal"/>
      <w:lvlText w:val="%3.%4."/>
      <w:lvlJc w:val="left"/>
      <w:pPr>
        <w:ind w:left="3936" w:hanging="360"/>
      </w:pPr>
    </w:lvl>
    <w:lvl w:ilvl="4">
      <w:start w:val="1"/>
      <w:numFmt w:val="lowerLetter"/>
      <w:lvlText w:val="%4.%5."/>
      <w:lvlJc w:val="left"/>
      <w:pPr>
        <w:ind w:left="4656" w:hanging="360"/>
      </w:pPr>
    </w:lvl>
    <w:lvl w:ilvl="5">
      <w:start w:val="1"/>
      <w:numFmt w:val="lowerRoman"/>
      <w:lvlText w:val="%5.%6."/>
      <w:lvlJc w:val="right"/>
      <w:pPr>
        <w:ind w:left="5376" w:hanging="180"/>
      </w:pPr>
    </w:lvl>
    <w:lvl w:ilvl="6">
      <w:start w:val="1"/>
      <w:numFmt w:val="decimal"/>
      <w:lvlText w:val="%6.%7."/>
      <w:lvlJc w:val="left"/>
      <w:pPr>
        <w:ind w:left="6096" w:hanging="360"/>
      </w:pPr>
    </w:lvl>
    <w:lvl w:ilvl="7">
      <w:start w:val="1"/>
      <w:numFmt w:val="lowerLetter"/>
      <w:lvlText w:val="%7.%8."/>
      <w:lvlJc w:val="left"/>
      <w:pPr>
        <w:ind w:left="6816" w:hanging="360"/>
      </w:pPr>
    </w:lvl>
    <w:lvl w:ilvl="8">
      <w:start w:val="1"/>
      <w:numFmt w:val="lowerRoman"/>
      <w:lvlText w:val="%8.%9."/>
      <w:lvlJc w:val="right"/>
      <w:pPr>
        <w:ind w:left="7536" w:hanging="180"/>
      </w:pPr>
    </w:lvl>
  </w:abstractNum>
  <w:abstractNum w:abstractNumId="2" w15:restartNumberingAfterBreak="0">
    <w:nsid w:val="1EB37F96"/>
    <w:multiLevelType w:val="multilevel"/>
    <w:tmpl w:val="CBD4F84E"/>
    <w:lvl w:ilvl="0">
      <w:start w:val="1"/>
      <w:numFmt w:val="decimal"/>
      <w:lvlText w:val="%1."/>
      <w:lvlJc w:val="left"/>
      <w:pPr>
        <w:ind w:left="360" w:hanging="360"/>
      </w:pPr>
      <w:rPr>
        <w:rFonts w:ascii="Times New Roman" w:hAnsi="Times New Roman"/>
        <w:b/>
        <w:color w:val="00000A"/>
        <w:sz w:val="22"/>
      </w:rPr>
    </w:lvl>
    <w:lvl w:ilvl="1">
      <w:start w:val="1"/>
      <w:numFmt w:val="decimal"/>
      <w:lvlText w:val="%1.%2."/>
      <w:lvlJc w:val="left"/>
      <w:pPr>
        <w:ind w:left="716" w:hanging="432"/>
      </w:pPr>
      <w:rPr>
        <w:b w:val="0"/>
        <w:i w:val="0"/>
        <w:strike w:val="0"/>
        <w:dstrike w:val="0"/>
        <w:color w:val="00000A"/>
      </w:rPr>
    </w:lvl>
    <w:lvl w:ilvl="2">
      <w:start w:val="1"/>
      <w:numFmt w:val="decimal"/>
      <w:lvlText w:val="%1.%2.%3."/>
      <w:lvlJc w:val="left"/>
      <w:pPr>
        <w:ind w:left="930" w:hanging="504"/>
      </w:pPr>
      <w:rPr>
        <w:b w:val="0"/>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ED1FCB"/>
    <w:multiLevelType w:val="multilevel"/>
    <w:tmpl w:val="EB0CCC66"/>
    <w:lvl w:ilvl="0">
      <w:start w:val="1"/>
      <w:numFmt w:val="lowerLetter"/>
      <w:lvlText w:val="%1)"/>
      <w:lvlJc w:val="left"/>
      <w:pPr>
        <w:ind w:left="1287" w:hanging="360"/>
      </w:pPr>
    </w:lvl>
    <w:lvl w:ilvl="1">
      <w:start w:val="1"/>
      <w:numFmt w:val="lowerLetter"/>
      <w:lvlText w:val="%1.%2."/>
      <w:lvlJc w:val="left"/>
      <w:pPr>
        <w:ind w:left="2007" w:hanging="360"/>
      </w:pPr>
    </w:lvl>
    <w:lvl w:ilvl="2">
      <w:start w:val="1"/>
      <w:numFmt w:val="lowerRoman"/>
      <w:lvlText w:val="%2.%3."/>
      <w:lvlJc w:val="right"/>
      <w:pPr>
        <w:ind w:left="2727" w:hanging="180"/>
      </w:pPr>
    </w:lvl>
    <w:lvl w:ilvl="3">
      <w:start w:val="1"/>
      <w:numFmt w:val="decimal"/>
      <w:lvlText w:val="%3.%4."/>
      <w:lvlJc w:val="left"/>
      <w:pPr>
        <w:ind w:left="3447" w:hanging="360"/>
      </w:pPr>
    </w:lvl>
    <w:lvl w:ilvl="4">
      <w:start w:val="1"/>
      <w:numFmt w:val="lowerLetter"/>
      <w:lvlText w:val="%4.%5."/>
      <w:lvlJc w:val="left"/>
      <w:pPr>
        <w:ind w:left="4167" w:hanging="360"/>
      </w:pPr>
    </w:lvl>
    <w:lvl w:ilvl="5">
      <w:start w:val="1"/>
      <w:numFmt w:val="lowerRoman"/>
      <w:lvlText w:val="%5.%6."/>
      <w:lvlJc w:val="right"/>
      <w:pPr>
        <w:ind w:left="4887" w:hanging="180"/>
      </w:pPr>
    </w:lvl>
    <w:lvl w:ilvl="6">
      <w:start w:val="1"/>
      <w:numFmt w:val="decimal"/>
      <w:lvlText w:val="%6.%7."/>
      <w:lvlJc w:val="left"/>
      <w:pPr>
        <w:ind w:left="5607" w:hanging="360"/>
      </w:pPr>
    </w:lvl>
    <w:lvl w:ilvl="7">
      <w:start w:val="1"/>
      <w:numFmt w:val="lowerLetter"/>
      <w:lvlText w:val="%7.%8."/>
      <w:lvlJc w:val="left"/>
      <w:pPr>
        <w:ind w:left="6327" w:hanging="360"/>
      </w:pPr>
    </w:lvl>
    <w:lvl w:ilvl="8">
      <w:start w:val="1"/>
      <w:numFmt w:val="lowerRoman"/>
      <w:lvlText w:val="%8.%9."/>
      <w:lvlJc w:val="right"/>
      <w:pPr>
        <w:ind w:left="7047" w:hanging="180"/>
      </w:pPr>
    </w:lvl>
  </w:abstractNum>
  <w:abstractNum w:abstractNumId="4" w15:restartNumberingAfterBreak="0">
    <w:nsid w:val="3BBB33ED"/>
    <w:multiLevelType w:val="multilevel"/>
    <w:tmpl w:val="AB02FF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2711B09"/>
    <w:multiLevelType w:val="multilevel"/>
    <w:tmpl w:val="E01ACAB4"/>
    <w:lvl w:ilvl="0">
      <w:start w:val="7"/>
      <w:numFmt w:val="decimal"/>
      <w:lvlText w:val="%1."/>
      <w:lvlJc w:val="left"/>
      <w:pPr>
        <w:ind w:left="435" w:hanging="435"/>
      </w:pPr>
    </w:lvl>
    <w:lvl w:ilvl="1">
      <w:start w:val="17"/>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442E4854"/>
    <w:multiLevelType w:val="multilevel"/>
    <w:tmpl w:val="E1449D5E"/>
    <w:lvl w:ilvl="0">
      <w:start w:val="2"/>
      <w:numFmt w:val="decimal"/>
      <w:lvlText w:val="%1."/>
      <w:lvlJc w:val="left"/>
      <w:pPr>
        <w:ind w:left="360" w:hanging="360"/>
      </w:pPr>
      <w:rPr>
        <w:rFonts w:ascii="Times New Roman" w:hAnsi="Times New Roman" w:cs="Times New Roman"/>
        <w:b/>
        <w:sz w:val="22"/>
        <w:szCs w:val="22"/>
      </w:rPr>
    </w:lvl>
    <w:lvl w:ilvl="1">
      <w:start w:val="1"/>
      <w:numFmt w:val="decimal"/>
      <w:lvlText w:val="%1.%2."/>
      <w:lvlJc w:val="left"/>
      <w:pPr>
        <w:tabs>
          <w:tab w:val="num" w:pos="143"/>
        </w:tabs>
        <w:ind w:left="928" w:hanging="360"/>
      </w:pPr>
      <w:rPr>
        <w:rFonts w:ascii="Times New Roman" w:eastAsia="Times New Roman" w:hAnsi="Times New Roman" w:cs="Times New Roman"/>
        <w:b/>
        <w:bCs/>
        <w:i w:val="0"/>
        <w:iCs/>
        <w:color w:val="000000"/>
        <w:kern w:val="2"/>
        <w:sz w:val="22"/>
        <w:szCs w:val="22"/>
        <w:lang w:val="pt-BR" w:eastAsia="en-US" w:bidi="ar-SA"/>
      </w:rPr>
    </w:lvl>
    <w:lvl w:ilvl="2">
      <w:start w:val="1"/>
      <w:numFmt w:val="decimal"/>
      <w:lvlText w:val="%1.%2.%3."/>
      <w:lvlJc w:val="left"/>
      <w:pPr>
        <w:ind w:left="1570" w:hanging="720"/>
      </w:pPr>
      <w:rPr>
        <w:rFonts w:ascii="Times New Roman" w:hAnsi="Times New Roman" w:cs="Times New Roman"/>
        <w:b/>
        <w:bCs/>
        <w:sz w:val="22"/>
        <w:szCs w:val="22"/>
      </w:rPr>
    </w:lvl>
    <w:lvl w:ilvl="3">
      <w:start w:val="1"/>
      <w:numFmt w:val="decimal"/>
      <w:lvlText w:val="%1.%2.%3.%4."/>
      <w:lvlJc w:val="left"/>
      <w:pPr>
        <w:ind w:left="1995" w:hanging="720"/>
      </w:pPr>
    </w:lvl>
    <w:lvl w:ilvl="4">
      <w:start w:val="1"/>
      <w:numFmt w:val="decimal"/>
      <w:lvlText w:val="%1.%2.%3.%4.%5."/>
      <w:lvlJc w:val="left"/>
      <w:pPr>
        <w:ind w:left="2420" w:hanging="720"/>
      </w:pPr>
    </w:lvl>
    <w:lvl w:ilvl="5">
      <w:start w:val="1"/>
      <w:numFmt w:val="decimal"/>
      <w:lvlText w:val="%1.%2.%3.%4.%5.%6."/>
      <w:lvlJc w:val="left"/>
      <w:pPr>
        <w:ind w:left="3205" w:hanging="1080"/>
      </w:pPr>
    </w:lvl>
    <w:lvl w:ilvl="6">
      <w:start w:val="1"/>
      <w:numFmt w:val="decimal"/>
      <w:lvlText w:val="%1.%2.%3.%4.%5.%6.%7."/>
      <w:lvlJc w:val="left"/>
      <w:pPr>
        <w:ind w:left="3630" w:hanging="108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7" w15:restartNumberingAfterBreak="0">
    <w:nsid w:val="700363FC"/>
    <w:multiLevelType w:val="multilevel"/>
    <w:tmpl w:val="0FE652EA"/>
    <w:lvl w:ilvl="0">
      <w:start w:val="1"/>
      <w:numFmt w:val="decimal"/>
      <w:lvlText w:val="%1."/>
      <w:lvlJc w:val="left"/>
      <w:pPr>
        <w:ind w:left="360" w:hanging="360"/>
      </w:pPr>
    </w:lvl>
    <w:lvl w:ilvl="1">
      <w:start w:val="2"/>
      <w:numFmt w:val="decimal"/>
      <w:lvlText w:val="%1.%2."/>
      <w:lvlJc w:val="left"/>
      <w:pPr>
        <w:ind w:left="785" w:hanging="360"/>
      </w:pPr>
      <w:rPr>
        <w:rFonts w:ascii="Times New Roman" w:hAnsi="Times New Roman" w:cs="Times New Roman"/>
        <w:b/>
        <w:bCs/>
        <w:iCs/>
        <w:kern w:val="0"/>
        <w:sz w:val="22"/>
        <w:szCs w:val="22"/>
      </w:rPr>
    </w:lvl>
    <w:lvl w:ilvl="2">
      <w:start w:val="1"/>
      <w:numFmt w:val="decimal"/>
      <w:lvlText w:val="%1.%2.%3."/>
      <w:lvlJc w:val="left"/>
      <w:pPr>
        <w:ind w:left="1570" w:hanging="720"/>
      </w:pPr>
      <w:rPr>
        <w:rFonts w:cs="Times New Roman"/>
        <w:sz w:val="22"/>
      </w:rPr>
    </w:lvl>
    <w:lvl w:ilvl="3">
      <w:start w:val="1"/>
      <w:numFmt w:val="decimal"/>
      <w:lvlText w:val="%1.%2.%3.%4."/>
      <w:lvlJc w:val="left"/>
      <w:pPr>
        <w:ind w:left="1995" w:hanging="720"/>
      </w:pPr>
    </w:lvl>
    <w:lvl w:ilvl="4">
      <w:start w:val="1"/>
      <w:numFmt w:val="decimal"/>
      <w:lvlText w:val="%1.%2.%3.%4.%5."/>
      <w:lvlJc w:val="left"/>
      <w:pPr>
        <w:ind w:left="2420" w:hanging="720"/>
      </w:pPr>
    </w:lvl>
    <w:lvl w:ilvl="5">
      <w:start w:val="1"/>
      <w:numFmt w:val="decimal"/>
      <w:lvlText w:val="%1.%2.%3.%4.%5.%6."/>
      <w:lvlJc w:val="left"/>
      <w:pPr>
        <w:ind w:left="3205" w:hanging="1080"/>
      </w:pPr>
    </w:lvl>
    <w:lvl w:ilvl="6">
      <w:start w:val="1"/>
      <w:numFmt w:val="decimal"/>
      <w:lvlText w:val="%1.%2.%3.%4.%5.%6.%7."/>
      <w:lvlJc w:val="left"/>
      <w:pPr>
        <w:ind w:left="3630" w:hanging="108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8" w15:restartNumberingAfterBreak="0">
    <w:nsid w:val="70387619"/>
    <w:multiLevelType w:val="multilevel"/>
    <w:tmpl w:val="C96CAAF2"/>
    <w:lvl w:ilvl="0">
      <w:start w:val="6"/>
      <w:numFmt w:val="decimal"/>
      <w:lvlText w:val="%1"/>
      <w:lvlJc w:val="left"/>
      <w:pPr>
        <w:ind w:left="435" w:hanging="435"/>
      </w:pPr>
    </w:lvl>
    <w:lvl w:ilvl="1">
      <w:start w:val="8"/>
      <w:numFmt w:val="decimal"/>
      <w:lvlText w:val="%1.%2"/>
      <w:lvlJc w:val="left"/>
      <w:pPr>
        <w:ind w:left="874" w:hanging="435"/>
      </w:pPr>
    </w:lvl>
    <w:lvl w:ilvl="2">
      <w:start w:val="1"/>
      <w:numFmt w:val="decimal"/>
      <w:lvlText w:val="%1.%2.%3"/>
      <w:lvlJc w:val="left"/>
      <w:pPr>
        <w:ind w:left="1598" w:hanging="720"/>
      </w:pPr>
    </w:lvl>
    <w:lvl w:ilvl="3">
      <w:start w:val="1"/>
      <w:numFmt w:val="decimal"/>
      <w:lvlText w:val="%1.%2.%3.%4"/>
      <w:lvlJc w:val="left"/>
      <w:pPr>
        <w:ind w:left="2037" w:hanging="720"/>
      </w:pPr>
    </w:lvl>
    <w:lvl w:ilvl="4">
      <w:start w:val="1"/>
      <w:numFmt w:val="decimal"/>
      <w:lvlText w:val="%1.%2.%3.%4.%5"/>
      <w:lvlJc w:val="left"/>
      <w:pPr>
        <w:ind w:left="2836" w:hanging="1080"/>
      </w:pPr>
    </w:lvl>
    <w:lvl w:ilvl="5">
      <w:start w:val="1"/>
      <w:numFmt w:val="decimal"/>
      <w:lvlText w:val="%1.%2.%3.%4.%5.%6"/>
      <w:lvlJc w:val="left"/>
      <w:pPr>
        <w:ind w:left="3275" w:hanging="1080"/>
      </w:pPr>
    </w:lvl>
    <w:lvl w:ilvl="6">
      <w:start w:val="1"/>
      <w:numFmt w:val="decimal"/>
      <w:lvlText w:val="%1.%2.%3.%4.%5.%6.%7"/>
      <w:lvlJc w:val="left"/>
      <w:pPr>
        <w:ind w:left="4074" w:hanging="1440"/>
      </w:pPr>
    </w:lvl>
    <w:lvl w:ilvl="7">
      <w:start w:val="1"/>
      <w:numFmt w:val="decimal"/>
      <w:lvlText w:val="%1.%2.%3.%4.%5.%6.%7.%8"/>
      <w:lvlJc w:val="left"/>
      <w:pPr>
        <w:ind w:left="4513" w:hanging="1440"/>
      </w:pPr>
    </w:lvl>
    <w:lvl w:ilvl="8">
      <w:start w:val="1"/>
      <w:numFmt w:val="decimal"/>
      <w:lvlText w:val="%1.%2.%3.%4.%5.%6.%7.%8.%9"/>
      <w:lvlJc w:val="left"/>
      <w:pPr>
        <w:ind w:left="5312" w:hanging="1800"/>
      </w:pPr>
    </w:lvl>
  </w:abstractNum>
  <w:abstractNum w:abstractNumId="9" w15:restartNumberingAfterBreak="0">
    <w:nsid w:val="72A15BEB"/>
    <w:multiLevelType w:val="multilevel"/>
    <w:tmpl w:val="3F3C3C08"/>
    <w:lvl w:ilvl="0">
      <w:start w:val="7"/>
      <w:numFmt w:val="decimal"/>
      <w:lvlText w:val="%1"/>
      <w:lvlJc w:val="left"/>
      <w:pPr>
        <w:ind w:left="360" w:hanging="360"/>
      </w:pPr>
      <w:rPr>
        <w:rFonts w:ascii="Times New Roman" w:hAnsi="Times New Roman" w:cs="Times New Roman"/>
        <w:b/>
        <w:bCs/>
        <w:sz w:val="22"/>
      </w:rPr>
    </w:lvl>
    <w:lvl w:ilvl="1">
      <w:start w:val="1"/>
      <w:numFmt w:val="decimal"/>
      <w:lvlText w:val="%1.%2"/>
      <w:lvlJc w:val="left"/>
      <w:pPr>
        <w:ind w:left="927" w:hanging="360"/>
      </w:pPr>
      <w:rPr>
        <w:rFonts w:ascii="Times New Roman" w:hAnsi="Times New Roman" w:cs="Times New Roman"/>
        <w:b/>
        <w:sz w:val="22"/>
      </w:rPr>
    </w:lvl>
    <w:lvl w:ilvl="2">
      <w:start w:val="1"/>
      <w:numFmt w:val="decimal"/>
      <w:lvlText w:val="%1.%2.%3"/>
      <w:lvlJc w:val="left"/>
      <w:pPr>
        <w:ind w:left="1854" w:hanging="720"/>
      </w:pPr>
      <w:rPr>
        <w:rFonts w:cs="Times New Roman"/>
        <w:sz w:val="22"/>
      </w:rPr>
    </w:lvl>
    <w:lvl w:ilvl="3">
      <w:start w:val="1"/>
      <w:numFmt w:val="decimal"/>
      <w:lvlText w:val="%1.%2.%3.%4"/>
      <w:lvlJc w:val="left"/>
      <w:pPr>
        <w:ind w:left="2421" w:hanging="720"/>
      </w:pPr>
      <w:rPr>
        <w:rFonts w:cs="Times New Roman"/>
        <w:sz w:val="22"/>
      </w:rPr>
    </w:lvl>
    <w:lvl w:ilvl="4">
      <w:start w:val="1"/>
      <w:numFmt w:val="decimal"/>
      <w:lvlText w:val="%1.%2.%3.%4.%5"/>
      <w:lvlJc w:val="left"/>
      <w:pPr>
        <w:ind w:left="3348" w:hanging="1080"/>
      </w:pPr>
      <w:rPr>
        <w:rFonts w:cs="Times New Roman"/>
        <w:sz w:val="22"/>
      </w:rPr>
    </w:lvl>
    <w:lvl w:ilvl="5">
      <w:start w:val="1"/>
      <w:numFmt w:val="decimal"/>
      <w:lvlText w:val="%1.%2.%3.%4.%5.%6"/>
      <w:lvlJc w:val="left"/>
      <w:pPr>
        <w:ind w:left="3915" w:hanging="1080"/>
      </w:pPr>
      <w:rPr>
        <w:rFonts w:cs="Times New Roman"/>
        <w:sz w:val="22"/>
      </w:rPr>
    </w:lvl>
    <w:lvl w:ilvl="6">
      <w:start w:val="1"/>
      <w:numFmt w:val="decimal"/>
      <w:lvlText w:val="%1.%2.%3.%4.%5.%6.%7"/>
      <w:lvlJc w:val="left"/>
      <w:pPr>
        <w:ind w:left="4842" w:hanging="1440"/>
      </w:pPr>
      <w:rPr>
        <w:rFonts w:cs="Times New Roman"/>
        <w:sz w:val="22"/>
      </w:rPr>
    </w:lvl>
    <w:lvl w:ilvl="7">
      <w:start w:val="1"/>
      <w:numFmt w:val="decimal"/>
      <w:lvlText w:val="%1.%2.%3.%4.%5.%6.%7.%8"/>
      <w:lvlJc w:val="left"/>
      <w:pPr>
        <w:ind w:left="5409" w:hanging="1440"/>
      </w:pPr>
      <w:rPr>
        <w:rFonts w:cs="Times New Roman"/>
        <w:sz w:val="22"/>
      </w:rPr>
    </w:lvl>
    <w:lvl w:ilvl="8">
      <w:start w:val="1"/>
      <w:numFmt w:val="decimal"/>
      <w:lvlText w:val="%1.%2.%3.%4.%5.%6.%7.%8.%9"/>
      <w:lvlJc w:val="left"/>
      <w:pPr>
        <w:ind w:left="6336" w:hanging="1800"/>
      </w:pPr>
      <w:rPr>
        <w:rFonts w:cs="Times New Roman"/>
        <w:sz w:val="22"/>
      </w:rPr>
    </w:lvl>
  </w:abstractNum>
  <w:abstractNum w:abstractNumId="10" w15:restartNumberingAfterBreak="0">
    <w:nsid w:val="780776E8"/>
    <w:multiLevelType w:val="multilevel"/>
    <w:tmpl w:val="C8E45662"/>
    <w:lvl w:ilvl="0">
      <w:start w:val="1"/>
      <w:numFmt w:val="decimal"/>
      <w:lvlText w:val="%1."/>
      <w:lvlJc w:val="left"/>
      <w:pPr>
        <w:ind w:left="360" w:hanging="360"/>
      </w:pPr>
      <w:rPr>
        <w:rFonts w:ascii="Times New Roman" w:hAnsi="Times New Roman"/>
        <w:b/>
        <w:sz w:val="22"/>
      </w:rPr>
    </w:lvl>
    <w:lvl w:ilvl="1">
      <w:start w:val="1"/>
      <w:numFmt w:val="decimal"/>
      <w:lvlText w:val="%1.%2."/>
      <w:lvlJc w:val="left"/>
      <w:pPr>
        <w:ind w:left="1141" w:hanging="432"/>
      </w:pPr>
      <w:rPr>
        <w:rFonts w:ascii="Times New Roman" w:hAnsi="Times New Roman" w:cs="Times New Roman"/>
        <w:b w:val="0"/>
        <w:color w:val="00000A"/>
        <w:sz w:val="22"/>
        <w:szCs w:val="20"/>
      </w:rPr>
    </w:lvl>
    <w:lvl w:ilvl="2">
      <w:start w:val="1"/>
      <w:numFmt w:val="decimal"/>
      <w:lvlText w:val="%1.%2.%3."/>
      <w:lvlJc w:val="left"/>
      <w:pPr>
        <w:ind w:left="1922" w:hanging="504"/>
      </w:pPr>
      <w:rPr>
        <w:rFonts w:cs="Times New Roman"/>
        <w:b w:val="0"/>
        <w:color w:val="00000A"/>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6356389">
    <w:abstractNumId w:val="7"/>
  </w:num>
  <w:num w:numId="2" w16cid:durableId="783308700">
    <w:abstractNumId w:val="6"/>
  </w:num>
  <w:num w:numId="3" w16cid:durableId="1864711157">
    <w:abstractNumId w:val="2"/>
  </w:num>
  <w:num w:numId="4" w16cid:durableId="160123220">
    <w:abstractNumId w:val="10"/>
  </w:num>
  <w:num w:numId="5" w16cid:durableId="792555416">
    <w:abstractNumId w:val="0"/>
  </w:num>
  <w:num w:numId="6" w16cid:durableId="1702703381">
    <w:abstractNumId w:val="8"/>
  </w:num>
  <w:num w:numId="7" w16cid:durableId="781150177">
    <w:abstractNumId w:val="9"/>
  </w:num>
  <w:num w:numId="8" w16cid:durableId="1661303517">
    <w:abstractNumId w:val="3"/>
  </w:num>
  <w:num w:numId="9" w16cid:durableId="609822069">
    <w:abstractNumId w:val="5"/>
  </w:num>
  <w:num w:numId="10" w16cid:durableId="1431124510">
    <w:abstractNumId w:val="1"/>
  </w:num>
  <w:num w:numId="11" w16cid:durableId="610307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134"/>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A"/>
    <w:rsid w:val="00062DC8"/>
    <w:rsid w:val="0014421F"/>
    <w:rsid w:val="00181F16"/>
    <w:rsid w:val="001F75C3"/>
    <w:rsid w:val="00201750"/>
    <w:rsid w:val="00204F05"/>
    <w:rsid w:val="003026BF"/>
    <w:rsid w:val="00353D84"/>
    <w:rsid w:val="00384EAF"/>
    <w:rsid w:val="00393A4D"/>
    <w:rsid w:val="003E2A0A"/>
    <w:rsid w:val="00467807"/>
    <w:rsid w:val="00477C73"/>
    <w:rsid w:val="00543D73"/>
    <w:rsid w:val="00592773"/>
    <w:rsid w:val="00636110"/>
    <w:rsid w:val="007F46FF"/>
    <w:rsid w:val="00810F93"/>
    <w:rsid w:val="00967909"/>
    <w:rsid w:val="00B461E2"/>
    <w:rsid w:val="00C644A2"/>
    <w:rsid w:val="00E1604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3DF6572"/>
  <w15:docId w15:val="{A592B3E5-F943-49AB-B451-21FE3521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Segoe UI" w:hAnsi="Liberation Serif" w:cs="Tahoma"/>
      <w:color w:val="000000"/>
      <w:sz w:val="24"/>
      <w:szCs w:val="24"/>
      <w:lang w:eastAsia="zh-CN" w:bidi="hi-IN"/>
    </w:rPr>
  </w:style>
  <w:style w:type="paragraph" w:styleId="Ttulo1">
    <w:name w:val="heading 1"/>
    <w:basedOn w:val="Normal"/>
    <w:next w:val="Corpodetexto"/>
    <w:uiPriority w:val="9"/>
    <w:qFormat/>
    <w:pPr>
      <w:keepNext/>
      <w:keepLines/>
      <w:spacing w:before="240"/>
      <w:outlineLvl w:val="0"/>
    </w:pPr>
    <w:rPr>
      <w:rFonts w:ascii="Cambria" w:eastAsia="MS Gothic" w:hAnsi="Cambria" w:cs="Times New Roman"/>
      <w:color w:val="365F91"/>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7z0">
    <w:name w:val="WW8Num7z0"/>
    <w:qFormat/>
  </w:style>
  <w:style w:type="character" w:customStyle="1" w:styleId="WW8Num7z1">
    <w:name w:val="WW8Num7z1"/>
    <w:qFormat/>
    <w:rPr>
      <w:rFonts w:ascii="Times New Roman" w:hAnsi="Times New Roman" w:cs="Times New Roman"/>
      <w:bCs/>
      <w:iCs/>
      <w:kern w:val="0"/>
      <w:sz w:val="22"/>
      <w:szCs w:val="22"/>
    </w:rPr>
  </w:style>
  <w:style w:type="character" w:customStyle="1" w:styleId="WW8Num7z2">
    <w:name w:val="WW8Num7z2"/>
    <w:qFormat/>
    <w:rPr>
      <w:rFonts w:cs="Times New Roman"/>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5z0">
    <w:name w:val="WW8Num5z0"/>
    <w:qFormat/>
    <w:rPr>
      <w:rFonts w:ascii="Times New Roman" w:hAnsi="Times New Roman" w:cs="Times New Roman"/>
      <w:b/>
      <w:sz w:val="22"/>
      <w:szCs w:val="22"/>
    </w:rPr>
  </w:style>
  <w:style w:type="character" w:customStyle="1" w:styleId="WW8Num5z1">
    <w:name w:val="WW8Num5z1"/>
    <w:qFormat/>
    <w:rPr>
      <w:rFonts w:ascii="Times New Roman" w:eastAsia="Times New Roman" w:hAnsi="Times New Roman" w:cs="Times New Roman"/>
      <w:b w:val="0"/>
      <w:bCs/>
      <w:i w:val="0"/>
      <w:iCs/>
      <w:color w:val="000000"/>
      <w:kern w:val="2"/>
      <w:sz w:val="22"/>
      <w:szCs w:val="22"/>
      <w:lang w:val="pt-BR" w:eastAsia="en-US" w:bidi="ar-SA"/>
    </w:rPr>
  </w:style>
  <w:style w:type="character" w:customStyle="1" w:styleId="WW8Num5z2">
    <w:name w:val="WW8Num5z2"/>
    <w:qFormat/>
    <w:rPr>
      <w:rFonts w:ascii="Times New Roman" w:hAnsi="Times New Roman" w:cs="Times New Roman"/>
      <w:bCs/>
      <w:sz w:val="22"/>
      <w:szCs w:val="22"/>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b/>
      <w:color w:val="00000A"/>
    </w:rPr>
  </w:style>
  <w:style w:type="character" w:customStyle="1" w:styleId="WW8Num6z1">
    <w:name w:val="WW8Num6z1"/>
    <w:qFormat/>
    <w:rPr>
      <w:b w:val="0"/>
      <w:i w:val="0"/>
      <w:strike w:val="0"/>
      <w:dstrike w:val="0"/>
      <w:color w:val="00000A"/>
    </w:rPr>
  </w:style>
  <w:style w:type="character" w:customStyle="1" w:styleId="WW8Num6z2">
    <w:name w:val="WW8Num6z2"/>
    <w:qFormat/>
    <w:rPr>
      <w:b w:val="0"/>
      <w:i w:val="0"/>
      <w:color w:val="00000A"/>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0">
    <w:name w:val="WW8Num3z0"/>
    <w:qFormat/>
    <w:rPr>
      <w:b/>
      <w:color w:val="00000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b/>
    </w:rPr>
  </w:style>
  <w:style w:type="character" w:customStyle="1" w:styleId="WW8Num4z1">
    <w:name w:val="WW8Num4z1"/>
    <w:qFormat/>
    <w:rPr>
      <w:rFonts w:ascii="Times New Roman" w:hAnsi="Times New Roman" w:cs="Times New Roman"/>
      <w:b w:val="0"/>
      <w:color w:val="00000A"/>
      <w:sz w:val="20"/>
      <w:szCs w:val="20"/>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TextodebaloChar">
    <w:name w:val="Texto de balão Char"/>
    <w:basedOn w:val="Fontepargpadro"/>
    <w:qFormat/>
    <w:rPr>
      <w:rFonts w:ascii="Tahoma" w:eastAsia="Segoe UI" w:hAnsi="Tahoma" w:cs="Mangal"/>
      <w:color w:val="000000"/>
      <w:sz w:val="16"/>
      <w:szCs w:val="14"/>
      <w:lang w:eastAsia="zh-CN" w:bidi="hi-IN"/>
    </w:rPr>
  </w:style>
  <w:style w:type="character" w:customStyle="1" w:styleId="Nivel2Char">
    <w:name w:val="Nivel 2 Char"/>
    <w:basedOn w:val="Fontepargpadro"/>
    <w:qFormat/>
    <w:rPr>
      <w:rFonts w:ascii="Arial" w:eastAsia="Times New Roman" w:hAnsi="Arial" w:cs="Arial"/>
      <w:color w:val="000000"/>
    </w:rPr>
  </w:style>
  <w:style w:type="character" w:customStyle="1" w:styleId="LinkdaInternet">
    <w:name w:val="Link da Internet"/>
    <w:rPr>
      <w:color w:val="000080"/>
      <w:u w:val="single"/>
    </w:rPr>
  </w:style>
  <w:style w:type="character" w:customStyle="1" w:styleId="Nvel2-RedChar">
    <w:name w:val="Nível 2 -Red Char"/>
    <w:basedOn w:val="Nivel2Char"/>
    <w:qFormat/>
    <w:rPr>
      <w:rFonts w:ascii="Arial" w:eastAsia="Times New Roman" w:hAnsi="Arial" w:cs="Arial"/>
      <w:i/>
      <w:iCs/>
      <w:color w:val="FF0000"/>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qFormat/>
    <w:rPr>
      <w:rFonts w:ascii="Ecofont_Spranq_eco_Sans" w:eastAsia="Times New Roman" w:hAnsi="Ecofont_Spranq_eco_Sans" w:cs="Tahoma"/>
    </w:rPr>
  </w:style>
  <w:style w:type="character" w:customStyle="1" w:styleId="Nivel3Char">
    <w:name w:val="Nivel 3 Char"/>
    <w:basedOn w:val="Fontepargpadro"/>
    <w:qFormat/>
    <w:rPr>
      <w:rFonts w:ascii="Arial" w:eastAsia="Times New Roman" w:hAnsi="Arial" w:cs="Arial"/>
      <w:color w:val="000000"/>
    </w:rPr>
  </w:style>
  <w:style w:type="character" w:customStyle="1" w:styleId="Nivel01Char">
    <w:name w:val="Nivel 01 Char"/>
    <w:basedOn w:val="Fontepargpadro"/>
    <w:qFormat/>
    <w:rPr>
      <w:rFonts w:ascii="Arial" w:eastAsia="Times New Roman" w:hAnsi="Arial" w:cs="Arial"/>
      <w:b/>
      <w:bCs/>
    </w:rPr>
  </w:style>
  <w:style w:type="character" w:customStyle="1" w:styleId="PargrafodaListaChar">
    <w:name w:val="Parágrafo da Lista Char"/>
    <w:basedOn w:val="Fontepargpadro"/>
    <w:qFormat/>
    <w:rPr>
      <w:rFonts w:ascii="Liberation Serif" w:eastAsia="Segoe UI" w:hAnsi="Liberation Serif" w:cs="Mangal"/>
      <w:color w:val="000000"/>
      <w:sz w:val="24"/>
      <w:szCs w:val="21"/>
      <w:lang w:eastAsia="zh-CN" w:bidi="hi-IN"/>
    </w:rPr>
  </w:style>
  <w:style w:type="character" w:customStyle="1" w:styleId="Cdigofonte">
    <w:name w:val="Código fonte"/>
    <w:qFormat/>
    <w:rPr>
      <w:rFonts w:ascii="Liberation Mono" w:eastAsia="Liberation Mono" w:hAnsi="Liberation Mono" w:cs="Liberation Mono"/>
    </w:rPr>
  </w:style>
  <w:style w:type="character" w:customStyle="1" w:styleId="RodapChar">
    <w:name w:val="Rodapé Char"/>
    <w:qFormat/>
    <w:rPr>
      <w:rFonts w:ascii="Liberation Serif" w:eastAsia="Segoe UI" w:hAnsi="Liberation Serif" w:cs="Tahoma"/>
      <w:color w:val="000000"/>
      <w:sz w:val="24"/>
      <w:szCs w:val="24"/>
      <w:lang w:eastAsia="zh-CN" w:bidi="hi-IN"/>
    </w:rPr>
  </w:style>
  <w:style w:type="character" w:customStyle="1" w:styleId="ListLabel1">
    <w:name w:val="ListLabel 1"/>
    <w:qFormat/>
    <w:rPr>
      <w:rFonts w:ascii="Times New Roman" w:hAnsi="Times New Roman" w:cs="Times New Roman"/>
      <w:b/>
      <w:bCs/>
      <w:iCs/>
      <w:kern w:val="0"/>
      <w:sz w:val="22"/>
      <w:szCs w:val="22"/>
    </w:rPr>
  </w:style>
  <w:style w:type="character" w:customStyle="1" w:styleId="ListLabel2">
    <w:name w:val="ListLabel 2"/>
    <w:qFormat/>
    <w:rPr>
      <w:rFonts w:cs="Times New Roman"/>
      <w:sz w:val="22"/>
    </w:rPr>
  </w:style>
  <w:style w:type="character" w:customStyle="1" w:styleId="ListLabel3">
    <w:name w:val="ListLabel 3"/>
    <w:qFormat/>
    <w:rPr>
      <w:rFonts w:ascii="Times New Roman" w:hAnsi="Times New Roman" w:cs="Times New Roman"/>
      <w:b/>
      <w:sz w:val="22"/>
      <w:szCs w:val="22"/>
    </w:rPr>
  </w:style>
  <w:style w:type="character" w:customStyle="1" w:styleId="ListLabel4">
    <w:name w:val="ListLabel 4"/>
    <w:qFormat/>
    <w:rPr>
      <w:rFonts w:ascii="Times New Roman" w:eastAsia="Times New Roman" w:hAnsi="Times New Roman" w:cs="Times New Roman"/>
      <w:b/>
      <w:bCs/>
      <w:i w:val="0"/>
      <w:iCs/>
      <w:color w:val="000000"/>
      <w:kern w:val="2"/>
      <w:sz w:val="22"/>
      <w:szCs w:val="22"/>
      <w:lang w:val="pt-BR" w:eastAsia="en-US" w:bidi="ar-SA"/>
    </w:rPr>
  </w:style>
  <w:style w:type="character" w:customStyle="1" w:styleId="ListLabel5">
    <w:name w:val="ListLabel 5"/>
    <w:qFormat/>
    <w:rPr>
      <w:rFonts w:ascii="Times New Roman" w:hAnsi="Times New Roman" w:cs="Times New Roman"/>
      <w:b/>
      <w:bCs/>
      <w:sz w:val="22"/>
      <w:szCs w:val="22"/>
    </w:rPr>
  </w:style>
  <w:style w:type="character" w:customStyle="1" w:styleId="ListLabel6">
    <w:name w:val="ListLabel 6"/>
    <w:qFormat/>
    <w:rPr>
      <w:rFonts w:ascii="Times New Roman" w:hAnsi="Times New Roman"/>
      <w:b/>
      <w:color w:val="00000A"/>
      <w:sz w:val="22"/>
    </w:rPr>
  </w:style>
  <w:style w:type="character" w:customStyle="1" w:styleId="ListLabel7">
    <w:name w:val="ListLabel 7"/>
    <w:qFormat/>
    <w:rPr>
      <w:b w:val="0"/>
      <w:i w:val="0"/>
      <w:strike w:val="0"/>
      <w:dstrike w:val="0"/>
      <w:color w:val="00000A"/>
    </w:rPr>
  </w:style>
  <w:style w:type="character" w:customStyle="1" w:styleId="ListLabel8">
    <w:name w:val="ListLabel 8"/>
    <w:qFormat/>
    <w:rPr>
      <w:b w:val="0"/>
      <w:i w:val="0"/>
      <w:color w:val="00000A"/>
    </w:rPr>
  </w:style>
  <w:style w:type="character" w:customStyle="1" w:styleId="ListLabel9">
    <w:name w:val="ListLabel 9"/>
    <w:qFormat/>
    <w:rPr>
      <w:rFonts w:ascii="Times New Roman" w:hAnsi="Times New Roman"/>
      <w:b/>
      <w:sz w:val="22"/>
    </w:rPr>
  </w:style>
  <w:style w:type="character" w:customStyle="1" w:styleId="ListLabel10">
    <w:name w:val="ListLabel 10"/>
    <w:qFormat/>
    <w:rPr>
      <w:rFonts w:ascii="Times New Roman" w:hAnsi="Times New Roman" w:cs="Times New Roman"/>
      <w:b w:val="0"/>
      <w:color w:val="00000A"/>
      <w:sz w:val="22"/>
      <w:szCs w:val="20"/>
    </w:rPr>
  </w:style>
  <w:style w:type="character" w:customStyle="1" w:styleId="ListLabel11">
    <w:name w:val="ListLabel 11"/>
    <w:qFormat/>
    <w:rPr>
      <w:rFonts w:cs="Times New Roman"/>
      <w:b w:val="0"/>
      <w:color w:val="00000A"/>
      <w:sz w:val="20"/>
      <w:szCs w:val="20"/>
    </w:rPr>
  </w:style>
  <w:style w:type="character" w:customStyle="1" w:styleId="ListLabel12">
    <w:name w:val="ListLabel 12"/>
    <w:qFormat/>
    <w:rPr>
      <w:rFonts w:ascii="Times New Roman" w:hAnsi="Times New Roman" w:cs="Times New Roman"/>
      <w:b/>
      <w:bCs/>
      <w:sz w:val="22"/>
    </w:rPr>
  </w:style>
  <w:style w:type="character" w:customStyle="1" w:styleId="ListLabel13">
    <w:name w:val="ListLabel 13"/>
    <w:qFormat/>
    <w:rPr>
      <w:rFonts w:ascii="Times New Roman" w:hAnsi="Times New Roman" w:cs="Times New Roman"/>
      <w:b/>
      <w:sz w:val="22"/>
    </w:rPr>
  </w:style>
  <w:style w:type="character" w:customStyle="1" w:styleId="ListLabel14">
    <w:name w:val="ListLabel 14"/>
    <w:qFormat/>
    <w:rPr>
      <w:rFonts w:cs="Times New Roman"/>
      <w:sz w:val="22"/>
    </w:rPr>
  </w:style>
  <w:style w:type="character" w:customStyle="1" w:styleId="ListLabel15">
    <w:name w:val="ListLabel 15"/>
    <w:qFormat/>
    <w:rPr>
      <w:rFonts w:cs="Times New Roman"/>
      <w:sz w:val="22"/>
    </w:rPr>
  </w:style>
  <w:style w:type="character" w:customStyle="1" w:styleId="ListLabel16">
    <w:name w:val="ListLabel 16"/>
    <w:qFormat/>
    <w:rPr>
      <w:rFonts w:cs="Times New Roman"/>
      <w:sz w:val="22"/>
    </w:rPr>
  </w:style>
  <w:style w:type="character" w:customStyle="1" w:styleId="ListLabel17">
    <w:name w:val="ListLabel 17"/>
    <w:qFormat/>
    <w:rPr>
      <w:rFonts w:cs="Times New Roman"/>
      <w:sz w:val="22"/>
    </w:rPr>
  </w:style>
  <w:style w:type="character" w:customStyle="1" w:styleId="ListLabel18">
    <w:name w:val="ListLabel 18"/>
    <w:qFormat/>
    <w:rPr>
      <w:rFonts w:cs="Times New Roman"/>
      <w:sz w:val="22"/>
    </w:rPr>
  </w:style>
  <w:style w:type="character" w:customStyle="1" w:styleId="ListLabel19">
    <w:name w:val="ListLabel 19"/>
    <w:qFormat/>
    <w:rPr>
      <w:rFonts w:cs="Times New Roman"/>
      <w:sz w:val="22"/>
    </w:rPr>
  </w:style>
  <w:style w:type="character" w:customStyle="1" w:styleId="ListLabel20">
    <w:name w:val="ListLabel 20"/>
    <w:qFormat/>
    <w:rPr>
      <w:rFonts w:cs="Times New Roman"/>
      <w:sz w:val="22"/>
    </w:rPr>
  </w:style>
  <w:style w:type="character" w:customStyle="1" w:styleId="ListLabel21">
    <w:name w:val="ListLabel 21"/>
    <w:qFormat/>
    <w:rPr>
      <w:rFonts w:ascii="Times New Roman" w:hAnsi="Times New Roman" w:cs="Times New Roman"/>
      <w:i w:val="0"/>
      <w:iCs w:val="0"/>
      <w:color w:val="000000"/>
      <w:sz w:val="22"/>
      <w:szCs w:val="22"/>
      <w:u w:val="none"/>
    </w:rPr>
  </w:style>
  <w:style w:type="character" w:customStyle="1" w:styleId="ListLabel22">
    <w:name w:val="ListLabel 22"/>
    <w:qFormat/>
    <w:rPr>
      <w:rFonts w:ascii="Times New Roman" w:hAnsi="Times New Roman" w:cs="Times New Roman"/>
      <w:color w:val="auto"/>
      <w:sz w:val="22"/>
      <w:szCs w:val="22"/>
      <w:u w:val="none"/>
    </w:rPr>
  </w:style>
  <w:style w:type="character" w:customStyle="1" w:styleId="ListLabel23">
    <w:name w:val="ListLabel 23"/>
    <w:qFormat/>
    <w:rPr>
      <w:rFonts w:ascii="Times New Roman" w:hAnsi="Times New Roman" w:cs="Times New Roman"/>
      <w:color w:val="000000"/>
      <w:sz w:val="22"/>
      <w:szCs w:val="22"/>
      <w:u w:val="none"/>
    </w:rPr>
  </w:style>
  <w:style w:type="character" w:customStyle="1" w:styleId="ListLabel24">
    <w:name w:val="ListLabel 24"/>
    <w:qFormat/>
    <w:rPr>
      <w:rFonts w:ascii="Times New Roman" w:hAnsi="Times New Roman" w:cs="Times New Roman"/>
      <w:color w:val="000000"/>
      <w:sz w:val="22"/>
      <w:szCs w:val="22"/>
    </w:rPr>
  </w:style>
  <w:style w:type="character" w:customStyle="1" w:styleId="ListLabel25">
    <w:name w:val="ListLabel 25"/>
    <w:qFormat/>
    <w:rPr>
      <w:rFonts w:ascii="Times New Roman" w:hAnsi="Times New Roman" w:cs="Times New Roman"/>
      <w:color w:val="000000"/>
      <w:sz w:val="22"/>
      <w:szCs w:val="22"/>
      <w:lang w:eastAsia="en-US"/>
    </w:rPr>
  </w:style>
  <w:style w:type="character" w:customStyle="1" w:styleId="ListLabel26">
    <w:name w:val="ListLabel 26"/>
    <w:qFormat/>
  </w:style>
  <w:style w:type="paragraph" w:styleId="Ttulo">
    <w:name w:val="Title"/>
    <w:basedOn w:val="Normal"/>
    <w:next w:val="Corpodetexto"/>
    <w:uiPriority w:val="10"/>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283"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abealhoeRodap">
    <w:name w:val="Cabeçalho e Rodapé"/>
    <w:basedOn w:val="Normal"/>
    <w:qFormat/>
    <w:pPr>
      <w:suppressLineNumbers/>
      <w:tabs>
        <w:tab w:val="center" w:pos="7285"/>
        <w:tab w:val="right" w:pos="14570"/>
      </w:tabs>
    </w:pPr>
  </w:style>
  <w:style w:type="paragraph" w:styleId="Cabealho">
    <w:name w:val="header"/>
    <w:basedOn w:val="CabealhoeRodap"/>
  </w:style>
  <w:style w:type="paragraph" w:customStyle="1" w:styleId="Padro">
    <w:name w:val="Padrão"/>
    <w:qFormat/>
    <w:pPr>
      <w:tabs>
        <w:tab w:val="left" w:pos="708"/>
      </w:tabs>
      <w:suppressAutoHyphens/>
      <w:spacing w:after="200" w:line="276" w:lineRule="auto"/>
    </w:pPr>
    <w:rPr>
      <w:rFonts w:ascii="Ecofont_Spranq_eco_Sans" w:hAnsi="Ecofont_Spranq_eco_Sans" w:cs="Tahoma"/>
      <w:sz w:val="24"/>
      <w:szCs w:val="24"/>
      <w:lang w:eastAsia="zh-CN"/>
    </w:rPr>
  </w:style>
  <w:style w:type="paragraph" w:customStyle="1" w:styleId="PargrafodaLista1">
    <w:name w:val="Parágrafo da Lista1"/>
    <w:basedOn w:val="Normal"/>
    <w:qFormat/>
    <w:pPr>
      <w:ind w:left="720"/>
    </w:pPr>
  </w:style>
  <w:style w:type="paragraph" w:customStyle="1" w:styleId="Ttulo10">
    <w:name w:val="Título1"/>
    <w:basedOn w:val="Normal"/>
    <w:next w:val="Corpodetexto"/>
    <w:qFormat/>
    <w:pPr>
      <w:keepNext/>
      <w:spacing w:before="240" w:after="120"/>
    </w:pPr>
    <w:rPr>
      <w:rFonts w:ascii="Liberation Sans" w:eastAsia="Microsoft YaHei" w:hAnsi="Liberation Sans" w:cs="Arial"/>
      <w:sz w:val="28"/>
      <w:szCs w:val="28"/>
    </w:rPr>
  </w:style>
  <w:style w:type="paragraph" w:customStyle="1" w:styleId="Nivel1">
    <w:name w:val="Nivel1"/>
    <w:basedOn w:val="Ttulo1"/>
    <w:qFormat/>
    <w:pPr>
      <w:tabs>
        <w:tab w:val="left" w:pos="0"/>
      </w:tabs>
      <w:suppressAutoHyphens w:val="0"/>
      <w:spacing w:before="480" w:after="120"/>
      <w:ind w:left="360" w:hanging="360"/>
      <w:jc w:val="both"/>
    </w:pPr>
    <w:rPr>
      <w:rFonts w:ascii="Arial" w:hAnsi="Arial" w:cs="Arial"/>
      <w:b/>
      <w:color w:val="000000"/>
      <w:sz w:val="20"/>
      <w:szCs w:val="20"/>
    </w:rPr>
  </w:style>
  <w:style w:type="paragraph" w:customStyle="1" w:styleId="SemEspaamento1">
    <w:name w:val="Sem Espaçamento1"/>
    <w:qFormat/>
    <w:pPr>
      <w:tabs>
        <w:tab w:val="left" w:pos="708"/>
      </w:tabs>
      <w:suppressAutoHyphens/>
      <w:spacing w:line="100" w:lineRule="atLeast"/>
    </w:pPr>
    <w:rPr>
      <w:color w:val="000000"/>
      <w:kern w:val="2"/>
      <w:sz w:val="24"/>
      <w:szCs w:val="24"/>
      <w:lang w:eastAsia="zh-CN"/>
    </w:rPr>
  </w:style>
  <w:style w:type="paragraph" w:styleId="Rodap">
    <w:name w:val="footer"/>
    <w:basedOn w:val="CabealhoeRodap"/>
  </w:style>
  <w:style w:type="paragraph" w:customStyle="1" w:styleId="Standard">
    <w:name w:val="Standard"/>
    <w:qFormat/>
    <w:pPr>
      <w:tabs>
        <w:tab w:val="left" w:pos="708"/>
      </w:tabs>
      <w:suppressAutoHyphens/>
      <w:spacing w:after="200" w:line="276" w:lineRule="auto"/>
    </w:pPr>
    <w:rPr>
      <w:rFonts w:ascii="Ecofont_Spranq_eco_Sans" w:hAnsi="Ecofont_Spranq_eco_Sans" w:cs="Tahoma"/>
      <w:sz w:val="24"/>
      <w:szCs w:val="24"/>
    </w:rPr>
  </w:style>
  <w:style w:type="paragraph" w:styleId="Textodebalo">
    <w:name w:val="Balloon Text"/>
    <w:basedOn w:val="Normal"/>
    <w:qFormat/>
    <w:rPr>
      <w:rFonts w:ascii="Tahoma" w:hAnsi="Tahoma" w:cs="Mangal"/>
      <w:sz w:val="16"/>
      <w:szCs w:val="14"/>
    </w:rPr>
  </w:style>
  <w:style w:type="paragraph" w:customStyle="1" w:styleId="Nivel01">
    <w:name w:val="Nivel 01"/>
    <w:basedOn w:val="Ttulo1"/>
    <w:next w:val="Normal"/>
    <w:qFormat/>
    <w:pPr>
      <w:widowControl/>
      <w:tabs>
        <w:tab w:val="left" w:pos="567"/>
      </w:tabs>
      <w:suppressAutoHyphens w:val="0"/>
      <w:jc w:val="both"/>
    </w:pPr>
    <w:rPr>
      <w:rFonts w:ascii="Arial" w:eastAsia="Times New Roman" w:hAnsi="Arial" w:cs="Arial"/>
      <w:b/>
      <w:bCs/>
      <w:color w:val="auto"/>
      <w:sz w:val="20"/>
      <w:szCs w:val="20"/>
      <w:lang w:eastAsia="pt-BR" w:bidi="ar-SA"/>
    </w:rPr>
  </w:style>
  <w:style w:type="paragraph" w:customStyle="1" w:styleId="Nivel2">
    <w:name w:val="Nivel 2"/>
    <w:basedOn w:val="Normal"/>
    <w:qFormat/>
    <w:pPr>
      <w:widowControl/>
      <w:suppressAutoHyphens w:val="0"/>
      <w:spacing w:before="120" w:after="120" w:line="276" w:lineRule="auto"/>
      <w:jc w:val="both"/>
    </w:pPr>
    <w:rPr>
      <w:rFonts w:ascii="Arial" w:eastAsia="Times New Roman" w:hAnsi="Arial" w:cs="Arial"/>
      <w:sz w:val="20"/>
      <w:szCs w:val="20"/>
      <w:lang w:eastAsia="pt-BR" w:bidi="ar-SA"/>
    </w:rPr>
  </w:style>
  <w:style w:type="paragraph" w:customStyle="1" w:styleId="Nivel3">
    <w:name w:val="Nivel 3"/>
    <w:basedOn w:val="Normal"/>
    <w:qFormat/>
    <w:pPr>
      <w:widowControl/>
      <w:suppressAutoHyphens w:val="0"/>
      <w:spacing w:before="120" w:after="120" w:line="276" w:lineRule="auto"/>
      <w:ind w:left="425"/>
      <w:jc w:val="both"/>
    </w:pPr>
    <w:rPr>
      <w:rFonts w:ascii="Arial" w:eastAsia="Times New Roman" w:hAnsi="Arial" w:cs="Arial"/>
      <w:sz w:val="20"/>
      <w:szCs w:val="20"/>
      <w:lang w:eastAsia="pt-BR" w:bidi="ar-SA"/>
    </w:rPr>
  </w:style>
  <w:style w:type="paragraph" w:customStyle="1" w:styleId="Nivel4">
    <w:name w:val="Nivel 4"/>
    <w:basedOn w:val="Nivel3"/>
    <w:qFormat/>
    <w:pPr>
      <w:ind w:left="851"/>
    </w:pPr>
    <w:rPr>
      <w:color w:val="auto"/>
    </w:rPr>
  </w:style>
  <w:style w:type="paragraph" w:customStyle="1" w:styleId="Nivel5">
    <w:name w:val="Nivel 5"/>
    <w:basedOn w:val="Nivel4"/>
    <w:qFormat/>
    <w:pPr>
      <w:ind w:left="1276"/>
    </w:pPr>
  </w:style>
  <w:style w:type="paragraph" w:styleId="PargrafodaLista">
    <w:name w:val="List Paragraph"/>
    <w:basedOn w:val="Normal"/>
    <w:qFormat/>
    <w:pPr>
      <w:ind w:left="720"/>
      <w:contextualSpacing/>
    </w:pPr>
    <w:rPr>
      <w:rFonts w:cs="Mangal"/>
      <w:szCs w:val="21"/>
    </w:rPr>
  </w:style>
  <w:style w:type="paragraph" w:customStyle="1" w:styleId="Nvel2-Red">
    <w:name w:val="Nível 2 -Red"/>
    <w:basedOn w:val="Nivel2"/>
    <w:qFormat/>
    <w:rPr>
      <w:i/>
      <w:iCs/>
      <w:color w:val="FF0000"/>
    </w:rPr>
  </w:style>
  <w:style w:type="paragraph" w:styleId="Textodecomentrio">
    <w:name w:val="annotation text"/>
    <w:basedOn w:val="Normal"/>
    <w:qFormat/>
    <w:pPr>
      <w:widowControl/>
      <w:suppressAutoHyphens w:val="0"/>
    </w:pPr>
    <w:rPr>
      <w:rFonts w:ascii="Ecofont_Spranq_eco_Sans" w:eastAsia="Times New Roman" w:hAnsi="Ecofont_Spranq_eco_Sans"/>
      <w:color w:val="auto"/>
      <w:sz w:val="20"/>
      <w:szCs w:val="20"/>
      <w:lang w:eastAsia="pt-BR" w:bidi="ar-SA"/>
    </w:rPr>
  </w:style>
  <w:style w:type="paragraph" w:styleId="Reviso">
    <w:name w:val="Revision"/>
    <w:qFormat/>
    <w:pPr>
      <w:suppressAutoHyphens/>
    </w:pPr>
    <w:rPr>
      <w:rFonts w:ascii="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12563">
      <w:bodyDiv w:val="1"/>
      <w:marLeft w:val="0"/>
      <w:marRight w:val="0"/>
      <w:marTop w:val="0"/>
      <w:marBottom w:val="0"/>
      <w:divBdr>
        <w:top w:val="none" w:sz="0" w:space="0" w:color="auto"/>
        <w:left w:val="none" w:sz="0" w:space="0" w:color="auto"/>
        <w:bottom w:val="none" w:sz="0" w:space="0" w:color="auto"/>
        <w:right w:val="none" w:sz="0" w:space="0" w:color="auto"/>
      </w:divBdr>
    </w:div>
    <w:div w:id="552545777">
      <w:bodyDiv w:val="1"/>
      <w:marLeft w:val="0"/>
      <w:marRight w:val="0"/>
      <w:marTop w:val="0"/>
      <w:marBottom w:val="0"/>
      <w:divBdr>
        <w:top w:val="none" w:sz="0" w:space="0" w:color="auto"/>
        <w:left w:val="none" w:sz="0" w:space="0" w:color="auto"/>
        <w:bottom w:val="none" w:sz="0" w:space="0" w:color="auto"/>
        <w:right w:val="none" w:sz="0" w:space="0" w:color="auto"/>
      </w:divBdr>
    </w:div>
    <w:div w:id="892274174">
      <w:bodyDiv w:val="1"/>
      <w:marLeft w:val="0"/>
      <w:marRight w:val="0"/>
      <w:marTop w:val="0"/>
      <w:marBottom w:val="0"/>
      <w:divBdr>
        <w:top w:val="none" w:sz="0" w:space="0" w:color="auto"/>
        <w:left w:val="none" w:sz="0" w:space="0" w:color="auto"/>
        <w:bottom w:val="none" w:sz="0" w:space="0" w:color="auto"/>
        <w:right w:val="none" w:sz="0" w:space="0" w:color="auto"/>
      </w:divBdr>
    </w:div>
    <w:div w:id="1053432837">
      <w:bodyDiv w:val="1"/>
      <w:marLeft w:val="0"/>
      <w:marRight w:val="0"/>
      <w:marTop w:val="0"/>
      <w:marBottom w:val="0"/>
      <w:divBdr>
        <w:top w:val="none" w:sz="0" w:space="0" w:color="auto"/>
        <w:left w:val="none" w:sz="0" w:space="0" w:color="auto"/>
        <w:bottom w:val="none" w:sz="0" w:space="0" w:color="auto"/>
        <w:right w:val="none" w:sz="0" w:space="0" w:color="auto"/>
      </w:divBdr>
    </w:div>
    <w:div w:id="1501578632">
      <w:bodyDiv w:val="1"/>
      <w:marLeft w:val="0"/>
      <w:marRight w:val="0"/>
      <w:marTop w:val="0"/>
      <w:marBottom w:val="0"/>
      <w:divBdr>
        <w:top w:val="none" w:sz="0" w:space="0" w:color="auto"/>
        <w:left w:val="none" w:sz="0" w:space="0" w:color="auto"/>
        <w:bottom w:val="none" w:sz="0" w:space="0" w:color="auto"/>
        <w:right w:val="none" w:sz="0" w:space="0" w:color="auto"/>
      </w:divBdr>
    </w:div>
    <w:div w:id="1990404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yperlink" Target="https://www.planalto.gov.br/ccivil_03/leis/l5764.htm" TargetMode="Externa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s://www.gov.br/compras/pt-br/acesso-a-informacao/legislacao/instrucoes-normativas/instrucao-normativa-seges-me-no-116-de-21-de-dezembro-de-2021"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s://www.planalto.gov.br/ccivil_03/_ato2019-2022/2021/decreto/d10880.htm" TargetMode="External"/><Relationship Id="rId45"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s://www.gov.br/compras/pt-br/acesso-a-informacao/legislacao/instrucoes-normativas/instrucao-normativa-no-53-de-8-de-julho-de-2020" TargetMode="External"/><Relationship Id="rId10" Type="http://schemas.openxmlformats.org/officeDocument/2006/relationships/footer" Target="footer1.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in.gov.br/en/web/dou/-/instrucao-normativa-seges/me-n-77-de-4-de-novembro-de-2022-441681061" TargetMode="External"/><Relationship Id="rId44"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conomia/pt-br/assuntos/drei/legislacao/arquivos/legislacoes-federais/indrei772020.pdf" TargetMode="External"/><Relationship Id="rId46" Type="http://schemas.openxmlformats.org/officeDocument/2006/relationships/fontTable" Target="fontTable.xm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s://www.gov.br/trabalho-e-previdencia/pt-br/servicos/empregador/programa-de-alimentacao-do-trabalhador-pat/arquivos-legislacao/instrucoes-normativas/pat_in_971_2009.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19</Pages>
  <Words>6707</Words>
  <Characters>36222</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JEFFERSON RODRIGUES BRAGA</dc:creator>
  <dc:description/>
  <cp:lastModifiedBy>FERNANDO DA SILVA BORGES</cp:lastModifiedBy>
  <cp:revision>26</cp:revision>
  <cp:lastPrinted>2023-07-21T12:42:00Z</cp:lastPrinted>
  <dcterms:created xsi:type="dcterms:W3CDTF">2023-06-23T12:55:00Z</dcterms:created>
  <dcterms:modified xsi:type="dcterms:W3CDTF">2023-07-21T12:42:00Z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