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C0054" w14:textId="77777777" w:rsidR="00957C99" w:rsidRDefault="00957C99"/>
    <w:p w14:paraId="62657C0B" w14:textId="77777777" w:rsidR="00957C99" w:rsidRDefault="008E5427">
      <w:pPr>
        <w:spacing w:line="100" w:lineRule="atLeast"/>
        <w:rPr>
          <w:rFonts w:ascii="Times New Roman" w:hAnsi="Times New Roman" w:cs="Times New Roman"/>
          <w:bCs/>
          <w:sz w:val="22"/>
          <w:szCs w:val="22"/>
        </w:rPr>
      </w:pPr>
      <w:r>
        <w:rPr>
          <w:rFonts w:ascii="Times New Roman" w:hAnsi="Times New Roman" w:cs="Times New Roman"/>
          <w:bCs/>
          <w:noProof/>
          <w:sz w:val="22"/>
          <w:szCs w:val="22"/>
        </w:rPr>
        <w:drawing>
          <wp:anchor distT="0" distB="0" distL="114300" distR="114300" simplePos="0" relativeHeight="2" behindDoc="0" locked="0" layoutInCell="1" allowOverlap="1" wp14:anchorId="686073F9" wp14:editId="574E12B7">
            <wp:simplePos x="0" y="0"/>
            <wp:positionH relativeFrom="column">
              <wp:posOffset>4939665</wp:posOffset>
            </wp:positionH>
            <wp:positionV relativeFrom="paragraph">
              <wp:posOffset>635</wp:posOffset>
            </wp:positionV>
            <wp:extent cx="810895" cy="89725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a:srcRect l="-1459" t="-1313" r="-1459" b="-1313"/>
                    <a:stretch>
                      <a:fillRect/>
                    </a:stretch>
                  </pic:blipFill>
                  <pic:spPr bwMode="auto">
                    <a:xfrm>
                      <a:off x="0" y="0"/>
                      <a:ext cx="810895" cy="897255"/>
                    </a:xfrm>
                    <a:prstGeom prst="rect">
                      <a:avLst/>
                    </a:prstGeom>
                  </pic:spPr>
                </pic:pic>
              </a:graphicData>
            </a:graphic>
          </wp:anchor>
        </w:drawing>
      </w:r>
    </w:p>
    <w:p w14:paraId="6A54908E" w14:textId="77777777" w:rsidR="00957C99" w:rsidRDefault="00957C99"/>
    <w:p w14:paraId="493A7A44" w14:textId="77777777" w:rsidR="00957C99" w:rsidRDefault="00957C99">
      <w:pPr>
        <w:spacing w:line="100" w:lineRule="atLeast"/>
        <w:rPr>
          <w:rFonts w:ascii="Times New Roman" w:hAnsi="Times New Roman" w:cs="Times New Roman"/>
          <w:bCs/>
          <w:sz w:val="22"/>
          <w:szCs w:val="22"/>
        </w:rPr>
      </w:pPr>
    </w:p>
    <w:p w14:paraId="63716502" w14:textId="77777777" w:rsidR="00957C99" w:rsidRDefault="008E5427">
      <w:pPr>
        <w:spacing w:line="100" w:lineRule="atLeast"/>
      </w:pPr>
      <w:r>
        <w:br/>
      </w:r>
    </w:p>
    <w:p w14:paraId="103CE38F" w14:textId="77777777" w:rsidR="00957C99" w:rsidRDefault="008E5427">
      <w:pPr>
        <w:spacing w:line="100" w:lineRule="atLeast"/>
        <w:jc w:val="center"/>
        <w:rPr>
          <w:rFonts w:ascii="Times New Roman" w:hAnsi="Times New Roman" w:cs="Times New Roman"/>
          <w:sz w:val="22"/>
          <w:szCs w:val="22"/>
        </w:rPr>
      </w:pPr>
      <w:r>
        <w:rPr>
          <w:rFonts w:ascii="Times New Roman" w:hAnsi="Times New Roman" w:cs="Times New Roman"/>
          <w:sz w:val="22"/>
          <w:szCs w:val="22"/>
        </w:rPr>
        <w:t>MINISTÉRIO DA DEFESA</w:t>
      </w:r>
    </w:p>
    <w:p w14:paraId="0AF292A9" w14:textId="77777777" w:rsidR="00957C99" w:rsidRDefault="008E5427">
      <w:pPr>
        <w:spacing w:line="100" w:lineRule="atLeast"/>
        <w:jc w:val="center"/>
        <w:rPr>
          <w:rFonts w:ascii="Times New Roman" w:hAnsi="Times New Roman" w:cs="Times New Roman"/>
          <w:sz w:val="22"/>
          <w:szCs w:val="22"/>
        </w:rPr>
      </w:pPr>
      <w:r>
        <w:rPr>
          <w:rFonts w:ascii="Times New Roman" w:hAnsi="Times New Roman" w:cs="Times New Roman"/>
          <w:sz w:val="22"/>
          <w:szCs w:val="22"/>
        </w:rPr>
        <w:t>EXÉRCITO BRASILEIRO</w:t>
      </w:r>
    </w:p>
    <w:p w14:paraId="16F1093B" w14:textId="77777777" w:rsidR="00957C99" w:rsidRDefault="008E5427">
      <w:pPr>
        <w:spacing w:line="100" w:lineRule="atLeast"/>
        <w:jc w:val="center"/>
        <w:rPr>
          <w:rFonts w:ascii="Times New Roman" w:hAnsi="Times New Roman" w:cs="Times New Roman"/>
          <w:sz w:val="22"/>
          <w:szCs w:val="22"/>
        </w:rPr>
      </w:pPr>
      <w:r>
        <w:rPr>
          <w:rFonts w:ascii="Times New Roman" w:hAnsi="Times New Roman" w:cs="Times New Roman"/>
          <w:sz w:val="22"/>
          <w:szCs w:val="22"/>
        </w:rPr>
        <w:t xml:space="preserve"> CML            -            1ª RM</w:t>
      </w:r>
    </w:p>
    <w:p w14:paraId="37FBD9E0" w14:textId="77777777" w:rsidR="00957C99" w:rsidRDefault="008E5427">
      <w:pPr>
        <w:spacing w:line="100" w:lineRule="atLeast"/>
        <w:jc w:val="center"/>
        <w:rPr>
          <w:rFonts w:ascii="Times New Roman" w:hAnsi="Times New Roman" w:cs="Times New Roman"/>
          <w:b/>
          <w:sz w:val="22"/>
          <w:szCs w:val="22"/>
          <w:u w:val="single"/>
        </w:rPr>
      </w:pPr>
      <w:r>
        <w:rPr>
          <w:rFonts w:ascii="Times New Roman" w:hAnsi="Times New Roman" w:cs="Times New Roman"/>
          <w:b/>
          <w:sz w:val="22"/>
          <w:szCs w:val="22"/>
          <w:u w:val="single"/>
        </w:rPr>
        <w:t>HOSPITAL CENTRAL DO EXÉRCITO</w:t>
      </w:r>
    </w:p>
    <w:p w14:paraId="53E23E1D" w14:textId="77777777" w:rsidR="00957C99" w:rsidRDefault="008E5427">
      <w:pPr>
        <w:spacing w:line="100" w:lineRule="atLeast"/>
        <w:jc w:val="center"/>
        <w:rPr>
          <w:rFonts w:ascii="Times New Roman" w:hAnsi="Times New Roman" w:cs="Times New Roman"/>
          <w:b/>
          <w:sz w:val="22"/>
          <w:szCs w:val="22"/>
        </w:rPr>
      </w:pPr>
      <w:r>
        <w:rPr>
          <w:rFonts w:ascii="Times New Roman" w:hAnsi="Times New Roman" w:cs="Times New Roman"/>
          <w:b/>
          <w:sz w:val="22"/>
          <w:szCs w:val="22"/>
        </w:rPr>
        <w:t>(HOSPITAL REAL MILITAR E ULTRAMAR - 1769)</w:t>
      </w:r>
    </w:p>
    <w:p w14:paraId="2975D346" w14:textId="77777777" w:rsidR="00957C99" w:rsidRDefault="008E5427">
      <w:pPr>
        <w:pStyle w:val="Ttulo1"/>
        <w:spacing w:line="100" w:lineRule="atLeast"/>
        <w:jc w:val="center"/>
        <w:rPr>
          <w:rFonts w:ascii="Times New Roman" w:hAnsi="Times New Roman"/>
          <w:b/>
          <w:color w:val="000000"/>
          <w:sz w:val="22"/>
          <w:szCs w:val="22"/>
        </w:rPr>
      </w:pPr>
      <w:r>
        <w:rPr>
          <w:rFonts w:ascii="Times New Roman" w:hAnsi="Times New Roman"/>
          <w:b/>
          <w:color w:val="000000"/>
          <w:sz w:val="22"/>
          <w:szCs w:val="22"/>
        </w:rPr>
        <w:t>TERMO DE REFERÊNCIA Nº 62/2023 – HCE</w:t>
      </w:r>
    </w:p>
    <w:p w14:paraId="2836FE1F" w14:textId="77777777" w:rsidR="00957C99" w:rsidRDefault="00957C99">
      <w:pPr>
        <w:pStyle w:val="Corpodetexto"/>
        <w:spacing w:after="0"/>
        <w:rPr>
          <w:rFonts w:ascii="Times New Roman" w:hAnsi="Times New Roman" w:cs="Times New Roman"/>
          <w:b/>
          <w:sz w:val="22"/>
          <w:szCs w:val="22"/>
        </w:rPr>
      </w:pPr>
    </w:p>
    <w:p w14:paraId="60BFAEFF" w14:textId="77777777" w:rsidR="00957C99" w:rsidRDefault="008E5427">
      <w:pPr>
        <w:numPr>
          <w:ilvl w:val="0"/>
          <w:numId w:val="4"/>
        </w:numPr>
        <w:spacing w:after="120"/>
        <w:ind w:left="0" w:right="-15" w:firstLine="0"/>
        <w:jc w:val="both"/>
        <w:rPr>
          <w:rFonts w:ascii="Times New Roman" w:hAnsi="Times New Roman" w:cs="Times New Roman"/>
          <w:b/>
          <w:sz w:val="22"/>
          <w:szCs w:val="22"/>
        </w:rPr>
      </w:pPr>
      <w:r>
        <w:rPr>
          <w:rFonts w:ascii="Times New Roman" w:hAnsi="Times New Roman" w:cs="Times New Roman"/>
          <w:b/>
          <w:sz w:val="22"/>
          <w:szCs w:val="22"/>
        </w:rPr>
        <w:t>DO OBJETO</w:t>
      </w:r>
    </w:p>
    <w:p w14:paraId="34A94E45" w14:textId="77777777" w:rsidR="00957C99" w:rsidRDefault="008E5427">
      <w:pPr>
        <w:numPr>
          <w:ilvl w:val="1"/>
          <w:numId w:val="4"/>
        </w:numPr>
        <w:spacing w:after="120"/>
        <w:ind w:left="0" w:right="-15" w:firstLine="0"/>
        <w:jc w:val="both"/>
      </w:pPr>
      <w:r>
        <w:rPr>
          <w:rFonts w:ascii="Times New Roman" w:hAnsi="Times New Roman" w:cs="Times New Roman"/>
          <w:sz w:val="22"/>
          <w:szCs w:val="22"/>
        </w:rPr>
        <w:t>Aquisição de material permanente para a Nutrição do HCE, conforme condições, quantidades, exigências e estimativas, estabelecidas neste instrumento.</w:t>
      </w:r>
    </w:p>
    <w:p w14:paraId="5E2C7A8A" w14:textId="77777777" w:rsidR="00957C99" w:rsidRDefault="00957C99">
      <w:pPr>
        <w:numPr>
          <w:ilvl w:val="1"/>
          <w:numId w:val="4"/>
        </w:numPr>
        <w:spacing w:after="120"/>
        <w:ind w:left="0" w:right="-15" w:firstLine="0"/>
        <w:jc w:val="both"/>
        <w:rPr>
          <w:rFonts w:ascii="Times New Roman" w:hAnsi="Times New Roman" w:cs="Times New Roman"/>
          <w:sz w:val="22"/>
          <w:szCs w:val="22"/>
        </w:rPr>
      </w:pPr>
    </w:p>
    <w:tbl>
      <w:tblPr>
        <w:tblW w:w="13476" w:type="dxa"/>
        <w:tblInd w:w="28" w:type="dxa"/>
        <w:tblCellMar>
          <w:top w:w="28" w:type="dxa"/>
          <w:left w:w="28" w:type="dxa"/>
          <w:bottom w:w="28" w:type="dxa"/>
          <w:right w:w="28" w:type="dxa"/>
        </w:tblCellMar>
        <w:tblLook w:val="0000" w:firstRow="0" w:lastRow="0" w:firstColumn="0" w:lastColumn="0" w:noHBand="0" w:noVBand="0"/>
      </w:tblPr>
      <w:tblGrid>
        <w:gridCol w:w="701"/>
        <w:gridCol w:w="5820"/>
        <w:gridCol w:w="1305"/>
        <w:gridCol w:w="675"/>
        <w:gridCol w:w="659"/>
        <w:gridCol w:w="1157"/>
        <w:gridCol w:w="1527"/>
        <w:gridCol w:w="1632"/>
      </w:tblGrid>
      <w:tr w:rsidR="00957C99" w14:paraId="1F432984" w14:textId="77777777">
        <w:trPr>
          <w:trHeight w:val="836"/>
          <w:tblHeader/>
        </w:trPr>
        <w:tc>
          <w:tcPr>
            <w:tcW w:w="70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B65F94A" w14:textId="77777777" w:rsidR="00957C99" w:rsidRDefault="008E5427">
            <w:pPr>
              <w:pStyle w:val="Contedodatabela"/>
              <w:jc w:val="center"/>
              <w:rPr>
                <w:rFonts w:ascii="Times New Roman" w:hAnsi="Times New Roman"/>
                <w:b/>
                <w:sz w:val="14"/>
              </w:rPr>
            </w:pPr>
            <w:r>
              <w:rPr>
                <w:rFonts w:ascii="Times New Roman" w:hAnsi="Times New Roman"/>
                <w:b/>
                <w:sz w:val="14"/>
              </w:rPr>
              <w:t>ITEM</w:t>
            </w:r>
          </w:p>
        </w:tc>
        <w:tc>
          <w:tcPr>
            <w:tcW w:w="5819"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42198112" w14:textId="77777777" w:rsidR="00957C99" w:rsidRDefault="008E5427">
            <w:pPr>
              <w:pStyle w:val="Contedodatabela"/>
              <w:jc w:val="center"/>
              <w:rPr>
                <w:rFonts w:ascii="Times New Roman" w:hAnsi="Times New Roman"/>
                <w:b/>
                <w:sz w:val="14"/>
              </w:rPr>
            </w:pPr>
            <w:r>
              <w:rPr>
                <w:rFonts w:ascii="Times New Roman" w:hAnsi="Times New Roman"/>
                <w:b/>
                <w:sz w:val="14"/>
              </w:rPr>
              <w:t>DESCRIÇÃO DO MATERIAL</w:t>
            </w:r>
          </w:p>
        </w:tc>
        <w:tc>
          <w:tcPr>
            <w:tcW w:w="1305"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7796CAC" w14:textId="77777777" w:rsidR="00957C99" w:rsidRDefault="008E5427">
            <w:pPr>
              <w:pStyle w:val="Contedodatabela"/>
              <w:jc w:val="center"/>
              <w:rPr>
                <w:rFonts w:ascii="Times New Roman" w:hAnsi="Times New Roman"/>
                <w:b/>
                <w:sz w:val="14"/>
              </w:rPr>
            </w:pPr>
            <w:r>
              <w:rPr>
                <w:rFonts w:ascii="Times New Roman" w:hAnsi="Times New Roman"/>
                <w:b/>
                <w:sz w:val="14"/>
              </w:rPr>
              <w:t>CATMAT</w:t>
            </w:r>
          </w:p>
        </w:tc>
        <w:tc>
          <w:tcPr>
            <w:tcW w:w="675"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84AFA38" w14:textId="77777777" w:rsidR="00957C99" w:rsidRDefault="008E5427">
            <w:pPr>
              <w:pStyle w:val="Contedodatabela"/>
              <w:jc w:val="center"/>
              <w:rPr>
                <w:rFonts w:ascii="Times New Roman" w:hAnsi="Times New Roman"/>
                <w:b/>
                <w:sz w:val="14"/>
              </w:rPr>
            </w:pPr>
            <w:r>
              <w:rPr>
                <w:rFonts w:ascii="Times New Roman" w:hAnsi="Times New Roman"/>
                <w:b/>
                <w:sz w:val="14"/>
              </w:rPr>
              <w:t>APRES</w:t>
            </w:r>
          </w:p>
        </w:tc>
        <w:tc>
          <w:tcPr>
            <w:tcW w:w="659"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2F6E1A39" w14:textId="77777777" w:rsidR="00957C99" w:rsidRDefault="008E5427">
            <w:pPr>
              <w:pStyle w:val="Contedodatabela"/>
              <w:jc w:val="center"/>
              <w:rPr>
                <w:rFonts w:ascii="Times New Roman" w:hAnsi="Times New Roman"/>
                <w:b/>
                <w:sz w:val="14"/>
              </w:rPr>
            </w:pPr>
            <w:r>
              <w:rPr>
                <w:rFonts w:ascii="Times New Roman" w:hAnsi="Times New Roman"/>
                <w:b/>
                <w:sz w:val="14"/>
              </w:rPr>
              <w:t>QTD</w:t>
            </w:r>
          </w:p>
        </w:tc>
        <w:tc>
          <w:tcPr>
            <w:tcW w:w="1157"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2DF0DB6B" w14:textId="77777777" w:rsidR="00957C99" w:rsidRDefault="008E5427">
            <w:pPr>
              <w:pStyle w:val="Contedodatabela"/>
              <w:jc w:val="center"/>
              <w:rPr>
                <w:rFonts w:ascii="Times New Roman" w:hAnsi="Times New Roman"/>
                <w:b/>
                <w:sz w:val="14"/>
              </w:rPr>
            </w:pPr>
            <w:r>
              <w:rPr>
                <w:rFonts w:ascii="Times New Roman" w:hAnsi="Times New Roman"/>
                <w:b/>
                <w:sz w:val="14"/>
              </w:rPr>
              <w:t>VALOR TOTAL UNITÁRIO</w:t>
            </w:r>
          </w:p>
        </w:tc>
        <w:tc>
          <w:tcPr>
            <w:tcW w:w="1527"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0C1E6221" w14:textId="77777777" w:rsidR="00957C99" w:rsidRDefault="008E5427">
            <w:pPr>
              <w:pStyle w:val="Contedodatabela"/>
              <w:jc w:val="center"/>
              <w:rPr>
                <w:rFonts w:ascii="Times New Roman" w:hAnsi="Times New Roman"/>
                <w:b/>
                <w:sz w:val="14"/>
              </w:rPr>
            </w:pPr>
            <w:r>
              <w:rPr>
                <w:rFonts w:ascii="Times New Roman" w:hAnsi="Times New Roman"/>
                <w:b/>
                <w:sz w:val="14"/>
              </w:rPr>
              <w:t>VALOR TOTAL</w:t>
            </w:r>
          </w:p>
        </w:tc>
        <w:tc>
          <w:tcPr>
            <w:tcW w:w="1632"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04A73FB1" w14:textId="77777777" w:rsidR="00957C99" w:rsidRDefault="008E5427">
            <w:pPr>
              <w:pStyle w:val="Contedodatabela"/>
              <w:jc w:val="center"/>
              <w:rPr>
                <w:rFonts w:ascii="Times New Roman" w:hAnsi="Times New Roman"/>
                <w:b/>
                <w:sz w:val="14"/>
              </w:rPr>
            </w:pPr>
            <w:r>
              <w:rPr>
                <w:rFonts w:ascii="Times New Roman" w:hAnsi="Times New Roman"/>
                <w:b/>
                <w:sz w:val="14"/>
              </w:rPr>
              <w:t>PARTICIPAÇÕES EXCLUSIVAS DE MICROEMPRESAS E EPP</w:t>
            </w:r>
          </w:p>
        </w:tc>
      </w:tr>
      <w:tr w:rsidR="00957C99" w14:paraId="0DCBC56E" w14:textId="77777777">
        <w:trPr>
          <w:trHeight w:val="686"/>
        </w:trPr>
        <w:tc>
          <w:tcPr>
            <w:tcW w:w="700"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9C79FA" w14:textId="77777777" w:rsidR="00957C99" w:rsidRDefault="008E5427">
            <w:pPr>
              <w:pStyle w:val="Contedodatabela"/>
              <w:jc w:val="center"/>
              <w:rPr>
                <w:rFonts w:ascii="Times New Roman" w:hAnsi="Times New Roman"/>
                <w:sz w:val="14"/>
              </w:rPr>
            </w:pPr>
            <w:r>
              <w:rPr>
                <w:rFonts w:ascii="Times New Roman" w:hAnsi="Times New Roman"/>
                <w:sz w:val="14"/>
              </w:rPr>
              <w:t>1</w:t>
            </w:r>
          </w:p>
        </w:tc>
        <w:tc>
          <w:tcPr>
            <w:tcW w:w="5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06189" w14:textId="77777777" w:rsidR="00957C99" w:rsidRDefault="008E5427">
            <w:pPr>
              <w:suppressAutoHyphens w:val="0"/>
              <w:jc w:val="center"/>
              <w:rPr>
                <w:sz w:val="20"/>
                <w:szCs w:val="20"/>
              </w:rPr>
            </w:pPr>
            <w:proofErr w:type="spellStart"/>
            <w:r>
              <w:rPr>
                <w:sz w:val="20"/>
                <w:szCs w:val="20"/>
              </w:rPr>
              <w:t>Adipômetro</w:t>
            </w:r>
            <w:proofErr w:type="spellEnd"/>
            <w:r>
              <w:rPr>
                <w:sz w:val="20"/>
                <w:szCs w:val="20"/>
              </w:rPr>
              <w:t xml:space="preserve">. Metal. Faixa de operação: até 90mm. Tolerância: Tolerância até 0,5mm Resolução: Resolução 0,1mm. </w:t>
            </w:r>
            <w:proofErr w:type="spellStart"/>
            <w:r>
              <w:rPr>
                <w:sz w:val="20"/>
                <w:szCs w:val="20"/>
              </w:rPr>
              <w:t>Operaão</w:t>
            </w:r>
            <w:proofErr w:type="spellEnd"/>
            <w:r>
              <w:rPr>
                <w:sz w:val="20"/>
                <w:szCs w:val="20"/>
              </w:rPr>
              <w:t xml:space="preserve">: </w:t>
            </w:r>
            <w:proofErr w:type="spellStart"/>
            <w:r>
              <w:rPr>
                <w:sz w:val="20"/>
                <w:szCs w:val="20"/>
              </w:rPr>
              <w:t>Analogico</w:t>
            </w:r>
            <w:proofErr w:type="spellEnd"/>
            <w:r>
              <w:rPr>
                <w:sz w:val="20"/>
                <w:szCs w:val="20"/>
              </w:rPr>
              <w:t xml:space="preserve">. Pressão: cerca de 10G/Mm². </w:t>
            </w:r>
            <w:r>
              <w:rPr>
                <w:b/>
                <w:bCs/>
                <w:sz w:val="20"/>
                <w:szCs w:val="20"/>
              </w:rPr>
              <w:t xml:space="preserve">Descrição Complementar: </w:t>
            </w:r>
            <w:proofErr w:type="spellStart"/>
            <w:r>
              <w:rPr>
                <w:sz w:val="20"/>
                <w:szCs w:val="20"/>
              </w:rPr>
              <w:t>Adipômetro</w:t>
            </w:r>
            <w:proofErr w:type="spellEnd"/>
            <w:r>
              <w:rPr>
                <w:sz w:val="20"/>
                <w:szCs w:val="20"/>
              </w:rPr>
              <w:t xml:space="preserve"> Científico Tradicional, analógico, em base de alumínio, com precisão de 0,1mm, capacidade de 75mm, pressão ± 10g/ mm²</w:t>
            </w:r>
          </w:p>
          <w:p w14:paraId="1DAA8609" w14:textId="77777777" w:rsidR="00957C99" w:rsidRDefault="008E5427">
            <w:pPr>
              <w:suppressAutoHyphens w:val="0"/>
              <w:jc w:val="center"/>
              <w:rPr>
                <w:rFonts w:ascii="Times New Roman" w:hAnsi="Times New Roman" w:cs="Times New Roman"/>
                <w:b/>
                <w:sz w:val="18"/>
                <w:szCs w:val="18"/>
              </w:rPr>
            </w:pPr>
            <w:proofErr w:type="spellStart"/>
            <w:r>
              <w:rPr>
                <w:b/>
                <w:sz w:val="18"/>
                <w:szCs w:val="18"/>
              </w:rPr>
              <w:t>Marca:CESCORF</w:t>
            </w:r>
            <w:proofErr w:type="spellEnd"/>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4C2C4" w14:textId="77777777" w:rsidR="00957C99" w:rsidRDefault="008E5427">
            <w:pPr>
              <w:jc w:val="center"/>
              <w:rPr>
                <w:rFonts w:ascii="Times New Roman" w:hAnsi="Times New Roman" w:cs="Times New Roman"/>
                <w:sz w:val="18"/>
                <w:szCs w:val="18"/>
              </w:rPr>
            </w:pPr>
            <w:r>
              <w:rPr>
                <w:sz w:val="20"/>
                <w:szCs w:val="20"/>
              </w:rPr>
              <w:t>427492</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09539" w14:textId="77777777" w:rsidR="00957C99" w:rsidRDefault="008E5427">
            <w:pPr>
              <w:pStyle w:val="Contedodatabela"/>
              <w:jc w:val="center"/>
              <w:rPr>
                <w:rFonts w:ascii="Times New Roman" w:hAnsi="Times New Roman" w:cs="Times New Roman"/>
                <w:sz w:val="18"/>
                <w:szCs w:val="18"/>
              </w:rPr>
            </w:pPr>
            <w:proofErr w:type="spellStart"/>
            <w:r>
              <w:rPr>
                <w:sz w:val="20"/>
                <w:szCs w:val="20"/>
              </w:rPr>
              <w:t>Und</w:t>
            </w:r>
            <w:proofErr w:type="spellEnd"/>
          </w:p>
        </w:tc>
        <w:tc>
          <w:tcPr>
            <w:tcW w:w="6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97225" w14:textId="77777777" w:rsidR="00957C99" w:rsidRDefault="008E5427">
            <w:pPr>
              <w:pStyle w:val="Contedodatabela"/>
              <w:jc w:val="center"/>
              <w:rPr>
                <w:rFonts w:ascii="Times New Roman" w:hAnsi="Times New Roman" w:cs="Times New Roman"/>
                <w:sz w:val="18"/>
                <w:szCs w:val="18"/>
              </w:rPr>
            </w:pPr>
            <w:r>
              <w:rPr>
                <w:sz w:val="20"/>
                <w:szCs w:val="20"/>
              </w:rPr>
              <w:t>1</w:t>
            </w:r>
          </w:p>
        </w:tc>
        <w:tc>
          <w:tcPr>
            <w:tcW w:w="1157" w:type="dxa"/>
            <w:tcBorders>
              <w:top w:val="single" w:sz="4" w:space="0" w:color="000000"/>
              <w:bottom w:val="single" w:sz="4" w:space="0" w:color="000000"/>
              <w:right w:val="single" w:sz="4" w:space="0" w:color="000000"/>
            </w:tcBorders>
            <w:shd w:val="clear" w:color="FFFFCC" w:fill="FFFFFF"/>
            <w:vAlign w:val="center"/>
          </w:tcPr>
          <w:p w14:paraId="41DC9F07" w14:textId="77777777" w:rsidR="00957C99" w:rsidRDefault="008E5427">
            <w:pPr>
              <w:jc w:val="center"/>
              <w:rPr>
                <w:rFonts w:ascii="Times New Roman" w:hAnsi="Times New Roman" w:cs="Times New Roman"/>
                <w:sz w:val="18"/>
                <w:szCs w:val="18"/>
              </w:rPr>
            </w:pPr>
            <w:r>
              <w:rPr>
                <w:sz w:val="20"/>
                <w:szCs w:val="20"/>
              </w:rPr>
              <w:t>1.311,73</w:t>
            </w:r>
          </w:p>
        </w:tc>
        <w:tc>
          <w:tcPr>
            <w:tcW w:w="1527" w:type="dxa"/>
            <w:tcBorders>
              <w:top w:val="single" w:sz="4" w:space="0" w:color="000000"/>
              <w:bottom w:val="single" w:sz="4" w:space="0" w:color="000000"/>
              <w:right w:val="single" w:sz="4" w:space="0" w:color="000000"/>
            </w:tcBorders>
            <w:shd w:val="clear" w:color="FFFFCC" w:fill="FFFFFF"/>
            <w:vAlign w:val="center"/>
          </w:tcPr>
          <w:p w14:paraId="47CDA21D" w14:textId="77777777" w:rsidR="00957C99" w:rsidRDefault="008E5427">
            <w:pPr>
              <w:jc w:val="center"/>
              <w:rPr>
                <w:rFonts w:ascii="Times New Roman" w:hAnsi="Times New Roman" w:cs="Times New Roman"/>
                <w:sz w:val="18"/>
                <w:szCs w:val="18"/>
              </w:rPr>
            </w:pPr>
            <w:r>
              <w:rPr>
                <w:sz w:val="20"/>
                <w:szCs w:val="20"/>
              </w:rPr>
              <w:t>1.311,73</w:t>
            </w:r>
          </w:p>
        </w:tc>
        <w:tc>
          <w:tcPr>
            <w:tcW w:w="16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D112D2" w14:textId="77777777" w:rsidR="00957C99" w:rsidRDefault="008E5427">
            <w:pPr>
              <w:pStyle w:val="Contedodatabela"/>
              <w:jc w:val="center"/>
              <w:rPr>
                <w:rFonts w:ascii="Times New Roman" w:hAnsi="Times New Roman" w:cs="Times New Roman"/>
                <w:sz w:val="18"/>
                <w:szCs w:val="18"/>
              </w:rPr>
            </w:pPr>
            <w:r>
              <w:rPr>
                <w:rFonts w:ascii="Times New Roman" w:hAnsi="Times New Roman" w:cs="Times New Roman"/>
                <w:sz w:val="18"/>
                <w:szCs w:val="18"/>
              </w:rPr>
              <w:t>SIM</w:t>
            </w:r>
          </w:p>
        </w:tc>
      </w:tr>
      <w:tr w:rsidR="00957C99" w14:paraId="2C390824" w14:textId="77777777">
        <w:trPr>
          <w:trHeight w:val="686"/>
        </w:trPr>
        <w:tc>
          <w:tcPr>
            <w:tcW w:w="700" w:type="dxa"/>
            <w:tcBorders>
              <w:left w:val="single" w:sz="2" w:space="0" w:color="000000"/>
              <w:bottom w:val="single" w:sz="2" w:space="0" w:color="000000"/>
              <w:right w:val="single" w:sz="2" w:space="0" w:color="000000"/>
            </w:tcBorders>
            <w:shd w:val="clear" w:color="auto" w:fill="FFFFFF"/>
            <w:vAlign w:val="center"/>
          </w:tcPr>
          <w:p w14:paraId="5D61B6D8" w14:textId="77777777" w:rsidR="00957C99" w:rsidRDefault="008E5427">
            <w:pPr>
              <w:pStyle w:val="Contedodatabela"/>
              <w:jc w:val="center"/>
              <w:rPr>
                <w:rFonts w:ascii="Times New Roman" w:hAnsi="Times New Roman"/>
                <w:sz w:val="14"/>
              </w:rPr>
            </w:pPr>
            <w:r>
              <w:rPr>
                <w:rFonts w:ascii="Times New Roman" w:hAnsi="Times New Roman"/>
                <w:sz w:val="14"/>
              </w:rPr>
              <w:t>2</w:t>
            </w:r>
          </w:p>
        </w:tc>
        <w:tc>
          <w:tcPr>
            <w:tcW w:w="5819" w:type="dxa"/>
            <w:tcBorders>
              <w:left w:val="single" w:sz="4" w:space="0" w:color="000000"/>
              <w:bottom w:val="single" w:sz="4" w:space="0" w:color="000000"/>
              <w:right w:val="single" w:sz="4" w:space="0" w:color="000000"/>
            </w:tcBorders>
            <w:shd w:val="clear" w:color="auto" w:fill="auto"/>
            <w:vAlign w:val="center"/>
          </w:tcPr>
          <w:p w14:paraId="08B06AEB" w14:textId="77777777" w:rsidR="00957C99" w:rsidRDefault="008E5427">
            <w:pPr>
              <w:suppressAutoHyphens w:val="0"/>
              <w:jc w:val="center"/>
              <w:rPr>
                <w:sz w:val="20"/>
                <w:szCs w:val="20"/>
              </w:rPr>
            </w:pPr>
            <w:r>
              <w:rPr>
                <w:sz w:val="20"/>
                <w:szCs w:val="20"/>
              </w:rPr>
              <w:t xml:space="preserve">Dispositivo P/ Medidas Antropométricas Tipo*: Tipo </w:t>
            </w:r>
            <w:proofErr w:type="gramStart"/>
            <w:r>
              <w:rPr>
                <w:sz w:val="20"/>
                <w:szCs w:val="20"/>
              </w:rPr>
              <w:t>Trena ,</w:t>
            </w:r>
            <w:proofErr w:type="gramEnd"/>
            <w:r>
              <w:rPr>
                <w:sz w:val="20"/>
                <w:szCs w:val="20"/>
              </w:rPr>
              <w:t xml:space="preserve"> Material*: Fibra De Vidro , Escala Graduação: C/ Escala Métrica - Mm E Cm , Faixa Medição: Cerca De 2,0 M, Componente </w:t>
            </w:r>
            <w:proofErr w:type="spellStart"/>
            <w:r>
              <w:rPr>
                <w:sz w:val="20"/>
                <w:szCs w:val="20"/>
              </w:rPr>
              <w:t>Ii</w:t>
            </w:r>
            <w:proofErr w:type="spellEnd"/>
            <w:r>
              <w:rPr>
                <w:sz w:val="20"/>
                <w:szCs w:val="20"/>
              </w:rPr>
              <w:t xml:space="preserve">: Retrátil, C/ Trava. </w:t>
            </w:r>
            <w:r>
              <w:rPr>
                <w:b/>
                <w:bCs/>
                <w:sz w:val="20"/>
                <w:szCs w:val="20"/>
              </w:rPr>
              <w:t>Descrição Complementar:</w:t>
            </w:r>
            <w:r>
              <w:rPr>
                <w:sz w:val="20"/>
                <w:szCs w:val="20"/>
              </w:rPr>
              <w:t xml:space="preserve"> Trena antropométrica, inelástica,</w:t>
            </w:r>
          </w:p>
          <w:p w14:paraId="730262CE" w14:textId="77777777" w:rsidR="00957C99" w:rsidRDefault="008E5427">
            <w:pPr>
              <w:suppressAutoHyphens w:val="0"/>
              <w:jc w:val="center"/>
              <w:rPr>
                <w:sz w:val="20"/>
                <w:szCs w:val="20"/>
              </w:rPr>
            </w:pPr>
            <w:r>
              <w:rPr>
                <w:sz w:val="20"/>
                <w:szCs w:val="20"/>
              </w:rPr>
              <w:lastRenderedPageBreak/>
              <w:t xml:space="preserve"> metálica, com precisão de 0,1cm, capacidade de 2m</w:t>
            </w:r>
          </w:p>
          <w:p w14:paraId="3D9563D6" w14:textId="77777777" w:rsidR="00957C99" w:rsidRDefault="008E5427">
            <w:pPr>
              <w:suppressAutoHyphens w:val="0"/>
              <w:jc w:val="center"/>
              <w:rPr>
                <w:rFonts w:ascii="Times New Roman" w:hAnsi="Times New Roman" w:cs="Times New Roman"/>
                <w:sz w:val="18"/>
                <w:szCs w:val="18"/>
              </w:rPr>
            </w:pPr>
            <w:proofErr w:type="spellStart"/>
            <w:r>
              <w:rPr>
                <w:b/>
                <w:sz w:val="18"/>
                <w:szCs w:val="18"/>
              </w:rPr>
              <w:t>Marca:CESCORF</w:t>
            </w:r>
            <w:proofErr w:type="spellEnd"/>
          </w:p>
        </w:tc>
        <w:tc>
          <w:tcPr>
            <w:tcW w:w="1305" w:type="dxa"/>
            <w:tcBorders>
              <w:left w:val="single" w:sz="4" w:space="0" w:color="000000"/>
              <w:bottom w:val="single" w:sz="4" w:space="0" w:color="000000"/>
              <w:right w:val="single" w:sz="4" w:space="0" w:color="000000"/>
            </w:tcBorders>
            <w:shd w:val="clear" w:color="auto" w:fill="auto"/>
            <w:vAlign w:val="center"/>
          </w:tcPr>
          <w:p w14:paraId="2723CAE8" w14:textId="77777777" w:rsidR="00957C99" w:rsidRDefault="008E5427">
            <w:pPr>
              <w:jc w:val="center"/>
              <w:rPr>
                <w:rFonts w:ascii="Times New Roman" w:hAnsi="Times New Roman" w:cs="Times New Roman"/>
                <w:sz w:val="18"/>
                <w:szCs w:val="18"/>
              </w:rPr>
            </w:pPr>
            <w:r>
              <w:rPr>
                <w:sz w:val="20"/>
                <w:szCs w:val="20"/>
              </w:rPr>
              <w:lastRenderedPageBreak/>
              <w:t>442457</w:t>
            </w:r>
          </w:p>
        </w:tc>
        <w:tc>
          <w:tcPr>
            <w:tcW w:w="675" w:type="dxa"/>
            <w:tcBorders>
              <w:left w:val="single" w:sz="4" w:space="0" w:color="000000"/>
              <w:bottom w:val="single" w:sz="4" w:space="0" w:color="000000"/>
              <w:right w:val="single" w:sz="4" w:space="0" w:color="000000"/>
            </w:tcBorders>
            <w:shd w:val="clear" w:color="auto" w:fill="auto"/>
            <w:vAlign w:val="center"/>
          </w:tcPr>
          <w:p w14:paraId="232BE8AB" w14:textId="77777777" w:rsidR="00957C99" w:rsidRDefault="008E5427">
            <w:pPr>
              <w:pStyle w:val="Contedodatabela"/>
              <w:jc w:val="center"/>
              <w:rPr>
                <w:rFonts w:ascii="Times New Roman" w:hAnsi="Times New Roman" w:cs="Times New Roman"/>
                <w:sz w:val="18"/>
                <w:szCs w:val="18"/>
              </w:rPr>
            </w:pPr>
            <w:proofErr w:type="spellStart"/>
            <w:r>
              <w:rPr>
                <w:sz w:val="20"/>
                <w:szCs w:val="20"/>
              </w:rPr>
              <w:t>Und</w:t>
            </w:r>
            <w:proofErr w:type="spellEnd"/>
          </w:p>
        </w:tc>
        <w:tc>
          <w:tcPr>
            <w:tcW w:w="659" w:type="dxa"/>
            <w:tcBorders>
              <w:left w:val="single" w:sz="4" w:space="0" w:color="000000"/>
              <w:bottom w:val="single" w:sz="4" w:space="0" w:color="000000"/>
              <w:right w:val="single" w:sz="4" w:space="0" w:color="000000"/>
            </w:tcBorders>
            <w:shd w:val="clear" w:color="auto" w:fill="auto"/>
            <w:vAlign w:val="center"/>
          </w:tcPr>
          <w:p w14:paraId="6689BF69" w14:textId="77777777" w:rsidR="00957C99" w:rsidRDefault="008E5427">
            <w:pPr>
              <w:pStyle w:val="Contedodatabela"/>
              <w:jc w:val="center"/>
              <w:rPr>
                <w:rFonts w:ascii="Times New Roman" w:hAnsi="Times New Roman" w:cs="Times New Roman"/>
                <w:sz w:val="18"/>
                <w:szCs w:val="18"/>
              </w:rPr>
            </w:pPr>
            <w:r>
              <w:rPr>
                <w:sz w:val="20"/>
                <w:szCs w:val="20"/>
              </w:rPr>
              <w:t>4</w:t>
            </w:r>
          </w:p>
        </w:tc>
        <w:tc>
          <w:tcPr>
            <w:tcW w:w="1157" w:type="dxa"/>
            <w:tcBorders>
              <w:bottom w:val="single" w:sz="4" w:space="0" w:color="000000"/>
              <w:right w:val="single" w:sz="4" w:space="0" w:color="000000"/>
            </w:tcBorders>
            <w:shd w:val="clear" w:color="FFFFCC" w:fill="FFFFFF"/>
            <w:vAlign w:val="center"/>
          </w:tcPr>
          <w:p w14:paraId="4D811070" w14:textId="77777777" w:rsidR="00957C99" w:rsidRDefault="008E5427">
            <w:pPr>
              <w:jc w:val="center"/>
              <w:rPr>
                <w:rFonts w:ascii="Times New Roman" w:hAnsi="Times New Roman" w:cs="Times New Roman"/>
                <w:sz w:val="18"/>
                <w:szCs w:val="18"/>
              </w:rPr>
            </w:pPr>
            <w:r>
              <w:rPr>
                <w:sz w:val="20"/>
                <w:szCs w:val="20"/>
              </w:rPr>
              <w:t>57,80</w:t>
            </w:r>
          </w:p>
        </w:tc>
        <w:tc>
          <w:tcPr>
            <w:tcW w:w="1527" w:type="dxa"/>
            <w:tcBorders>
              <w:bottom w:val="single" w:sz="4" w:space="0" w:color="000000"/>
              <w:right w:val="single" w:sz="4" w:space="0" w:color="000000"/>
            </w:tcBorders>
            <w:shd w:val="clear" w:color="FFFFCC" w:fill="FFFFFF"/>
            <w:vAlign w:val="center"/>
          </w:tcPr>
          <w:p w14:paraId="6B6064BD" w14:textId="77777777" w:rsidR="00957C99" w:rsidRDefault="008E5427">
            <w:pPr>
              <w:jc w:val="center"/>
              <w:rPr>
                <w:rFonts w:ascii="Times New Roman" w:hAnsi="Times New Roman" w:cs="Times New Roman"/>
                <w:sz w:val="18"/>
                <w:szCs w:val="18"/>
              </w:rPr>
            </w:pPr>
            <w:r>
              <w:rPr>
                <w:sz w:val="20"/>
                <w:szCs w:val="20"/>
              </w:rPr>
              <w:t>231,21</w:t>
            </w:r>
          </w:p>
        </w:tc>
        <w:tc>
          <w:tcPr>
            <w:tcW w:w="1632" w:type="dxa"/>
            <w:tcBorders>
              <w:left w:val="single" w:sz="2" w:space="0" w:color="000000"/>
              <w:bottom w:val="single" w:sz="2" w:space="0" w:color="000000"/>
              <w:right w:val="single" w:sz="2" w:space="0" w:color="000000"/>
            </w:tcBorders>
            <w:shd w:val="clear" w:color="auto" w:fill="auto"/>
            <w:vAlign w:val="center"/>
          </w:tcPr>
          <w:p w14:paraId="6C058E82" w14:textId="77777777" w:rsidR="00957C99" w:rsidRDefault="008E5427">
            <w:pPr>
              <w:pStyle w:val="Contedodatabela"/>
              <w:jc w:val="center"/>
              <w:rPr>
                <w:rFonts w:ascii="Times New Roman" w:hAnsi="Times New Roman" w:cs="Times New Roman"/>
                <w:sz w:val="18"/>
                <w:szCs w:val="18"/>
              </w:rPr>
            </w:pPr>
            <w:r>
              <w:rPr>
                <w:rFonts w:ascii="Times New Roman" w:hAnsi="Times New Roman" w:cs="Times New Roman"/>
                <w:sz w:val="18"/>
                <w:szCs w:val="18"/>
              </w:rPr>
              <w:t>SIM</w:t>
            </w:r>
          </w:p>
        </w:tc>
      </w:tr>
      <w:tr w:rsidR="00957C99" w14:paraId="4C449B06" w14:textId="77777777">
        <w:trPr>
          <w:trHeight w:val="686"/>
        </w:trPr>
        <w:tc>
          <w:tcPr>
            <w:tcW w:w="700" w:type="dxa"/>
            <w:tcBorders>
              <w:left w:val="single" w:sz="2" w:space="0" w:color="000000"/>
              <w:bottom w:val="single" w:sz="2" w:space="0" w:color="000000"/>
              <w:right w:val="single" w:sz="2" w:space="0" w:color="000000"/>
            </w:tcBorders>
            <w:shd w:val="clear" w:color="auto" w:fill="FFFFFF"/>
            <w:vAlign w:val="center"/>
          </w:tcPr>
          <w:p w14:paraId="22FA0ABF" w14:textId="77777777" w:rsidR="00957C99" w:rsidRDefault="008E5427">
            <w:pPr>
              <w:pStyle w:val="Contedodatabela"/>
              <w:jc w:val="center"/>
              <w:rPr>
                <w:rFonts w:ascii="Times New Roman" w:hAnsi="Times New Roman"/>
                <w:sz w:val="14"/>
              </w:rPr>
            </w:pPr>
            <w:r>
              <w:rPr>
                <w:rFonts w:ascii="Times New Roman" w:hAnsi="Times New Roman"/>
                <w:sz w:val="14"/>
              </w:rPr>
              <w:t>3</w:t>
            </w:r>
          </w:p>
        </w:tc>
        <w:tc>
          <w:tcPr>
            <w:tcW w:w="5819" w:type="dxa"/>
            <w:tcBorders>
              <w:left w:val="single" w:sz="4" w:space="0" w:color="000000"/>
              <w:bottom w:val="single" w:sz="4" w:space="0" w:color="000000"/>
              <w:right w:val="single" w:sz="4" w:space="0" w:color="000000"/>
            </w:tcBorders>
            <w:shd w:val="clear" w:color="auto" w:fill="auto"/>
            <w:vAlign w:val="center"/>
          </w:tcPr>
          <w:p w14:paraId="6D7B07AB" w14:textId="77777777" w:rsidR="00957C99" w:rsidRDefault="008E5427">
            <w:pPr>
              <w:suppressAutoHyphens w:val="0"/>
              <w:jc w:val="center"/>
              <w:rPr>
                <w:sz w:val="20"/>
                <w:szCs w:val="20"/>
              </w:rPr>
            </w:pPr>
            <w:r>
              <w:rPr>
                <w:sz w:val="20"/>
                <w:szCs w:val="20"/>
              </w:rPr>
              <w:t xml:space="preserve">Dispositivo P/ Medidas Antropométricas Tipo*: </w:t>
            </w:r>
            <w:proofErr w:type="spellStart"/>
            <w:r>
              <w:rPr>
                <w:sz w:val="20"/>
                <w:szCs w:val="20"/>
              </w:rPr>
              <w:t>Estadiômetro</w:t>
            </w:r>
            <w:proofErr w:type="spellEnd"/>
            <w:r>
              <w:rPr>
                <w:sz w:val="20"/>
                <w:szCs w:val="20"/>
              </w:rPr>
              <w:t xml:space="preserve"> Digital, Ultrassônico Material*: Gabinete Plástico Escala Graduação: C/ Escala Métrica - Mm, Cm E Polegadas Faixa Medição: Cerca De 2,3 M Componente I: C/ Visor Adicional: Portátil.</w:t>
            </w:r>
            <w:r>
              <w:rPr>
                <w:b/>
                <w:bCs/>
                <w:sz w:val="20"/>
                <w:szCs w:val="20"/>
              </w:rPr>
              <w:t xml:space="preserve"> Descrição Complementar: </w:t>
            </w:r>
            <w:proofErr w:type="spellStart"/>
            <w:r>
              <w:rPr>
                <w:sz w:val="20"/>
                <w:szCs w:val="20"/>
              </w:rPr>
              <w:t>Estadiômetro</w:t>
            </w:r>
            <w:proofErr w:type="spellEnd"/>
            <w:r>
              <w:rPr>
                <w:sz w:val="20"/>
                <w:szCs w:val="20"/>
              </w:rPr>
              <w:t xml:space="preserve"> de bolso, portátil, com nível bolha, com precisão de 0,1cm, capacidade de 3m</w:t>
            </w:r>
          </w:p>
          <w:p w14:paraId="23E21380" w14:textId="77777777" w:rsidR="00957C99" w:rsidRDefault="008E5427">
            <w:pPr>
              <w:suppressAutoHyphens w:val="0"/>
              <w:jc w:val="center"/>
              <w:rPr>
                <w:rFonts w:ascii="Times New Roman" w:hAnsi="Times New Roman" w:cs="Times New Roman"/>
                <w:sz w:val="18"/>
                <w:szCs w:val="18"/>
              </w:rPr>
            </w:pPr>
            <w:proofErr w:type="spellStart"/>
            <w:r>
              <w:rPr>
                <w:b/>
                <w:sz w:val="18"/>
                <w:szCs w:val="18"/>
              </w:rPr>
              <w:t>Marca:CESCORF</w:t>
            </w:r>
            <w:proofErr w:type="spellEnd"/>
          </w:p>
        </w:tc>
        <w:tc>
          <w:tcPr>
            <w:tcW w:w="1305" w:type="dxa"/>
            <w:tcBorders>
              <w:left w:val="single" w:sz="4" w:space="0" w:color="000000"/>
              <w:bottom w:val="single" w:sz="4" w:space="0" w:color="000000"/>
              <w:right w:val="single" w:sz="4" w:space="0" w:color="000000"/>
            </w:tcBorders>
            <w:shd w:val="clear" w:color="auto" w:fill="auto"/>
            <w:vAlign w:val="center"/>
          </w:tcPr>
          <w:p w14:paraId="3312CA07" w14:textId="77777777" w:rsidR="00957C99" w:rsidRDefault="008E5427">
            <w:pPr>
              <w:jc w:val="center"/>
              <w:rPr>
                <w:rFonts w:ascii="Times New Roman" w:hAnsi="Times New Roman" w:cs="Times New Roman"/>
                <w:sz w:val="18"/>
                <w:szCs w:val="18"/>
              </w:rPr>
            </w:pPr>
            <w:r>
              <w:rPr>
                <w:sz w:val="20"/>
                <w:szCs w:val="20"/>
              </w:rPr>
              <w:t>600428</w:t>
            </w:r>
          </w:p>
        </w:tc>
        <w:tc>
          <w:tcPr>
            <w:tcW w:w="675" w:type="dxa"/>
            <w:tcBorders>
              <w:left w:val="single" w:sz="4" w:space="0" w:color="000000"/>
              <w:bottom w:val="single" w:sz="4" w:space="0" w:color="000000"/>
              <w:right w:val="single" w:sz="4" w:space="0" w:color="000000"/>
            </w:tcBorders>
            <w:shd w:val="clear" w:color="auto" w:fill="auto"/>
            <w:vAlign w:val="center"/>
          </w:tcPr>
          <w:p w14:paraId="72DD2EAE" w14:textId="77777777" w:rsidR="00957C99" w:rsidRDefault="008E5427">
            <w:pPr>
              <w:jc w:val="center"/>
              <w:rPr>
                <w:rFonts w:ascii="Times New Roman" w:hAnsi="Times New Roman" w:cs="Times New Roman"/>
                <w:sz w:val="18"/>
                <w:szCs w:val="18"/>
              </w:rPr>
            </w:pPr>
            <w:proofErr w:type="spellStart"/>
            <w:r>
              <w:rPr>
                <w:sz w:val="20"/>
                <w:szCs w:val="20"/>
              </w:rPr>
              <w:t>Und</w:t>
            </w:r>
            <w:proofErr w:type="spellEnd"/>
          </w:p>
        </w:tc>
        <w:tc>
          <w:tcPr>
            <w:tcW w:w="659" w:type="dxa"/>
            <w:tcBorders>
              <w:left w:val="single" w:sz="4" w:space="0" w:color="000000"/>
              <w:bottom w:val="single" w:sz="4" w:space="0" w:color="000000"/>
              <w:right w:val="single" w:sz="4" w:space="0" w:color="000000"/>
            </w:tcBorders>
            <w:shd w:val="clear" w:color="auto" w:fill="auto"/>
            <w:vAlign w:val="center"/>
          </w:tcPr>
          <w:p w14:paraId="2A54B5A2" w14:textId="77777777" w:rsidR="00957C99" w:rsidRDefault="008E5427">
            <w:pPr>
              <w:pStyle w:val="Contedodatabela"/>
              <w:jc w:val="center"/>
              <w:rPr>
                <w:rFonts w:ascii="Times New Roman" w:hAnsi="Times New Roman" w:cs="Times New Roman"/>
                <w:sz w:val="18"/>
                <w:szCs w:val="18"/>
              </w:rPr>
            </w:pPr>
            <w:r>
              <w:rPr>
                <w:sz w:val="20"/>
                <w:szCs w:val="20"/>
              </w:rPr>
              <w:t>1</w:t>
            </w:r>
          </w:p>
        </w:tc>
        <w:tc>
          <w:tcPr>
            <w:tcW w:w="1157" w:type="dxa"/>
            <w:tcBorders>
              <w:bottom w:val="single" w:sz="4" w:space="0" w:color="000000"/>
              <w:right w:val="single" w:sz="4" w:space="0" w:color="000000"/>
            </w:tcBorders>
            <w:shd w:val="clear" w:color="FFFFCC" w:fill="FFFFFF"/>
            <w:vAlign w:val="center"/>
          </w:tcPr>
          <w:p w14:paraId="0EC8DB66" w14:textId="77777777" w:rsidR="00957C99" w:rsidRDefault="008E5427">
            <w:pPr>
              <w:jc w:val="center"/>
              <w:rPr>
                <w:rFonts w:ascii="Times New Roman" w:hAnsi="Times New Roman" w:cs="Times New Roman"/>
                <w:sz w:val="18"/>
                <w:szCs w:val="18"/>
              </w:rPr>
            </w:pPr>
            <w:r>
              <w:rPr>
                <w:sz w:val="20"/>
                <w:szCs w:val="20"/>
              </w:rPr>
              <w:t>270,94</w:t>
            </w:r>
          </w:p>
        </w:tc>
        <w:tc>
          <w:tcPr>
            <w:tcW w:w="1527" w:type="dxa"/>
            <w:tcBorders>
              <w:bottom w:val="single" w:sz="4" w:space="0" w:color="000000"/>
              <w:right w:val="single" w:sz="4" w:space="0" w:color="000000"/>
            </w:tcBorders>
            <w:shd w:val="clear" w:color="FFFFCC" w:fill="FFFFFF"/>
            <w:vAlign w:val="center"/>
          </w:tcPr>
          <w:p w14:paraId="4A959FD6" w14:textId="77777777" w:rsidR="00957C99" w:rsidRDefault="008E5427">
            <w:pPr>
              <w:jc w:val="center"/>
              <w:rPr>
                <w:rFonts w:ascii="Times New Roman" w:hAnsi="Times New Roman" w:cs="Times New Roman"/>
                <w:sz w:val="18"/>
                <w:szCs w:val="18"/>
              </w:rPr>
            </w:pPr>
            <w:r>
              <w:rPr>
                <w:sz w:val="20"/>
                <w:szCs w:val="20"/>
              </w:rPr>
              <w:t>270,94</w:t>
            </w:r>
          </w:p>
        </w:tc>
        <w:tc>
          <w:tcPr>
            <w:tcW w:w="1632" w:type="dxa"/>
            <w:tcBorders>
              <w:left w:val="single" w:sz="2" w:space="0" w:color="000000"/>
              <w:bottom w:val="single" w:sz="2" w:space="0" w:color="000000"/>
              <w:right w:val="single" w:sz="2" w:space="0" w:color="000000"/>
            </w:tcBorders>
            <w:shd w:val="clear" w:color="auto" w:fill="auto"/>
            <w:vAlign w:val="center"/>
          </w:tcPr>
          <w:p w14:paraId="6921AF07" w14:textId="77777777" w:rsidR="00957C99" w:rsidRDefault="008E5427">
            <w:pPr>
              <w:pStyle w:val="Contedodatabela"/>
              <w:jc w:val="center"/>
              <w:rPr>
                <w:rFonts w:ascii="Times New Roman" w:hAnsi="Times New Roman" w:cs="Times New Roman"/>
                <w:sz w:val="18"/>
                <w:szCs w:val="18"/>
              </w:rPr>
            </w:pPr>
            <w:r>
              <w:rPr>
                <w:rFonts w:ascii="Times New Roman" w:hAnsi="Times New Roman" w:cs="Times New Roman"/>
                <w:sz w:val="18"/>
                <w:szCs w:val="18"/>
              </w:rPr>
              <w:t>SIM</w:t>
            </w:r>
          </w:p>
        </w:tc>
      </w:tr>
      <w:tr w:rsidR="00957C99" w14:paraId="28D2EDBB" w14:textId="77777777">
        <w:trPr>
          <w:trHeight w:val="686"/>
        </w:trPr>
        <w:tc>
          <w:tcPr>
            <w:tcW w:w="1347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7EFC1C34" w14:textId="77777777" w:rsidR="00957C99" w:rsidRDefault="008E5427">
            <w:pPr>
              <w:pStyle w:val="Contedodatabela"/>
              <w:rPr>
                <w:rFonts w:ascii="Times New Roman" w:hAnsi="Times New Roman" w:cs="Times New Roman"/>
                <w:b/>
                <w:bCs/>
                <w:sz w:val="18"/>
                <w:szCs w:val="18"/>
              </w:rPr>
            </w:pPr>
            <w:r>
              <w:rPr>
                <w:rFonts w:ascii="Times New Roman" w:hAnsi="Times New Roman"/>
                <w:sz w:val="20"/>
                <w:szCs w:val="20"/>
              </w:rPr>
              <w:t xml:space="preserve">VALOR </w:t>
            </w:r>
            <w:r>
              <w:rPr>
                <w:rFonts w:ascii="Times New Roman" w:hAnsi="Times New Roman" w:cs="Times New Roman"/>
                <w:sz w:val="20"/>
                <w:szCs w:val="20"/>
              </w:rPr>
              <w:t xml:space="preserve">TOTAL                                                                                                                                                                                                                   </w:t>
            </w:r>
            <w:r>
              <w:rPr>
                <w:rFonts w:ascii="Times New Roman" w:hAnsi="Times New Roman" w:cs="Times New Roman"/>
                <w:b/>
                <w:bCs/>
                <w:sz w:val="20"/>
                <w:szCs w:val="20"/>
              </w:rPr>
              <w:t>R$ 1.813,89</w:t>
            </w:r>
          </w:p>
        </w:tc>
      </w:tr>
    </w:tbl>
    <w:p w14:paraId="3EF6D5B5" w14:textId="77777777" w:rsidR="00957C99" w:rsidRDefault="00957C99">
      <w:pPr>
        <w:sectPr w:rsidR="00957C99">
          <w:footerReference w:type="default" r:id="rId8"/>
          <w:pgSz w:w="16838" w:h="11906" w:orient="landscape"/>
          <w:pgMar w:top="1693" w:right="1134" w:bottom="1832" w:left="1134" w:header="0" w:footer="1134" w:gutter="0"/>
          <w:cols w:space="720"/>
          <w:formProt w:val="0"/>
          <w:docGrid w:linePitch="312"/>
        </w:sectPr>
      </w:pPr>
    </w:p>
    <w:p w14:paraId="1E715221" w14:textId="77777777" w:rsidR="00957C99" w:rsidRDefault="008E5427">
      <w:pPr>
        <w:numPr>
          <w:ilvl w:val="1"/>
          <w:numId w:val="1"/>
        </w:numPr>
        <w:spacing w:before="120" w:after="120"/>
        <w:ind w:left="0" w:right="-15"/>
        <w:rPr>
          <w:rFonts w:ascii="Times New Roman" w:hAnsi="Times New Roman" w:cs="Times New Roman"/>
          <w:bCs/>
          <w:iCs/>
          <w:sz w:val="22"/>
          <w:szCs w:val="22"/>
        </w:rPr>
      </w:pPr>
      <w:r>
        <w:rPr>
          <w:rFonts w:ascii="Times New Roman" w:hAnsi="Times New Roman" w:cs="Times New Roman"/>
          <w:bCs/>
          <w:iCs/>
          <w:sz w:val="22"/>
          <w:szCs w:val="22"/>
        </w:rPr>
        <w:lastRenderedPageBreak/>
        <w:t xml:space="preserve"> O prazo de vigência da contratação é de 12(doze) meses contados da assinatura da Ata de Registro de Preços, prorrogável na forma dos artigos 106 e 107 da Lei n° 14.133, de 2021</w:t>
      </w:r>
    </w:p>
    <w:p w14:paraId="7C687980" w14:textId="77777777" w:rsidR="00957C99" w:rsidRDefault="008E5427">
      <w:pPr>
        <w:numPr>
          <w:ilvl w:val="1"/>
          <w:numId w:val="1"/>
        </w:numPr>
        <w:spacing w:before="120" w:after="120"/>
        <w:ind w:left="0"/>
        <w:rPr>
          <w:rFonts w:ascii="Times New Roman" w:hAnsi="Times New Roman" w:cs="Times New Roman"/>
          <w:sz w:val="22"/>
          <w:szCs w:val="22"/>
        </w:rPr>
      </w:pPr>
      <w:r>
        <w:rPr>
          <w:rFonts w:ascii="Times New Roman" w:hAnsi="Times New Roman" w:cs="Times New Roman"/>
          <w:sz w:val="22"/>
          <w:szCs w:val="22"/>
        </w:rPr>
        <w:t xml:space="preserve"> Da inviabilidade de aquisição preferencial por cota reservada por este Hospital, tendo em vista os seguintes itens.</w:t>
      </w:r>
    </w:p>
    <w:p w14:paraId="4F0A2892" w14:textId="77777777" w:rsidR="00957C99" w:rsidRDefault="00957C99">
      <w:pPr>
        <w:pStyle w:val="Padro"/>
        <w:spacing w:after="120"/>
        <w:rPr>
          <w:rFonts w:ascii="Times New Roman" w:hAnsi="Times New Roman" w:cs="Times New Roman"/>
          <w:iCs/>
          <w:sz w:val="22"/>
          <w:szCs w:val="22"/>
        </w:rPr>
      </w:pPr>
    </w:p>
    <w:p w14:paraId="53C359A8" w14:textId="77777777" w:rsidR="00957C99" w:rsidRDefault="008E5427">
      <w:pPr>
        <w:pStyle w:val="PargrafodaLista1"/>
        <w:numPr>
          <w:ilvl w:val="0"/>
          <w:numId w:val="2"/>
        </w:numPr>
        <w:spacing w:before="120" w:after="120"/>
        <w:ind w:left="0"/>
      </w:pPr>
      <w:r>
        <w:rPr>
          <w:rFonts w:ascii="Times New Roman" w:hAnsi="Times New Roman" w:cs="Times New Roman"/>
          <w:sz w:val="22"/>
          <w:szCs w:val="22"/>
        </w:rPr>
        <w:t xml:space="preserve"> </w:t>
      </w:r>
      <w:r>
        <w:rPr>
          <w:rFonts w:ascii="Times New Roman" w:hAnsi="Times New Roman" w:cs="Times New Roman"/>
          <w:b/>
          <w:bCs/>
          <w:sz w:val="22"/>
          <w:szCs w:val="22"/>
        </w:rPr>
        <w:t>FUNDAMENTAÇÃO E DESCRIÇÃO DA NECESSIDADE DA CONTRATAÇÃO</w:t>
      </w:r>
    </w:p>
    <w:p w14:paraId="08535C19" w14:textId="77777777" w:rsidR="00957C99" w:rsidRDefault="008E5427">
      <w:pPr>
        <w:numPr>
          <w:ilvl w:val="1"/>
          <w:numId w:val="2"/>
        </w:numPr>
        <w:spacing w:after="120"/>
        <w:ind w:left="0"/>
      </w:pPr>
      <w:r>
        <w:rPr>
          <w:rFonts w:ascii="Times New Roman" w:hAnsi="Times New Roman" w:cs="Times New Roman"/>
          <w:iCs/>
          <w:sz w:val="22"/>
          <w:szCs w:val="22"/>
        </w:rPr>
        <w:t xml:space="preserve"> </w:t>
      </w:r>
      <w:r>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14:paraId="0100EB4D" w14:textId="77777777" w:rsidR="00957C99" w:rsidRDefault="00957C99">
      <w:pPr>
        <w:spacing w:after="120"/>
        <w:rPr>
          <w:rFonts w:ascii="Times New Roman" w:hAnsi="Times New Roman" w:cs="Times New Roman"/>
          <w:iCs/>
          <w:sz w:val="22"/>
          <w:szCs w:val="22"/>
        </w:rPr>
      </w:pPr>
    </w:p>
    <w:p w14:paraId="1B4F8FA3" w14:textId="77777777" w:rsidR="00957C99" w:rsidRDefault="008E5427">
      <w:pPr>
        <w:numPr>
          <w:ilvl w:val="0"/>
          <w:numId w:val="2"/>
        </w:numPr>
        <w:ind w:left="0"/>
        <w:rPr>
          <w:rFonts w:ascii="Times New Roman" w:eastAsia="MS Gothic" w:hAnsi="Times New Roman" w:cs="Times New Roman"/>
          <w:b/>
          <w:sz w:val="22"/>
          <w:szCs w:val="22"/>
        </w:rPr>
      </w:pPr>
      <w:r>
        <w:rPr>
          <w:rFonts w:ascii="Times New Roman" w:eastAsia="MS Gothic" w:hAnsi="Times New Roman" w:cs="Times New Roman"/>
          <w:b/>
          <w:sz w:val="22"/>
          <w:szCs w:val="22"/>
        </w:rPr>
        <w:t>DESCRIÇÃO DA SOLUÇÃO COMO UM TODO CONSIDERADO O CICLO DE VIDA DO OBJETO E ESPECIFICAÇÃO DO PRODUTO</w:t>
      </w:r>
    </w:p>
    <w:p w14:paraId="56462F90" w14:textId="77777777" w:rsidR="00957C99" w:rsidRDefault="00957C99">
      <w:pPr>
        <w:pStyle w:val="PargrafodaLista1"/>
        <w:keepNext/>
        <w:keepLines/>
        <w:numPr>
          <w:ilvl w:val="0"/>
          <w:numId w:val="3"/>
        </w:numPr>
        <w:suppressAutoHyphens w:val="0"/>
        <w:spacing w:before="120"/>
        <w:ind w:left="0"/>
        <w:rPr>
          <w:rFonts w:ascii="Times New Roman" w:eastAsia="MS Gothic" w:hAnsi="Times New Roman" w:cs="Times New Roman"/>
          <w:b/>
          <w:iCs/>
          <w:vanish/>
          <w:sz w:val="22"/>
          <w:szCs w:val="22"/>
        </w:rPr>
      </w:pPr>
    </w:p>
    <w:p w14:paraId="5D9B9A5D" w14:textId="77777777" w:rsidR="00957C99" w:rsidRDefault="00957C99">
      <w:pPr>
        <w:pStyle w:val="PargrafodaLista1"/>
        <w:keepNext/>
        <w:keepLines/>
        <w:numPr>
          <w:ilvl w:val="0"/>
          <w:numId w:val="3"/>
        </w:numPr>
        <w:suppressAutoHyphens w:val="0"/>
        <w:spacing w:before="120" w:after="120"/>
        <w:ind w:left="0"/>
        <w:rPr>
          <w:rFonts w:ascii="Times New Roman" w:eastAsia="MS Gothic" w:hAnsi="Times New Roman" w:cs="Times New Roman"/>
          <w:b/>
          <w:iCs/>
          <w:vanish/>
          <w:sz w:val="22"/>
          <w:szCs w:val="22"/>
        </w:rPr>
      </w:pPr>
    </w:p>
    <w:p w14:paraId="357DCB49" w14:textId="77777777" w:rsidR="00957C99" w:rsidRDefault="00957C99">
      <w:pPr>
        <w:pStyle w:val="PargrafodaLista1"/>
        <w:keepNext/>
        <w:keepLines/>
        <w:numPr>
          <w:ilvl w:val="0"/>
          <w:numId w:val="3"/>
        </w:numPr>
        <w:suppressAutoHyphens w:val="0"/>
        <w:spacing w:before="120" w:after="120"/>
        <w:ind w:left="0"/>
        <w:rPr>
          <w:rFonts w:ascii="Times New Roman" w:eastAsia="MS Gothic" w:hAnsi="Times New Roman" w:cs="Times New Roman"/>
          <w:b/>
          <w:iCs/>
          <w:vanish/>
          <w:sz w:val="22"/>
          <w:szCs w:val="22"/>
        </w:rPr>
      </w:pPr>
    </w:p>
    <w:p w14:paraId="35EC7FC5" w14:textId="77777777" w:rsidR="00957C99" w:rsidRDefault="008E5427">
      <w:pPr>
        <w:pStyle w:val="PargrafodaLista1"/>
        <w:spacing w:before="120" w:after="120"/>
        <w:ind w:left="0"/>
        <w:rPr>
          <w:rFonts w:ascii="Times New Roman" w:hAnsi="Times New Roman" w:cs="Times New Roman"/>
          <w:iCs/>
          <w:sz w:val="22"/>
          <w:szCs w:val="22"/>
        </w:rPr>
      </w:pPr>
      <w:r>
        <w:rPr>
          <w:rFonts w:ascii="Times New Roman" w:hAnsi="Times New Roman" w:cs="Times New Roman"/>
          <w:iCs/>
          <w:sz w:val="22"/>
          <w:szCs w:val="22"/>
        </w:rPr>
        <w:t xml:space="preserve">3.1 A descrição da solução como um todo, encontra-se pormenorizada em Tópico específico dos </w:t>
      </w:r>
      <w:r>
        <w:rPr>
          <w:rFonts w:ascii="Times New Roman" w:hAnsi="Times New Roman" w:cs="Times New Roman"/>
          <w:iCs/>
          <w:sz w:val="22"/>
          <w:szCs w:val="22"/>
        </w:rPr>
        <w:tab/>
        <w:t>Estudos Técnicos Preliminares, apêndice deste Termo de Referência.</w:t>
      </w:r>
    </w:p>
    <w:p w14:paraId="4CEE70A6" w14:textId="77777777" w:rsidR="00957C99" w:rsidRDefault="00957C99">
      <w:pPr>
        <w:pStyle w:val="PargrafodaLista1"/>
        <w:spacing w:before="120" w:after="120"/>
        <w:ind w:left="0"/>
        <w:rPr>
          <w:rFonts w:ascii="Times New Roman" w:hAnsi="Times New Roman" w:cs="Times New Roman"/>
          <w:iCs/>
          <w:sz w:val="22"/>
          <w:szCs w:val="22"/>
        </w:rPr>
      </w:pPr>
    </w:p>
    <w:p w14:paraId="7264601A" w14:textId="77777777" w:rsidR="00957C99" w:rsidRDefault="008E5427">
      <w:pPr>
        <w:numPr>
          <w:ilvl w:val="0"/>
          <w:numId w:val="2"/>
        </w:numPr>
        <w:spacing w:before="120" w:after="120"/>
        <w:ind w:left="0"/>
        <w:rPr>
          <w:rFonts w:ascii="Times New Roman" w:hAnsi="Times New Roman" w:cs="Times New Roman"/>
          <w:b/>
          <w:sz w:val="22"/>
          <w:szCs w:val="22"/>
        </w:rPr>
      </w:pPr>
      <w:r>
        <w:rPr>
          <w:rFonts w:ascii="Times New Roman" w:hAnsi="Times New Roman" w:cs="Times New Roman"/>
          <w:b/>
          <w:sz w:val="22"/>
          <w:szCs w:val="22"/>
        </w:rPr>
        <w:t>REQUISITOS DA CONTRATAÇÃO</w:t>
      </w:r>
    </w:p>
    <w:p w14:paraId="0FC7B072" w14:textId="77777777" w:rsidR="00957C99" w:rsidRDefault="008E5427">
      <w:pPr>
        <w:spacing w:before="120" w:after="120"/>
        <w:rPr>
          <w:rFonts w:ascii="Times New Roman" w:hAnsi="Times New Roman" w:cs="Times New Roman"/>
          <w:b/>
          <w:bCs/>
          <w:sz w:val="22"/>
          <w:szCs w:val="22"/>
        </w:rPr>
      </w:pPr>
      <w:r>
        <w:rPr>
          <w:rFonts w:ascii="Times New Roman" w:hAnsi="Times New Roman" w:cs="Times New Roman"/>
          <w:b/>
          <w:bCs/>
          <w:sz w:val="22"/>
          <w:szCs w:val="22"/>
        </w:rPr>
        <w:t>Sustentabilidade:</w:t>
      </w:r>
    </w:p>
    <w:p w14:paraId="7AC8C793" w14:textId="77777777" w:rsidR="00957C99" w:rsidRDefault="008E5427">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 xml:space="preserve">  Além dos critérios de sustentabilidade eventualmente inseridos na descrição do objeto, devem ser atendidos os seguintes requisitos, que se baseiam no Guia Nacional de Contratações Sustentáveis: </w:t>
      </w:r>
    </w:p>
    <w:p w14:paraId="039D3B28" w14:textId="77777777" w:rsidR="00957C99" w:rsidRDefault="008E5427">
      <w:pPr>
        <w:numPr>
          <w:ilvl w:val="1"/>
          <w:numId w:val="2"/>
        </w:numPr>
        <w:spacing w:before="120" w:after="120"/>
        <w:ind w:left="0" w:firstLine="0"/>
        <w:rPr>
          <w:rFonts w:ascii="Times New Roman" w:eastAsia="Times New Roman" w:hAnsi="Times New Roman" w:cs="Times New Roman"/>
          <w:bCs/>
          <w:kern w:val="2"/>
          <w:sz w:val="22"/>
          <w:szCs w:val="22"/>
          <w:highlight w:val="white"/>
          <w:lang w:bidi="ar-SA"/>
        </w:rPr>
      </w:pPr>
      <w:r>
        <w:rPr>
          <w:rFonts w:ascii="Times New Roman" w:eastAsia="Times New Roman" w:hAnsi="Times New Roman" w:cs="Times New Roman"/>
          <w:bCs/>
          <w:kern w:val="2"/>
          <w:sz w:val="22"/>
          <w:szCs w:val="22"/>
          <w:shd w:val="clear" w:color="auto" w:fill="FFFFFF"/>
          <w:lang w:bidi="ar-SA"/>
        </w:rPr>
        <w:t>Os critérios de sustentabilidade são aqueles previstos nas especificações do objeto e/ou obrigações da contratada e/ou no edital como requisito previsto em lei especial</w:t>
      </w:r>
    </w:p>
    <w:p w14:paraId="41F31E9C" w14:textId="77777777" w:rsidR="00957C99" w:rsidRDefault="008E5427">
      <w:pPr>
        <w:spacing w:before="120" w:after="120"/>
        <w:rPr>
          <w:rFonts w:ascii="Times New Roman" w:hAnsi="Times New Roman" w:cs="Times New Roman"/>
          <w:b/>
          <w:bCs/>
          <w:sz w:val="22"/>
          <w:szCs w:val="22"/>
        </w:rPr>
      </w:pPr>
      <w:r>
        <w:rPr>
          <w:rFonts w:ascii="Times New Roman" w:hAnsi="Times New Roman" w:cs="Times New Roman"/>
          <w:b/>
          <w:bCs/>
          <w:sz w:val="22"/>
          <w:szCs w:val="22"/>
        </w:rPr>
        <w:t>Da exigência de carta de solidariedade:</w:t>
      </w:r>
    </w:p>
    <w:p w14:paraId="26EA1F8A" w14:textId="77777777" w:rsidR="00957C99" w:rsidRDefault="008E5427">
      <w:pPr>
        <w:pStyle w:val="PargrafodaLista"/>
        <w:numPr>
          <w:ilvl w:val="1"/>
          <w:numId w:val="2"/>
        </w:numPr>
        <w:spacing w:before="120" w:after="120"/>
        <w:ind w:left="360"/>
        <w:rPr>
          <w:rFonts w:ascii="Times New Roman" w:hAnsi="Times New Roman" w:cs="Times New Roman"/>
          <w:sz w:val="22"/>
          <w:szCs w:val="22"/>
        </w:rPr>
      </w:pPr>
      <w:r>
        <w:rPr>
          <w:rFonts w:ascii="Times New Roman" w:hAnsi="Times New Roman" w:cs="Times New Roman"/>
          <w:sz w:val="22"/>
          <w:szCs w:val="22"/>
        </w:rPr>
        <w:t xml:space="preserve"> Não será admitida a subcontratação do objeto licitatório.</w:t>
      </w:r>
    </w:p>
    <w:p w14:paraId="7EC8B4F0" w14:textId="77777777" w:rsidR="00957C99" w:rsidRDefault="008E5427">
      <w:pPr>
        <w:spacing w:before="120" w:after="120"/>
        <w:rPr>
          <w:rFonts w:ascii="Times New Roman" w:hAnsi="Times New Roman" w:cs="Times New Roman"/>
          <w:b/>
          <w:bCs/>
          <w:sz w:val="22"/>
          <w:szCs w:val="22"/>
        </w:rPr>
      </w:pPr>
      <w:r>
        <w:rPr>
          <w:rFonts w:ascii="Times New Roman" w:hAnsi="Times New Roman" w:cs="Times New Roman"/>
          <w:b/>
          <w:bCs/>
          <w:sz w:val="22"/>
          <w:szCs w:val="22"/>
        </w:rPr>
        <w:t xml:space="preserve">Garantia da contratação: </w:t>
      </w:r>
    </w:p>
    <w:p w14:paraId="74D26A26" w14:textId="77777777" w:rsidR="00957C99" w:rsidRDefault="008E5427">
      <w:pPr>
        <w:pStyle w:val="Nvel2-Red"/>
        <w:numPr>
          <w:ilvl w:val="1"/>
          <w:numId w:val="2"/>
        </w:numPr>
        <w:spacing w:after="288" w:line="312" w:lineRule="auto"/>
        <w:ind w:left="360"/>
      </w:pPr>
      <w:r>
        <w:rPr>
          <w:rFonts w:ascii="Times New Roman" w:hAnsi="Times New Roman" w:cs="Times New Roman"/>
          <w:i w:val="0"/>
          <w:iCs w:val="0"/>
          <w:color w:val="000000"/>
          <w:sz w:val="22"/>
          <w:szCs w:val="22"/>
        </w:rPr>
        <w:t xml:space="preserve">Não haverá exigência da garantia da contratação dos </w:t>
      </w:r>
      <w:hyperlink r:id="rId9" w:anchor="art96" w:history="1">
        <w:r>
          <w:rPr>
            <w:rStyle w:val="LinkdaInternet"/>
            <w:rFonts w:ascii="Times New Roman" w:hAnsi="Times New Roman" w:cs="Times New Roman"/>
            <w:i w:val="0"/>
            <w:iCs w:val="0"/>
            <w:color w:val="000000"/>
            <w:sz w:val="22"/>
            <w:szCs w:val="22"/>
            <w:u w:val="none"/>
          </w:rPr>
          <w:t>artigos 96 e seguintes da Lei nº 14.133, de 2021</w:t>
        </w:r>
      </w:hyperlink>
      <w:r>
        <w:rPr>
          <w:rFonts w:ascii="Times New Roman" w:hAnsi="Times New Roman" w:cs="Times New Roman"/>
          <w:i w:val="0"/>
          <w:iCs w:val="0"/>
          <w:color w:val="000000"/>
          <w:sz w:val="22"/>
          <w:szCs w:val="22"/>
        </w:rPr>
        <w:t>, pelas razões constantes do Estudo Técnico Preliminar.</w:t>
      </w:r>
    </w:p>
    <w:p w14:paraId="473F2386" w14:textId="4F318816" w:rsidR="00957C99" w:rsidRPr="00956B43" w:rsidRDefault="008E5427" w:rsidP="00956B43">
      <w:pPr>
        <w:pStyle w:val="Nvel2-Red"/>
        <w:numPr>
          <w:ilvl w:val="1"/>
          <w:numId w:val="2"/>
        </w:numPr>
        <w:spacing w:after="288" w:line="312" w:lineRule="auto"/>
        <w:ind w:left="360"/>
      </w:pPr>
      <w:r w:rsidRPr="00956B43">
        <w:rPr>
          <w:rFonts w:ascii="Times New Roman" w:hAnsi="Times New Roman" w:cs="Times New Roman"/>
          <w:i w:val="0"/>
          <w:iCs w:val="0"/>
          <w:color w:val="000000"/>
          <w:sz w:val="22"/>
          <w:szCs w:val="22"/>
        </w:rPr>
        <w:t xml:space="preserve">O Presente material permanente será utilizado para a coleta de dados de pesquisa clínica aprovada por comitê e Ética em Pesquisa e financiado por edital </w:t>
      </w:r>
      <w:proofErr w:type="gramStart"/>
      <w:r w:rsidRPr="00956B43">
        <w:rPr>
          <w:rFonts w:ascii="Times New Roman" w:hAnsi="Times New Roman" w:cs="Times New Roman"/>
          <w:i w:val="0"/>
          <w:iCs w:val="0"/>
          <w:color w:val="000000"/>
          <w:sz w:val="22"/>
          <w:szCs w:val="22"/>
        </w:rPr>
        <w:t>pro pesquisa</w:t>
      </w:r>
      <w:proofErr w:type="gramEnd"/>
      <w:r w:rsidRPr="00956B43">
        <w:rPr>
          <w:rFonts w:ascii="Times New Roman" w:hAnsi="Times New Roman" w:cs="Times New Roman"/>
          <w:i w:val="0"/>
          <w:iCs w:val="0"/>
          <w:color w:val="000000"/>
          <w:sz w:val="22"/>
          <w:szCs w:val="22"/>
        </w:rPr>
        <w:t xml:space="preserve"> do Exército Brasileiro. A finalidade do projeto é a elaboração de trabalho de conclusão de Curso da Residência Multiprofissional em oncologia, bem como a elaboração de artigo científico.</w:t>
      </w:r>
    </w:p>
    <w:p w14:paraId="5C429EEC" w14:textId="77777777" w:rsidR="00957C99" w:rsidRPr="00956B43" w:rsidRDefault="008E5427" w:rsidP="00956B43">
      <w:pPr>
        <w:pStyle w:val="Nvel2-Red"/>
        <w:numPr>
          <w:ilvl w:val="1"/>
          <w:numId w:val="2"/>
        </w:numPr>
        <w:spacing w:after="288" w:line="312" w:lineRule="auto"/>
        <w:ind w:left="360"/>
      </w:pPr>
      <w:r w:rsidRPr="00956B43">
        <w:rPr>
          <w:rFonts w:ascii="Times New Roman" w:hAnsi="Times New Roman" w:cs="Times New Roman"/>
          <w:i w:val="0"/>
          <w:iCs w:val="0"/>
          <w:color w:val="000000"/>
          <w:sz w:val="22"/>
          <w:szCs w:val="22"/>
        </w:rPr>
        <w:t xml:space="preserve">Dessa forma, uma vez que os dados coletados precisam ser comparáveis com a literatura científica internacional, utilizado equipamentos validados, além de seguir o disposto pelo protocolo da </w:t>
      </w:r>
      <w:proofErr w:type="spellStart"/>
      <w:r w:rsidRPr="00956B43">
        <w:rPr>
          <w:rFonts w:ascii="Times New Roman" w:hAnsi="Times New Roman" w:cs="Times New Roman"/>
          <w:i w:val="0"/>
          <w:iCs w:val="0"/>
          <w:color w:val="000000"/>
          <w:sz w:val="22"/>
          <w:szCs w:val="22"/>
        </w:rPr>
        <w:t>the</w:t>
      </w:r>
      <w:proofErr w:type="spellEnd"/>
      <w:r w:rsidRPr="00956B43">
        <w:rPr>
          <w:rFonts w:ascii="Times New Roman" w:hAnsi="Times New Roman" w:cs="Times New Roman"/>
          <w:i w:val="0"/>
          <w:iCs w:val="0"/>
          <w:color w:val="000000"/>
          <w:sz w:val="22"/>
          <w:szCs w:val="22"/>
        </w:rPr>
        <w:t xml:space="preserve"> </w:t>
      </w:r>
      <w:proofErr w:type="spellStart"/>
      <w:r w:rsidRPr="00956B43">
        <w:rPr>
          <w:rFonts w:ascii="Times New Roman" w:hAnsi="Times New Roman" w:cs="Times New Roman"/>
          <w:i w:val="0"/>
          <w:iCs w:val="0"/>
          <w:color w:val="000000"/>
          <w:sz w:val="22"/>
          <w:szCs w:val="22"/>
        </w:rPr>
        <w:t>international</w:t>
      </w:r>
      <w:proofErr w:type="spellEnd"/>
      <w:r w:rsidRPr="00956B43">
        <w:rPr>
          <w:rFonts w:ascii="Times New Roman" w:hAnsi="Times New Roman" w:cs="Times New Roman"/>
          <w:i w:val="0"/>
          <w:iCs w:val="0"/>
          <w:color w:val="000000"/>
          <w:sz w:val="22"/>
          <w:szCs w:val="22"/>
        </w:rPr>
        <w:t xml:space="preserve"> Society for </w:t>
      </w:r>
      <w:proofErr w:type="spellStart"/>
      <w:r w:rsidRPr="00956B43">
        <w:rPr>
          <w:rFonts w:ascii="Times New Roman" w:hAnsi="Times New Roman" w:cs="Times New Roman"/>
          <w:i w:val="0"/>
          <w:iCs w:val="0"/>
          <w:color w:val="000000"/>
          <w:sz w:val="22"/>
          <w:szCs w:val="22"/>
        </w:rPr>
        <w:t>the</w:t>
      </w:r>
      <w:proofErr w:type="spellEnd"/>
      <w:r w:rsidRPr="00956B43">
        <w:rPr>
          <w:rFonts w:ascii="Times New Roman" w:hAnsi="Times New Roman" w:cs="Times New Roman"/>
          <w:i w:val="0"/>
          <w:iCs w:val="0"/>
          <w:color w:val="000000"/>
          <w:sz w:val="22"/>
          <w:szCs w:val="22"/>
        </w:rPr>
        <w:t xml:space="preserve"> </w:t>
      </w:r>
      <w:proofErr w:type="spellStart"/>
      <w:r w:rsidRPr="00956B43">
        <w:rPr>
          <w:rFonts w:ascii="Times New Roman" w:hAnsi="Times New Roman" w:cs="Times New Roman"/>
          <w:i w:val="0"/>
          <w:iCs w:val="0"/>
          <w:color w:val="000000"/>
          <w:sz w:val="22"/>
          <w:szCs w:val="22"/>
        </w:rPr>
        <w:t>advancement</w:t>
      </w:r>
      <w:proofErr w:type="spellEnd"/>
      <w:r w:rsidRPr="00956B43">
        <w:rPr>
          <w:rFonts w:ascii="Times New Roman" w:hAnsi="Times New Roman" w:cs="Times New Roman"/>
          <w:i w:val="0"/>
          <w:iCs w:val="0"/>
          <w:color w:val="000000"/>
          <w:sz w:val="22"/>
          <w:szCs w:val="22"/>
        </w:rPr>
        <w:t xml:space="preserve"> </w:t>
      </w:r>
      <w:proofErr w:type="spellStart"/>
      <w:r w:rsidRPr="00956B43">
        <w:rPr>
          <w:rFonts w:ascii="Times New Roman" w:hAnsi="Times New Roman" w:cs="Times New Roman"/>
          <w:i w:val="0"/>
          <w:iCs w:val="0"/>
          <w:color w:val="000000"/>
          <w:sz w:val="22"/>
          <w:szCs w:val="22"/>
        </w:rPr>
        <w:t>of</w:t>
      </w:r>
      <w:proofErr w:type="spellEnd"/>
      <w:r w:rsidRPr="00956B43">
        <w:rPr>
          <w:rFonts w:ascii="Times New Roman" w:hAnsi="Times New Roman" w:cs="Times New Roman"/>
          <w:i w:val="0"/>
          <w:iCs w:val="0"/>
          <w:color w:val="000000"/>
          <w:sz w:val="22"/>
          <w:szCs w:val="22"/>
        </w:rPr>
        <w:t xml:space="preserve"> </w:t>
      </w:r>
      <w:proofErr w:type="spellStart"/>
      <w:r w:rsidRPr="00956B43">
        <w:rPr>
          <w:rFonts w:ascii="Times New Roman" w:hAnsi="Times New Roman" w:cs="Times New Roman"/>
          <w:i w:val="0"/>
          <w:iCs w:val="0"/>
          <w:color w:val="000000"/>
          <w:sz w:val="22"/>
          <w:szCs w:val="22"/>
        </w:rPr>
        <w:t>kinanthropometry</w:t>
      </w:r>
      <w:proofErr w:type="spellEnd"/>
      <w:r w:rsidRPr="00956B43">
        <w:rPr>
          <w:rFonts w:ascii="Times New Roman" w:hAnsi="Times New Roman" w:cs="Times New Roman"/>
          <w:i w:val="0"/>
          <w:iCs w:val="0"/>
          <w:color w:val="000000"/>
          <w:sz w:val="22"/>
          <w:szCs w:val="22"/>
        </w:rPr>
        <w:t xml:space="preserve"> (ISAK) sobre as especificações técnicas dos equipamentos antropométricos, reforçamos a importância de se adquirir o material da referida marca.</w:t>
      </w:r>
    </w:p>
    <w:p w14:paraId="71A29B1A" w14:textId="06253301" w:rsidR="00956B43" w:rsidRPr="00956B43" w:rsidRDefault="00956B43" w:rsidP="00956B43">
      <w:pPr>
        <w:pStyle w:val="Nvel2-Red"/>
        <w:numPr>
          <w:ilvl w:val="1"/>
          <w:numId w:val="2"/>
        </w:numPr>
        <w:spacing w:after="288" w:line="312" w:lineRule="auto"/>
        <w:ind w:left="360"/>
      </w:pPr>
      <w:r>
        <w:rPr>
          <w:rFonts w:ascii="Times New Roman" w:hAnsi="Times New Roman" w:cs="Times New Roman"/>
          <w:bCs/>
          <w:color w:val="000000"/>
          <w:sz w:val="24"/>
          <w:szCs w:val="24"/>
        </w:rPr>
        <w:t xml:space="preserve">Quanto à Requisição 14 do Serviço de Nutrição e Dietética do Hospital Central do Exército que versa sobre material permanente, reforçamos a importância de seguir a descrição </w:t>
      </w:r>
      <w:r>
        <w:rPr>
          <w:rFonts w:ascii="Times New Roman" w:hAnsi="Times New Roman" w:cs="Times New Roman"/>
          <w:bCs/>
          <w:color w:val="000000"/>
          <w:sz w:val="24"/>
          <w:szCs w:val="24"/>
        </w:rPr>
        <w:lastRenderedPageBreak/>
        <w:t xml:space="preserve">técnica sugerida pela The </w:t>
      </w:r>
      <w:proofErr w:type="spellStart"/>
      <w:r>
        <w:rPr>
          <w:rFonts w:ascii="Times New Roman" w:hAnsi="Times New Roman" w:cs="Times New Roman"/>
          <w:bCs/>
          <w:color w:val="000000"/>
          <w:sz w:val="24"/>
          <w:szCs w:val="24"/>
        </w:rPr>
        <w:t>International</w:t>
      </w:r>
      <w:proofErr w:type="spellEnd"/>
      <w:r>
        <w:rPr>
          <w:rFonts w:ascii="Times New Roman" w:hAnsi="Times New Roman" w:cs="Times New Roman"/>
          <w:bCs/>
          <w:color w:val="000000"/>
          <w:sz w:val="24"/>
          <w:szCs w:val="24"/>
        </w:rPr>
        <w:t xml:space="preserve"> Society for </w:t>
      </w:r>
      <w:proofErr w:type="spellStart"/>
      <w:r>
        <w:rPr>
          <w:rFonts w:ascii="Times New Roman" w:hAnsi="Times New Roman" w:cs="Times New Roman"/>
          <w:bCs/>
          <w:color w:val="000000"/>
          <w:sz w:val="24"/>
          <w:szCs w:val="24"/>
        </w:rPr>
        <w:t>the</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Advancement</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of</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Kinanthropometry</w:t>
      </w:r>
      <w:proofErr w:type="spellEnd"/>
      <w:r>
        <w:rPr>
          <w:rFonts w:ascii="Times New Roman" w:hAnsi="Times New Roman" w:cs="Times New Roman"/>
          <w:bCs/>
          <w:color w:val="000000"/>
          <w:sz w:val="24"/>
          <w:szCs w:val="24"/>
        </w:rPr>
        <w:t xml:space="preserve"> (ISAK), no manual de Padronização de Medidas Antropométricas e Avaliação da composição corporal.</w:t>
      </w:r>
    </w:p>
    <w:p w14:paraId="3E141B7A" w14:textId="77777777" w:rsidR="00956B43" w:rsidRPr="00956B43" w:rsidRDefault="00956B43" w:rsidP="00956B43">
      <w:pPr>
        <w:pStyle w:val="PargrafodaLista"/>
        <w:numPr>
          <w:ilvl w:val="0"/>
          <w:numId w:val="2"/>
        </w:numPr>
        <w:spacing w:line="360" w:lineRule="auto"/>
        <w:jc w:val="both"/>
        <w:rPr>
          <w:rFonts w:ascii="Times New Roman" w:hAnsi="Times New Roman" w:cs="Times New Roman"/>
          <w:bCs/>
        </w:rPr>
      </w:pPr>
      <w:r w:rsidRPr="00956B43">
        <w:rPr>
          <w:rFonts w:ascii="Times New Roman" w:hAnsi="Times New Roman" w:cs="Times New Roman"/>
          <w:bCs/>
        </w:rPr>
        <w:t xml:space="preserve">Quanto à Requisição 14 do Serviço de Nutrição e Dietética do Hospital Central do Exército que versa sobre material permanente, reforçamos a importância de seguir a descrição técnica sugerida pela </w:t>
      </w:r>
      <w:r w:rsidRPr="00956B43">
        <w:rPr>
          <w:rFonts w:ascii="Times New Roman" w:hAnsi="Times New Roman" w:cs="Times New Roman"/>
          <w:bCs/>
          <w:i/>
          <w:iCs/>
        </w:rPr>
        <w:t xml:space="preserve">The </w:t>
      </w:r>
      <w:proofErr w:type="spellStart"/>
      <w:r w:rsidRPr="00956B43">
        <w:rPr>
          <w:rFonts w:ascii="Times New Roman" w:hAnsi="Times New Roman" w:cs="Times New Roman"/>
          <w:bCs/>
          <w:i/>
          <w:iCs/>
        </w:rPr>
        <w:t>International</w:t>
      </w:r>
      <w:proofErr w:type="spellEnd"/>
      <w:r w:rsidRPr="00956B43">
        <w:rPr>
          <w:rFonts w:ascii="Times New Roman" w:hAnsi="Times New Roman" w:cs="Times New Roman"/>
          <w:bCs/>
          <w:i/>
          <w:iCs/>
        </w:rPr>
        <w:t xml:space="preserve"> Society for </w:t>
      </w:r>
      <w:proofErr w:type="spellStart"/>
      <w:r w:rsidRPr="00956B43">
        <w:rPr>
          <w:rFonts w:ascii="Times New Roman" w:hAnsi="Times New Roman" w:cs="Times New Roman"/>
          <w:bCs/>
          <w:i/>
          <w:iCs/>
        </w:rPr>
        <w:t>the</w:t>
      </w:r>
      <w:proofErr w:type="spellEnd"/>
      <w:r w:rsidRPr="00956B43">
        <w:rPr>
          <w:rFonts w:ascii="Times New Roman" w:hAnsi="Times New Roman" w:cs="Times New Roman"/>
          <w:bCs/>
          <w:i/>
          <w:iCs/>
        </w:rPr>
        <w:t xml:space="preserve"> </w:t>
      </w:r>
      <w:proofErr w:type="spellStart"/>
      <w:r w:rsidRPr="00956B43">
        <w:rPr>
          <w:rFonts w:ascii="Times New Roman" w:hAnsi="Times New Roman" w:cs="Times New Roman"/>
          <w:bCs/>
          <w:i/>
          <w:iCs/>
        </w:rPr>
        <w:t>Advancement</w:t>
      </w:r>
      <w:proofErr w:type="spellEnd"/>
      <w:r w:rsidRPr="00956B43">
        <w:rPr>
          <w:rFonts w:ascii="Times New Roman" w:hAnsi="Times New Roman" w:cs="Times New Roman"/>
          <w:bCs/>
          <w:i/>
          <w:iCs/>
        </w:rPr>
        <w:t xml:space="preserve"> </w:t>
      </w:r>
      <w:proofErr w:type="spellStart"/>
      <w:r w:rsidRPr="00956B43">
        <w:rPr>
          <w:rFonts w:ascii="Times New Roman" w:hAnsi="Times New Roman" w:cs="Times New Roman"/>
          <w:bCs/>
          <w:i/>
          <w:iCs/>
        </w:rPr>
        <w:t>of</w:t>
      </w:r>
      <w:proofErr w:type="spellEnd"/>
      <w:r w:rsidRPr="00956B43">
        <w:rPr>
          <w:rFonts w:ascii="Times New Roman" w:hAnsi="Times New Roman" w:cs="Times New Roman"/>
          <w:bCs/>
          <w:i/>
          <w:iCs/>
        </w:rPr>
        <w:t xml:space="preserve"> </w:t>
      </w:r>
      <w:proofErr w:type="spellStart"/>
      <w:r w:rsidRPr="00956B43">
        <w:rPr>
          <w:rFonts w:ascii="Times New Roman" w:hAnsi="Times New Roman" w:cs="Times New Roman"/>
          <w:bCs/>
          <w:i/>
          <w:iCs/>
        </w:rPr>
        <w:t>Kinanthropometry</w:t>
      </w:r>
      <w:proofErr w:type="spellEnd"/>
      <w:r w:rsidRPr="00956B43">
        <w:rPr>
          <w:rFonts w:ascii="Times New Roman" w:hAnsi="Times New Roman" w:cs="Times New Roman"/>
          <w:bCs/>
          <w:i/>
          <w:iCs/>
        </w:rPr>
        <w:t xml:space="preserve"> </w:t>
      </w:r>
      <w:r w:rsidRPr="00956B43">
        <w:rPr>
          <w:rFonts w:ascii="Times New Roman" w:hAnsi="Times New Roman" w:cs="Times New Roman"/>
          <w:bCs/>
        </w:rPr>
        <w:t>(ISAK), no manual de Padronização de Medidas Antropométricas e Avaliação da composição corporal.</w:t>
      </w:r>
    </w:p>
    <w:p w14:paraId="528C73CD" w14:textId="77777777" w:rsidR="00956B43" w:rsidRDefault="00956B43" w:rsidP="00956B43">
      <w:pPr>
        <w:pStyle w:val="PargrafodaLista"/>
        <w:numPr>
          <w:ilvl w:val="0"/>
          <w:numId w:val="2"/>
        </w:numPr>
        <w:tabs>
          <w:tab w:val="left" w:pos="1024"/>
        </w:tabs>
        <w:spacing w:line="360" w:lineRule="auto"/>
        <w:jc w:val="both"/>
      </w:pPr>
      <w:proofErr w:type="spellStart"/>
      <w:r>
        <w:rPr>
          <w:rFonts w:ascii="Times New Roman" w:hAnsi="Times New Roman" w:cs="Times New Roman"/>
          <w:bCs/>
          <w:szCs w:val="24"/>
        </w:rPr>
        <w:t>Adipômetro</w:t>
      </w:r>
      <w:proofErr w:type="spellEnd"/>
      <w:r>
        <w:rPr>
          <w:rFonts w:ascii="Times New Roman" w:hAnsi="Times New Roman" w:cs="Times New Roman"/>
          <w:bCs/>
          <w:szCs w:val="24"/>
        </w:rPr>
        <w:t xml:space="preserve"> – A utilização de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cientificamente validados é de extrema importância para a avaliação antropométrica de indivíduos. Os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são instrumentos projetados para medir a espessura das dobras cutâneas em diferentes regiões do corpo, permitindo estimar a quantidade de tecido adiposo subcutâneo presente. Essas medidas são fundamentais para avaliar a composição corporal, especialmente a quantidade de gordura corporal, o que tem relevância tanto em pesquisas científicas quanto em aplicações clínicas e esportivas. As razões pelas quais é essencial utilizar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cientificamente validados:</w:t>
      </w:r>
    </w:p>
    <w:p w14:paraId="1C37273C" w14:textId="77777777" w:rsidR="00956B43" w:rsidRDefault="00956B43" w:rsidP="00956B43">
      <w:pPr>
        <w:spacing w:line="360" w:lineRule="auto"/>
        <w:ind w:left="360"/>
        <w:jc w:val="both"/>
        <w:rPr>
          <w:rFonts w:ascii="Times New Roman" w:hAnsi="Times New Roman" w:cs="Times New Roman"/>
          <w:bCs/>
        </w:rPr>
      </w:pPr>
    </w:p>
    <w:p w14:paraId="39724AC1" w14:textId="1E64CDC8" w:rsidR="00956B43" w:rsidRDefault="00956B43" w:rsidP="00956B43">
      <w:pPr>
        <w:spacing w:line="360" w:lineRule="auto"/>
        <w:ind w:left="360"/>
        <w:jc w:val="both"/>
        <w:rPr>
          <w:rFonts w:ascii="Times New Roman" w:hAnsi="Times New Roman" w:cs="Times New Roman"/>
          <w:bCs/>
        </w:rPr>
      </w:pPr>
      <w:r>
        <w:rPr>
          <w:rFonts w:ascii="Times New Roman" w:hAnsi="Times New Roman" w:cs="Times New Roman"/>
          <w:bCs/>
        </w:rPr>
        <w:t xml:space="preserve">Precisão e confiabilidade dos resultados: </w:t>
      </w:r>
      <w:proofErr w:type="spellStart"/>
      <w:r>
        <w:rPr>
          <w:rFonts w:ascii="Times New Roman" w:hAnsi="Times New Roman" w:cs="Times New Roman"/>
          <w:bCs/>
        </w:rPr>
        <w:t>adipômetros</w:t>
      </w:r>
      <w:proofErr w:type="spellEnd"/>
      <w:r>
        <w:rPr>
          <w:rFonts w:ascii="Times New Roman" w:hAnsi="Times New Roman" w:cs="Times New Roman"/>
          <w:bCs/>
        </w:rPr>
        <w:t xml:space="preserve"> validados passaram por rigorosos testes de confiabilidade e validade, garantindo que as medições sejam consistentes e acuradas. Isso é essencial para obter informações precisas sobre a composição corporal dos indivíduos.</w:t>
      </w:r>
    </w:p>
    <w:p w14:paraId="70AAB1D7" w14:textId="77777777" w:rsidR="00956B43" w:rsidRDefault="00956B43" w:rsidP="00956B43">
      <w:pPr>
        <w:pStyle w:val="PargrafodaLista"/>
        <w:spacing w:line="360" w:lineRule="auto"/>
        <w:jc w:val="both"/>
        <w:rPr>
          <w:rFonts w:ascii="Times New Roman" w:hAnsi="Times New Roman" w:cs="Times New Roman"/>
          <w:bCs/>
          <w:szCs w:val="24"/>
        </w:rPr>
      </w:pPr>
    </w:p>
    <w:p w14:paraId="5F757C3D" w14:textId="77777777" w:rsidR="00956B43" w:rsidRDefault="00956B43" w:rsidP="00956B43">
      <w:pPr>
        <w:spacing w:line="360" w:lineRule="auto"/>
        <w:ind w:left="360"/>
        <w:jc w:val="both"/>
        <w:rPr>
          <w:rFonts w:ascii="Times New Roman" w:hAnsi="Times New Roman" w:cs="Times New Roman"/>
          <w:bCs/>
        </w:rPr>
      </w:pPr>
      <w:r>
        <w:rPr>
          <w:rFonts w:ascii="Times New Roman" w:hAnsi="Times New Roman" w:cs="Times New Roman"/>
          <w:bCs/>
        </w:rPr>
        <w:t xml:space="preserve">- Comparabilidade dos dados: utilizando </w:t>
      </w:r>
      <w:proofErr w:type="spellStart"/>
      <w:r>
        <w:rPr>
          <w:rFonts w:ascii="Times New Roman" w:hAnsi="Times New Roman" w:cs="Times New Roman"/>
          <w:bCs/>
        </w:rPr>
        <w:t>adipômetros</w:t>
      </w:r>
      <w:proofErr w:type="spellEnd"/>
      <w:r>
        <w:rPr>
          <w:rFonts w:ascii="Times New Roman" w:hAnsi="Times New Roman" w:cs="Times New Roman"/>
          <w:bCs/>
        </w:rPr>
        <w:t xml:space="preserve"> cientificamente validados, é possível comparar os resultados entre diferentes estudos e populações, permitindo a análise de tendências e a generalização de conclusões científicas.</w:t>
      </w:r>
    </w:p>
    <w:p w14:paraId="392C292C" w14:textId="77777777" w:rsidR="00956B43" w:rsidRDefault="00956B43" w:rsidP="00956B43">
      <w:pPr>
        <w:spacing w:line="360" w:lineRule="auto"/>
        <w:ind w:left="360"/>
        <w:jc w:val="both"/>
        <w:rPr>
          <w:rFonts w:ascii="Times New Roman" w:hAnsi="Times New Roman" w:cs="Times New Roman"/>
          <w:bCs/>
        </w:rPr>
      </w:pPr>
    </w:p>
    <w:p w14:paraId="3CC9B0B5" w14:textId="6E343DDF" w:rsidR="00956B43" w:rsidRPr="00956B43" w:rsidRDefault="00956B43" w:rsidP="00956B43">
      <w:pPr>
        <w:pStyle w:val="Nvel2-Red"/>
        <w:numPr>
          <w:ilvl w:val="1"/>
          <w:numId w:val="2"/>
        </w:numPr>
        <w:spacing w:after="288" w:line="312" w:lineRule="auto"/>
        <w:ind w:left="360"/>
      </w:pPr>
      <w:r>
        <w:rPr>
          <w:rFonts w:ascii="Times New Roman" w:hAnsi="Times New Roman" w:cs="Times New Roman"/>
          <w:bCs/>
          <w:color w:val="000000"/>
          <w:sz w:val="24"/>
          <w:szCs w:val="24"/>
        </w:rPr>
        <w:t xml:space="preserve">- Base científica sólida: </w:t>
      </w:r>
      <w:proofErr w:type="spellStart"/>
      <w:r>
        <w:rPr>
          <w:rFonts w:ascii="Times New Roman" w:hAnsi="Times New Roman" w:cs="Times New Roman"/>
          <w:bCs/>
          <w:color w:val="000000"/>
          <w:sz w:val="24"/>
          <w:szCs w:val="24"/>
        </w:rPr>
        <w:t>adipômetros</w:t>
      </w:r>
      <w:proofErr w:type="spellEnd"/>
      <w:r>
        <w:rPr>
          <w:rFonts w:ascii="Times New Roman" w:hAnsi="Times New Roman" w:cs="Times New Roman"/>
          <w:bCs/>
          <w:color w:val="000000"/>
          <w:sz w:val="24"/>
          <w:szCs w:val="24"/>
        </w:rPr>
        <w:t xml:space="preserve"> validados têm sua precisão respaldada por estudos científicos, o que garante a confiabilidade das medidas e sua fundamentação em evidências sólidas.</w:t>
      </w:r>
    </w:p>
    <w:p w14:paraId="45F99EDD" w14:textId="77777777" w:rsidR="00956B43" w:rsidRPr="00956B43" w:rsidRDefault="00956B43" w:rsidP="00956B43">
      <w:pPr>
        <w:pStyle w:val="PargrafodaLista"/>
        <w:numPr>
          <w:ilvl w:val="0"/>
          <w:numId w:val="2"/>
        </w:numPr>
        <w:spacing w:line="360" w:lineRule="auto"/>
        <w:jc w:val="both"/>
        <w:rPr>
          <w:rFonts w:ascii="Times New Roman" w:hAnsi="Times New Roman" w:cs="Times New Roman"/>
          <w:bCs/>
        </w:rPr>
      </w:pPr>
      <w:r w:rsidRPr="00956B43">
        <w:rPr>
          <w:rFonts w:ascii="Times New Roman" w:hAnsi="Times New Roman" w:cs="Times New Roman"/>
          <w:bCs/>
        </w:rPr>
        <w:t xml:space="preserve">Para garantir confiabilidade sobre os dados obtidos com as medições o </w:t>
      </w:r>
      <w:proofErr w:type="spellStart"/>
      <w:r w:rsidRPr="00956B43">
        <w:rPr>
          <w:rFonts w:ascii="Times New Roman" w:hAnsi="Times New Roman" w:cs="Times New Roman"/>
          <w:bCs/>
        </w:rPr>
        <w:t>adipômetro</w:t>
      </w:r>
      <w:proofErr w:type="spellEnd"/>
      <w:r w:rsidRPr="00956B43">
        <w:rPr>
          <w:rFonts w:ascii="Times New Roman" w:hAnsi="Times New Roman" w:cs="Times New Roman"/>
          <w:bCs/>
        </w:rPr>
        <w:t xml:space="preserve"> requer uma pressão de fechamento constante de 10g/mm</w:t>
      </w:r>
      <w:r w:rsidRPr="00956B43">
        <w:rPr>
          <w:rFonts w:ascii="Times New Roman" w:hAnsi="Times New Roman" w:cs="Times New Roman"/>
          <w:bCs/>
          <w:vertAlign w:val="superscript"/>
        </w:rPr>
        <w:t>2</w:t>
      </w:r>
      <w:r w:rsidRPr="00956B43">
        <w:rPr>
          <w:rFonts w:ascii="Times New Roman" w:hAnsi="Times New Roman" w:cs="Times New Roman"/>
          <w:bCs/>
        </w:rPr>
        <w:t xml:space="preserve"> em toda sua amplitude de medições. Devem estar calibrados no mínimo até 40 mm, com divisões de 0,1 a 1 mm, sendo que, </w:t>
      </w:r>
      <w:r w:rsidRPr="00956B43">
        <w:rPr>
          <w:rFonts w:ascii="Times New Roman" w:hAnsi="Times New Roman" w:cs="Times New Roman"/>
          <w:bCs/>
        </w:rPr>
        <w:lastRenderedPageBreak/>
        <w:t xml:space="preserve">quanto menor suas divisões, maior será sua sensibilidade em detectar mudanças corporais. Dessa </w:t>
      </w:r>
      <w:proofErr w:type="gramStart"/>
      <w:r w:rsidRPr="00956B43">
        <w:rPr>
          <w:rFonts w:ascii="Times New Roman" w:hAnsi="Times New Roman" w:cs="Times New Roman"/>
          <w:bCs/>
        </w:rPr>
        <w:t>forma,  para</w:t>
      </w:r>
      <w:proofErr w:type="gramEnd"/>
      <w:r w:rsidRPr="00956B43">
        <w:rPr>
          <w:rFonts w:ascii="Times New Roman" w:hAnsi="Times New Roman" w:cs="Times New Roman"/>
          <w:bCs/>
        </w:rPr>
        <w:t xml:space="preserve"> estudos científicos o uso de </w:t>
      </w:r>
      <w:proofErr w:type="spellStart"/>
      <w:r w:rsidRPr="00956B43">
        <w:rPr>
          <w:rFonts w:ascii="Times New Roman" w:hAnsi="Times New Roman" w:cs="Times New Roman"/>
          <w:bCs/>
        </w:rPr>
        <w:t>adipômetros</w:t>
      </w:r>
      <w:proofErr w:type="spellEnd"/>
      <w:r w:rsidRPr="00956B43">
        <w:rPr>
          <w:rFonts w:ascii="Times New Roman" w:hAnsi="Times New Roman" w:cs="Times New Roman"/>
          <w:bCs/>
        </w:rPr>
        <w:t xml:space="preserve"> com precisão de 0,1mm é indicado.</w:t>
      </w:r>
    </w:p>
    <w:p w14:paraId="10F7B921" w14:textId="77777777" w:rsidR="00956B43" w:rsidRPr="00956B43" w:rsidRDefault="00956B43" w:rsidP="00956B43">
      <w:pPr>
        <w:pStyle w:val="PargrafodaLista"/>
        <w:spacing w:line="360" w:lineRule="auto"/>
        <w:ind w:left="360"/>
        <w:jc w:val="both"/>
        <w:rPr>
          <w:rFonts w:ascii="Times New Roman" w:hAnsi="Times New Roman" w:cs="Times New Roman"/>
          <w:b/>
        </w:rPr>
      </w:pPr>
      <w:r w:rsidRPr="00956B43">
        <w:rPr>
          <w:rFonts w:ascii="Times New Roman" w:hAnsi="Times New Roman" w:cs="Times New Roman"/>
          <w:b/>
        </w:rPr>
        <w:t xml:space="preserve">Tipos de </w:t>
      </w:r>
      <w:proofErr w:type="spellStart"/>
      <w:r w:rsidRPr="00956B43">
        <w:rPr>
          <w:rFonts w:ascii="Times New Roman" w:hAnsi="Times New Roman" w:cs="Times New Roman"/>
          <w:b/>
        </w:rPr>
        <w:t>adipômetros</w:t>
      </w:r>
      <w:proofErr w:type="spellEnd"/>
      <w:r w:rsidRPr="00956B43">
        <w:rPr>
          <w:rFonts w:ascii="Times New Roman" w:hAnsi="Times New Roman" w:cs="Times New Roman"/>
          <w:b/>
        </w:rPr>
        <w:t>:</w:t>
      </w:r>
    </w:p>
    <w:p w14:paraId="591FE7A5" w14:textId="77777777" w:rsidR="00956B43" w:rsidRDefault="00956B43" w:rsidP="00956B43">
      <w:pPr>
        <w:pStyle w:val="PargrafodaLista"/>
        <w:numPr>
          <w:ilvl w:val="0"/>
          <w:numId w:val="13"/>
        </w:numPr>
        <w:spacing w:line="360" w:lineRule="auto"/>
        <w:jc w:val="both"/>
        <w:rPr>
          <w:rFonts w:ascii="Times New Roman" w:hAnsi="Times New Roman" w:cs="Times New Roman"/>
          <w:bCs/>
          <w:szCs w:val="24"/>
        </w:rPr>
      </w:pPr>
      <w:proofErr w:type="spellStart"/>
      <w:r>
        <w:rPr>
          <w:rFonts w:ascii="Times New Roman" w:hAnsi="Times New Roman" w:cs="Times New Roman"/>
          <w:bCs/>
          <w:szCs w:val="24"/>
          <w:u w:val="single"/>
        </w:rPr>
        <w:t>Adipômetros</w:t>
      </w:r>
      <w:proofErr w:type="spellEnd"/>
      <w:r>
        <w:rPr>
          <w:rFonts w:ascii="Times New Roman" w:hAnsi="Times New Roman" w:cs="Times New Roman"/>
          <w:bCs/>
          <w:szCs w:val="24"/>
          <w:u w:val="single"/>
        </w:rPr>
        <w:t xml:space="preserve"> de plástico:</w:t>
      </w:r>
      <w:r>
        <w:rPr>
          <w:rFonts w:ascii="Times New Roman" w:hAnsi="Times New Roman" w:cs="Times New Roman"/>
          <w:bCs/>
          <w:szCs w:val="24"/>
        </w:rPr>
        <w:t xml:space="preserve"> Os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de plástico são geralmente mais simples e mais acessíveis em comparação com os modelos clínicos e científicos. Eles são frequentemente usados em contextos educacionais, treinamentos de estudantes e em avaliações menos precisas da composição corporal. Algumas características típicas desses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incluem:</w:t>
      </w:r>
    </w:p>
    <w:p w14:paraId="38069064" w14:textId="77777777" w:rsidR="00956B43" w:rsidRDefault="00956B43" w:rsidP="00956B43">
      <w:pPr>
        <w:pStyle w:val="PargrafodaLista"/>
        <w:spacing w:line="360" w:lineRule="auto"/>
        <w:jc w:val="both"/>
        <w:rPr>
          <w:rFonts w:ascii="Times New Roman" w:hAnsi="Times New Roman" w:cs="Times New Roman"/>
          <w:bCs/>
          <w:szCs w:val="24"/>
        </w:rPr>
      </w:pPr>
    </w:p>
    <w:p w14:paraId="6EDE11EF"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Construção em plástico: Como o próprio nome sugere, esses </w:t>
      </w:r>
      <w:proofErr w:type="spellStart"/>
      <w:r>
        <w:rPr>
          <w:rFonts w:ascii="Times New Roman" w:hAnsi="Times New Roman" w:cs="Times New Roman"/>
          <w:bCs/>
        </w:rPr>
        <w:t>adipômetros</w:t>
      </w:r>
      <w:proofErr w:type="spellEnd"/>
      <w:r>
        <w:rPr>
          <w:rFonts w:ascii="Times New Roman" w:hAnsi="Times New Roman" w:cs="Times New Roman"/>
          <w:bCs/>
        </w:rPr>
        <w:t xml:space="preserve"> são fabricados principalmente com materiais plásticos, tornando-os mais leves e econômicos.</w:t>
      </w:r>
    </w:p>
    <w:p w14:paraId="5862F436" w14:textId="77777777" w:rsidR="00956B43" w:rsidRDefault="00956B43" w:rsidP="00956B43">
      <w:pPr>
        <w:spacing w:line="360" w:lineRule="auto"/>
        <w:jc w:val="both"/>
        <w:rPr>
          <w:rFonts w:ascii="Times New Roman" w:hAnsi="Times New Roman" w:cs="Times New Roman"/>
          <w:bCs/>
        </w:rPr>
      </w:pPr>
    </w:p>
    <w:p w14:paraId="673F9528"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Medição manual: Esses </w:t>
      </w:r>
      <w:proofErr w:type="spellStart"/>
      <w:r>
        <w:rPr>
          <w:rFonts w:ascii="Times New Roman" w:hAnsi="Times New Roman" w:cs="Times New Roman"/>
          <w:bCs/>
        </w:rPr>
        <w:t>adipômetros</w:t>
      </w:r>
      <w:proofErr w:type="spellEnd"/>
      <w:r>
        <w:rPr>
          <w:rFonts w:ascii="Times New Roman" w:hAnsi="Times New Roman" w:cs="Times New Roman"/>
          <w:bCs/>
        </w:rPr>
        <w:t xml:space="preserve"> normalmente requerem medições manuais da dobra cutânea, sem a leitura direta da espessura da dobra.</w:t>
      </w:r>
    </w:p>
    <w:p w14:paraId="0D49FBB2" w14:textId="77777777" w:rsidR="00956B43" w:rsidRDefault="00956B43" w:rsidP="00956B43">
      <w:pPr>
        <w:spacing w:line="360" w:lineRule="auto"/>
        <w:jc w:val="both"/>
        <w:rPr>
          <w:rFonts w:ascii="Times New Roman" w:hAnsi="Times New Roman" w:cs="Times New Roman"/>
          <w:bCs/>
        </w:rPr>
      </w:pPr>
    </w:p>
    <w:p w14:paraId="6A499F2C"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Menor precisão: Devido à construção menos robusta e à falta de mecanismos avançados de medição, os </w:t>
      </w:r>
      <w:proofErr w:type="spellStart"/>
      <w:r>
        <w:rPr>
          <w:rFonts w:ascii="Times New Roman" w:hAnsi="Times New Roman" w:cs="Times New Roman"/>
          <w:bCs/>
        </w:rPr>
        <w:t>adipômetros</w:t>
      </w:r>
      <w:proofErr w:type="spellEnd"/>
      <w:r>
        <w:rPr>
          <w:rFonts w:ascii="Times New Roman" w:hAnsi="Times New Roman" w:cs="Times New Roman"/>
          <w:bCs/>
        </w:rPr>
        <w:t xml:space="preserve"> de plástico tendem a ser menos precisos em comparação com os modelos clínicos e científicos.</w:t>
      </w:r>
    </w:p>
    <w:p w14:paraId="256C4E14" w14:textId="77777777" w:rsidR="00956B43" w:rsidRDefault="00956B43" w:rsidP="00956B43">
      <w:pPr>
        <w:spacing w:line="360" w:lineRule="auto"/>
        <w:jc w:val="both"/>
        <w:rPr>
          <w:rFonts w:ascii="Times New Roman" w:hAnsi="Times New Roman" w:cs="Times New Roman"/>
          <w:bCs/>
        </w:rPr>
      </w:pPr>
    </w:p>
    <w:p w14:paraId="46FC08BE" w14:textId="77777777" w:rsidR="00956B43" w:rsidRDefault="00956B43" w:rsidP="00956B43">
      <w:pPr>
        <w:pStyle w:val="PargrafodaLista"/>
        <w:numPr>
          <w:ilvl w:val="0"/>
          <w:numId w:val="13"/>
        </w:numPr>
        <w:spacing w:line="360" w:lineRule="auto"/>
        <w:jc w:val="both"/>
        <w:rPr>
          <w:rFonts w:ascii="Times New Roman" w:hAnsi="Times New Roman" w:cs="Times New Roman"/>
          <w:bCs/>
          <w:szCs w:val="24"/>
          <w:u w:val="single"/>
        </w:rPr>
      </w:pPr>
      <w:proofErr w:type="spellStart"/>
      <w:r>
        <w:rPr>
          <w:rFonts w:ascii="Times New Roman" w:hAnsi="Times New Roman" w:cs="Times New Roman"/>
          <w:bCs/>
          <w:szCs w:val="24"/>
          <w:u w:val="single"/>
        </w:rPr>
        <w:t>Adipômetros</w:t>
      </w:r>
      <w:proofErr w:type="spellEnd"/>
      <w:r>
        <w:rPr>
          <w:rFonts w:ascii="Times New Roman" w:hAnsi="Times New Roman" w:cs="Times New Roman"/>
          <w:bCs/>
          <w:szCs w:val="24"/>
          <w:u w:val="single"/>
        </w:rPr>
        <w:t xml:space="preserve"> clínicos:</w:t>
      </w:r>
      <w:r>
        <w:rPr>
          <w:rFonts w:ascii="Times New Roman" w:hAnsi="Times New Roman" w:cs="Times New Roman"/>
          <w:bCs/>
          <w:szCs w:val="24"/>
        </w:rPr>
        <w:t xml:space="preserve">  são mais avançados e precisos do que os de plástico e são comumente utilizados em ambientes clínicos, como consultórios de nutricionistas e unidades de saúde. Algumas características dos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clínicos incluem:</w:t>
      </w:r>
    </w:p>
    <w:p w14:paraId="4DE832B2" w14:textId="77777777" w:rsidR="00956B43" w:rsidRDefault="00956B43" w:rsidP="00956B43">
      <w:pPr>
        <w:pStyle w:val="PargrafodaLista"/>
        <w:spacing w:line="360" w:lineRule="auto"/>
        <w:ind w:left="1440"/>
        <w:jc w:val="both"/>
        <w:rPr>
          <w:rFonts w:ascii="Times New Roman" w:hAnsi="Times New Roman" w:cs="Times New Roman"/>
          <w:bCs/>
          <w:szCs w:val="24"/>
          <w:u w:val="single"/>
        </w:rPr>
      </w:pPr>
    </w:p>
    <w:p w14:paraId="5FEDB00D"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Construção mais sólida: Esses </w:t>
      </w:r>
      <w:proofErr w:type="spellStart"/>
      <w:r>
        <w:rPr>
          <w:rFonts w:ascii="Times New Roman" w:hAnsi="Times New Roman" w:cs="Times New Roman"/>
          <w:bCs/>
        </w:rPr>
        <w:t>adipômetros</w:t>
      </w:r>
      <w:proofErr w:type="spellEnd"/>
      <w:r>
        <w:rPr>
          <w:rFonts w:ascii="Times New Roman" w:hAnsi="Times New Roman" w:cs="Times New Roman"/>
          <w:bCs/>
        </w:rPr>
        <w:t xml:space="preserve"> são geralmente fabricados com materiais mais duráveis, como metal ou alumínio, proporcionando maior resistência e estabilidade.</w:t>
      </w:r>
    </w:p>
    <w:p w14:paraId="3C87D750" w14:textId="77777777" w:rsidR="00956B43" w:rsidRDefault="00956B43" w:rsidP="00956B43">
      <w:pPr>
        <w:spacing w:line="360" w:lineRule="auto"/>
        <w:jc w:val="both"/>
        <w:rPr>
          <w:rFonts w:ascii="Times New Roman" w:hAnsi="Times New Roman" w:cs="Times New Roman"/>
          <w:bCs/>
        </w:rPr>
      </w:pPr>
    </w:p>
    <w:p w14:paraId="425BE3D1"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Escala de medição: Muitos modelos clínicos possuem uma escala de medição que permite a leitura direta da espessura da dobra cutânea em milímetros, tornando o processo de medição mais fácil e rápido.</w:t>
      </w:r>
    </w:p>
    <w:p w14:paraId="5A3F94E7" w14:textId="77777777" w:rsidR="00956B43" w:rsidRDefault="00956B43" w:rsidP="00956B43">
      <w:pPr>
        <w:spacing w:line="360" w:lineRule="auto"/>
        <w:jc w:val="both"/>
        <w:rPr>
          <w:rFonts w:ascii="Times New Roman" w:hAnsi="Times New Roman" w:cs="Times New Roman"/>
          <w:bCs/>
        </w:rPr>
      </w:pPr>
    </w:p>
    <w:p w14:paraId="544042CD"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Maior precisão: Os </w:t>
      </w:r>
      <w:proofErr w:type="spellStart"/>
      <w:r>
        <w:rPr>
          <w:rFonts w:ascii="Times New Roman" w:hAnsi="Times New Roman" w:cs="Times New Roman"/>
          <w:bCs/>
        </w:rPr>
        <w:t>adipômetros</w:t>
      </w:r>
      <w:proofErr w:type="spellEnd"/>
      <w:r>
        <w:rPr>
          <w:rFonts w:ascii="Times New Roman" w:hAnsi="Times New Roman" w:cs="Times New Roman"/>
          <w:bCs/>
        </w:rPr>
        <w:t xml:space="preserve"> clínicos são projetados para serem mais precisos em suas medições do que os modelos de plástico, fornecendo resultados mais confiáveis para avaliação </w:t>
      </w:r>
      <w:r>
        <w:rPr>
          <w:rFonts w:ascii="Times New Roman" w:hAnsi="Times New Roman" w:cs="Times New Roman"/>
          <w:bCs/>
        </w:rPr>
        <w:lastRenderedPageBreak/>
        <w:t xml:space="preserve">da composição corporal. Porém, são menos precisos do que os </w:t>
      </w:r>
      <w:proofErr w:type="spellStart"/>
      <w:r>
        <w:rPr>
          <w:rFonts w:ascii="Times New Roman" w:hAnsi="Times New Roman" w:cs="Times New Roman"/>
          <w:bCs/>
        </w:rPr>
        <w:t>adipômetros</w:t>
      </w:r>
      <w:proofErr w:type="spellEnd"/>
      <w:r>
        <w:rPr>
          <w:rFonts w:ascii="Times New Roman" w:hAnsi="Times New Roman" w:cs="Times New Roman"/>
          <w:bCs/>
        </w:rPr>
        <w:t xml:space="preserve"> científicos.</w:t>
      </w:r>
    </w:p>
    <w:p w14:paraId="404F86FE" w14:textId="77777777" w:rsidR="00956B43" w:rsidRDefault="00956B43" w:rsidP="00956B43">
      <w:pPr>
        <w:spacing w:line="360" w:lineRule="auto"/>
        <w:jc w:val="both"/>
        <w:rPr>
          <w:rFonts w:ascii="Times New Roman" w:hAnsi="Times New Roman" w:cs="Times New Roman"/>
          <w:bCs/>
        </w:rPr>
      </w:pPr>
    </w:p>
    <w:p w14:paraId="45FA93EB" w14:textId="77777777" w:rsidR="00956B43" w:rsidRDefault="00956B43" w:rsidP="00956B43">
      <w:pPr>
        <w:pStyle w:val="PargrafodaLista"/>
        <w:numPr>
          <w:ilvl w:val="0"/>
          <w:numId w:val="13"/>
        </w:numPr>
        <w:spacing w:line="360" w:lineRule="auto"/>
        <w:jc w:val="both"/>
        <w:rPr>
          <w:rFonts w:ascii="Times New Roman" w:hAnsi="Times New Roman" w:cs="Times New Roman"/>
          <w:bCs/>
          <w:szCs w:val="24"/>
          <w:u w:val="single"/>
        </w:rPr>
      </w:pPr>
      <w:proofErr w:type="spellStart"/>
      <w:r>
        <w:rPr>
          <w:rFonts w:ascii="Times New Roman" w:hAnsi="Times New Roman" w:cs="Times New Roman"/>
          <w:bCs/>
          <w:szCs w:val="24"/>
          <w:u w:val="single"/>
        </w:rPr>
        <w:t>Adipômetros</w:t>
      </w:r>
      <w:proofErr w:type="spellEnd"/>
      <w:r>
        <w:rPr>
          <w:rFonts w:ascii="Times New Roman" w:hAnsi="Times New Roman" w:cs="Times New Roman"/>
          <w:bCs/>
          <w:szCs w:val="24"/>
          <w:u w:val="single"/>
        </w:rPr>
        <w:t xml:space="preserve"> científicos:</w:t>
      </w:r>
      <w:r>
        <w:rPr>
          <w:rFonts w:ascii="Times New Roman" w:hAnsi="Times New Roman" w:cs="Times New Roman"/>
          <w:bCs/>
          <w:szCs w:val="24"/>
        </w:rPr>
        <w:t xml:space="preserve"> são os mais avançados e precisos entre os três tipos. Eles são utilizados principalmente em estudos de pesquisa e em ambientes onde se requer a máxima precisão na avaliação da composição corporal. Algumas características dos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científicos incluem:</w:t>
      </w:r>
    </w:p>
    <w:p w14:paraId="39096973" w14:textId="77777777" w:rsidR="00956B43" w:rsidRDefault="00956B43" w:rsidP="00956B43">
      <w:pPr>
        <w:pStyle w:val="PargrafodaLista"/>
        <w:spacing w:line="360" w:lineRule="auto"/>
        <w:jc w:val="both"/>
        <w:rPr>
          <w:rFonts w:ascii="Times New Roman" w:hAnsi="Times New Roman" w:cs="Times New Roman"/>
          <w:bCs/>
          <w:szCs w:val="24"/>
          <w:u w:val="single"/>
        </w:rPr>
      </w:pPr>
    </w:p>
    <w:p w14:paraId="391F3AC4"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 xml:space="preserve">Alta precisão: Esses </w:t>
      </w:r>
      <w:proofErr w:type="spellStart"/>
      <w:r>
        <w:rPr>
          <w:rFonts w:ascii="Times New Roman" w:hAnsi="Times New Roman" w:cs="Times New Roman"/>
          <w:bCs/>
        </w:rPr>
        <w:t>adipômetros</w:t>
      </w:r>
      <w:proofErr w:type="spellEnd"/>
      <w:r>
        <w:rPr>
          <w:rFonts w:ascii="Times New Roman" w:hAnsi="Times New Roman" w:cs="Times New Roman"/>
          <w:bCs/>
        </w:rPr>
        <w:t xml:space="preserve"> são calibrados e validados rigorosamente em estudos científicos para fornecer medições altamente precisas e confiáveis.</w:t>
      </w:r>
    </w:p>
    <w:p w14:paraId="7E1E50CF" w14:textId="77777777" w:rsidR="00956B43" w:rsidRDefault="00956B43" w:rsidP="00956B43">
      <w:pPr>
        <w:spacing w:line="360" w:lineRule="auto"/>
        <w:jc w:val="both"/>
        <w:rPr>
          <w:rFonts w:ascii="Times New Roman" w:hAnsi="Times New Roman" w:cs="Times New Roman"/>
          <w:bCs/>
        </w:rPr>
      </w:pPr>
    </w:p>
    <w:p w14:paraId="6C0F0CB5"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Design ergonômico: Os modelos científicos geralmente possuem um design ergonômico que facilita o manuseio e a medição, garantindo a consistência dos resultados entre diferentes avaliadores.</w:t>
      </w:r>
    </w:p>
    <w:p w14:paraId="1867712B" w14:textId="77777777" w:rsidR="00956B43" w:rsidRDefault="00956B43" w:rsidP="00956B43">
      <w:pPr>
        <w:spacing w:line="360" w:lineRule="auto"/>
        <w:jc w:val="both"/>
        <w:rPr>
          <w:rFonts w:ascii="Times New Roman" w:hAnsi="Times New Roman" w:cs="Times New Roman"/>
          <w:bCs/>
        </w:rPr>
      </w:pPr>
    </w:p>
    <w:p w14:paraId="536D4A5F"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ab/>
        <w:t xml:space="preserve">A </w:t>
      </w:r>
      <w:proofErr w:type="spellStart"/>
      <w:r>
        <w:rPr>
          <w:rFonts w:ascii="Times New Roman" w:hAnsi="Times New Roman" w:cs="Times New Roman"/>
          <w:bCs/>
          <w:i/>
          <w:iCs/>
        </w:rPr>
        <w:t>International</w:t>
      </w:r>
      <w:proofErr w:type="spellEnd"/>
      <w:r>
        <w:rPr>
          <w:rFonts w:ascii="Times New Roman" w:hAnsi="Times New Roman" w:cs="Times New Roman"/>
          <w:bCs/>
          <w:i/>
          <w:iCs/>
        </w:rPr>
        <w:t xml:space="preserve"> Society for </w:t>
      </w:r>
      <w:proofErr w:type="spellStart"/>
      <w:r>
        <w:rPr>
          <w:rFonts w:ascii="Times New Roman" w:hAnsi="Times New Roman" w:cs="Times New Roman"/>
          <w:bCs/>
          <w:i/>
          <w:iCs/>
        </w:rPr>
        <w:t>the</w:t>
      </w:r>
      <w:proofErr w:type="spellEnd"/>
      <w:r>
        <w:rPr>
          <w:rFonts w:ascii="Times New Roman" w:hAnsi="Times New Roman" w:cs="Times New Roman"/>
          <w:bCs/>
          <w:i/>
          <w:iCs/>
        </w:rPr>
        <w:t xml:space="preserve"> </w:t>
      </w:r>
      <w:proofErr w:type="spellStart"/>
      <w:r>
        <w:rPr>
          <w:rFonts w:ascii="Times New Roman" w:hAnsi="Times New Roman" w:cs="Times New Roman"/>
          <w:bCs/>
          <w:i/>
          <w:iCs/>
        </w:rPr>
        <w:t>Advancement</w:t>
      </w:r>
      <w:proofErr w:type="spellEnd"/>
      <w:r>
        <w:rPr>
          <w:rFonts w:ascii="Times New Roman" w:hAnsi="Times New Roman" w:cs="Times New Roman"/>
          <w:bCs/>
          <w:i/>
          <w:iCs/>
        </w:rPr>
        <w:t xml:space="preserve"> </w:t>
      </w:r>
      <w:proofErr w:type="spellStart"/>
      <w:r>
        <w:rPr>
          <w:rFonts w:ascii="Times New Roman" w:hAnsi="Times New Roman" w:cs="Times New Roman"/>
          <w:bCs/>
          <w:i/>
          <w:iCs/>
        </w:rPr>
        <w:t>of</w:t>
      </w:r>
      <w:proofErr w:type="spellEnd"/>
      <w:r>
        <w:rPr>
          <w:rFonts w:ascii="Times New Roman" w:hAnsi="Times New Roman" w:cs="Times New Roman"/>
          <w:bCs/>
          <w:i/>
          <w:iCs/>
        </w:rPr>
        <w:t xml:space="preserve"> </w:t>
      </w:r>
      <w:proofErr w:type="spellStart"/>
      <w:r>
        <w:rPr>
          <w:rFonts w:ascii="Times New Roman" w:hAnsi="Times New Roman" w:cs="Times New Roman"/>
          <w:bCs/>
          <w:i/>
          <w:iCs/>
        </w:rPr>
        <w:t>Kinanthropometry</w:t>
      </w:r>
      <w:proofErr w:type="spellEnd"/>
      <w:r>
        <w:rPr>
          <w:rFonts w:ascii="Times New Roman" w:hAnsi="Times New Roman" w:cs="Times New Roman"/>
          <w:bCs/>
          <w:i/>
          <w:iCs/>
        </w:rPr>
        <w:t xml:space="preserve"> </w:t>
      </w:r>
      <w:r>
        <w:rPr>
          <w:rFonts w:ascii="Times New Roman" w:hAnsi="Times New Roman" w:cs="Times New Roman"/>
          <w:bCs/>
        </w:rPr>
        <w:t xml:space="preserve">(ISAK) o órgão internacional que estabelece padrões para a prática da </w:t>
      </w:r>
      <w:proofErr w:type="spellStart"/>
      <w:r>
        <w:rPr>
          <w:rFonts w:ascii="Times New Roman" w:hAnsi="Times New Roman" w:cs="Times New Roman"/>
          <w:bCs/>
        </w:rPr>
        <w:t>cinantropometria</w:t>
      </w:r>
      <w:proofErr w:type="spellEnd"/>
      <w:r>
        <w:rPr>
          <w:rFonts w:ascii="Times New Roman" w:hAnsi="Times New Roman" w:cs="Times New Roman"/>
          <w:bCs/>
        </w:rPr>
        <w:t xml:space="preserve">, incluindo a medição da composição corporal usando </w:t>
      </w:r>
      <w:proofErr w:type="spellStart"/>
      <w:r>
        <w:rPr>
          <w:rFonts w:ascii="Times New Roman" w:hAnsi="Times New Roman" w:cs="Times New Roman"/>
          <w:bCs/>
        </w:rPr>
        <w:t>adipômetros</w:t>
      </w:r>
      <w:proofErr w:type="spellEnd"/>
      <w:r>
        <w:rPr>
          <w:rFonts w:ascii="Times New Roman" w:hAnsi="Times New Roman" w:cs="Times New Roman"/>
          <w:bCs/>
        </w:rPr>
        <w:t xml:space="preserve">. As marcas que produzem </w:t>
      </w:r>
      <w:proofErr w:type="spellStart"/>
      <w:r>
        <w:rPr>
          <w:rFonts w:ascii="Times New Roman" w:hAnsi="Times New Roman" w:cs="Times New Roman"/>
          <w:bCs/>
        </w:rPr>
        <w:t>adipômetros</w:t>
      </w:r>
      <w:proofErr w:type="spellEnd"/>
      <w:r>
        <w:rPr>
          <w:rFonts w:ascii="Times New Roman" w:hAnsi="Times New Roman" w:cs="Times New Roman"/>
          <w:bCs/>
        </w:rPr>
        <w:t xml:space="preserve"> científicos com a melhor precisão de acordo com as normas ISAK geralmente são bem conhecidas na comunidade científica e atendem a rigorosos critérios de validade e confiabilidade. Algumas das marcas bem reconhecidas e mencionadas por esta sociedade incluem:</w:t>
      </w:r>
    </w:p>
    <w:p w14:paraId="22CB10DB" w14:textId="77777777" w:rsidR="00956B43" w:rsidRDefault="00956B43" w:rsidP="00956B43">
      <w:pPr>
        <w:pStyle w:val="PargrafodaLista"/>
        <w:spacing w:line="360" w:lineRule="auto"/>
        <w:jc w:val="both"/>
        <w:rPr>
          <w:rFonts w:ascii="Times New Roman" w:hAnsi="Times New Roman" w:cs="Times New Roman"/>
          <w:bCs/>
          <w:szCs w:val="24"/>
        </w:rPr>
      </w:pPr>
    </w:p>
    <w:p w14:paraId="63525C13" w14:textId="77777777" w:rsidR="00956B43" w:rsidRDefault="00956B43" w:rsidP="00956B43">
      <w:pPr>
        <w:pStyle w:val="PargrafodaLista"/>
        <w:spacing w:line="360" w:lineRule="auto"/>
        <w:jc w:val="both"/>
        <w:rPr>
          <w:rFonts w:ascii="Times New Roman" w:hAnsi="Times New Roman" w:cs="Times New Roman"/>
          <w:bCs/>
          <w:szCs w:val="24"/>
        </w:rPr>
      </w:pPr>
      <w:r>
        <w:rPr>
          <w:rFonts w:ascii="Times New Roman" w:hAnsi="Times New Roman" w:cs="Times New Roman"/>
          <w:bCs/>
          <w:szCs w:val="24"/>
        </w:rPr>
        <w:t>- Harpenden: é um dos modelos mais conhecidos e frequentemente considerado como uma referência em medições antropométricas. É amplamente utilizado em pesquisas científicas e estudos acadêmicos.</w:t>
      </w:r>
    </w:p>
    <w:p w14:paraId="69A33FC8" w14:textId="77777777" w:rsidR="00956B43" w:rsidRDefault="00956B43" w:rsidP="00956B43">
      <w:pPr>
        <w:pStyle w:val="PargrafodaLista"/>
        <w:spacing w:line="360" w:lineRule="auto"/>
        <w:jc w:val="both"/>
        <w:rPr>
          <w:rFonts w:ascii="Times New Roman" w:hAnsi="Times New Roman" w:cs="Times New Roman"/>
          <w:bCs/>
          <w:szCs w:val="24"/>
        </w:rPr>
      </w:pPr>
    </w:p>
    <w:p w14:paraId="36D2D7AA" w14:textId="77777777" w:rsidR="00956B43" w:rsidRDefault="00956B43" w:rsidP="00956B43">
      <w:pPr>
        <w:pStyle w:val="PargrafodaLista"/>
        <w:spacing w:line="360" w:lineRule="auto"/>
        <w:jc w:val="both"/>
        <w:rPr>
          <w:rFonts w:ascii="Times New Roman" w:hAnsi="Times New Roman" w:cs="Times New Roman"/>
          <w:bCs/>
          <w:szCs w:val="24"/>
        </w:rPr>
      </w:pPr>
      <w:r>
        <w:rPr>
          <w:rFonts w:ascii="Times New Roman" w:hAnsi="Times New Roman" w:cs="Times New Roman"/>
          <w:bCs/>
          <w:szCs w:val="24"/>
        </w:rPr>
        <w:t xml:space="preserve">- </w:t>
      </w:r>
      <w:proofErr w:type="spellStart"/>
      <w:r>
        <w:rPr>
          <w:rFonts w:ascii="Times New Roman" w:hAnsi="Times New Roman" w:cs="Times New Roman"/>
          <w:bCs/>
          <w:szCs w:val="24"/>
        </w:rPr>
        <w:t>Cescorf</w:t>
      </w:r>
      <w:proofErr w:type="spellEnd"/>
      <w:r>
        <w:rPr>
          <w:rFonts w:ascii="Times New Roman" w:hAnsi="Times New Roman" w:cs="Times New Roman"/>
          <w:bCs/>
          <w:szCs w:val="24"/>
        </w:rPr>
        <w:t xml:space="preserve">: também é conhecida por produzir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científicos com qualidade e precisão, sendo utilizada em estudos e práticas profissionais em diversos países. A </w:t>
      </w:r>
      <w:proofErr w:type="spellStart"/>
      <w:r>
        <w:rPr>
          <w:rFonts w:ascii="Times New Roman" w:hAnsi="Times New Roman" w:cs="Times New Roman"/>
          <w:bCs/>
          <w:szCs w:val="24"/>
        </w:rPr>
        <w:t>Cescorf</w:t>
      </w:r>
      <w:proofErr w:type="spellEnd"/>
      <w:r>
        <w:rPr>
          <w:rFonts w:ascii="Times New Roman" w:hAnsi="Times New Roman" w:cs="Times New Roman"/>
          <w:bCs/>
          <w:szCs w:val="24"/>
        </w:rPr>
        <w:t xml:space="preserve"> é a única fabricante Latino-Americana com </w:t>
      </w:r>
      <w:proofErr w:type="spellStart"/>
      <w:r>
        <w:rPr>
          <w:rFonts w:ascii="Times New Roman" w:hAnsi="Times New Roman" w:cs="Times New Roman"/>
          <w:bCs/>
          <w:szCs w:val="24"/>
        </w:rPr>
        <w:t>aprovação</w:t>
      </w:r>
      <w:proofErr w:type="spellEnd"/>
      <w:r>
        <w:rPr>
          <w:rFonts w:ascii="Times New Roman" w:hAnsi="Times New Roman" w:cs="Times New Roman"/>
          <w:bCs/>
          <w:szCs w:val="24"/>
        </w:rPr>
        <w:t xml:space="preserve"> pela ISAK.</w:t>
      </w:r>
    </w:p>
    <w:p w14:paraId="51A85FD6" w14:textId="77777777" w:rsidR="00956B43" w:rsidRDefault="00956B43" w:rsidP="00956B43">
      <w:pPr>
        <w:pStyle w:val="PargrafodaLista"/>
        <w:spacing w:line="360" w:lineRule="auto"/>
        <w:jc w:val="both"/>
        <w:rPr>
          <w:rFonts w:ascii="Times New Roman" w:hAnsi="Times New Roman" w:cs="Times New Roman"/>
          <w:bCs/>
          <w:szCs w:val="24"/>
        </w:rPr>
      </w:pPr>
    </w:p>
    <w:p w14:paraId="43716EBB" w14:textId="77777777" w:rsidR="00956B43" w:rsidRDefault="00956B43" w:rsidP="00956B43">
      <w:pPr>
        <w:pStyle w:val="PargrafodaLista"/>
        <w:spacing w:line="360" w:lineRule="auto"/>
        <w:jc w:val="both"/>
        <w:rPr>
          <w:rFonts w:ascii="Times New Roman" w:hAnsi="Times New Roman" w:cs="Times New Roman"/>
          <w:bCs/>
          <w:szCs w:val="24"/>
        </w:rPr>
      </w:pPr>
      <w:r>
        <w:rPr>
          <w:rFonts w:ascii="Times New Roman" w:hAnsi="Times New Roman" w:cs="Times New Roman"/>
          <w:bCs/>
          <w:szCs w:val="24"/>
        </w:rPr>
        <w:tab/>
        <w:t xml:space="preserve">Em resumo, a utilização de </w:t>
      </w:r>
      <w:proofErr w:type="spellStart"/>
      <w:r>
        <w:rPr>
          <w:rFonts w:ascii="Times New Roman" w:hAnsi="Times New Roman" w:cs="Times New Roman"/>
          <w:bCs/>
          <w:szCs w:val="24"/>
        </w:rPr>
        <w:t>adipômetros</w:t>
      </w:r>
      <w:proofErr w:type="spellEnd"/>
      <w:r>
        <w:rPr>
          <w:rFonts w:ascii="Times New Roman" w:hAnsi="Times New Roman" w:cs="Times New Roman"/>
          <w:bCs/>
          <w:szCs w:val="24"/>
        </w:rPr>
        <w:t xml:space="preserve"> cientificamente validados é crucial para garantir que a avaliação antropométrica seja precisa, confiável e baseada em evidências científicas. Isso possibilita uma melhor compreensão da composição corporal dos indivíduos e é valioso em contextos de pesquisa, saúde, esportes e nutrição.</w:t>
      </w:r>
    </w:p>
    <w:p w14:paraId="71B1DB8A" w14:textId="77777777" w:rsidR="00956B43" w:rsidRDefault="00956B43" w:rsidP="00956B43">
      <w:pPr>
        <w:pStyle w:val="PargrafodaLista"/>
        <w:spacing w:line="360" w:lineRule="auto"/>
        <w:jc w:val="both"/>
        <w:rPr>
          <w:rFonts w:ascii="Times New Roman" w:hAnsi="Times New Roman" w:cs="Times New Roman"/>
          <w:bCs/>
          <w:szCs w:val="24"/>
        </w:rPr>
      </w:pPr>
      <w:r>
        <w:rPr>
          <w:rFonts w:ascii="Times New Roman" w:hAnsi="Times New Roman" w:cs="Times New Roman"/>
          <w:bCs/>
          <w:szCs w:val="24"/>
        </w:rPr>
        <w:lastRenderedPageBreak/>
        <w:tab/>
        <w:t xml:space="preserve">Diante do exposto, indicamos a aquisição do </w:t>
      </w:r>
      <w:proofErr w:type="spellStart"/>
      <w:r>
        <w:rPr>
          <w:rFonts w:ascii="Times New Roman" w:hAnsi="Times New Roman" w:cs="Times New Roman"/>
          <w:bCs/>
          <w:szCs w:val="24"/>
        </w:rPr>
        <w:t>adipômetro</w:t>
      </w:r>
      <w:proofErr w:type="spellEnd"/>
      <w:r>
        <w:rPr>
          <w:rFonts w:ascii="Times New Roman" w:hAnsi="Times New Roman" w:cs="Times New Roman"/>
          <w:bCs/>
          <w:szCs w:val="24"/>
        </w:rPr>
        <w:t xml:space="preserve"> científico </w:t>
      </w:r>
      <w:proofErr w:type="spellStart"/>
      <w:r>
        <w:rPr>
          <w:rFonts w:ascii="Times New Roman" w:hAnsi="Times New Roman" w:cs="Times New Roman"/>
          <w:bCs/>
          <w:szCs w:val="24"/>
        </w:rPr>
        <w:t>Cescorf</w:t>
      </w:r>
      <w:proofErr w:type="spellEnd"/>
      <w:r>
        <w:rPr>
          <w:rFonts w:ascii="Times New Roman" w:hAnsi="Times New Roman" w:cs="Times New Roman"/>
          <w:bCs/>
          <w:szCs w:val="24"/>
        </w:rPr>
        <w:t xml:space="preserve"> no presente processo.</w:t>
      </w:r>
    </w:p>
    <w:p w14:paraId="4F4034A5" w14:textId="77777777" w:rsidR="00956B43" w:rsidRDefault="00956B43" w:rsidP="00956B43">
      <w:pPr>
        <w:pStyle w:val="PargrafodaLista"/>
        <w:spacing w:line="360" w:lineRule="auto"/>
        <w:jc w:val="both"/>
        <w:rPr>
          <w:rFonts w:ascii="Times New Roman" w:hAnsi="Times New Roman" w:cs="Times New Roman"/>
          <w:bCs/>
          <w:szCs w:val="24"/>
        </w:rPr>
      </w:pPr>
    </w:p>
    <w:p w14:paraId="6D306CFD" w14:textId="77777777" w:rsidR="00956B43" w:rsidRDefault="00956B43" w:rsidP="00956B43">
      <w:pPr>
        <w:pStyle w:val="PargrafodaLista"/>
        <w:numPr>
          <w:ilvl w:val="0"/>
          <w:numId w:val="12"/>
        </w:numPr>
        <w:tabs>
          <w:tab w:val="left" w:pos="971"/>
        </w:tabs>
        <w:spacing w:line="360" w:lineRule="auto"/>
        <w:ind w:left="57" w:firstLine="624"/>
        <w:jc w:val="both"/>
      </w:pPr>
      <w:r>
        <w:rPr>
          <w:rFonts w:ascii="Times New Roman" w:hAnsi="Times New Roman" w:cs="Times New Roman"/>
          <w:bCs/>
          <w:szCs w:val="24"/>
        </w:rPr>
        <w:t xml:space="preserve">Trena antropométrica – utilizada para a medição de perímetros, bem como dos pontos antropométricos para futuras avaliações da dobra cutânea. A trena deve ser inelástica, flexível, com uma espessura de no mínimo 7 mm e um espaço sem graduar (zona neutra) de pelo menos 4 cm antes do zero. Se recomenda uma capacidade mínima de 1,5m. Deve estar calibrada em centímetros com graduações em milímetros. Fitas de fibra de vidro tendem a alargar com o tempo. Dessa forma, </w:t>
      </w:r>
      <w:proofErr w:type="gramStart"/>
      <w:r>
        <w:rPr>
          <w:rFonts w:ascii="Times New Roman" w:hAnsi="Times New Roman" w:cs="Times New Roman"/>
          <w:bCs/>
          <w:szCs w:val="24"/>
        </w:rPr>
        <w:t>a fita metálica inelástica mantem</w:t>
      </w:r>
      <w:proofErr w:type="gramEnd"/>
      <w:r>
        <w:rPr>
          <w:rFonts w:ascii="Times New Roman" w:hAnsi="Times New Roman" w:cs="Times New Roman"/>
          <w:bCs/>
          <w:szCs w:val="24"/>
        </w:rPr>
        <w:t xml:space="preserve"> com mais </w:t>
      </w:r>
      <w:proofErr w:type="spellStart"/>
      <w:r>
        <w:rPr>
          <w:rFonts w:ascii="Times New Roman" w:hAnsi="Times New Roman" w:cs="Times New Roman"/>
          <w:bCs/>
          <w:szCs w:val="24"/>
        </w:rPr>
        <w:t>regulariudade</w:t>
      </w:r>
      <w:proofErr w:type="spellEnd"/>
      <w:r>
        <w:rPr>
          <w:rFonts w:ascii="Times New Roman" w:hAnsi="Times New Roman" w:cs="Times New Roman"/>
          <w:bCs/>
          <w:szCs w:val="24"/>
        </w:rPr>
        <w:t xml:space="preserve"> a constância de seus valores. A fita deve estar guardada em um estojo e ter uma retração automática.</w:t>
      </w:r>
    </w:p>
    <w:p w14:paraId="75D217F3" w14:textId="77777777" w:rsidR="00956B43" w:rsidRDefault="00956B43" w:rsidP="00956B43">
      <w:pPr>
        <w:pStyle w:val="PargrafodaLista"/>
        <w:tabs>
          <w:tab w:val="left" w:pos="971"/>
        </w:tabs>
        <w:spacing w:line="360" w:lineRule="auto"/>
        <w:ind w:left="777"/>
        <w:jc w:val="both"/>
        <w:rPr>
          <w:rFonts w:ascii="Times New Roman" w:hAnsi="Times New Roman" w:cs="Times New Roman"/>
          <w:bCs/>
          <w:szCs w:val="24"/>
        </w:rPr>
      </w:pPr>
    </w:p>
    <w:p w14:paraId="17EDB0CD" w14:textId="77777777" w:rsidR="00956B43" w:rsidRDefault="00956B43" w:rsidP="00956B43">
      <w:pPr>
        <w:pStyle w:val="PargrafodaLista"/>
        <w:numPr>
          <w:ilvl w:val="0"/>
          <w:numId w:val="12"/>
        </w:numPr>
        <w:tabs>
          <w:tab w:val="left" w:pos="971"/>
        </w:tabs>
        <w:spacing w:line="360" w:lineRule="auto"/>
        <w:ind w:left="0" w:firstLine="680"/>
        <w:jc w:val="both"/>
      </w:pPr>
      <w:proofErr w:type="spellStart"/>
      <w:r>
        <w:rPr>
          <w:rFonts w:ascii="Times New Roman" w:hAnsi="Times New Roman" w:cs="Times New Roman"/>
          <w:bCs/>
          <w:szCs w:val="24"/>
        </w:rPr>
        <w:t>Estadiômetro</w:t>
      </w:r>
      <w:proofErr w:type="spellEnd"/>
      <w:r>
        <w:rPr>
          <w:rFonts w:ascii="Times New Roman" w:hAnsi="Times New Roman" w:cs="Times New Roman"/>
          <w:bCs/>
          <w:szCs w:val="24"/>
        </w:rPr>
        <w:t xml:space="preserve"> – utilizado para a medição da estatura. Deve ter uma amplitude de medida mínima de 60 a 220cm e precisão de 0,1 cm. Deve haver uma haste flexível móvel (de pelo menos 6 cm de largura) até o </w:t>
      </w:r>
      <w:proofErr w:type="spellStart"/>
      <w:r>
        <w:rPr>
          <w:rFonts w:ascii="Times New Roman" w:hAnsi="Times New Roman" w:cs="Times New Roman"/>
          <w:bCs/>
          <w:szCs w:val="24"/>
        </w:rPr>
        <w:t>vértex</w:t>
      </w:r>
      <w:proofErr w:type="spellEnd"/>
      <w:r>
        <w:rPr>
          <w:rFonts w:ascii="Times New Roman" w:hAnsi="Times New Roman" w:cs="Times New Roman"/>
          <w:bCs/>
          <w:szCs w:val="24"/>
        </w:rPr>
        <w:t xml:space="preserve"> da cabeça. </w:t>
      </w:r>
    </w:p>
    <w:p w14:paraId="14A47521" w14:textId="77777777" w:rsidR="00956B43" w:rsidRDefault="00956B43" w:rsidP="00956B43">
      <w:pPr>
        <w:pStyle w:val="PargrafodaLista"/>
        <w:spacing w:line="360" w:lineRule="auto"/>
        <w:jc w:val="both"/>
        <w:rPr>
          <w:rFonts w:ascii="Times New Roman" w:hAnsi="Times New Roman" w:cs="Times New Roman"/>
          <w:bCs/>
          <w:szCs w:val="24"/>
        </w:rPr>
      </w:pPr>
    </w:p>
    <w:p w14:paraId="042E1F80" w14:textId="77777777" w:rsidR="00956B43" w:rsidRDefault="00956B43" w:rsidP="00956B43">
      <w:pPr>
        <w:spacing w:line="360" w:lineRule="auto"/>
        <w:jc w:val="both"/>
        <w:rPr>
          <w:rFonts w:ascii="Times New Roman" w:hAnsi="Times New Roman" w:cs="Times New Roman"/>
          <w:bCs/>
        </w:rPr>
      </w:pPr>
      <w:r>
        <w:rPr>
          <w:rFonts w:ascii="Times New Roman" w:hAnsi="Times New Roman" w:cs="Times New Roman"/>
          <w:bCs/>
        </w:rPr>
        <w:tab/>
        <w:t xml:space="preserve">O presente material permanente será utilizado para a coleta de dados de pesquisa clínica aprovada por Comitê de Ética em Pesquisa e financiado por Edital Pro Pesquisa do Exército Brasileiro. A finalidade do projeto é a elaboração de Trabalho de Conclusão de Curso da Residência Multiprofissional em Oncologia, bem como a elaboração de artigo científico. </w:t>
      </w:r>
    </w:p>
    <w:p w14:paraId="787B20ED" w14:textId="77777777" w:rsidR="00956B43" w:rsidRDefault="00956B43" w:rsidP="00956B43">
      <w:pPr>
        <w:spacing w:line="360" w:lineRule="auto"/>
        <w:ind w:firstLine="720"/>
        <w:jc w:val="both"/>
        <w:rPr>
          <w:rFonts w:ascii="Times New Roman" w:hAnsi="Times New Roman" w:cs="Times New Roman"/>
          <w:bCs/>
        </w:rPr>
      </w:pPr>
      <w:r>
        <w:rPr>
          <w:rFonts w:ascii="Times New Roman" w:hAnsi="Times New Roman" w:cs="Times New Roman"/>
          <w:bCs/>
        </w:rPr>
        <w:t xml:space="preserve">Dessa forma, uma vez que os dados coletados precisam ser comparáveis com a literatura científica internacional, utilizando equipamentos validados, além de seguir o disposto pelo protocolo da </w:t>
      </w:r>
      <w:r>
        <w:rPr>
          <w:rFonts w:ascii="Times New Roman" w:hAnsi="Times New Roman" w:cs="Times New Roman"/>
          <w:bCs/>
          <w:i/>
          <w:iCs/>
        </w:rPr>
        <w:t xml:space="preserve">The </w:t>
      </w:r>
      <w:proofErr w:type="spellStart"/>
      <w:r>
        <w:rPr>
          <w:rFonts w:ascii="Times New Roman" w:hAnsi="Times New Roman" w:cs="Times New Roman"/>
          <w:bCs/>
          <w:i/>
          <w:iCs/>
        </w:rPr>
        <w:t>International</w:t>
      </w:r>
      <w:proofErr w:type="spellEnd"/>
      <w:r>
        <w:rPr>
          <w:rFonts w:ascii="Times New Roman" w:hAnsi="Times New Roman" w:cs="Times New Roman"/>
          <w:bCs/>
          <w:i/>
          <w:iCs/>
        </w:rPr>
        <w:t xml:space="preserve"> Society for </w:t>
      </w:r>
      <w:proofErr w:type="spellStart"/>
      <w:r>
        <w:rPr>
          <w:rFonts w:ascii="Times New Roman" w:hAnsi="Times New Roman" w:cs="Times New Roman"/>
          <w:bCs/>
          <w:i/>
          <w:iCs/>
        </w:rPr>
        <w:t>the</w:t>
      </w:r>
      <w:proofErr w:type="spellEnd"/>
      <w:r>
        <w:rPr>
          <w:rFonts w:ascii="Times New Roman" w:hAnsi="Times New Roman" w:cs="Times New Roman"/>
          <w:bCs/>
          <w:i/>
          <w:iCs/>
        </w:rPr>
        <w:t xml:space="preserve"> </w:t>
      </w:r>
      <w:proofErr w:type="spellStart"/>
      <w:r>
        <w:rPr>
          <w:rFonts w:ascii="Times New Roman" w:hAnsi="Times New Roman" w:cs="Times New Roman"/>
          <w:bCs/>
          <w:i/>
          <w:iCs/>
        </w:rPr>
        <w:t>Advancement</w:t>
      </w:r>
      <w:proofErr w:type="spellEnd"/>
      <w:r>
        <w:rPr>
          <w:rFonts w:ascii="Times New Roman" w:hAnsi="Times New Roman" w:cs="Times New Roman"/>
          <w:bCs/>
          <w:i/>
          <w:iCs/>
        </w:rPr>
        <w:t xml:space="preserve"> </w:t>
      </w:r>
      <w:proofErr w:type="spellStart"/>
      <w:r>
        <w:rPr>
          <w:rFonts w:ascii="Times New Roman" w:hAnsi="Times New Roman" w:cs="Times New Roman"/>
          <w:bCs/>
          <w:i/>
          <w:iCs/>
        </w:rPr>
        <w:t>of</w:t>
      </w:r>
      <w:proofErr w:type="spellEnd"/>
      <w:r>
        <w:rPr>
          <w:rFonts w:ascii="Times New Roman" w:hAnsi="Times New Roman" w:cs="Times New Roman"/>
          <w:bCs/>
          <w:i/>
          <w:iCs/>
        </w:rPr>
        <w:t xml:space="preserve"> </w:t>
      </w:r>
      <w:proofErr w:type="spellStart"/>
      <w:r>
        <w:rPr>
          <w:rFonts w:ascii="Times New Roman" w:hAnsi="Times New Roman" w:cs="Times New Roman"/>
          <w:bCs/>
          <w:i/>
          <w:iCs/>
        </w:rPr>
        <w:t>Kinanthropometry</w:t>
      </w:r>
      <w:proofErr w:type="spellEnd"/>
      <w:r>
        <w:rPr>
          <w:rFonts w:ascii="Times New Roman" w:hAnsi="Times New Roman" w:cs="Times New Roman"/>
          <w:bCs/>
          <w:i/>
          <w:iCs/>
        </w:rPr>
        <w:t xml:space="preserve"> </w:t>
      </w:r>
      <w:r>
        <w:rPr>
          <w:rFonts w:ascii="Times New Roman" w:hAnsi="Times New Roman" w:cs="Times New Roman"/>
          <w:bCs/>
        </w:rPr>
        <w:t xml:space="preserve">(ISAK) sobre as especificações técnicas dos equipamentos antropométricos, reforçamos a importância de se adquirir o material segundo às especificações descritas acima. É importante escolher </w:t>
      </w:r>
      <w:proofErr w:type="gramStart"/>
      <w:r>
        <w:rPr>
          <w:rFonts w:ascii="Times New Roman" w:hAnsi="Times New Roman" w:cs="Times New Roman"/>
          <w:bCs/>
        </w:rPr>
        <w:t>um modelos</w:t>
      </w:r>
      <w:proofErr w:type="gramEnd"/>
      <w:r>
        <w:rPr>
          <w:rFonts w:ascii="Times New Roman" w:hAnsi="Times New Roman" w:cs="Times New Roman"/>
          <w:bCs/>
        </w:rPr>
        <w:t xml:space="preserve"> cientificamente validado e de qualidade para garantir medições precisas e confiáveis, possibilitando uma avaliação mais acurada da composição corporal dos indivíduos. </w:t>
      </w:r>
    </w:p>
    <w:p w14:paraId="26AB237A" w14:textId="77777777" w:rsidR="00956B43" w:rsidRDefault="00956B43" w:rsidP="00956B43">
      <w:pPr>
        <w:spacing w:line="360" w:lineRule="auto"/>
        <w:jc w:val="both"/>
      </w:pPr>
    </w:p>
    <w:p w14:paraId="0E7CD112" w14:textId="77777777" w:rsidR="00956B43" w:rsidRDefault="00956B43" w:rsidP="00956B43">
      <w:pPr>
        <w:spacing w:line="360" w:lineRule="auto"/>
        <w:jc w:val="both"/>
        <w:rPr>
          <w:rFonts w:ascii="Times New Roman" w:hAnsi="Times New Roman" w:cs="Times New Roman"/>
          <w:bCs/>
        </w:rPr>
      </w:pPr>
      <w:r>
        <w:rPr>
          <w:rFonts w:ascii="Times New Roman" w:eastAsia="Calibri" w:hAnsi="Times New Roman" w:cs="Times New Roman"/>
          <w:bCs/>
          <w:lang w:val="pt-PT" w:eastAsia="pt-BR" w:bidi="ar-SA"/>
        </w:rPr>
        <w:t>Referências:</w:t>
      </w:r>
    </w:p>
    <w:p w14:paraId="656D5988" w14:textId="77777777" w:rsidR="00956B43" w:rsidRDefault="00956B43" w:rsidP="00956B43">
      <w:pPr>
        <w:spacing w:line="360" w:lineRule="auto"/>
        <w:jc w:val="both"/>
        <w:rPr>
          <w:rFonts w:ascii="Times New Roman" w:hAnsi="Times New Roman" w:cs="Times New Roman"/>
          <w:bCs/>
        </w:rPr>
      </w:pPr>
      <w:r>
        <w:rPr>
          <w:rFonts w:ascii="Times New Roman" w:eastAsia="Calibri" w:hAnsi="Times New Roman" w:cs="Times New Roman"/>
          <w:bCs/>
          <w:lang w:val="pt-PT" w:eastAsia="pt-BR" w:bidi="ar-SA"/>
        </w:rPr>
        <w:t>Cordeiro et al. Comparação entre diferentes adipômetros na medida de espessura de dobras cutâneas em crianças e adolescentes do gênero masculino. Revista Brasileira de Prescrição e Fisiologia do Exercício (2016) 10, 62, 767-772.</w:t>
      </w:r>
    </w:p>
    <w:p w14:paraId="2F10A6E0" w14:textId="77777777" w:rsidR="00956B43" w:rsidRDefault="00956B43" w:rsidP="00956B43">
      <w:pPr>
        <w:spacing w:line="360" w:lineRule="auto"/>
        <w:jc w:val="both"/>
        <w:rPr>
          <w:rFonts w:ascii="Times New Roman" w:hAnsi="Times New Roman" w:cs="Times New Roman"/>
          <w:bCs/>
        </w:rPr>
      </w:pPr>
    </w:p>
    <w:p w14:paraId="2CDEAB81" w14:textId="77777777" w:rsidR="00956B43" w:rsidRDefault="00956B43" w:rsidP="00956B43">
      <w:pPr>
        <w:spacing w:line="360" w:lineRule="auto"/>
        <w:jc w:val="both"/>
        <w:rPr>
          <w:rFonts w:ascii="Times New Roman" w:hAnsi="Times New Roman" w:cs="Times New Roman"/>
          <w:bCs/>
        </w:rPr>
      </w:pPr>
      <w:r>
        <w:rPr>
          <w:rFonts w:ascii="Times New Roman" w:eastAsia="Calibri" w:hAnsi="Times New Roman" w:cs="Times New Roman"/>
          <w:bCs/>
          <w:lang w:val="pt-PT" w:eastAsia="pt-BR" w:bidi="ar-SA"/>
        </w:rPr>
        <w:t xml:space="preserve">Okano et al. Utilização do adipômetro Cescorf para estimativa da gordura corporal relativa a </w:t>
      </w:r>
      <w:r>
        <w:rPr>
          <w:rFonts w:ascii="Times New Roman" w:eastAsia="Calibri" w:hAnsi="Times New Roman" w:cs="Times New Roman"/>
          <w:bCs/>
          <w:lang w:val="pt-PT" w:eastAsia="pt-BR" w:bidi="ar-SA"/>
        </w:rPr>
        <w:lastRenderedPageBreak/>
        <w:t xml:space="preserve">partir de equações validadas com o adipômetro Lange. Revista da Educação Física (2008), 19, 3, 431-436. </w:t>
      </w:r>
    </w:p>
    <w:p w14:paraId="75663C51" w14:textId="77777777" w:rsidR="00956B43" w:rsidRDefault="00956B43" w:rsidP="00956B43">
      <w:pPr>
        <w:spacing w:line="360" w:lineRule="auto"/>
        <w:jc w:val="both"/>
        <w:rPr>
          <w:rFonts w:ascii="Times New Roman" w:hAnsi="Times New Roman" w:cs="Times New Roman"/>
          <w:bCs/>
        </w:rPr>
      </w:pPr>
    </w:p>
    <w:p w14:paraId="6E24E210" w14:textId="77777777" w:rsidR="00956B43" w:rsidRDefault="00956B43" w:rsidP="00956B43">
      <w:pPr>
        <w:spacing w:line="360" w:lineRule="auto"/>
        <w:jc w:val="both"/>
        <w:rPr>
          <w:rFonts w:ascii="Times New Roman" w:hAnsi="Times New Roman" w:cs="Times New Roman"/>
          <w:bCs/>
        </w:rPr>
      </w:pPr>
      <w:r>
        <w:rPr>
          <w:rFonts w:ascii="Times New Roman" w:eastAsia="Calibri" w:hAnsi="Times New Roman" w:cs="Times New Roman"/>
          <w:bCs/>
          <w:lang w:val="pt-PT" w:eastAsia="pt-BR" w:bidi="ar-SA"/>
        </w:rPr>
        <w:t>Ribeiro et al. Erro técnico de medida em antropometria: análise de precisão e exatidão em diferentes plicômetros, Revista da Educação Física (2019) 88, 2, 810-817.</w:t>
      </w:r>
    </w:p>
    <w:p w14:paraId="18017CB9" w14:textId="77777777" w:rsidR="00956B43" w:rsidRDefault="00956B43" w:rsidP="00956B43">
      <w:pPr>
        <w:spacing w:line="360" w:lineRule="auto"/>
        <w:jc w:val="both"/>
        <w:rPr>
          <w:rFonts w:ascii="Times New Roman" w:hAnsi="Times New Roman" w:cs="Times New Roman"/>
          <w:bCs/>
        </w:rPr>
      </w:pPr>
    </w:p>
    <w:p w14:paraId="219C6383" w14:textId="3327D121" w:rsidR="00956B43" w:rsidRPr="00956B43" w:rsidRDefault="00956B43" w:rsidP="00956B43">
      <w:pPr>
        <w:spacing w:line="360" w:lineRule="auto"/>
        <w:jc w:val="both"/>
        <w:rPr>
          <w:rFonts w:ascii="Times New Roman" w:hAnsi="Times New Roman" w:cs="Times New Roman"/>
          <w:bCs/>
        </w:rPr>
      </w:pPr>
      <w:r>
        <w:rPr>
          <w:rFonts w:ascii="Times New Roman" w:eastAsia="Calibri" w:hAnsi="Times New Roman" w:cs="Times New Roman"/>
          <w:bCs/>
          <w:lang w:val="pt-PT" w:eastAsia="pt-BR" w:bidi="ar-SA"/>
        </w:rPr>
        <w:t>The International Society for the Advancement of Kinanthropometry. Protocolo internacional de avaliação antropométrica – Perfil completo (2019).</w:t>
      </w:r>
    </w:p>
    <w:p w14:paraId="1516C1C5" w14:textId="77777777" w:rsidR="004174A8" w:rsidRDefault="004174A8">
      <w:pPr>
        <w:pStyle w:val="Nvel2-Red"/>
        <w:spacing w:after="288" w:line="312" w:lineRule="auto"/>
        <w:ind w:left="360"/>
        <w:rPr>
          <w:rFonts w:ascii="Times New Roman" w:hAnsi="Times New Roman" w:cs="Times New Roman"/>
          <w:i w:val="0"/>
          <w:iCs w:val="0"/>
          <w:color w:val="000000"/>
          <w:sz w:val="22"/>
          <w:szCs w:val="22"/>
        </w:rPr>
      </w:pPr>
    </w:p>
    <w:p w14:paraId="02D7BC5F" w14:textId="77777777" w:rsidR="00957C99" w:rsidRDefault="008E5427">
      <w:pPr>
        <w:pStyle w:val="Nivel1"/>
        <w:numPr>
          <w:ilvl w:val="0"/>
          <w:numId w:val="2"/>
        </w:numPr>
        <w:ind w:left="0"/>
        <w:jc w:val="left"/>
        <w:rPr>
          <w:rFonts w:ascii="Times New Roman" w:hAnsi="Times New Roman" w:cs="Times New Roman"/>
          <w:sz w:val="22"/>
          <w:szCs w:val="22"/>
        </w:rPr>
      </w:pPr>
      <w:r>
        <w:rPr>
          <w:rFonts w:ascii="Times New Roman" w:hAnsi="Times New Roman" w:cs="Times New Roman"/>
          <w:sz w:val="22"/>
          <w:szCs w:val="22"/>
        </w:rPr>
        <w:t>MODELO DE EXECUÇÃO DO OBJETO</w:t>
      </w:r>
    </w:p>
    <w:p w14:paraId="29624CEC" w14:textId="77777777" w:rsidR="00957C99" w:rsidRDefault="008E5427">
      <w:pPr>
        <w:numPr>
          <w:ilvl w:val="1"/>
          <w:numId w:val="2"/>
        </w:numPr>
        <w:spacing w:before="120" w:after="120"/>
        <w:ind w:left="0" w:firstLine="0"/>
        <w:rPr>
          <w:rFonts w:ascii="Times New Roman" w:hAnsi="Times New Roman" w:cs="Times New Roman"/>
          <w:bCs/>
          <w:sz w:val="22"/>
          <w:szCs w:val="22"/>
        </w:rPr>
      </w:pPr>
      <w:r>
        <w:rPr>
          <w:rFonts w:ascii="Times New Roman" w:hAnsi="Times New Roman" w:cs="Times New Roman"/>
          <w:bCs/>
          <w:sz w:val="22"/>
          <w:szCs w:val="22"/>
        </w:rPr>
        <w:t xml:space="preserve"> O prazo máximo de entrega do (s) material (</w:t>
      </w:r>
      <w:proofErr w:type="spellStart"/>
      <w:r>
        <w:rPr>
          <w:rFonts w:ascii="Times New Roman" w:hAnsi="Times New Roman" w:cs="Times New Roman"/>
          <w:bCs/>
          <w:sz w:val="22"/>
          <w:szCs w:val="22"/>
        </w:rPr>
        <w:t>is</w:t>
      </w:r>
      <w:proofErr w:type="spellEnd"/>
      <w:r>
        <w:rPr>
          <w:rFonts w:ascii="Times New Roman" w:hAnsi="Times New Roman" w:cs="Times New Roman"/>
          <w:bCs/>
          <w:sz w:val="22"/>
          <w:szCs w:val="22"/>
        </w:rPr>
        <w:t xml:space="preserve">) será de até 30 (trinta) dias corridos contados a partir do recebimento da Nota de Empenho, em remessa parcelada, no Almoxarifado do HCE. Situado no seguinte endereço: </w:t>
      </w:r>
    </w:p>
    <w:p w14:paraId="3B2DCD5B" w14:textId="77777777" w:rsidR="00957C99" w:rsidRDefault="008E5427">
      <w:pPr>
        <w:numPr>
          <w:ilvl w:val="2"/>
          <w:numId w:val="2"/>
        </w:numPr>
        <w:ind w:left="0"/>
        <w:rPr>
          <w:rFonts w:ascii="Times New Roman" w:hAnsi="Times New Roman" w:cs="Times New Roman"/>
          <w:bCs/>
          <w:sz w:val="22"/>
          <w:szCs w:val="22"/>
        </w:rPr>
      </w:pPr>
      <w:r>
        <w:rPr>
          <w:rFonts w:ascii="Times New Roman" w:hAnsi="Times New Roman" w:cs="Times New Roman"/>
          <w:bCs/>
          <w:sz w:val="22"/>
          <w:szCs w:val="22"/>
        </w:rPr>
        <w:t>Hospital Central do Exército, no seguinte endereço: Rua Francisco Manuel, 126 – Benfica – Rio de Janeiro – RJ. CEP: 20.911-270</w:t>
      </w:r>
    </w:p>
    <w:p w14:paraId="672C01CF" w14:textId="77777777" w:rsidR="00957C99" w:rsidRDefault="008E5427">
      <w:pPr>
        <w:numPr>
          <w:ilvl w:val="1"/>
          <w:numId w:val="2"/>
        </w:numPr>
        <w:spacing w:before="120" w:after="120"/>
        <w:ind w:left="0" w:firstLine="0"/>
        <w:rPr>
          <w:rFonts w:ascii="Times New Roman" w:hAnsi="Times New Roman" w:cs="Times New Roman"/>
          <w:bCs/>
          <w:sz w:val="22"/>
          <w:szCs w:val="22"/>
        </w:rPr>
      </w:pPr>
      <w:r>
        <w:rPr>
          <w:rFonts w:ascii="Times New Roman" w:hAnsi="Times New Roman" w:cs="Times New Roman"/>
          <w:bCs/>
          <w:sz w:val="22"/>
          <w:szCs w:val="22"/>
        </w:rPr>
        <w:t xml:space="preserve"> O prazo de validade na data da entrega deverá ser no mínimo, a metade do total da validade recomendada pelo fabricante.</w:t>
      </w:r>
    </w:p>
    <w:p w14:paraId="1E4E55AB" w14:textId="77777777" w:rsidR="00957C99" w:rsidRDefault="008E5427">
      <w:pPr>
        <w:numPr>
          <w:ilvl w:val="1"/>
          <w:numId w:val="2"/>
        </w:numPr>
        <w:spacing w:before="120" w:after="120"/>
        <w:ind w:left="0" w:firstLine="0"/>
      </w:pPr>
      <w:r>
        <w:rPr>
          <w:rFonts w:ascii="Times New Roman" w:hAnsi="Times New Roman" w:cs="Times New Roman"/>
          <w:sz w:val="22"/>
          <w:szCs w:val="22"/>
          <w:lang w:eastAsia="en-US"/>
        </w:rPr>
        <w:t xml:space="preserve"> </w:t>
      </w:r>
      <w:r>
        <w:rPr>
          <w:rFonts w:ascii="Times New Roman" w:hAnsi="Times New Roman" w:cs="Times New Roman"/>
          <w:sz w:val="22"/>
          <w:szCs w:val="22"/>
        </w:rPr>
        <w:t>O prazo de garantia contratual dos bens, complementar à garantia legal, é de, no mínimo, 12 (meses) meses, ou pelo prazo fornecido pelo fabricante, se superior, contado a partir do primeiro dia útil subsequente à data do recebimento definitivo do objeto</w:t>
      </w:r>
    </w:p>
    <w:p w14:paraId="3E393113" w14:textId="77777777" w:rsidR="00957C99" w:rsidRDefault="008E5427">
      <w:pPr>
        <w:numPr>
          <w:ilvl w:val="1"/>
          <w:numId w:val="2"/>
        </w:numPr>
        <w:spacing w:before="120" w:after="120"/>
        <w:ind w:left="0" w:firstLine="0"/>
        <w:rPr>
          <w:rFonts w:ascii="Times New Roman" w:hAnsi="Times New Roman" w:cs="Times New Roman"/>
          <w:color w:val="auto"/>
          <w:sz w:val="22"/>
          <w:szCs w:val="22"/>
        </w:rPr>
      </w:pPr>
      <w:r>
        <w:rPr>
          <w:rFonts w:ascii="Times New Roman" w:hAnsi="Times New Roman" w:cs="Times New Roman"/>
          <w:color w:val="auto"/>
          <w:sz w:val="22"/>
          <w:szCs w:val="22"/>
        </w:rPr>
        <w:t>A garantia será prestada com vistas a manter os equipamentos fornecidos em perfeitas condições de uso, sem qualquer ônus ou custo adicional para o Contratante.</w:t>
      </w:r>
    </w:p>
    <w:p w14:paraId="331C8955" w14:textId="77777777" w:rsidR="00957C99" w:rsidRDefault="008E5427">
      <w:pPr>
        <w:numPr>
          <w:ilvl w:val="1"/>
          <w:numId w:val="2"/>
        </w:numPr>
        <w:spacing w:before="120" w:after="120"/>
        <w:ind w:left="0" w:firstLine="0"/>
        <w:rPr>
          <w:rFonts w:ascii="Times New Roman" w:hAnsi="Times New Roman" w:cs="Times New Roman"/>
          <w:color w:val="auto"/>
          <w:sz w:val="22"/>
          <w:szCs w:val="22"/>
        </w:rPr>
      </w:pPr>
      <w:r>
        <w:rPr>
          <w:rFonts w:ascii="Times New Roman" w:hAnsi="Times New Roman" w:cs="Times New Roman"/>
          <w:color w:val="auto"/>
          <w:sz w:val="22"/>
          <w:szCs w:val="22"/>
        </w:rPr>
        <w:t>A garantia abrange a realização da manutenção corretiva dos bens pelo próprio Contratado, ou, se for o caso, por meio de assistência técnica autorizada, de acordo com as normas técnicas específicas</w:t>
      </w:r>
    </w:p>
    <w:p w14:paraId="68CD5D24" w14:textId="77777777" w:rsidR="00957C99" w:rsidRDefault="008E5427">
      <w:pPr>
        <w:pStyle w:val="Nvel2-Red"/>
        <w:numPr>
          <w:ilvl w:val="1"/>
          <w:numId w:val="2"/>
        </w:numPr>
        <w:spacing w:after="288" w:line="312" w:lineRule="auto"/>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297B110F" w14:textId="77777777" w:rsidR="00957C99" w:rsidRDefault="008E5427">
      <w:pPr>
        <w:pStyle w:val="Nvel2-Red"/>
        <w:numPr>
          <w:ilvl w:val="1"/>
          <w:numId w:val="2"/>
        </w:numPr>
        <w:spacing w:after="288" w:line="312" w:lineRule="auto"/>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14A4443" w14:textId="77777777" w:rsidR="00957C99" w:rsidRDefault="008E5427">
      <w:pPr>
        <w:numPr>
          <w:ilvl w:val="1"/>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 xml:space="preserve"> Os bens serão recebidos definitivamente no prazo de 10 (dez) dias, contados do recebimento provisório, após a verificação da qualidade e quantidade do material e consequente aceitação mediante termo circunstanciado.</w:t>
      </w:r>
    </w:p>
    <w:p w14:paraId="4929BA0C" w14:textId="77777777" w:rsidR="00957C99" w:rsidRDefault="008E5427">
      <w:pPr>
        <w:numPr>
          <w:ilvl w:val="2"/>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 xml:space="preserve">Na hipótese de a verificação a que se refere o subitem anterior não ser procedida dentro do prazo fixado, reputar-se-á como realizada, consumando-se o recebimento definitivo no dia do </w:t>
      </w:r>
      <w:r>
        <w:rPr>
          <w:rFonts w:ascii="Times New Roman" w:hAnsi="Times New Roman" w:cs="Times New Roman"/>
          <w:sz w:val="22"/>
          <w:szCs w:val="22"/>
          <w:lang w:eastAsia="en-US"/>
        </w:rPr>
        <w:lastRenderedPageBreak/>
        <w:t>esgotamento do prazo.</w:t>
      </w:r>
    </w:p>
    <w:p w14:paraId="60D33400" w14:textId="77777777" w:rsidR="00957C99" w:rsidRDefault="008E5427">
      <w:pPr>
        <w:numPr>
          <w:ilvl w:val="1"/>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O recebimento provisório ou definitivo do objeto não exclui a responsabilidade da contratada pelos prejuízos resultantes da incorreta execução do contrato.</w:t>
      </w:r>
    </w:p>
    <w:p w14:paraId="217ED572" w14:textId="77777777" w:rsidR="00957C99" w:rsidRDefault="00957C99">
      <w:pPr>
        <w:spacing w:before="120" w:after="120"/>
        <w:rPr>
          <w:rFonts w:ascii="Times New Roman" w:hAnsi="Times New Roman" w:cs="Times New Roman"/>
          <w:sz w:val="22"/>
          <w:szCs w:val="22"/>
          <w:lang w:eastAsia="en-US"/>
        </w:rPr>
      </w:pPr>
    </w:p>
    <w:p w14:paraId="19CF2A0B" w14:textId="77777777" w:rsidR="00957C99" w:rsidRDefault="008E5427">
      <w:pPr>
        <w:numPr>
          <w:ilvl w:val="0"/>
          <w:numId w:val="2"/>
        </w:numPr>
        <w:tabs>
          <w:tab w:val="left" w:pos="426"/>
        </w:tabs>
        <w:spacing w:before="120" w:after="120"/>
        <w:ind w:left="0" w:firstLine="0"/>
        <w:rPr>
          <w:rFonts w:ascii="Times New Roman" w:hAnsi="Times New Roman" w:cs="Times New Roman"/>
          <w:b/>
          <w:bCs/>
          <w:sz w:val="22"/>
          <w:szCs w:val="22"/>
          <w:lang w:eastAsia="en-US"/>
        </w:rPr>
      </w:pPr>
      <w:r>
        <w:rPr>
          <w:rFonts w:ascii="Times New Roman" w:hAnsi="Times New Roman" w:cs="Times New Roman"/>
          <w:b/>
          <w:bCs/>
          <w:sz w:val="22"/>
          <w:szCs w:val="22"/>
          <w:lang w:eastAsia="en-US"/>
        </w:rPr>
        <w:t>MODELO DE GESTÃO DO CONTRATO</w:t>
      </w:r>
    </w:p>
    <w:p w14:paraId="3B8CA13E" w14:textId="77777777" w:rsidR="00957C99" w:rsidRDefault="008E5427">
      <w:pPr>
        <w:pStyle w:val="Nivel2"/>
        <w:numPr>
          <w:ilvl w:val="1"/>
          <w:numId w:val="2"/>
        </w:numPr>
        <w:spacing w:after="288" w:line="312" w:lineRule="auto"/>
        <w:ind w:left="360"/>
        <w:rPr>
          <w:rFonts w:ascii="Times New Roman" w:eastAsia="Arial" w:hAnsi="Times New Roman" w:cs="Times New Roman"/>
          <w:sz w:val="22"/>
          <w:szCs w:val="22"/>
        </w:rPr>
      </w:pPr>
      <w:r>
        <w:rPr>
          <w:rFonts w:ascii="Times New Roman" w:eastAsia="Arial"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1D1298AC" w14:textId="77777777" w:rsidR="00957C99" w:rsidRDefault="008E5427">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6D77CD75" w14:textId="77777777" w:rsidR="00957C99" w:rsidRDefault="008E5427">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2811EC94" w14:textId="77777777" w:rsidR="00957C99" w:rsidRDefault="008E5427">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órgão ou entidade poderá convocar representante da empresa para adoção de providências que devam ser cumpridas de imediato.</w:t>
      </w:r>
    </w:p>
    <w:p w14:paraId="52ADB2F8" w14:textId="77777777" w:rsidR="00957C99" w:rsidRDefault="008E5427">
      <w:pPr>
        <w:pStyle w:val="Nvel2-Red"/>
        <w:numPr>
          <w:ilvl w:val="1"/>
          <w:numId w:val="2"/>
        </w:numPr>
        <w:spacing w:after="288" w:line="312" w:lineRule="auto"/>
        <w:ind w:left="360"/>
      </w:pPr>
      <w:r>
        <w:rPr>
          <w:rFonts w:ascii="Times New Roman" w:hAnsi="Times New Roman" w:cs="Times New Roman"/>
          <w:i w:val="0"/>
          <w:iCs w:val="0"/>
          <w:color w:val="000000"/>
          <w:sz w:val="22"/>
          <w:szCs w:val="22"/>
        </w:rPr>
        <w:t>Após a assinatura do contrato ou instrumento equivalente</w:t>
      </w:r>
      <w:r>
        <w:rPr>
          <w:rFonts w:ascii="Times New Roman" w:hAnsi="Times New Roman" w:cs="Times New Roman"/>
          <w:i w:val="0"/>
          <w:iCs w:val="0"/>
          <w:strike/>
          <w:color w:val="000000"/>
          <w:sz w:val="22"/>
          <w:szCs w:val="22"/>
        </w:rPr>
        <w:t>,</w:t>
      </w:r>
      <w:r>
        <w:rPr>
          <w:rFonts w:ascii="Times New Roman" w:hAnsi="Times New Roman" w:cs="Times New Roman"/>
          <w:i w:val="0"/>
          <w:iCs w:val="0"/>
          <w:color w:val="000000"/>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CB7BFB0" w14:textId="77777777" w:rsidR="00957C99" w:rsidRDefault="008E5427">
      <w:pPr>
        <w:pStyle w:val="Nivel2"/>
        <w:numPr>
          <w:ilvl w:val="1"/>
          <w:numId w:val="2"/>
        </w:numPr>
        <w:spacing w:after="288" w:line="312" w:lineRule="auto"/>
        <w:ind w:left="360"/>
      </w:pPr>
      <w:r>
        <w:rPr>
          <w:rFonts w:ascii="Times New Roman" w:hAnsi="Times New Roman" w:cs="Times New Roman"/>
          <w:sz w:val="22"/>
          <w:szCs w:val="22"/>
        </w:rPr>
        <w:t>A execução do contrato deverá ser acompanhada e fiscalizada pelo(s) fiscal(</w:t>
      </w:r>
      <w:proofErr w:type="spellStart"/>
      <w:r>
        <w:rPr>
          <w:rFonts w:ascii="Times New Roman" w:hAnsi="Times New Roman" w:cs="Times New Roman"/>
          <w:sz w:val="22"/>
          <w:szCs w:val="22"/>
        </w:rPr>
        <w:t>is</w:t>
      </w:r>
      <w:proofErr w:type="spellEnd"/>
      <w:r>
        <w:rPr>
          <w:rFonts w:ascii="Times New Roman" w:hAnsi="Times New Roman" w:cs="Times New Roman"/>
          <w:sz w:val="22"/>
          <w:szCs w:val="22"/>
        </w:rPr>
        <w:t xml:space="preserve">) do contrato, ou pelos respectivos substitutos </w:t>
      </w:r>
      <w:r>
        <w:rPr>
          <w:rFonts w:ascii="Times New Roman" w:hAnsi="Times New Roman" w:cs="Times New Roman"/>
          <w:color w:val="auto"/>
          <w:sz w:val="22"/>
          <w:szCs w:val="22"/>
        </w:rPr>
        <w:t>(</w:t>
      </w:r>
      <w:hyperlink r:id="rId10" w:anchor="art117" w:history="1">
        <w:r>
          <w:rPr>
            <w:rStyle w:val="LinkdaInternet"/>
            <w:rFonts w:ascii="Times New Roman" w:hAnsi="Times New Roman" w:cs="Times New Roman"/>
            <w:color w:val="auto"/>
            <w:sz w:val="22"/>
            <w:szCs w:val="22"/>
            <w:u w:val="none"/>
          </w:rPr>
          <w:t>Lei nº 14.133, de 2021, art. 117, caput</w:t>
        </w:r>
      </w:hyperlink>
      <w:r>
        <w:rPr>
          <w:rFonts w:ascii="Times New Roman" w:hAnsi="Times New Roman" w:cs="Times New Roman"/>
          <w:color w:val="auto"/>
          <w:sz w:val="22"/>
          <w:szCs w:val="22"/>
        </w:rPr>
        <w:t>).</w:t>
      </w:r>
    </w:p>
    <w:p w14:paraId="6041BCD8" w14:textId="77777777" w:rsidR="00957C99" w:rsidRDefault="008E5427">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54F698B0" w14:textId="77777777" w:rsidR="00957C99" w:rsidRDefault="008E5427">
      <w:pPr>
        <w:pStyle w:val="Nivel3"/>
        <w:spacing w:after="288" w:line="312" w:lineRule="auto"/>
        <w:ind w:left="879"/>
      </w:pPr>
      <w:r>
        <w:rPr>
          <w:rFonts w:ascii="Times New Roman" w:hAnsi="Times New Roman" w:cs="Times New Roman"/>
          <w:sz w:val="22"/>
          <w:szCs w:val="22"/>
        </w:rPr>
        <w:t xml:space="preserve">        6.7.1 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1" w:history="1">
        <w:r>
          <w:rPr>
            <w:rStyle w:val="LinkdaInternet"/>
            <w:rFonts w:ascii="Times New Roman" w:hAnsi="Times New Roman" w:cs="Times New Roman"/>
            <w:color w:val="000000"/>
            <w:sz w:val="22"/>
            <w:szCs w:val="22"/>
            <w:u w:val="none"/>
          </w:rPr>
          <w:t>Lei nº 14.133, de 2021, art. 117, §1º</w:t>
        </w:r>
      </w:hyperlink>
      <w:r>
        <w:rPr>
          <w:rFonts w:ascii="Times New Roman" w:hAnsi="Times New Roman" w:cs="Times New Roman"/>
          <w:sz w:val="22"/>
          <w:szCs w:val="22"/>
        </w:rPr>
        <w:t xml:space="preserve">, e </w:t>
      </w:r>
      <w:hyperlink r:id="rId12" w:anchor="art22" w:history="1">
        <w:r>
          <w:rPr>
            <w:rStyle w:val="LinkdaInternet"/>
            <w:rFonts w:ascii="Times New Roman" w:hAnsi="Times New Roman" w:cs="Times New Roman"/>
            <w:color w:val="000000"/>
            <w:sz w:val="22"/>
            <w:szCs w:val="22"/>
            <w:u w:val="none"/>
          </w:rPr>
          <w:t>Decreto nº 11.246, de 2022, art. 22, II);</w:t>
        </w:r>
      </w:hyperlink>
    </w:p>
    <w:p w14:paraId="134C7933" w14:textId="77777777" w:rsidR="00957C99" w:rsidRDefault="008E5427">
      <w:pPr>
        <w:pStyle w:val="Nivel3"/>
        <w:spacing w:after="288" w:line="312" w:lineRule="auto"/>
      </w:pPr>
      <w:r>
        <w:rPr>
          <w:rFonts w:ascii="Times New Roman" w:hAnsi="Times New Roman" w:cs="Times New Roman"/>
          <w:sz w:val="22"/>
          <w:szCs w:val="22"/>
        </w:rPr>
        <w:t xml:space="preserve">                6.7.2 Identificada qualquer inexatidão ou irregularidade, o fiscal técnico do contrato emitirá notificações para a correção da execução do contrato, determinando prazo para a correção. (</w:t>
      </w:r>
      <w:hyperlink r:id="rId13" w:anchor="art22" w:history="1">
        <w:r>
          <w:rPr>
            <w:rStyle w:val="LinkdaInternet"/>
            <w:rFonts w:ascii="Times New Roman" w:hAnsi="Times New Roman" w:cs="Times New Roman"/>
            <w:color w:val="000000"/>
            <w:sz w:val="22"/>
            <w:szCs w:val="22"/>
          </w:rPr>
          <w:t>Decreto nº 11.246, de 2022, art. 22, III</w:t>
        </w:r>
      </w:hyperlink>
      <w:r>
        <w:rPr>
          <w:rFonts w:ascii="Times New Roman" w:hAnsi="Times New Roman" w:cs="Times New Roman"/>
          <w:sz w:val="22"/>
          <w:szCs w:val="22"/>
        </w:rPr>
        <w:t xml:space="preserve">); </w:t>
      </w:r>
    </w:p>
    <w:p w14:paraId="77D24429" w14:textId="77777777" w:rsidR="00957C99" w:rsidRDefault="008E5427">
      <w:pPr>
        <w:pStyle w:val="Nivel3"/>
        <w:spacing w:after="288" w:line="312" w:lineRule="auto"/>
      </w:pPr>
      <w:r>
        <w:rPr>
          <w:rFonts w:ascii="Times New Roman" w:hAnsi="Times New Roman" w:cs="Times New Roman"/>
          <w:sz w:val="22"/>
          <w:szCs w:val="22"/>
        </w:rPr>
        <w:lastRenderedPageBreak/>
        <w:t xml:space="preserve">                  6.7.3 O fiscal técnico do contrato informará ao gestor do contato, em tempo hábil, a situação que demandar decisão ou adoção de medidas que ultrapassem sua competência, para que adote as medidas necessárias e saneadoras, se for o caso. (</w:t>
      </w:r>
      <w:hyperlink r:id="rId14" w:anchor="art22" w:history="1">
        <w:r>
          <w:rPr>
            <w:rStyle w:val="LinkdaInternet"/>
            <w:rFonts w:ascii="Times New Roman" w:hAnsi="Times New Roman" w:cs="Times New Roman"/>
            <w:color w:val="000000"/>
            <w:sz w:val="22"/>
            <w:szCs w:val="22"/>
          </w:rPr>
          <w:t>Decreto nº 11.246, de 2022, art. 22, IV</w:t>
        </w:r>
      </w:hyperlink>
      <w:r>
        <w:rPr>
          <w:rFonts w:ascii="Times New Roman" w:hAnsi="Times New Roman" w:cs="Times New Roman"/>
          <w:sz w:val="22"/>
          <w:szCs w:val="22"/>
        </w:rPr>
        <w:t>).</w:t>
      </w:r>
    </w:p>
    <w:p w14:paraId="588DC04B" w14:textId="77777777" w:rsidR="00957C99" w:rsidRDefault="008E5427">
      <w:pPr>
        <w:pStyle w:val="Nivel3"/>
        <w:numPr>
          <w:ilvl w:val="2"/>
          <w:numId w:val="5"/>
        </w:numPr>
        <w:spacing w:after="288" w:line="312" w:lineRule="auto"/>
        <w:ind w:left="435" w:hanging="435"/>
      </w:pPr>
      <w:r>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 (</w:t>
      </w:r>
      <w:hyperlink r:id="rId15" w:anchor="art22" w:history="1">
        <w:r>
          <w:rPr>
            <w:rStyle w:val="LinkdaInternet"/>
            <w:rFonts w:ascii="Times New Roman" w:hAnsi="Times New Roman" w:cs="Times New Roman"/>
            <w:color w:val="000000"/>
            <w:sz w:val="22"/>
            <w:szCs w:val="22"/>
          </w:rPr>
          <w:t>Decreto nº 11.246, de 2022, art. 22, V</w:t>
        </w:r>
      </w:hyperlink>
      <w:r>
        <w:rPr>
          <w:rFonts w:ascii="Times New Roman" w:hAnsi="Times New Roman" w:cs="Times New Roman"/>
          <w:sz w:val="22"/>
          <w:szCs w:val="22"/>
        </w:rPr>
        <w:t>).</w:t>
      </w:r>
    </w:p>
    <w:p w14:paraId="5116F08F" w14:textId="77777777" w:rsidR="00957C99" w:rsidRDefault="008E5427">
      <w:pPr>
        <w:pStyle w:val="Nivel3"/>
        <w:numPr>
          <w:ilvl w:val="2"/>
          <w:numId w:val="5"/>
        </w:numPr>
        <w:spacing w:after="288" w:line="312" w:lineRule="auto"/>
        <w:ind w:left="435" w:hanging="435"/>
      </w:pPr>
      <w:r>
        <w:rPr>
          <w:rFonts w:ascii="Times New Roman" w:hAnsi="Times New Roman" w:cs="Times New Roman"/>
          <w:sz w:val="22"/>
          <w:szCs w:val="22"/>
        </w:rPr>
        <w:t xml:space="preserve">O fiscal técnico do contrato comunicar ao gestor do contrato, em tempo hábil, o término do contrato sob sua responsabilidade, com vistas à renovação tempestiva ou à prorrogação contratual </w:t>
      </w:r>
      <w:hyperlink r:id="rId16" w:anchor="art22" w:history="1">
        <w:r>
          <w:rPr>
            <w:rStyle w:val="LinkdaInternet"/>
            <w:rFonts w:ascii="Times New Roman" w:hAnsi="Times New Roman" w:cs="Times New Roman"/>
            <w:color w:val="000000"/>
            <w:sz w:val="22"/>
            <w:szCs w:val="22"/>
          </w:rPr>
          <w:t>(Decreto nº 11.246, de 2022, art. 22, VII</w:t>
        </w:r>
      </w:hyperlink>
      <w:r>
        <w:rPr>
          <w:rFonts w:ascii="Times New Roman" w:hAnsi="Times New Roman" w:cs="Times New Roman"/>
          <w:sz w:val="22"/>
          <w:szCs w:val="22"/>
        </w:rPr>
        <w:t>).</w:t>
      </w:r>
    </w:p>
    <w:p w14:paraId="78178CB1" w14:textId="77777777" w:rsidR="00957C99" w:rsidRDefault="008E5427">
      <w:pPr>
        <w:pStyle w:val="Nivel2"/>
        <w:numPr>
          <w:ilvl w:val="1"/>
          <w:numId w:val="5"/>
        </w:numPr>
        <w:spacing w:after="288" w:line="312" w:lineRule="auto"/>
        <w:ind w:left="435"/>
      </w:pPr>
      <w:r>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7" w:anchor="art23" w:history="1">
        <w:r>
          <w:rPr>
            <w:rStyle w:val="LinkdaInternet"/>
            <w:rFonts w:ascii="Times New Roman" w:hAnsi="Times New Roman" w:cs="Times New Roman"/>
            <w:color w:val="000000"/>
            <w:sz w:val="22"/>
            <w:szCs w:val="22"/>
          </w:rPr>
          <w:t>Art. 23, I e II, do Decreto nº 11.246, de 2022</w:t>
        </w:r>
      </w:hyperlink>
      <w:r>
        <w:rPr>
          <w:rFonts w:ascii="Times New Roman" w:hAnsi="Times New Roman" w:cs="Times New Roman"/>
          <w:sz w:val="22"/>
          <w:szCs w:val="22"/>
        </w:rPr>
        <w:t>).</w:t>
      </w:r>
    </w:p>
    <w:p w14:paraId="3A7D4DF9" w14:textId="77777777" w:rsidR="00957C99" w:rsidRDefault="008E5427">
      <w:pPr>
        <w:pStyle w:val="Nivel3"/>
        <w:numPr>
          <w:ilvl w:val="2"/>
          <w:numId w:val="6"/>
        </w:numPr>
        <w:spacing w:after="288" w:line="312" w:lineRule="auto"/>
        <w:ind w:left="435" w:hanging="435"/>
      </w:pPr>
      <w:r>
        <w:rPr>
          <w:rFonts w:ascii="Times New Roman" w:hAnsi="Times New Roman" w:cs="Times New Roman"/>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18" w:anchor="art23" w:history="1">
        <w:r>
          <w:rPr>
            <w:rStyle w:val="LinkdaInternet"/>
            <w:rFonts w:ascii="Times New Roman" w:hAnsi="Times New Roman" w:cs="Times New Roman"/>
            <w:color w:val="000000"/>
            <w:sz w:val="22"/>
            <w:szCs w:val="22"/>
          </w:rPr>
          <w:t>Decreto nº 11.246, de 2022, art. 23, IV</w:t>
        </w:r>
      </w:hyperlink>
      <w:r>
        <w:rPr>
          <w:rFonts w:ascii="Times New Roman" w:hAnsi="Times New Roman" w:cs="Times New Roman"/>
          <w:sz w:val="22"/>
          <w:szCs w:val="22"/>
        </w:rPr>
        <w:t>).</w:t>
      </w:r>
    </w:p>
    <w:p w14:paraId="7425240B" w14:textId="77777777" w:rsidR="00957C99" w:rsidRDefault="008E5427">
      <w:pPr>
        <w:pStyle w:val="Nivel2"/>
        <w:numPr>
          <w:ilvl w:val="1"/>
          <w:numId w:val="6"/>
        </w:numPr>
        <w:spacing w:after="288" w:line="312" w:lineRule="auto"/>
        <w:ind w:left="0" w:firstLine="709"/>
      </w:pPr>
      <w:r>
        <w:rPr>
          <w:rFonts w:ascii="Times New Roman" w:hAnsi="Times New Roman" w:cs="Times New Roman"/>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19" w:anchor="art21" w:history="1">
        <w:r>
          <w:rPr>
            <w:rStyle w:val="LinkdaInternet"/>
            <w:rFonts w:ascii="Times New Roman" w:hAnsi="Times New Roman" w:cs="Times New Roman"/>
            <w:color w:val="000000"/>
            <w:sz w:val="22"/>
            <w:szCs w:val="22"/>
          </w:rPr>
          <w:t>Decreto nº 11.246, de 2022, art. 21, IV</w:t>
        </w:r>
      </w:hyperlink>
      <w:r>
        <w:rPr>
          <w:rFonts w:ascii="Times New Roman" w:hAnsi="Times New Roman" w:cs="Times New Roman"/>
          <w:sz w:val="22"/>
          <w:szCs w:val="22"/>
        </w:rPr>
        <w:t>).</w:t>
      </w:r>
    </w:p>
    <w:p w14:paraId="4FE4AAFD" w14:textId="77777777" w:rsidR="00957C99" w:rsidRDefault="008E5427">
      <w:pPr>
        <w:pStyle w:val="Nivel3"/>
        <w:numPr>
          <w:ilvl w:val="2"/>
          <w:numId w:val="6"/>
        </w:numPr>
        <w:spacing w:after="288" w:line="312" w:lineRule="auto"/>
        <w:ind w:left="170" w:firstLine="709"/>
      </w:pPr>
      <w:r>
        <w:rPr>
          <w:rFonts w:ascii="Times New Roman" w:hAnsi="Times New Roman" w:cs="Times New Roman"/>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0" w:anchor="art21" w:history="1">
        <w:r>
          <w:rPr>
            <w:rStyle w:val="LinkdaInternet"/>
            <w:rFonts w:ascii="Times New Roman" w:hAnsi="Times New Roman" w:cs="Times New Roman"/>
            <w:color w:val="000000"/>
            <w:sz w:val="22"/>
            <w:szCs w:val="22"/>
          </w:rPr>
          <w:t>Decreto nº 11.246, de 2022, art. 21, III</w:t>
        </w:r>
      </w:hyperlink>
      <w:r>
        <w:rPr>
          <w:rFonts w:ascii="Times New Roman" w:hAnsi="Times New Roman" w:cs="Times New Roman"/>
          <w:sz w:val="22"/>
          <w:szCs w:val="22"/>
        </w:rPr>
        <w:t>).</w:t>
      </w:r>
    </w:p>
    <w:p w14:paraId="12808275" w14:textId="77777777" w:rsidR="00957C99" w:rsidRDefault="008E5427">
      <w:pPr>
        <w:pStyle w:val="Nivel3"/>
        <w:numPr>
          <w:ilvl w:val="2"/>
          <w:numId w:val="6"/>
        </w:numPr>
        <w:spacing w:after="288" w:line="312" w:lineRule="auto"/>
        <w:ind w:left="170" w:firstLine="709"/>
      </w:pPr>
      <w:r>
        <w:rPr>
          <w:rFonts w:ascii="Times New Roman" w:hAnsi="Times New Roman" w:cs="Times New Roman"/>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1" w:anchor="art21" w:history="1">
        <w:r>
          <w:rPr>
            <w:rStyle w:val="LinkdaInternet"/>
            <w:rFonts w:ascii="Times New Roman" w:hAnsi="Times New Roman" w:cs="Times New Roman"/>
            <w:color w:val="000000"/>
            <w:sz w:val="22"/>
            <w:szCs w:val="22"/>
          </w:rPr>
          <w:t>Decreto nº 11.246, de 2022, art. 21, II</w:t>
        </w:r>
      </w:hyperlink>
      <w:r>
        <w:rPr>
          <w:rFonts w:ascii="Times New Roman" w:hAnsi="Times New Roman" w:cs="Times New Roman"/>
          <w:sz w:val="22"/>
          <w:szCs w:val="22"/>
        </w:rPr>
        <w:t>).</w:t>
      </w:r>
    </w:p>
    <w:p w14:paraId="67196E1C" w14:textId="77777777" w:rsidR="00957C99" w:rsidRDefault="008E5427">
      <w:pPr>
        <w:pStyle w:val="Nivel3"/>
        <w:numPr>
          <w:ilvl w:val="2"/>
          <w:numId w:val="6"/>
        </w:numPr>
        <w:spacing w:after="288" w:line="312" w:lineRule="auto"/>
        <w:ind w:left="170" w:firstLine="709"/>
      </w:pPr>
      <w:r>
        <w:rPr>
          <w:rFonts w:ascii="Times New Roman" w:hAnsi="Times New Roman" w:cs="Times New Roman"/>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w:t>
      </w:r>
      <w:r>
        <w:rPr>
          <w:rFonts w:ascii="Times New Roman" w:hAnsi="Times New Roman" w:cs="Times New Roman"/>
          <w:sz w:val="22"/>
          <w:szCs w:val="22"/>
        </w:rPr>
        <w:lastRenderedPageBreak/>
        <w:t>objetivamente definidos e aferidos, e a eventuais penalidades aplicadas, devendo constar do cadastro de atesto de cumprimento de obrigações. (</w:t>
      </w:r>
      <w:hyperlink r:id="rId22" w:anchor="art21" w:history="1">
        <w:r>
          <w:rPr>
            <w:rStyle w:val="LinkdaInternet"/>
            <w:rFonts w:ascii="Times New Roman" w:hAnsi="Times New Roman" w:cs="Times New Roman"/>
            <w:color w:val="000000"/>
            <w:sz w:val="22"/>
            <w:szCs w:val="22"/>
          </w:rPr>
          <w:t>Decreto nº 11.246, de 2022, art. 21, VIII</w:t>
        </w:r>
      </w:hyperlink>
      <w:r>
        <w:rPr>
          <w:rFonts w:ascii="Times New Roman" w:hAnsi="Times New Roman" w:cs="Times New Roman"/>
          <w:sz w:val="22"/>
          <w:szCs w:val="22"/>
        </w:rPr>
        <w:t>).</w:t>
      </w:r>
    </w:p>
    <w:p w14:paraId="55A21D6F" w14:textId="77777777" w:rsidR="00957C99" w:rsidRDefault="008E5427">
      <w:pPr>
        <w:pStyle w:val="Nivel3"/>
        <w:numPr>
          <w:ilvl w:val="2"/>
          <w:numId w:val="6"/>
        </w:numPr>
        <w:spacing w:after="288" w:line="312" w:lineRule="auto"/>
        <w:ind w:left="170" w:firstLine="709"/>
      </w:pPr>
      <w:r>
        <w:rPr>
          <w:rFonts w:ascii="Times New Roman" w:hAnsi="Times New Roman" w:cs="Times New Roman"/>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23" w:anchor="art21" w:history="1">
        <w:r>
          <w:rPr>
            <w:rStyle w:val="LinkdaInternet"/>
            <w:rFonts w:ascii="Times New Roman" w:hAnsi="Times New Roman" w:cs="Times New Roman"/>
            <w:color w:val="000000"/>
            <w:sz w:val="22"/>
            <w:szCs w:val="22"/>
          </w:rPr>
          <w:t>Decreto nº 11.246, de 2022, art. 21, X</w:t>
        </w:r>
      </w:hyperlink>
      <w:r>
        <w:rPr>
          <w:rFonts w:ascii="Times New Roman" w:hAnsi="Times New Roman" w:cs="Times New Roman"/>
          <w:sz w:val="22"/>
          <w:szCs w:val="22"/>
        </w:rPr>
        <w:t>).</w:t>
      </w:r>
    </w:p>
    <w:p w14:paraId="47500F6E" w14:textId="77777777" w:rsidR="00957C99" w:rsidRDefault="008E5427">
      <w:pPr>
        <w:pStyle w:val="Nivel2"/>
        <w:numPr>
          <w:ilvl w:val="1"/>
          <w:numId w:val="6"/>
        </w:numPr>
        <w:spacing w:after="288" w:line="312" w:lineRule="auto"/>
        <w:ind w:left="0" w:firstLine="709"/>
      </w:pPr>
      <w:r>
        <w:rPr>
          <w:rFonts w:ascii="Times New Roman" w:hAnsi="Times New Roman" w:cs="Times New Roman"/>
          <w:sz w:val="22"/>
          <w:szCs w:val="22"/>
        </w:rPr>
        <w:t>O fiscal administrativo do contrato comunicará ao gestor do contrato, em tempo hábil, o término do contrato sob sua responsabilidade, com vistas à tempestiva renovação ou prorrogação contratual. (</w:t>
      </w:r>
      <w:hyperlink r:id="rId24" w:anchor="art22" w:history="1">
        <w:r>
          <w:rPr>
            <w:rStyle w:val="LinkdaInternet"/>
            <w:rFonts w:ascii="Times New Roman" w:hAnsi="Times New Roman" w:cs="Times New Roman"/>
            <w:color w:val="000000"/>
            <w:sz w:val="22"/>
            <w:szCs w:val="22"/>
          </w:rPr>
          <w:t>Decreto nº 11.246, de 2022, art. 22, VII</w:t>
        </w:r>
      </w:hyperlink>
      <w:r>
        <w:rPr>
          <w:rFonts w:ascii="Times New Roman" w:hAnsi="Times New Roman" w:cs="Times New Roman"/>
          <w:sz w:val="22"/>
          <w:szCs w:val="22"/>
        </w:rPr>
        <w:t>).</w:t>
      </w:r>
    </w:p>
    <w:p w14:paraId="656CBC36" w14:textId="77777777" w:rsidR="00957C99" w:rsidRDefault="008E5427">
      <w:pPr>
        <w:pStyle w:val="Nivel2"/>
        <w:spacing w:after="288" w:line="312" w:lineRule="auto"/>
        <w:ind w:left="425"/>
      </w:pPr>
      <w:r>
        <w:rPr>
          <w:rFonts w:ascii="Times New Roman" w:hAnsi="Times New Roman" w:cs="Times New Roman"/>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hyperlink r:id="rId25" w:anchor="art21" w:history="1">
        <w:r>
          <w:rPr>
            <w:rStyle w:val="LinkdaInternet"/>
            <w:rFonts w:ascii="Times New Roman" w:hAnsi="Times New Roman" w:cs="Times New Roman"/>
            <w:color w:val="000000"/>
            <w:sz w:val="22"/>
            <w:szCs w:val="22"/>
          </w:rPr>
          <w:t>Decreto nº 11.246, de 2022, art. 21, VI</w:t>
        </w:r>
      </w:hyperlink>
      <w:r>
        <w:rPr>
          <w:rFonts w:ascii="Times New Roman" w:hAnsi="Times New Roman" w:cs="Times New Roman"/>
          <w:sz w:val="22"/>
          <w:szCs w:val="22"/>
        </w:rPr>
        <w:t>).</w:t>
      </w:r>
    </w:p>
    <w:p w14:paraId="177D47E0" w14:textId="77777777" w:rsidR="00957C99" w:rsidRDefault="00957C99">
      <w:pPr>
        <w:pStyle w:val="Nivel2"/>
        <w:spacing w:after="288" w:line="312" w:lineRule="auto"/>
        <w:ind w:left="425"/>
        <w:rPr>
          <w:rFonts w:ascii="Times New Roman" w:hAnsi="Times New Roman" w:cs="Times New Roman"/>
          <w:sz w:val="22"/>
          <w:szCs w:val="22"/>
        </w:rPr>
      </w:pPr>
    </w:p>
    <w:p w14:paraId="3C3B1133" w14:textId="77777777" w:rsidR="00957C99" w:rsidRDefault="00957C99">
      <w:pPr>
        <w:pStyle w:val="Nivel2"/>
        <w:spacing w:after="288" w:line="312" w:lineRule="auto"/>
        <w:ind w:left="425"/>
        <w:rPr>
          <w:rFonts w:ascii="Times New Roman" w:hAnsi="Times New Roman" w:cs="Times New Roman"/>
          <w:sz w:val="22"/>
          <w:szCs w:val="22"/>
        </w:rPr>
      </w:pPr>
    </w:p>
    <w:p w14:paraId="410FAD8A" w14:textId="77777777" w:rsidR="00957C99" w:rsidRDefault="008E5427">
      <w:pPr>
        <w:numPr>
          <w:ilvl w:val="0"/>
          <w:numId w:val="2"/>
        </w:numPr>
        <w:suppressAutoHyphens w:val="0"/>
        <w:spacing w:after="120"/>
        <w:ind w:left="0" w:right="-15"/>
        <w:rPr>
          <w:rFonts w:ascii="Times New Roman" w:hAnsi="Times New Roman" w:cs="Times New Roman"/>
          <w:b/>
          <w:sz w:val="22"/>
          <w:szCs w:val="22"/>
        </w:rPr>
      </w:pPr>
      <w:r>
        <w:rPr>
          <w:rFonts w:ascii="Times New Roman" w:hAnsi="Times New Roman" w:cs="Times New Roman"/>
          <w:b/>
          <w:sz w:val="22"/>
          <w:szCs w:val="22"/>
        </w:rPr>
        <w:t>CRITÉRIOS DE MEDIÇÃO E DE PAGAMENTO</w:t>
      </w:r>
    </w:p>
    <w:p w14:paraId="11816313"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rPr>
        <w:t xml:space="preserve"> </w:t>
      </w:r>
      <w:r>
        <w:rPr>
          <w:rFonts w:ascii="Times New Roman" w:hAnsi="Times New Roman" w:cs="Times New Roman"/>
          <w:sz w:val="22"/>
          <w:szCs w:val="22"/>
          <w:lang w:eastAsia="en-US"/>
        </w:rPr>
        <w:t xml:space="preserve">Os bens serão recebidos provisoriamente, de forma sumária, no ato da entrega, juntamente com a </w:t>
      </w:r>
      <w:r>
        <w:rPr>
          <w:rFonts w:ascii="Times New Roman" w:eastAsia="Calibri" w:hAnsi="Times New Roman" w:cs="Times New Roman"/>
          <w:sz w:val="22"/>
          <w:szCs w:val="22"/>
          <w:lang w:eastAsia="en-US"/>
        </w:rPr>
        <w:t>nota</w:t>
      </w:r>
      <w:r>
        <w:rPr>
          <w:rFonts w:ascii="Times New Roman" w:hAnsi="Times New Roman" w:cs="Times New Roman"/>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BC27E82" w14:textId="77777777" w:rsidR="00957C99" w:rsidRDefault="008E5427">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Os bens poderão ser rejeitados, no todo ou em parte, inclusive antes do recebimento provisório, quando em desacordo com as especificações constantes no Termo de Referência e na proposta, devendo ser substituídos no prazo de 30 dias, a contar da notificação da contratada, às suas custas, sem prejuízo da aplicação das penalidades.</w:t>
      </w:r>
    </w:p>
    <w:p w14:paraId="5F7C1A51"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lang w:eastAsia="en-US"/>
        </w:rPr>
        <w:t>O recebimento definitivo ocorrerá no prazo de 10 (dez) dias úteis, a contar de recebimento da nota fiscal ou instrumento de cobrança equivalente pela Administração, após a verificação da qualidade e quantidade do material e consequentemente aceitação mediante termo detalhado.</w:t>
      </w:r>
    </w:p>
    <w:p w14:paraId="370A6E24" w14:textId="77777777" w:rsidR="00957C99" w:rsidRDefault="008E5427">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 xml:space="preserve">Para as contratações decorrentes de despesas cujo valores não ultrapassem o limite de que trata o inciso II do art. 75 da Lei n° 14.133, de 2021, o prazo máximo para o recebimento definitivo será de até 5 </w:t>
      </w:r>
      <w:proofErr w:type="gramStart"/>
      <w:r>
        <w:rPr>
          <w:rFonts w:ascii="Times New Roman" w:hAnsi="Times New Roman" w:cs="Times New Roman"/>
          <w:sz w:val="22"/>
          <w:szCs w:val="22"/>
          <w:lang w:eastAsia="en-US"/>
        </w:rPr>
        <w:t>( cinco</w:t>
      </w:r>
      <w:proofErr w:type="gramEnd"/>
      <w:r>
        <w:rPr>
          <w:rFonts w:ascii="Times New Roman" w:hAnsi="Times New Roman" w:cs="Times New Roman"/>
          <w:sz w:val="22"/>
          <w:szCs w:val="22"/>
          <w:lang w:eastAsia="en-US"/>
        </w:rPr>
        <w:t>) dias úteis.]</w:t>
      </w:r>
    </w:p>
    <w:p w14:paraId="26303751" w14:textId="77777777" w:rsidR="00957C99" w:rsidRDefault="008E5427">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2C6E8E8" w14:textId="77777777" w:rsidR="00957C99" w:rsidRDefault="008E5427">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O recebimento provisório ou definitivo não excluirá a responsabilidade civil pela solidez e pela segurança do serviço nem a responsabilidade ético-profissional pela perfeita execução do contrato.</w:t>
      </w:r>
    </w:p>
    <w:p w14:paraId="43E1D4E3"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lang w:eastAsia="en-US"/>
        </w:rPr>
        <w:t xml:space="preserve">Recebida a Nota Fiscal ou documento de cobrança equivalente, correrá o prazo de dez dias úteis para fins de liquidação, na forma desta seção, prorrogáveis por igual período, nos termos do </w:t>
      </w:r>
      <w:hyperlink r:id="rId26" w:anchor="art7§2" w:history="1">
        <w:r>
          <w:rPr>
            <w:rStyle w:val="LinkdaInternet"/>
            <w:rFonts w:ascii="Times New Roman" w:hAnsi="Times New Roman" w:cs="Times New Roman"/>
            <w:color w:val="000000"/>
            <w:sz w:val="22"/>
            <w:szCs w:val="22"/>
            <w:lang w:eastAsia="en-US"/>
          </w:rPr>
          <w:t>art. 7º, §2º da Instrução Normativa SEGES/ME nº 77/2022</w:t>
        </w:r>
      </w:hyperlink>
    </w:p>
    <w:p w14:paraId="49B0E2AE" w14:textId="77777777" w:rsidR="00957C99" w:rsidRDefault="008E5427">
      <w:pPr>
        <w:pStyle w:val="Nivel3"/>
        <w:numPr>
          <w:ilvl w:val="2"/>
          <w:numId w:val="7"/>
        </w:numPr>
        <w:spacing w:after="288" w:line="312" w:lineRule="auto"/>
        <w:ind w:left="360" w:hanging="360"/>
      </w:pPr>
      <w:r>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27" w:anchor="art75" w:history="1">
        <w:r>
          <w:rPr>
            <w:rStyle w:val="LinkdaInternet"/>
            <w:rFonts w:ascii="Times New Roman" w:hAnsi="Times New Roman" w:cs="Times New Roman"/>
            <w:color w:val="000000"/>
            <w:sz w:val="22"/>
            <w:szCs w:val="22"/>
          </w:rPr>
          <w:t>inciso II do art. 75 da Lei nº 14.133, de 2021</w:t>
        </w:r>
      </w:hyperlink>
      <w:r>
        <w:rPr>
          <w:rFonts w:ascii="Times New Roman" w:hAnsi="Times New Roman" w:cs="Times New Roman"/>
          <w:sz w:val="22"/>
          <w:szCs w:val="22"/>
        </w:rPr>
        <w:t>.</w:t>
      </w:r>
    </w:p>
    <w:p w14:paraId="21F4FB5D" w14:textId="77777777" w:rsidR="00957C99" w:rsidRDefault="008E5427">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E5BE392" w14:textId="77777777" w:rsidR="00957C99" w:rsidRDefault="008E5427">
      <w:pPr>
        <w:pStyle w:val="Nivel3"/>
        <w:numPr>
          <w:ilvl w:val="0"/>
          <w:numId w:val="8"/>
        </w:numPr>
        <w:spacing w:after="288" w:line="312"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o prazo de validade</w:t>
      </w:r>
    </w:p>
    <w:p w14:paraId="36362823" w14:textId="77777777" w:rsidR="00957C99" w:rsidRDefault="008E5427">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a data da emissão; </w:t>
      </w:r>
    </w:p>
    <w:p w14:paraId="56AEA739" w14:textId="77777777" w:rsidR="00957C99" w:rsidRDefault="008E5427">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os dados do contrato e do órgão contratante; </w:t>
      </w:r>
    </w:p>
    <w:p w14:paraId="05520DC0" w14:textId="77777777" w:rsidR="00957C99" w:rsidRDefault="008E5427">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 período respectivo de execução do contrato; </w:t>
      </w:r>
    </w:p>
    <w:p w14:paraId="37E642A3" w14:textId="77777777" w:rsidR="00957C99" w:rsidRDefault="008E5427">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 valor a pagar; e </w:t>
      </w:r>
    </w:p>
    <w:p w14:paraId="1797306C" w14:textId="77777777" w:rsidR="00957C99" w:rsidRDefault="008E5427">
      <w:pPr>
        <w:pStyle w:val="Nivel3"/>
        <w:numPr>
          <w:ilvl w:val="0"/>
          <w:numId w:val="8"/>
        </w:numPr>
        <w:spacing w:after="288" w:line="312"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Eventual destaque do valor de retenções tributárias cabíveis</w:t>
      </w:r>
    </w:p>
    <w:p w14:paraId="1E296478" w14:textId="77777777" w:rsidR="00957C99" w:rsidRDefault="008E5427">
      <w:pPr>
        <w:pStyle w:val="Nivel3"/>
        <w:spacing w:after="288" w:line="312" w:lineRule="auto"/>
      </w:pPr>
      <w:r>
        <w:rPr>
          <w:rFonts w:ascii="Times New Roman" w:hAnsi="Times New Roman" w:cs="Times New Roman"/>
          <w:sz w:val="22"/>
          <w:szCs w:val="22"/>
        </w:rPr>
        <w:t xml:space="preserve">10.11. </w:t>
      </w:r>
      <w:r>
        <w:rPr>
          <w:rFonts w:ascii="Times New Roman" w:eastAsia="Calibri" w:hAnsi="Times New Roman" w:cs="Times New Roman"/>
          <w:sz w:val="22"/>
          <w:szCs w:val="22"/>
          <w:lang w:eastAsia="en-US"/>
        </w:rPr>
        <w:t xml:space="preserve">Havendo erro na apresentação da nota fiscal ou instrumento de cobrança equivalente, ou circunstância que impeça a </w:t>
      </w:r>
      <w:r>
        <w:rPr>
          <w:rFonts w:ascii="Times New Roman" w:hAnsi="Times New Roman"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14:paraId="35002324" w14:textId="77777777" w:rsidR="00957C99" w:rsidRDefault="008E5427">
      <w:pPr>
        <w:pStyle w:val="Nivel3"/>
        <w:spacing w:after="288" w:line="312" w:lineRule="auto"/>
      </w:pPr>
      <w:r>
        <w:rPr>
          <w:rFonts w:ascii="Times New Roman" w:hAnsi="Times New Roman" w:cs="Times New Roman"/>
          <w:sz w:val="22"/>
          <w:szCs w:val="22"/>
          <w:lang w:eastAsia="en-US"/>
        </w:rPr>
        <w:t xml:space="preserve">10.12. A nota fiscal ou instrumento de cobrança equivalente deverá ser obrigatoriamente acompanhado da comprovação da regularidade fiscal, constatada por meio de consulta </w:t>
      </w:r>
      <w:r>
        <w:rPr>
          <w:rFonts w:ascii="Times New Roman" w:hAnsi="Times New Roman" w:cs="Times New Roman"/>
          <w:i/>
          <w:iCs/>
          <w:sz w:val="22"/>
          <w:szCs w:val="22"/>
          <w:lang w:eastAsia="en-US"/>
        </w:rPr>
        <w:t>on-line</w:t>
      </w:r>
      <w:r>
        <w:rPr>
          <w:rFonts w:ascii="Times New Roman" w:hAnsi="Times New Roman" w:cs="Times New Roman"/>
          <w:sz w:val="22"/>
          <w:szCs w:val="22"/>
          <w:lang w:eastAsia="en-US"/>
        </w:rPr>
        <w:t xml:space="preserve"> ao SICAF ou, na impossibilidade de acesso ao referido Sistema, mediante consulta aos sítios eletrônicos oficiais ou à documentação mencionada no </w:t>
      </w:r>
      <w:hyperlink r:id="rId28" w:anchor="art68" w:history="1">
        <w:r>
          <w:rPr>
            <w:rStyle w:val="LinkdaInternet"/>
            <w:rFonts w:ascii="Times New Roman" w:hAnsi="Times New Roman" w:cs="Times New Roman"/>
            <w:color w:val="000000"/>
            <w:sz w:val="22"/>
            <w:szCs w:val="22"/>
            <w:lang w:eastAsia="en-US"/>
          </w:rPr>
          <w:t xml:space="preserve">art. 68 da Lei nº 14.133, de 2021.  </w:t>
        </w:r>
      </w:hyperlink>
    </w:p>
    <w:p w14:paraId="6150E3DC" w14:textId="77777777" w:rsidR="00957C99" w:rsidRDefault="008E5427">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7.13 A Administração deverá realizar consulta ao SICAF para:</w:t>
      </w:r>
    </w:p>
    <w:p w14:paraId="77424935" w14:textId="77777777" w:rsidR="00957C99" w:rsidRDefault="008E5427">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a) verificar a manutenção das condições de habilitação exigidas no edital; </w:t>
      </w:r>
    </w:p>
    <w:p w14:paraId="44FF71BC" w14:textId="77777777" w:rsidR="00957C99" w:rsidRDefault="008E5427">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b) identificar possível razão que impeça a participação em licitação, no âmbito do órgão ou entidade, que implique proibição de contratar com o Poder Público, bem como ocorrências impeditivas indiretas.</w:t>
      </w:r>
    </w:p>
    <w:p w14:paraId="16BB2053" w14:textId="77777777" w:rsidR="00957C99" w:rsidRDefault="008E5427">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D3E0A1" w14:textId="77777777" w:rsidR="00957C99" w:rsidRDefault="008E5427">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25D371D" w14:textId="77777777" w:rsidR="00957C99" w:rsidRDefault="008E5427">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t xml:space="preserve">7.16. Persistindo a irregularidade, o contratante deverá adotar as medidas necessárias à rescisão contratual nos autos do processo administrativo correspondente, assegurada ao contratado a ampla defesa. </w:t>
      </w:r>
    </w:p>
    <w:p w14:paraId="1D1816F9" w14:textId="77777777" w:rsidR="00957C99" w:rsidRDefault="008E5427">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0361437" w14:textId="77777777" w:rsidR="00957C99" w:rsidRDefault="008E5427">
      <w:pPr>
        <w:pStyle w:val="Nivel2"/>
        <w:numPr>
          <w:ilvl w:val="1"/>
          <w:numId w:val="9"/>
        </w:numPr>
        <w:spacing w:after="288" w:line="312" w:lineRule="auto"/>
        <w:ind w:left="435"/>
      </w:pPr>
      <w:r>
        <w:rPr>
          <w:rFonts w:ascii="Times New Roman" w:hAnsi="Times New Roman" w:cs="Times New Roman"/>
          <w:sz w:val="22"/>
          <w:szCs w:val="22"/>
        </w:rPr>
        <w:t xml:space="preserve">O pagamento será efetuado no prazo de até 10 (dez) dias úteis contados da finalização da liquidação da despesa, conforme seção anterior, nos termos da </w:t>
      </w:r>
      <w:hyperlink r:id="rId29">
        <w:r>
          <w:rPr>
            <w:rStyle w:val="LinkdaInternet"/>
            <w:rFonts w:ascii="Times New Roman" w:hAnsi="Times New Roman" w:cs="Times New Roman"/>
            <w:color w:val="000000"/>
            <w:sz w:val="22"/>
            <w:szCs w:val="22"/>
          </w:rPr>
          <w:t>Instrução Normativa SEGES/ME nº 77, de 2022</w:t>
        </w:r>
      </w:hyperlink>
      <w:r>
        <w:rPr>
          <w:rFonts w:ascii="Times New Roman" w:hAnsi="Times New Roman" w:cs="Times New Roman"/>
          <w:sz w:val="22"/>
          <w:szCs w:val="22"/>
        </w:rPr>
        <w:t>.</w:t>
      </w:r>
    </w:p>
    <w:p w14:paraId="75B25FF0" w14:textId="77777777" w:rsidR="00957C99" w:rsidRDefault="008E5427">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No caso de atraso pela contratante, os valores devidos ao contratado serão atualizados monetariamente entre o termo final do prazo de pagamento até a data de sua efetiva realização, mediante aplicação do índice de correção monetária.</w:t>
      </w:r>
    </w:p>
    <w:p w14:paraId="571771D9" w14:textId="77777777" w:rsidR="00957C99" w:rsidRDefault="008E5427">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O pagamento será realizado por meio de ordem bancária, para crédito em banco, agência e conta corrente indicados pelo contratado.</w:t>
      </w:r>
    </w:p>
    <w:p w14:paraId="39776ED2" w14:textId="77777777" w:rsidR="00957C99" w:rsidRDefault="008E5427">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Será considerada data do pagamento o dia em que constar como emitida a ordem bancária para pagamento.</w:t>
      </w:r>
      <w:bookmarkStart w:id="0" w:name="_Hlk125965235"/>
      <w:bookmarkEnd w:id="0"/>
    </w:p>
    <w:p w14:paraId="35E331BA" w14:textId="77777777" w:rsidR="00957C99" w:rsidRDefault="008E5427">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Quando do pagamento, será efetuada a retenção tributária prevista na legislação aplicável.</w:t>
      </w:r>
    </w:p>
    <w:p w14:paraId="67F77254" w14:textId="77777777" w:rsidR="00957C99" w:rsidRDefault="008E5427">
      <w:pPr>
        <w:pStyle w:val="Nivel2"/>
        <w:spacing w:after="288" w:line="312" w:lineRule="auto"/>
        <w:ind w:left="1002"/>
        <w:rPr>
          <w:rFonts w:ascii="Times New Roman" w:hAnsi="Times New Roman" w:cs="Times New Roman"/>
          <w:sz w:val="22"/>
          <w:szCs w:val="22"/>
          <w:lang w:eastAsia="en-US"/>
        </w:rPr>
      </w:pPr>
      <w:r>
        <w:rPr>
          <w:rFonts w:ascii="Times New Roman" w:hAnsi="Times New Roman" w:cs="Times New Roman"/>
          <w:sz w:val="22"/>
          <w:szCs w:val="22"/>
          <w:lang w:eastAsia="en-US"/>
        </w:rPr>
        <w:t>7.22.1 Independentemente do percentual de tributo inserido na planilha, quando houver, serão retidos na fonte, quando da realização do pagamento, os percentuais estabelecidos na legislação vigente.</w:t>
      </w:r>
    </w:p>
    <w:p w14:paraId="1AE9DE7A" w14:textId="77777777" w:rsidR="00957C99" w:rsidRDefault="008E5427">
      <w:pPr>
        <w:pStyle w:val="Nivel2"/>
        <w:spacing w:after="288" w:line="312" w:lineRule="auto"/>
        <w:ind w:left="567"/>
      </w:pPr>
      <w:r>
        <w:rPr>
          <w:rFonts w:ascii="Times New Roman" w:hAnsi="Times New Roman" w:cs="Times New Roman"/>
          <w:sz w:val="22"/>
          <w:szCs w:val="22"/>
          <w:lang w:eastAsia="en-US"/>
        </w:rPr>
        <w:t xml:space="preserve">7.23. O contratado regularmente optante pelo Simples Nacional, nos termos da </w:t>
      </w:r>
      <w:hyperlink r:id="rId30">
        <w:r>
          <w:rPr>
            <w:rStyle w:val="LinkdaInternet"/>
            <w:rFonts w:ascii="Times New Roman" w:hAnsi="Times New Roman" w:cs="Times New Roman"/>
            <w:color w:val="000000"/>
            <w:sz w:val="22"/>
            <w:szCs w:val="22"/>
            <w:lang w:eastAsia="en-US"/>
          </w:rPr>
          <w:t>Lei Complementar nº 123, de 2006</w:t>
        </w:r>
      </w:hyperlink>
      <w:r>
        <w:rPr>
          <w:rFonts w:ascii="Times New Roman" w:hAnsi="Times New Roman" w:cs="Times New Roman"/>
          <w:sz w:val="22"/>
          <w:szCs w:val="22"/>
          <w:lang w:eastAsia="en-US"/>
        </w:rPr>
        <w:t xml:space="preserve">, não sofrerá a retenção tributária quanto aos impostos e contribuições abrangidos por aquele regime. No entanto, o pagamento ficará condicionado à apresentação de comprovação, </w:t>
      </w:r>
      <w:r>
        <w:rPr>
          <w:rFonts w:ascii="Times New Roman" w:hAnsi="Times New Roman" w:cs="Times New Roman"/>
          <w:sz w:val="22"/>
          <w:szCs w:val="22"/>
          <w:lang w:eastAsia="en-US"/>
        </w:rPr>
        <w:lastRenderedPageBreak/>
        <w:t>por meio de documento oficial, de que faz jus ao tratamento tributário favorecido previsto na referida Lei Complementar.</w:t>
      </w:r>
    </w:p>
    <w:p w14:paraId="1908BF9F" w14:textId="77777777" w:rsidR="00957C99" w:rsidRDefault="008E5427">
      <w:pPr>
        <w:pStyle w:val="Nivel2"/>
        <w:spacing w:after="288" w:line="312" w:lineRule="auto"/>
        <w:ind w:left="567"/>
      </w:pPr>
      <w:r>
        <w:rPr>
          <w:rFonts w:ascii="Times New Roman" w:hAnsi="Times New Roman" w:cs="Times New Roman"/>
          <w:sz w:val="22"/>
          <w:szCs w:val="22"/>
          <w:lang w:eastAsia="en-US"/>
        </w:rPr>
        <w:t xml:space="preserve">7.24. É admitida a cessão fiduciária de direitos creditícios com instituição financeira, nos termos e de acordo com os procedimentos previstos na </w:t>
      </w:r>
      <w:hyperlink r:id="rId31">
        <w:r>
          <w:rPr>
            <w:rStyle w:val="LinkdaInternet"/>
            <w:rFonts w:ascii="Times New Roman" w:hAnsi="Times New Roman" w:cs="Times New Roman"/>
            <w:color w:val="000000"/>
            <w:sz w:val="22"/>
            <w:szCs w:val="22"/>
            <w:lang w:eastAsia="en-US"/>
          </w:rPr>
          <w:t>Instrução Normativa SEGES/ME nº 53, de 8 de Julho de 2020</w:t>
        </w:r>
      </w:hyperlink>
      <w:r>
        <w:rPr>
          <w:rFonts w:ascii="Times New Roman" w:hAnsi="Times New Roman" w:cs="Times New Roman"/>
          <w:sz w:val="22"/>
          <w:szCs w:val="22"/>
          <w:lang w:eastAsia="en-US"/>
        </w:rPr>
        <w:t>, conforme as regras deste presente tópico.</w:t>
      </w:r>
    </w:p>
    <w:p w14:paraId="7FABED4E" w14:textId="77777777" w:rsidR="00957C99" w:rsidRDefault="00957C99">
      <w:pPr>
        <w:widowControl/>
        <w:suppressAutoHyphens w:val="0"/>
        <w:spacing w:before="120" w:after="120"/>
        <w:rPr>
          <w:rFonts w:ascii="Times New Roman" w:hAnsi="Times New Roman" w:cs="Times New Roman"/>
          <w:sz w:val="22"/>
          <w:szCs w:val="22"/>
        </w:rPr>
      </w:pPr>
    </w:p>
    <w:p w14:paraId="01BBD289" w14:textId="77777777" w:rsidR="00957C99" w:rsidRDefault="008E5427">
      <w:pPr>
        <w:pStyle w:val="PargrafodaLista"/>
        <w:numPr>
          <w:ilvl w:val="0"/>
          <w:numId w:val="7"/>
        </w:numPr>
        <w:spacing w:after="120"/>
        <w:ind w:right="-15"/>
        <w:rPr>
          <w:rFonts w:ascii="Times New Roman" w:hAnsi="Times New Roman" w:cs="Times New Roman"/>
          <w:b/>
          <w:sz w:val="22"/>
          <w:szCs w:val="22"/>
          <w:lang w:eastAsia="en-US"/>
        </w:rPr>
      </w:pPr>
      <w:r>
        <w:rPr>
          <w:rFonts w:ascii="Times New Roman" w:hAnsi="Times New Roman" w:cs="Times New Roman"/>
          <w:b/>
          <w:sz w:val="22"/>
          <w:szCs w:val="22"/>
          <w:lang w:eastAsia="en-US"/>
        </w:rPr>
        <w:t>FORMA E CRITÉRIOS DE SELEÇÃO DO FORNECEDOR</w:t>
      </w:r>
    </w:p>
    <w:p w14:paraId="1D88755D" w14:textId="77777777" w:rsidR="00957C99" w:rsidRDefault="00957C99">
      <w:pPr>
        <w:pStyle w:val="PargrafodaLista"/>
        <w:spacing w:after="120"/>
        <w:ind w:left="360" w:right="-15"/>
        <w:rPr>
          <w:rFonts w:ascii="Times New Roman" w:hAnsi="Times New Roman" w:cs="Times New Roman"/>
          <w:bCs/>
          <w:sz w:val="22"/>
          <w:szCs w:val="22"/>
          <w:lang w:eastAsia="en-US"/>
        </w:rPr>
      </w:pPr>
    </w:p>
    <w:p w14:paraId="170B2EFB" w14:textId="77777777" w:rsidR="00957C99" w:rsidRDefault="008E5427">
      <w:pPr>
        <w:pStyle w:val="PargrafodaLista"/>
        <w:numPr>
          <w:ilvl w:val="1"/>
          <w:numId w:val="7"/>
        </w:numPr>
        <w:spacing w:after="120"/>
        <w:ind w:right="-15"/>
        <w:rPr>
          <w:rFonts w:ascii="Times New Roman" w:eastAsia="Arial" w:hAnsi="Times New Roman" w:cs="Times New Roman"/>
          <w:sz w:val="22"/>
          <w:szCs w:val="22"/>
        </w:rPr>
      </w:pPr>
      <w:r>
        <w:rPr>
          <w:rFonts w:ascii="Times New Roman" w:eastAsia="Arial" w:hAnsi="Times New Roman" w:cs="Times New Roman"/>
          <w:sz w:val="22"/>
          <w:szCs w:val="22"/>
        </w:rPr>
        <w:t>O fornecedor será selecionado por meio da realização de procedimento de LICITAÇÃO, na modalidade PREGÃO, sob a forma ELETRÔNICA, com adoção do critério de julgamento pelo [MENOR PREÇO] OU [MAIOR DESCONTO].</w:t>
      </w:r>
    </w:p>
    <w:p w14:paraId="23161486"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Para fins de habilitação, deverá o licitante comprovar os seguintes requisitos:</w:t>
      </w:r>
    </w:p>
    <w:p w14:paraId="211E1B25" w14:textId="77777777" w:rsidR="00957C99" w:rsidRDefault="008E5427">
      <w:pPr>
        <w:pStyle w:val="Nivel2"/>
        <w:numPr>
          <w:ilvl w:val="1"/>
          <w:numId w:val="7"/>
        </w:numPr>
        <w:spacing w:after="288" w:line="312" w:lineRule="auto"/>
        <w:ind w:left="360"/>
      </w:pPr>
      <w:bookmarkStart w:id="1" w:name="_Ref115800561"/>
      <w:r>
        <w:rPr>
          <w:rFonts w:ascii="Times New Roman" w:hAnsi="Times New Roman" w:cs="Times New Roman"/>
          <w:b/>
          <w:bCs/>
          <w:sz w:val="22"/>
          <w:szCs w:val="22"/>
        </w:rPr>
        <w:t>Pessoa física:</w:t>
      </w:r>
      <w:r>
        <w:rPr>
          <w:rFonts w:ascii="Times New Roman" w:hAnsi="Times New Roman" w:cs="Times New Roman"/>
          <w:sz w:val="22"/>
          <w:szCs w:val="22"/>
        </w:rPr>
        <w:t xml:space="preserve"> cédula de identidade (RG) ou documento equivalente que, por força de lei, tenha validade para fins de identificação em todo o território nacional;</w:t>
      </w:r>
      <w:bookmarkEnd w:id="1"/>
    </w:p>
    <w:p w14:paraId="1B041257"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Empresário individual:</w:t>
      </w:r>
      <w:r>
        <w:rPr>
          <w:rFonts w:ascii="Times New Roman" w:hAnsi="Times New Roman" w:cs="Times New Roman"/>
          <w:sz w:val="22"/>
          <w:szCs w:val="22"/>
        </w:rPr>
        <w:t xml:space="preserve"> inscrição no Registro Público de Empresas Mercantis, a cargo da Junta Comercial da respectiva sede; </w:t>
      </w:r>
    </w:p>
    <w:p w14:paraId="06405A6B"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Microempreendedor Individual - MEI:</w:t>
      </w:r>
      <w:r>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32">
        <w:r>
          <w:rPr>
            <w:rStyle w:val="LinkdaInternet"/>
            <w:rFonts w:ascii="Times New Roman" w:hAnsi="Times New Roman" w:cs="Times New Roman"/>
            <w:color w:val="000000"/>
            <w:sz w:val="22"/>
            <w:szCs w:val="22"/>
          </w:rPr>
          <w:t>https://www.gov.br/empresas-e-negocios/pt-br/empreendedor</w:t>
        </w:r>
      </w:hyperlink>
      <w:r>
        <w:rPr>
          <w:rFonts w:ascii="Times New Roman" w:hAnsi="Times New Roman" w:cs="Times New Roman"/>
          <w:sz w:val="22"/>
          <w:szCs w:val="22"/>
        </w:rPr>
        <w:t xml:space="preserve">; </w:t>
      </w:r>
    </w:p>
    <w:p w14:paraId="6DD960EF"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Sociedade empresária, sociedade limitada unipessoal – SLU ou sociedade identificada como empresa individual de responsabilidade limitada - EIRELI:</w:t>
      </w:r>
      <w:r>
        <w:rPr>
          <w:rFonts w:ascii="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7689527" w14:textId="77777777" w:rsidR="00957C99" w:rsidRDefault="008E5427">
      <w:pPr>
        <w:pStyle w:val="PargrafodaLista"/>
        <w:numPr>
          <w:ilvl w:val="1"/>
          <w:numId w:val="7"/>
        </w:numPr>
        <w:spacing w:after="120"/>
        <w:ind w:right="-15"/>
      </w:pPr>
      <w:r>
        <w:rPr>
          <w:rFonts w:ascii="Times New Roman" w:hAnsi="Times New Roman" w:cs="Times New Roman"/>
          <w:b/>
          <w:bCs/>
          <w:sz w:val="22"/>
          <w:szCs w:val="22"/>
        </w:rPr>
        <w:t>Sociedade empresária estrangeira:</w:t>
      </w:r>
      <w:r>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Pr>
            <w:rStyle w:val="LinkdaInternet"/>
          </w:rPr>
          <w:t>Normativa DREI/ME n.º 77, de 18 de março de 2020</w:t>
        </w:r>
      </w:hyperlink>
      <w:r>
        <w:rPr>
          <w:rStyle w:val="LinkdaInternet"/>
          <w:rFonts w:ascii="Times New Roman" w:hAnsi="Times New Roman" w:cs="Times New Roman"/>
          <w:color w:val="000000"/>
          <w:sz w:val="22"/>
          <w:szCs w:val="22"/>
        </w:rPr>
        <w:t>.</w:t>
      </w:r>
    </w:p>
    <w:p w14:paraId="122EDB67"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 xml:space="preserve">Sociedade simples: </w:t>
      </w:r>
      <w:r>
        <w:rPr>
          <w:rFonts w:ascii="Times New Roman" w:hAnsi="Times New Roman" w:cs="Times New Roman"/>
          <w:sz w:val="22"/>
          <w:szCs w:val="22"/>
        </w:rPr>
        <w:t>inscrição do ato constitutivo no Registro Civil de Pessoas Jurídicas do local de sua sede, acompanhada de documento comprobatório de seus administradores;</w:t>
      </w:r>
    </w:p>
    <w:p w14:paraId="2AA3B6EA"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Filial, sucursal ou agência de sociedade simples ou empresária:</w:t>
      </w:r>
      <w:r>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Pr>
          <w:rFonts w:ascii="Times New Roman" w:hAnsi="Times New Roman" w:cs="Times New Roman"/>
          <w:sz w:val="22"/>
          <w:szCs w:val="22"/>
        </w:rPr>
        <w:t>Mercantis onde</w:t>
      </w:r>
      <w:bookmarkEnd w:id="2"/>
      <w:r>
        <w:rPr>
          <w:rFonts w:ascii="Times New Roman" w:hAnsi="Times New Roman" w:cs="Times New Roman"/>
          <w:sz w:val="22"/>
          <w:szCs w:val="22"/>
        </w:rPr>
        <w:t xml:space="preserve"> opera, com averbação no Registro onde tem sede a matriz</w:t>
      </w:r>
    </w:p>
    <w:p w14:paraId="65AD0732"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lastRenderedPageBreak/>
        <w:t>Sociedade cooperativa:</w:t>
      </w:r>
      <w:r>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Pr>
            <w:rStyle w:val="LinkdaInternet"/>
            <w:rFonts w:ascii="Times New Roman" w:hAnsi="Times New Roman" w:cs="Times New Roman"/>
            <w:color w:val="000000"/>
            <w:sz w:val="22"/>
            <w:szCs w:val="22"/>
          </w:rPr>
          <w:t>art. 107 da Lei nº 5.764, de 16 de dezembro 1971</w:t>
        </w:r>
      </w:hyperlink>
      <w:r>
        <w:rPr>
          <w:rFonts w:ascii="Times New Roman" w:hAnsi="Times New Roman" w:cs="Times New Roman"/>
          <w:sz w:val="22"/>
          <w:szCs w:val="22"/>
        </w:rPr>
        <w:t>.</w:t>
      </w:r>
    </w:p>
    <w:p w14:paraId="39FA015A"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Agricultor familiar:</w:t>
      </w:r>
      <w:r>
        <w:rPr>
          <w:rFonts w:ascii="Times New Roman" w:hAnsi="Times New Roman" w:cs="Times New Roman"/>
          <w:sz w:val="22"/>
          <w:szCs w:val="22"/>
        </w:rPr>
        <w:t xml:space="preserve"> Declaração de Aptidão ao Pronaf – DAP ou DAP-P válida, ou, ainda, outros documentos definidos pela Secretaria Especial de Agricultura Familiar e do Desenvolvimento Agrário, nos termos do</w:t>
      </w:r>
      <w:hyperlink r:id="rId35" w:anchor="art4§2" w:history="1">
        <w:r>
          <w:rPr>
            <w:rStyle w:val="LinkdaInternet"/>
            <w:rFonts w:ascii="Times New Roman" w:hAnsi="Times New Roman" w:cs="Times New Roman"/>
            <w:color w:val="000000"/>
            <w:sz w:val="22"/>
            <w:szCs w:val="22"/>
          </w:rPr>
          <w:t xml:space="preserve"> art. 4º, §2º do Decreto nº 10.880, de 2 de dezembro de 2021</w:t>
        </w:r>
      </w:hyperlink>
      <w:r>
        <w:rPr>
          <w:rFonts w:ascii="Times New Roman" w:hAnsi="Times New Roman" w:cs="Times New Roman"/>
          <w:sz w:val="22"/>
          <w:szCs w:val="22"/>
        </w:rPr>
        <w:t>.</w:t>
      </w:r>
    </w:p>
    <w:p w14:paraId="47129AA8" w14:textId="77777777" w:rsidR="00957C99" w:rsidRDefault="008E5427">
      <w:pPr>
        <w:pStyle w:val="Nivel2"/>
        <w:numPr>
          <w:ilvl w:val="1"/>
          <w:numId w:val="7"/>
        </w:numPr>
        <w:spacing w:after="288" w:line="312" w:lineRule="auto"/>
        <w:ind w:left="360"/>
      </w:pPr>
      <w:r>
        <w:rPr>
          <w:rFonts w:ascii="Times New Roman" w:hAnsi="Times New Roman" w:cs="Times New Roman"/>
          <w:b/>
          <w:bCs/>
          <w:sz w:val="22"/>
          <w:szCs w:val="22"/>
        </w:rPr>
        <w:t>Produtor Rural:</w:t>
      </w:r>
      <w:r>
        <w:rPr>
          <w:rFonts w:ascii="Times New Roman" w:hAnsi="Times New Roman" w:cs="Times New Roman"/>
          <w:sz w:val="22"/>
          <w:szCs w:val="22"/>
        </w:rPr>
        <w:t xml:space="preserve"> matrícula no Cadastro Específico do INSS – CEI, que comprove a qualificação como produtor rural pessoa física, nos termos da </w:t>
      </w:r>
      <w:hyperlink r:id="rId36">
        <w:r>
          <w:rPr>
            <w:rStyle w:val="LinkdaInternet"/>
            <w:rFonts w:ascii="Times New Roman" w:hAnsi="Times New Roman" w:cs="Times New Roman"/>
            <w:color w:val="000000"/>
            <w:sz w:val="22"/>
            <w:szCs w:val="22"/>
          </w:rPr>
          <w:t>Instrução Normativa RFB n. 971, de 13 de novembro de 2009</w:t>
        </w:r>
      </w:hyperlink>
      <w:r>
        <w:rPr>
          <w:rFonts w:ascii="Times New Roman" w:hAnsi="Times New Roman" w:cs="Times New Roman"/>
          <w:sz w:val="22"/>
          <w:szCs w:val="22"/>
        </w:rPr>
        <w:t xml:space="preserve"> (</w:t>
      </w:r>
      <w:proofErr w:type="spellStart"/>
      <w:r>
        <w:rPr>
          <w:rFonts w:ascii="Times New Roman" w:hAnsi="Times New Roman" w:cs="Times New Roman"/>
          <w:sz w:val="22"/>
          <w:szCs w:val="22"/>
        </w:rPr>
        <w:t>arts</w:t>
      </w:r>
      <w:proofErr w:type="spellEnd"/>
      <w:r>
        <w:rPr>
          <w:rFonts w:ascii="Times New Roman" w:hAnsi="Times New Roman" w:cs="Times New Roman"/>
          <w:sz w:val="22"/>
          <w:szCs w:val="22"/>
        </w:rPr>
        <w:t>. 17 a 19 e 165).</w:t>
      </w:r>
    </w:p>
    <w:p w14:paraId="2FC40B61"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Os documentos apresentados deverão estar acompanhados de todas as alterações ou da consolidação respectiva.</w:t>
      </w:r>
    </w:p>
    <w:p w14:paraId="0EF554BE"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inscrição no Cadastro Nacional de Pessoas Jurídicas ou no Cadastro de Pessoas Físicas, conforme o caso;</w:t>
      </w:r>
    </w:p>
    <w:p w14:paraId="74C0C1F4"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DDB20B"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regularidade com o Fundo de Garantia do Tempo de Serviço (FGTS);</w:t>
      </w:r>
    </w:p>
    <w:p w14:paraId="510401F9"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CC8D38"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 xml:space="preserve">Prova de inscrição no cadastro de contribuintes relativo ao domicílio ou sede do fornecedor, pertinente ao seu ramo de atividade e compatível com o objeto contratual; </w:t>
      </w:r>
    </w:p>
    <w:p w14:paraId="3F525611"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regularidade com a Fazenda do domicílio ou sede do fornecedor, relativa à atividade em cujo exercício contrata ou concorre;</w:t>
      </w:r>
    </w:p>
    <w:p w14:paraId="54BC90E8"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6110001A"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E0CDE5"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rPr>
        <w:t>Certidão negativa de insolvência civil expedida pelo distribuidor do domicílio ou sede do licitante, caso se trate de pessoa física, desde que admitida a sua participação na licitação (</w:t>
      </w:r>
      <w:hyperlink r:id="rId37" w:anchor="art5" w:history="1">
        <w:r>
          <w:rPr>
            <w:rStyle w:val="LinkdaInternet"/>
            <w:rFonts w:ascii="Times New Roman" w:hAnsi="Times New Roman" w:cs="Times New Roman"/>
            <w:color w:val="000000"/>
            <w:sz w:val="22"/>
            <w:szCs w:val="22"/>
          </w:rPr>
          <w:t>art. 5º, inciso II, alínea “c”, da Instrução Normativa Seges/ME nº 116, de 2021</w:t>
        </w:r>
      </w:hyperlink>
      <w:r>
        <w:rPr>
          <w:rFonts w:ascii="Times New Roman" w:hAnsi="Times New Roman" w:cs="Times New Roman"/>
          <w:sz w:val="22"/>
          <w:szCs w:val="22"/>
        </w:rPr>
        <w:t xml:space="preserve">), ou de sociedade simples; </w:t>
      </w:r>
    </w:p>
    <w:p w14:paraId="7447ABF8" w14:textId="77777777" w:rsidR="00957C99" w:rsidRDefault="008E5427">
      <w:pPr>
        <w:pStyle w:val="Nivel2"/>
        <w:numPr>
          <w:ilvl w:val="1"/>
          <w:numId w:val="7"/>
        </w:numPr>
        <w:spacing w:after="288" w:line="312" w:lineRule="auto"/>
        <w:ind w:left="360"/>
      </w:pPr>
      <w:r>
        <w:rPr>
          <w:rFonts w:ascii="Times New Roman" w:hAnsi="Times New Roman" w:cs="Times New Roman"/>
          <w:sz w:val="22"/>
          <w:szCs w:val="22"/>
        </w:rPr>
        <w:t xml:space="preserve">Certidão negativa de falência expedida pelo distribuidor da sede do fornecedor - </w:t>
      </w:r>
      <w:hyperlink r:id="rId38" w:anchor="art69" w:history="1">
        <w:r>
          <w:rPr>
            <w:rStyle w:val="LinkdaInternet"/>
            <w:rFonts w:ascii="Times New Roman" w:hAnsi="Times New Roman" w:cs="Times New Roman"/>
            <w:color w:val="000000"/>
            <w:sz w:val="22"/>
            <w:szCs w:val="22"/>
          </w:rPr>
          <w:t>Lei nº 14.133, de 2021, art. 69, caput, inciso II</w:t>
        </w:r>
      </w:hyperlink>
      <w:r>
        <w:rPr>
          <w:rFonts w:ascii="Times New Roman" w:hAnsi="Times New Roman" w:cs="Times New Roman"/>
          <w:sz w:val="22"/>
          <w:szCs w:val="22"/>
        </w:rPr>
        <w:t>);</w:t>
      </w:r>
    </w:p>
    <w:p w14:paraId="7C9D4ADE"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94E1791" w14:textId="77777777" w:rsidR="00957C99" w:rsidRDefault="008E5427">
      <w:pPr>
        <w:pStyle w:val="Nivel2"/>
        <w:spacing w:after="288" w:line="312" w:lineRule="auto"/>
        <w:ind w:left="900"/>
        <w:contextualSpacing/>
        <w:rPr>
          <w:rFonts w:ascii="Times New Roman" w:eastAsia="Arial" w:hAnsi="Times New Roman" w:cs="Times New Roman"/>
          <w:sz w:val="22"/>
          <w:szCs w:val="22"/>
        </w:rPr>
      </w:pPr>
      <w:r>
        <w:rPr>
          <w:rFonts w:ascii="Times New Roman" w:eastAsia="Arial" w:hAnsi="Times New Roman" w:cs="Times New Roman"/>
          <w:sz w:val="22"/>
          <w:szCs w:val="22"/>
        </w:rPr>
        <w:t xml:space="preserve">I - Liquidez Geral (LG) = (Ativo Circulante + Realizável a Longo </w:t>
      </w:r>
      <w:proofErr w:type="gramStart"/>
      <w:r>
        <w:rPr>
          <w:rFonts w:ascii="Times New Roman" w:eastAsia="Arial" w:hAnsi="Times New Roman" w:cs="Times New Roman"/>
          <w:sz w:val="22"/>
          <w:szCs w:val="22"/>
        </w:rPr>
        <w:t>Prazo )</w:t>
      </w:r>
      <w:proofErr w:type="gramEnd"/>
      <w:r>
        <w:rPr>
          <w:rFonts w:ascii="Times New Roman" w:eastAsia="Arial" w:hAnsi="Times New Roman" w:cs="Times New Roman"/>
          <w:sz w:val="22"/>
          <w:szCs w:val="22"/>
        </w:rPr>
        <w:t>/( Passivo Circulante + Passivo Não Circulante);</w:t>
      </w:r>
    </w:p>
    <w:p w14:paraId="03EAE554" w14:textId="77777777" w:rsidR="00957C99" w:rsidRDefault="008E5427">
      <w:pPr>
        <w:pStyle w:val="Nivel3"/>
        <w:spacing w:after="288" w:line="312" w:lineRule="auto"/>
        <w:ind w:left="900"/>
        <w:rPr>
          <w:rFonts w:ascii="Times New Roman" w:eastAsia="Arial" w:hAnsi="Times New Roman" w:cs="Times New Roman"/>
          <w:sz w:val="22"/>
          <w:szCs w:val="22"/>
        </w:rPr>
      </w:pPr>
      <w:r>
        <w:rPr>
          <w:rFonts w:ascii="Times New Roman" w:eastAsia="Arial" w:hAnsi="Times New Roman" w:cs="Times New Roman"/>
          <w:sz w:val="22"/>
          <w:szCs w:val="22"/>
        </w:rPr>
        <w:t xml:space="preserve">II - Solvência Geral (SG)= (Ativo </w:t>
      </w:r>
      <w:proofErr w:type="gramStart"/>
      <w:r>
        <w:rPr>
          <w:rFonts w:ascii="Times New Roman" w:eastAsia="Arial" w:hAnsi="Times New Roman" w:cs="Times New Roman"/>
          <w:sz w:val="22"/>
          <w:szCs w:val="22"/>
        </w:rPr>
        <w:t>Total)/</w:t>
      </w:r>
      <w:proofErr w:type="gramEnd"/>
      <w:r>
        <w:rPr>
          <w:rFonts w:ascii="Times New Roman" w:eastAsia="Arial" w:hAnsi="Times New Roman" w:cs="Times New Roman"/>
          <w:sz w:val="22"/>
          <w:szCs w:val="22"/>
        </w:rPr>
        <w:t>(Passivo Circulante +Passivo não Circulante); e</w:t>
      </w:r>
    </w:p>
    <w:p w14:paraId="656C7E36" w14:textId="77777777" w:rsidR="00957C99" w:rsidRDefault="008E5427">
      <w:pPr>
        <w:pStyle w:val="Nivel3"/>
        <w:spacing w:after="288" w:line="312" w:lineRule="auto"/>
        <w:ind w:left="900"/>
        <w:rPr>
          <w:rFonts w:ascii="Times New Roman" w:eastAsia="Arial" w:hAnsi="Times New Roman" w:cs="Times New Roman"/>
          <w:sz w:val="22"/>
          <w:szCs w:val="22"/>
        </w:rPr>
      </w:pPr>
      <w:r>
        <w:rPr>
          <w:rFonts w:ascii="Times New Roman" w:eastAsia="Arial" w:hAnsi="Times New Roman" w:cs="Times New Roman"/>
          <w:sz w:val="22"/>
          <w:szCs w:val="22"/>
        </w:rPr>
        <w:t xml:space="preserve">III - Liquidez Corrente (LC) = (Ativo </w:t>
      </w:r>
      <w:proofErr w:type="gramStart"/>
      <w:r>
        <w:rPr>
          <w:rFonts w:ascii="Times New Roman" w:eastAsia="Arial" w:hAnsi="Times New Roman" w:cs="Times New Roman"/>
          <w:sz w:val="22"/>
          <w:szCs w:val="22"/>
        </w:rPr>
        <w:t>Circulante)/</w:t>
      </w:r>
      <w:proofErr w:type="gramEnd"/>
      <w:r>
        <w:rPr>
          <w:rFonts w:ascii="Times New Roman" w:eastAsia="Arial" w:hAnsi="Times New Roman" w:cs="Times New Roman"/>
          <w:sz w:val="22"/>
          <w:szCs w:val="22"/>
        </w:rPr>
        <w:t>(Passivo Circulante).</w:t>
      </w:r>
    </w:p>
    <w:p w14:paraId="0E32CE63" w14:textId="77777777" w:rsidR="00957C99" w:rsidRDefault="008E5427">
      <w:pPr>
        <w:pStyle w:val="Nivel2"/>
        <w:numPr>
          <w:ilvl w:val="1"/>
          <w:numId w:val="7"/>
        </w:numPr>
        <w:spacing w:after="288" w:line="312" w:lineRule="auto"/>
        <w:ind w:left="360"/>
        <w:rPr>
          <w:rFonts w:ascii="Times New Roman" w:eastAsia="Arial" w:hAnsi="Times New Roman" w:cs="Times New Roman"/>
          <w:sz w:val="22"/>
          <w:szCs w:val="22"/>
        </w:rPr>
      </w:pPr>
      <w:r>
        <w:rPr>
          <w:rFonts w:ascii="Times New Roman" w:eastAsia="Arial" w:hAnsi="Times New Roman" w:cs="Times New Roman"/>
          <w:sz w:val="22"/>
          <w:szCs w:val="22"/>
        </w:rPr>
        <w:t>Caso a empresa licitante apresente resultado inferior ou igual a 1 (um) em qualquer dos índices de Liquidez Geral (LG), Solvência Geral (SG) e Liquidez Corrente (LC), será exigido para fins de habilitação de 10% do valor total estimado da contratação</w:t>
      </w:r>
    </w:p>
    <w:p w14:paraId="4E246D9A"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68D8B47" w14:textId="77777777" w:rsidR="00957C99" w:rsidRDefault="008E5427">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5F2516EE" w14:textId="77777777" w:rsidR="00957C99" w:rsidRDefault="00957C99">
      <w:pPr>
        <w:pStyle w:val="PargrafodaLista"/>
        <w:numPr>
          <w:ilvl w:val="1"/>
          <w:numId w:val="7"/>
        </w:numPr>
        <w:spacing w:after="120"/>
        <w:ind w:right="-15"/>
        <w:rPr>
          <w:rFonts w:ascii="Times New Roman" w:hAnsi="Times New Roman" w:cs="Times New Roman"/>
          <w:bCs/>
          <w:sz w:val="22"/>
          <w:szCs w:val="22"/>
          <w:lang w:eastAsia="en-US"/>
        </w:rPr>
      </w:pPr>
    </w:p>
    <w:p w14:paraId="2CED9722" w14:textId="77777777" w:rsidR="00957C99" w:rsidRDefault="00957C99">
      <w:pPr>
        <w:spacing w:before="120" w:after="120"/>
        <w:rPr>
          <w:rFonts w:ascii="Times New Roman" w:hAnsi="Times New Roman" w:cs="Times New Roman"/>
          <w:sz w:val="22"/>
          <w:szCs w:val="22"/>
        </w:rPr>
      </w:pPr>
    </w:p>
    <w:p w14:paraId="31CBB1B1" w14:textId="77777777" w:rsidR="00957C99" w:rsidRDefault="00957C99">
      <w:pPr>
        <w:spacing w:before="120" w:after="120"/>
        <w:rPr>
          <w:rFonts w:ascii="Times New Roman" w:hAnsi="Times New Roman" w:cs="Times New Roman"/>
          <w:sz w:val="22"/>
          <w:szCs w:val="22"/>
        </w:rPr>
      </w:pPr>
    </w:p>
    <w:p w14:paraId="6E6CB1EF" w14:textId="77777777" w:rsidR="00957C99" w:rsidRDefault="008E5427">
      <w:pPr>
        <w:pStyle w:val="PargrafodaLista"/>
        <w:numPr>
          <w:ilvl w:val="0"/>
          <w:numId w:val="7"/>
        </w:numPr>
        <w:spacing w:after="120"/>
        <w:ind w:right="-15"/>
        <w:rPr>
          <w:rFonts w:ascii="Times New Roman" w:hAnsi="Times New Roman" w:cs="Times New Roman"/>
          <w:b/>
          <w:sz w:val="22"/>
          <w:szCs w:val="22"/>
          <w:lang w:eastAsia="en-US"/>
        </w:rPr>
      </w:pPr>
      <w:r>
        <w:rPr>
          <w:rFonts w:ascii="Times New Roman" w:hAnsi="Times New Roman" w:cs="Times New Roman"/>
          <w:b/>
          <w:sz w:val="22"/>
          <w:szCs w:val="22"/>
          <w:lang w:eastAsia="en-US"/>
        </w:rPr>
        <w:t xml:space="preserve">ESTIMATIVAS DO VALOR DA CONTRATAÇÃO </w:t>
      </w:r>
    </w:p>
    <w:p w14:paraId="5AF30779" w14:textId="77777777" w:rsidR="00957C99" w:rsidRDefault="008E5427">
      <w:pPr>
        <w:pStyle w:val="Nvel2-Red"/>
        <w:spacing w:after="288" w:line="312" w:lineRule="auto"/>
        <w:ind w:left="567"/>
      </w:pPr>
      <w:r>
        <w:rPr>
          <w:rFonts w:ascii="Times New Roman" w:hAnsi="Times New Roman" w:cs="Times New Roman"/>
          <w:bCs/>
          <w:i w:val="0"/>
          <w:iCs w:val="0"/>
          <w:color w:val="000000"/>
          <w:sz w:val="22"/>
          <w:szCs w:val="22"/>
          <w:lang w:eastAsia="en-US"/>
        </w:rPr>
        <w:t xml:space="preserve">9.1 </w:t>
      </w:r>
      <w:r>
        <w:rPr>
          <w:rFonts w:ascii="Times New Roman" w:hAnsi="Times New Roman" w:cs="Times New Roman"/>
          <w:i w:val="0"/>
          <w:iCs w:val="0"/>
          <w:color w:val="000000"/>
          <w:sz w:val="22"/>
          <w:szCs w:val="22"/>
        </w:rPr>
        <w:t xml:space="preserve">O custo estimado total da contratação é de </w:t>
      </w:r>
      <w:r>
        <w:rPr>
          <w:rFonts w:ascii="Times New Roman" w:hAnsi="Times New Roman" w:cs="Times New Roman"/>
          <w:i w:val="0"/>
          <w:iCs w:val="0"/>
          <w:color w:val="auto"/>
        </w:rPr>
        <w:t>1.813,89</w:t>
      </w:r>
      <w:r>
        <w:rPr>
          <w:rFonts w:ascii="Times New Roman" w:hAnsi="Times New Roman" w:cs="Times New Roman"/>
          <w:b/>
          <w:bCs/>
          <w:i w:val="0"/>
          <w:iCs w:val="0"/>
          <w:color w:val="auto"/>
          <w:sz w:val="22"/>
          <w:szCs w:val="22"/>
        </w:rPr>
        <w:t xml:space="preserve"> </w:t>
      </w:r>
      <w:r>
        <w:rPr>
          <w:rFonts w:ascii="Times New Roman" w:hAnsi="Times New Roman" w:cs="Times New Roman"/>
          <w:b/>
          <w:bCs/>
          <w:i w:val="0"/>
          <w:iCs w:val="0"/>
          <w:color w:val="000000"/>
          <w:sz w:val="22"/>
          <w:szCs w:val="22"/>
        </w:rPr>
        <w:t>(mil, oitocentos e treze reais e oitenta e nove centavos)</w:t>
      </w:r>
      <w:r>
        <w:rPr>
          <w:rFonts w:ascii="Times New Roman" w:hAnsi="Times New Roman" w:cs="Times New Roman"/>
          <w:i w:val="0"/>
          <w:iCs w:val="0"/>
          <w:color w:val="000000"/>
          <w:sz w:val="22"/>
          <w:szCs w:val="22"/>
        </w:rPr>
        <w:t xml:space="preserve"> conforme custos unitários apostos na tabela acima e em anexo.</w:t>
      </w:r>
    </w:p>
    <w:p w14:paraId="38728B4B" w14:textId="77777777" w:rsidR="00957C99" w:rsidRDefault="008E5427">
      <w:pPr>
        <w:pStyle w:val="Nvel2-Red"/>
        <w:spacing w:after="288" w:line="312" w:lineRule="auto"/>
        <w:ind w:left="567"/>
      </w:pPr>
      <w:r>
        <w:rPr>
          <w:rFonts w:ascii="Times New Roman" w:hAnsi="Times New Roman" w:cs="Times New Roman"/>
          <w:b/>
          <w:bCs/>
          <w:i w:val="0"/>
          <w:iCs w:val="0"/>
          <w:color w:val="000000"/>
          <w:sz w:val="22"/>
          <w:szCs w:val="22"/>
        </w:rPr>
        <w:lastRenderedPageBreak/>
        <w:t xml:space="preserve">9.2. </w:t>
      </w:r>
      <w:r>
        <w:rPr>
          <w:rFonts w:ascii="Times New Roman" w:hAnsi="Times New Roman" w:cs="Times New Roman"/>
          <w:b/>
          <w:bCs/>
          <w:i w:val="0"/>
          <w:iCs w:val="0"/>
          <w:color w:val="000000"/>
        </w:rPr>
        <w:t xml:space="preserve"> </w:t>
      </w:r>
      <w:r>
        <w:rPr>
          <w:rFonts w:ascii="Times New Roman" w:hAnsi="Times New Roman" w:cs="Times New Roman"/>
          <w:bCs/>
          <w:i w:val="0"/>
          <w:iCs w:val="0"/>
          <w:color w:val="000000"/>
        </w:rPr>
        <w:t>FONTE DE PESQUISA DE PREÇOS; esta Administração utilizou como parâmetro de pesquisa o inciso I da IN SLTI / MPOG 65/2021</w:t>
      </w:r>
    </w:p>
    <w:p w14:paraId="1D568A06" w14:textId="77777777" w:rsidR="00957C99" w:rsidRDefault="008E5427">
      <w:pPr>
        <w:pStyle w:val="Nvel2-Red"/>
        <w:spacing w:after="288" w:line="312" w:lineRule="auto"/>
        <w:ind w:left="567"/>
        <w:rPr>
          <w:rFonts w:ascii="Times New Roman" w:hAnsi="Times New Roman" w:cs="Times New Roman"/>
          <w:bCs/>
          <w:i w:val="0"/>
          <w:iCs w:val="0"/>
          <w:color w:val="000000"/>
        </w:rPr>
      </w:pPr>
      <w:r>
        <w:rPr>
          <w:rFonts w:ascii="Times New Roman" w:hAnsi="Times New Roman" w:cs="Times New Roman"/>
          <w:bCs/>
          <w:i w:val="0"/>
          <w:iCs w:val="0"/>
          <w:color w:val="000000"/>
        </w:rPr>
        <w:t xml:space="preserve">9.3.  Os valores das colunas "PREÇOS PÚBLICOS", numeradas de 1 a 3, são resultados da pesquisa realizada no </w:t>
      </w:r>
      <w:proofErr w:type="spellStart"/>
      <w:r>
        <w:rPr>
          <w:rFonts w:ascii="Times New Roman" w:hAnsi="Times New Roman" w:cs="Times New Roman"/>
          <w:bCs/>
          <w:i w:val="0"/>
          <w:iCs w:val="0"/>
          <w:color w:val="000000"/>
        </w:rPr>
        <w:t>ComprasNet</w:t>
      </w:r>
      <w:proofErr w:type="spellEnd"/>
      <w:r>
        <w:rPr>
          <w:rFonts w:ascii="Times New Roman" w:hAnsi="Times New Roman" w:cs="Times New Roman"/>
          <w:bCs/>
          <w:i w:val="0"/>
          <w:iCs w:val="0"/>
          <w:color w:val="000000"/>
        </w:rPr>
        <w:t>, desenvolvido pela equipe da Secretaria de Gestão - SEGES do Ministério do Planejamento, Desenvolvimento e Gestão – MP</w:t>
      </w:r>
    </w:p>
    <w:p w14:paraId="1BF9D07D" w14:textId="77777777" w:rsidR="00957C99" w:rsidRDefault="00957C99">
      <w:pPr>
        <w:pStyle w:val="Nvel2-Red"/>
        <w:spacing w:after="288" w:line="312" w:lineRule="auto"/>
        <w:ind w:left="567"/>
        <w:rPr>
          <w:rFonts w:ascii="Times New Roman" w:hAnsi="Times New Roman" w:cs="Times New Roman"/>
          <w:bCs/>
          <w:i w:val="0"/>
          <w:iCs w:val="0"/>
          <w:color w:val="000000"/>
        </w:rPr>
      </w:pPr>
    </w:p>
    <w:p w14:paraId="59C009C0" w14:textId="77777777" w:rsidR="00957C99" w:rsidRDefault="008E5427">
      <w:pPr>
        <w:pStyle w:val="Nivel01"/>
        <w:spacing w:before="120" w:after="288" w:line="312" w:lineRule="auto"/>
        <w:ind w:left="360" w:hanging="360"/>
      </w:pPr>
      <w:r>
        <w:rPr>
          <w:rFonts w:ascii="Times New Roman" w:hAnsi="Times New Roman" w:cs="Times New Roman"/>
          <w:sz w:val="22"/>
          <w:szCs w:val="22"/>
          <w:lang w:eastAsia="en-US"/>
        </w:rPr>
        <w:t>10</w:t>
      </w:r>
      <w:r>
        <w:rPr>
          <w:rFonts w:ascii="Times New Roman" w:hAnsi="Times New Roman" w:cs="Times New Roman"/>
          <w:sz w:val="22"/>
          <w:szCs w:val="22"/>
          <w:lang w:eastAsia="en-US"/>
        </w:rPr>
        <w:tab/>
      </w:r>
      <w:r>
        <w:rPr>
          <w:rFonts w:ascii="Times New Roman" w:hAnsi="Times New Roman" w:cs="Times New Roman"/>
          <w:sz w:val="22"/>
          <w:szCs w:val="22"/>
        </w:rPr>
        <w:t>ADEQUAÇÃO ORÇAMENTÁRIA</w:t>
      </w:r>
    </w:p>
    <w:p w14:paraId="3742E963" w14:textId="77777777" w:rsidR="00957C99" w:rsidRDefault="008E5427">
      <w:pPr>
        <w:pStyle w:val="Nivel2"/>
        <w:spacing w:after="288" w:line="312" w:lineRule="auto"/>
        <w:ind w:left="709"/>
      </w:pPr>
      <w:r>
        <w:rPr>
          <w:rFonts w:ascii="Times New Roman" w:hAnsi="Times New Roman" w:cs="Times New Roman"/>
          <w:sz w:val="22"/>
          <w:szCs w:val="22"/>
        </w:rPr>
        <w:t xml:space="preserve">10.1 </w:t>
      </w:r>
      <w:r>
        <w:rPr>
          <w:rFonts w:ascii="Times New Roman" w:eastAsia="Arial" w:hAnsi="Times New Roman" w:cs="Times New Roman"/>
          <w:sz w:val="22"/>
          <w:szCs w:val="22"/>
        </w:rPr>
        <w:t>As despesas decorrentes da presente contratação correrão à conta de recursos específicos consignados no Orçamento Geral da União.</w:t>
      </w:r>
    </w:p>
    <w:p w14:paraId="1D003E41" w14:textId="77777777" w:rsidR="00957C99" w:rsidRDefault="008E5427">
      <w:pPr>
        <w:pStyle w:val="Nivel2"/>
        <w:spacing w:after="288" w:line="312" w:lineRule="auto"/>
        <w:ind w:left="567"/>
      </w:pPr>
      <w:r>
        <w:rPr>
          <w:rFonts w:ascii="Times New Roman" w:eastAsia="Arial" w:hAnsi="Times New Roman" w:cs="Times New Roman"/>
          <w:sz w:val="22"/>
          <w:szCs w:val="22"/>
        </w:rPr>
        <w:t xml:space="preserve">10.2 </w:t>
      </w:r>
      <w:r>
        <w:rPr>
          <w:rFonts w:ascii="Times New Roman" w:hAnsi="Times New Roman" w:cs="Times New Roman"/>
          <w:sz w:val="22"/>
          <w:szCs w:val="22"/>
        </w:rPr>
        <w:t>A contratação será atendida pela seguinte dotação:</w:t>
      </w:r>
    </w:p>
    <w:p w14:paraId="2D60FB70" w14:textId="77777777" w:rsidR="00957C99" w:rsidRDefault="008E5427">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I) Gestão/Unidade: [...];</w:t>
      </w:r>
    </w:p>
    <w:p w14:paraId="7C9AB786" w14:textId="77777777" w:rsidR="00957C99" w:rsidRDefault="008E5427">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Fonte de Recursos: [...];</w:t>
      </w:r>
    </w:p>
    <w:p w14:paraId="567F8697" w14:textId="77777777" w:rsidR="00957C99" w:rsidRDefault="008E5427">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Programa de Trabalho: [...];</w:t>
      </w:r>
    </w:p>
    <w:p w14:paraId="755B32E2" w14:textId="77777777" w:rsidR="00957C99" w:rsidRDefault="008E5427">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Elemento de Despesa: [...];</w:t>
      </w:r>
    </w:p>
    <w:p w14:paraId="46BBF4BF" w14:textId="77777777" w:rsidR="00957C99" w:rsidRDefault="008E5427">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Plano Interno: [...];</w:t>
      </w:r>
    </w:p>
    <w:p w14:paraId="33A92BEA" w14:textId="77777777" w:rsidR="00957C99" w:rsidRDefault="008E5427">
      <w:pPr>
        <w:pStyle w:val="Nvel2-Red"/>
        <w:spacing w:after="288" w:line="312" w:lineRule="auto"/>
        <w:ind w:left="709"/>
      </w:pPr>
      <w:r>
        <w:rPr>
          <w:rFonts w:ascii="Times New Roman" w:hAnsi="Times New Roman" w:cs="Times New Roman"/>
          <w:color w:val="000000"/>
          <w:sz w:val="22"/>
          <w:szCs w:val="22"/>
        </w:rPr>
        <w:t xml:space="preserve">10.3 </w:t>
      </w:r>
      <w:r>
        <w:rPr>
          <w:rFonts w:ascii="Times New Roman" w:hAnsi="Times New Roman" w:cs="Times New Roman"/>
          <w:i w:val="0"/>
          <w:iCs w:val="0"/>
          <w:color w:val="000000"/>
          <w:sz w:val="22"/>
          <w:szCs w:val="22"/>
        </w:rPr>
        <w:t>A dotação relativa aos exercícios financeiros subsequentes será indicada após aprovação da Lei Orçamentária respectiva e liberação dos créditos correspondentes, mediante apostilamento</w:t>
      </w:r>
      <w:r>
        <w:rPr>
          <w:rFonts w:ascii="Times New Roman" w:hAnsi="Times New Roman" w:cs="Times New Roman"/>
          <w:color w:val="000000"/>
          <w:sz w:val="22"/>
          <w:szCs w:val="22"/>
        </w:rPr>
        <w:t>.</w:t>
      </w:r>
    </w:p>
    <w:p w14:paraId="7C067264" w14:textId="77777777" w:rsidR="00957C99" w:rsidRDefault="008E5427">
      <w:pPr>
        <w:pStyle w:val="Nvel2-Red"/>
        <w:spacing w:after="288" w:line="312" w:lineRule="auto"/>
        <w:rPr>
          <w:rFonts w:ascii="Times New Roman" w:hAnsi="Times New Roman" w:cs="Times New Roman"/>
          <w:b/>
          <w:bCs/>
          <w:i w:val="0"/>
          <w:iCs w:val="0"/>
          <w:color w:val="000000"/>
          <w:sz w:val="22"/>
          <w:szCs w:val="22"/>
        </w:rPr>
      </w:pPr>
      <w:r>
        <w:rPr>
          <w:rFonts w:ascii="Times New Roman" w:hAnsi="Times New Roman" w:cs="Times New Roman"/>
          <w:b/>
          <w:bCs/>
          <w:i w:val="0"/>
          <w:iCs w:val="0"/>
          <w:color w:val="000000"/>
          <w:sz w:val="22"/>
          <w:szCs w:val="22"/>
        </w:rPr>
        <w:t>11 OBRIGAÇÕES DA CONTRATADA</w:t>
      </w:r>
    </w:p>
    <w:p w14:paraId="1E5F63FC" w14:textId="77777777" w:rsidR="00957C99" w:rsidRDefault="008E5427">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11.1 2 responsabilizar-se pelos vícios e danos decorrentes do objeto, de acordo com os artigos 12, 13 e 17 a 27, do Código de Defesa do Consumidor (Lei nº 8.078, de 1990);</w:t>
      </w:r>
    </w:p>
    <w:p w14:paraId="4C8B858D" w14:textId="77777777" w:rsidR="00957C99" w:rsidRDefault="008E5427">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11.2 substituir, reparar ou corrigir, às suas expensas, no prazo fixado neste Termo de Referência, o objeto com avarias ou defeitos;</w:t>
      </w:r>
    </w:p>
    <w:p w14:paraId="1F8F453F" w14:textId="77777777" w:rsidR="00957C99" w:rsidRDefault="008E5427">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11.3 comunicar à Contratante, no prazo máximo de 24 (vinte e quatro) horas que antecede a data da entrega, os motivos que impossibilitem o cumprimento do prazo previsto, com a devida comprovação;</w:t>
      </w:r>
    </w:p>
    <w:p w14:paraId="56603F40" w14:textId="77777777" w:rsidR="00957C99" w:rsidRDefault="008E5427">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11.4 manter, durante toda a execução do contrato, em compatibilidade com as obrigações assumidas, todas as condições de habilitação e qualificação exigidas na licitação;</w:t>
      </w:r>
    </w:p>
    <w:p w14:paraId="45677163" w14:textId="77777777" w:rsidR="00957C99" w:rsidRDefault="008E5427">
      <w:pPr>
        <w:suppressAutoHyphens w:val="0"/>
        <w:spacing w:before="120" w:after="120"/>
        <w:jc w:val="both"/>
        <w:rPr>
          <w:rFonts w:ascii="Times New Roman" w:hAnsi="Times New Roman" w:cs="Times New Roman"/>
          <w:sz w:val="22"/>
          <w:szCs w:val="22"/>
        </w:rPr>
      </w:pPr>
      <w:r>
        <w:rPr>
          <w:rFonts w:ascii="Times New Roman" w:hAnsi="Times New Roman" w:cs="Times New Roman"/>
          <w:sz w:val="22"/>
          <w:szCs w:val="22"/>
        </w:rPr>
        <w:t>11.5 indicar preposto para representá-la durante a execução do contrato.</w:t>
      </w:r>
    </w:p>
    <w:p w14:paraId="2C75B576" w14:textId="77777777" w:rsidR="00957C99" w:rsidRDefault="008E5427">
      <w:pPr>
        <w:suppressAutoHyphens w:val="0"/>
        <w:spacing w:before="120" w:after="120"/>
        <w:jc w:val="both"/>
      </w:pPr>
      <w:r>
        <w:rPr>
          <w:rFonts w:ascii="Ecofont_Spranq_eco_Sans" w:eastAsia="Times New Roman" w:hAnsi="Ecofont_Spranq_eco_Sans"/>
          <w:color w:val="auto"/>
          <w:lang w:bidi="ar-SA"/>
        </w:rPr>
        <w:t xml:space="preserve">11.6 </w:t>
      </w:r>
      <w:r>
        <w:rPr>
          <w:rFonts w:ascii="Times New Roman" w:hAnsi="Times New Roman" w:cs="Times New Roman"/>
          <w:sz w:val="22"/>
          <w:szCs w:val="22"/>
        </w:rPr>
        <w:t xml:space="preserve">Quanto ao gerenciamento dos resíduos de serviços de saúde, a contratada deverá obedecer às disposições do Plano de Gerenciamento de Resíduos de Serviços de Saúde – PGRSS elaborado pelo </w:t>
      </w:r>
      <w:r>
        <w:rPr>
          <w:rFonts w:ascii="Times New Roman" w:hAnsi="Times New Roman" w:cs="Times New Roman"/>
          <w:sz w:val="22"/>
          <w:szCs w:val="22"/>
        </w:rPr>
        <w:lastRenderedPageBreak/>
        <w:t>órgão, além de obedecer às diretrizes constantes da Lei nº 12.305, de 2010 – Política Nacional de Resíduos Sólidos, Resolução CONAMA n° 358, de 29/04/2005 e RDC 222, de 28/03/2018 - ANVISA.</w:t>
      </w:r>
    </w:p>
    <w:p w14:paraId="3ABF492F" w14:textId="77777777" w:rsidR="00957C99" w:rsidRDefault="008E5427">
      <w:pPr>
        <w:suppressAutoHyphens w:val="0"/>
        <w:spacing w:line="360" w:lineRule="auto"/>
        <w:ind w:left="907"/>
        <w:jc w:val="both"/>
      </w:pPr>
      <w:r>
        <w:rPr>
          <w:rFonts w:ascii="Times New Roman" w:hAnsi="Times New Roman" w:cs="Times New Roman"/>
          <w:sz w:val="22"/>
          <w:szCs w:val="22"/>
        </w:rPr>
        <w:t>a) os resíduos de serviços de saúde devem ser acondicionados atendendo às exigências legais referentes ao meio ambiente, à saúde e à limpeza urbana, e às normas da Associação Brasileira de Normas Técnicas – NBR 7.500:2018, NBR 12807:2013, NBR 12808:2016, NBR 12809:2013, NBR 13853-1:2018 e NBR 9191:2008.</w:t>
      </w:r>
    </w:p>
    <w:p w14:paraId="57675754" w14:textId="77777777" w:rsidR="00957C99" w:rsidRDefault="00957C99">
      <w:pPr>
        <w:suppressAutoHyphens w:val="0"/>
        <w:spacing w:line="360" w:lineRule="auto"/>
        <w:ind w:left="907"/>
        <w:jc w:val="both"/>
        <w:rPr>
          <w:rFonts w:ascii="Times New Roman" w:hAnsi="Times New Roman" w:cs="Times New Roman"/>
          <w:sz w:val="22"/>
          <w:szCs w:val="22"/>
        </w:rPr>
      </w:pPr>
    </w:p>
    <w:p w14:paraId="328E27C1" w14:textId="77777777" w:rsidR="00957C99" w:rsidRDefault="008E5427">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b) os resíduos de serviços de saúde devem ser armazenados atendendo às exigências legais referentes ao meio ambiente, à saúde e à limpeza urbana, e às normas da Associação Brasileira de Normas Técnicas – ABNT NBR12235:1992, NBR 12809:2013, NBR 12810:2016.</w:t>
      </w:r>
    </w:p>
    <w:p w14:paraId="1297E2B8" w14:textId="77777777" w:rsidR="00957C99" w:rsidRDefault="008E5427">
      <w:pPr>
        <w:suppressAutoHyphens w:val="0"/>
        <w:spacing w:line="360" w:lineRule="auto"/>
        <w:ind w:left="907"/>
        <w:jc w:val="both"/>
      </w:pPr>
      <w:r>
        <w:rPr>
          <w:rFonts w:ascii="Times New Roman" w:hAnsi="Times New Roman" w:cs="Times New Roman"/>
          <w:sz w:val="22"/>
          <w:szCs w:val="22"/>
        </w:rPr>
        <w:t>c) a coleta e o transporte de resíduos de serviços de saúde devem atender às exigências legais e às normas da ABNT – NBR12.810:2016 e NBR14652:2013;</w:t>
      </w:r>
    </w:p>
    <w:p w14:paraId="67E16AE2" w14:textId="77777777" w:rsidR="00957C99" w:rsidRDefault="00957C99">
      <w:pPr>
        <w:suppressAutoHyphens w:val="0"/>
        <w:spacing w:line="360" w:lineRule="auto"/>
        <w:ind w:left="907"/>
        <w:jc w:val="both"/>
        <w:rPr>
          <w:rFonts w:ascii="Times New Roman" w:hAnsi="Times New Roman" w:cs="Times New Roman"/>
          <w:sz w:val="22"/>
          <w:szCs w:val="22"/>
        </w:rPr>
      </w:pPr>
    </w:p>
    <w:p w14:paraId="4DCE493A" w14:textId="77777777" w:rsidR="00957C99" w:rsidRDefault="008E5427">
      <w:pPr>
        <w:suppressAutoHyphens w:val="0"/>
        <w:spacing w:line="360" w:lineRule="auto"/>
        <w:ind w:left="907"/>
        <w:jc w:val="both"/>
      </w:pPr>
      <w:r>
        <w:rPr>
          <w:rFonts w:ascii="Times New Roman" w:hAnsi="Times New Roman" w:cs="Times New Roman"/>
          <w:sz w:val="22"/>
          <w:szCs w:val="22"/>
        </w:rPr>
        <w:t>d) as estações para transferência de resíduos de serviços de saúde devem estar licenciadas pelo órgão ambiental competente e manter as características originais de acondicionamento, sendo vedada a abertura, rompimento ou transferência do conteúdo de uma embalagem para outra;</w:t>
      </w:r>
    </w:p>
    <w:p w14:paraId="7DDC09D6" w14:textId="77777777" w:rsidR="00957C99" w:rsidRDefault="00957C99">
      <w:pPr>
        <w:suppressAutoHyphens w:val="0"/>
        <w:spacing w:line="360" w:lineRule="auto"/>
        <w:ind w:left="907"/>
        <w:jc w:val="both"/>
        <w:rPr>
          <w:rFonts w:ascii="Times New Roman" w:hAnsi="Times New Roman" w:cs="Times New Roman"/>
          <w:sz w:val="22"/>
          <w:szCs w:val="22"/>
        </w:rPr>
      </w:pPr>
    </w:p>
    <w:p w14:paraId="7D7259CA" w14:textId="77777777" w:rsidR="00957C99" w:rsidRDefault="008E5427">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e) a destinação ambiental dos resíduos de saúde deve observar a lei 12.305/10, legislação e normas ambientais incidentes.</w:t>
      </w:r>
    </w:p>
    <w:p w14:paraId="26EB8EC0" w14:textId="77777777" w:rsidR="00957C99" w:rsidRDefault="008E5427">
      <w:pPr>
        <w:suppressAutoHyphens w:val="0"/>
        <w:spacing w:line="360" w:lineRule="auto"/>
        <w:ind w:left="907"/>
        <w:jc w:val="both"/>
      </w:pPr>
      <w:r>
        <w:rPr>
          <w:rFonts w:ascii="Times New Roman" w:hAnsi="Times New Roman" w:cs="Times New Roman"/>
          <w:sz w:val="22"/>
          <w:szCs w:val="22"/>
        </w:rPr>
        <w:t>f) os resíduos pertencentes ao Grupo A do Anexo I da Resolução CONAMA n° 358, de 29/04/2005, não podem ser reciclados, reutilizados ou reaproveitados, inclusive para alimentação animal.</w:t>
      </w:r>
    </w:p>
    <w:p w14:paraId="35D012AC" w14:textId="77777777" w:rsidR="00957C99" w:rsidRDefault="00957C99">
      <w:pPr>
        <w:suppressAutoHyphens w:val="0"/>
        <w:spacing w:line="360" w:lineRule="auto"/>
        <w:ind w:left="907"/>
        <w:jc w:val="both"/>
        <w:rPr>
          <w:rFonts w:ascii="Times New Roman" w:hAnsi="Times New Roman" w:cs="Times New Roman"/>
          <w:sz w:val="22"/>
          <w:szCs w:val="22"/>
        </w:rPr>
      </w:pPr>
    </w:p>
    <w:p w14:paraId="0A692FCC" w14:textId="77777777" w:rsidR="00957C99" w:rsidRDefault="008E5427">
      <w:pPr>
        <w:suppressAutoHyphens w:val="0"/>
        <w:spacing w:line="360" w:lineRule="auto"/>
        <w:ind w:left="1134"/>
        <w:jc w:val="both"/>
      </w:pPr>
      <w:r>
        <w:rPr>
          <w:rFonts w:ascii="Times New Roman" w:hAnsi="Times New Roman" w:cs="Times New Roman"/>
          <w:sz w:val="22"/>
          <w:szCs w:val="22"/>
        </w:rPr>
        <w:t>f.1) De acordo com o art. 46 da RDC nº 222/20108 da ANVISA as culturas e os estoques de microrganismos; os resíduos de fabricação de produtos biológicos, exceto os de medicamentos hemoderivados; os meios de cultura e os instrumentais utilizados para transferência, inoculação ou mistura de culturas; e os resíduos de laboratórios de manipulação genética devem ser tratados utilizando processos que vierem a ser validados para a obtenção de redução ou eliminação da carga microbiana, em equipamento compatível com Nível III de inativação microbiana (RSS do Grupo A – Subgrupo A1).</w:t>
      </w:r>
    </w:p>
    <w:p w14:paraId="005B5A63" w14:textId="77777777" w:rsidR="00957C99" w:rsidRDefault="00957C99">
      <w:pPr>
        <w:suppressAutoHyphens w:val="0"/>
        <w:spacing w:line="360" w:lineRule="auto"/>
        <w:ind w:left="1134"/>
        <w:jc w:val="both"/>
        <w:rPr>
          <w:rFonts w:ascii="Times New Roman" w:hAnsi="Times New Roman" w:cs="Times New Roman"/>
          <w:sz w:val="22"/>
          <w:szCs w:val="22"/>
        </w:rPr>
      </w:pPr>
    </w:p>
    <w:p w14:paraId="4BA7410F" w14:textId="77777777" w:rsidR="00957C99" w:rsidRDefault="008E5427">
      <w:pPr>
        <w:suppressAutoHyphens w:val="0"/>
        <w:spacing w:line="360" w:lineRule="auto"/>
        <w:ind w:left="1531"/>
        <w:jc w:val="both"/>
      </w:pPr>
      <w:r>
        <w:rPr>
          <w:rFonts w:ascii="Times New Roman" w:hAnsi="Times New Roman" w:cs="Times New Roman"/>
          <w:sz w:val="22"/>
          <w:szCs w:val="22"/>
        </w:rPr>
        <w:t xml:space="preserve">f.1.1) As culturas e os estoques de microrganismos, bem como os meios de cultura e os instrumentais utilizados para transferência, inoculação ou mistura de culturas contendo microrganismos das classes de risco 1 e 2 podem ser tratados fora da unidade geradora, desde que este tratamento ocorra nas dependências do serviço de saúde e os </w:t>
      </w:r>
      <w:r>
        <w:rPr>
          <w:rFonts w:ascii="Times New Roman" w:hAnsi="Times New Roman" w:cs="Times New Roman"/>
          <w:sz w:val="22"/>
          <w:szCs w:val="22"/>
        </w:rPr>
        <w:lastRenderedPageBreak/>
        <w:t>das classes de risco 3 e 4 devem ser tratados na unidade geradora. Estes RSS devem ser acondicionados de maneira compatível com o processo de tratamento e após o tratamento, os rejeitos devem ser encaminhados para disposição final ambientalmente adequada.</w:t>
      </w:r>
    </w:p>
    <w:p w14:paraId="6A77C606" w14:textId="77777777" w:rsidR="00957C99" w:rsidRDefault="00957C99">
      <w:pPr>
        <w:suppressAutoHyphens w:val="0"/>
        <w:spacing w:line="360" w:lineRule="auto"/>
        <w:ind w:left="1531"/>
        <w:jc w:val="both"/>
        <w:rPr>
          <w:rFonts w:ascii="Times New Roman" w:hAnsi="Times New Roman" w:cs="Times New Roman"/>
          <w:sz w:val="22"/>
          <w:szCs w:val="22"/>
        </w:rPr>
      </w:pPr>
    </w:p>
    <w:p w14:paraId="0FF4B9C9" w14:textId="77777777" w:rsidR="00957C99" w:rsidRDefault="008E5427">
      <w:pPr>
        <w:suppressAutoHyphens w:val="0"/>
        <w:spacing w:line="360" w:lineRule="auto"/>
        <w:ind w:left="1134"/>
        <w:jc w:val="both"/>
      </w:pPr>
      <w:r>
        <w:rPr>
          <w:rFonts w:ascii="Times New Roman" w:hAnsi="Times New Roman" w:cs="Times New Roman"/>
          <w:sz w:val="22"/>
          <w:szCs w:val="22"/>
        </w:rPr>
        <w:t>f.2) os resíduos pertencentes ao Grupo A1 do Anexo I da Resolução CONAMA n° 358, de 29/04/2005, devem ser submetidos a processo de tratamento que promova redução de carga microbiana compatível com nível III de inativação e devem ser encaminhados para aterro sanitário licenciado ou local devidamente licenciado para disposição final de resíduos dos serviços de saúde.</w:t>
      </w:r>
    </w:p>
    <w:p w14:paraId="3A88132F" w14:textId="77777777" w:rsidR="00957C99" w:rsidRDefault="00957C99">
      <w:pPr>
        <w:suppressAutoHyphens w:val="0"/>
        <w:spacing w:line="360" w:lineRule="auto"/>
        <w:ind w:left="1134"/>
        <w:jc w:val="both"/>
        <w:rPr>
          <w:rFonts w:ascii="Times New Roman" w:hAnsi="Times New Roman" w:cs="Times New Roman"/>
          <w:sz w:val="22"/>
          <w:szCs w:val="22"/>
        </w:rPr>
      </w:pPr>
    </w:p>
    <w:p w14:paraId="1154D0A3" w14:textId="77777777" w:rsidR="00957C99" w:rsidRDefault="008E5427">
      <w:pPr>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f.3) As sobras de amostras de laboratório contendo sangue ou líquidos corpóreos podem ser descartadas diretamente no sistema de coleta de esgotos, desde que atendam respectivamente as regras estabelecidas pelos órgãos ambientais e pelos serviços de saneamento competentes e caso o tratamento venha a ser realizado fora da unidade geradora ou do serviço, estes RSS devem ser acondicionados em saco vermelho e transportados em recipiente rígido, impermeável, resistente à punctura, ruptura, vazamento, com tampa provida de controle de fechamento e identificado (art. 49 da RCD nº 222/2018)</w:t>
      </w:r>
    </w:p>
    <w:p w14:paraId="7DD4B987" w14:textId="77777777" w:rsidR="00957C99" w:rsidRDefault="008E5427">
      <w:pPr>
        <w:suppressAutoHyphens w:val="0"/>
        <w:spacing w:line="360" w:lineRule="auto"/>
        <w:ind w:left="1134"/>
        <w:jc w:val="both"/>
      </w:pPr>
      <w:r>
        <w:rPr>
          <w:rFonts w:ascii="Times New Roman" w:hAnsi="Times New Roman" w:cs="Times New Roman"/>
          <w:sz w:val="22"/>
          <w:szCs w:val="22"/>
        </w:rPr>
        <w:t>f.4) os resíduos pertencentes ao Grupo A2 do Anexo I da Resolução CONAMA n° 358, de 29/04/2005, devem ser submetidos a processo de tratamento, de acordo com o porte do animal, que promova redução de carga microbiana compatível com nível III de inativação e devem ser encaminhados para aterro sanitário licenciado ou local devidamente licenciado para disposição final de resíduos dos serviços de saúde, ou para sepultamento em cemitério de animais.</w:t>
      </w:r>
    </w:p>
    <w:p w14:paraId="64DE78B6" w14:textId="77777777" w:rsidR="00957C99" w:rsidRDefault="00957C99">
      <w:pPr>
        <w:suppressAutoHyphens w:val="0"/>
        <w:spacing w:line="360" w:lineRule="auto"/>
        <w:ind w:left="1134"/>
        <w:jc w:val="both"/>
        <w:rPr>
          <w:rFonts w:ascii="Times New Roman" w:hAnsi="Times New Roman" w:cs="Times New Roman"/>
          <w:sz w:val="22"/>
          <w:szCs w:val="22"/>
        </w:rPr>
      </w:pPr>
    </w:p>
    <w:p w14:paraId="45C9C3F2" w14:textId="77777777" w:rsidR="00957C99" w:rsidRDefault="008E5427">
      <w:pPr>
        <w:suppressAutoHyphens w:val="0"/>
        <w:spacing w:line="360" w:lineRule="auto"/>
        <w:ind w:left="1531"/>
        <w:jc w:val="both"/>
      </w:pPr>
      <w:r>
        <w:rPr>
          <w:rFonts w:ascii="Times New Roman" w:hAnsi="Times New Roman" w:cs="Times New Roman"/>
          <w:sz w:val="22"/>
          <w:szCs w:val="22"/>
        </w:rPr>
        <w:t>f.4.1) quando houver necessidade de fracionamento de carcaça de animais, este deve ser autorizado previamente pelo órgão de saúde competente.</w:t>
      </w:r>
    </w:p>
    <w:p w14:paraId="686EEEFB" w14:textId="77777777" w:rsidR="00957C99" w:rsidRDefault="00957C99">
      <w:pPr>
        <w:suppressAutoHyphens w:val="0"/>
        <w:spacing w:line="360" w:lineRule="auto"/>
        <w:ind w:left="1531"/>
        <w:jc w:val="both"/>
        <w:rPr>
          <w:rFonts w:ascii="Times New Roman" w:hAnsi="Times New Roman" w:cs="Times New Roman"/>
          <w:sz w:val="22"/>
          <w:szCs w:val="22"/>
        </w:rPr>
      </w:pPr>
    </w:p>
    <w:p w14:paraId="02D30BBF" w14:textId="77777777" w:rsidR="00957C99" w:rsidRDefault="008E5427">
      <w:pPr>
        <w:suppressAutoHyphens w:val="0"/>
        <w:spacing w:line="360" w:lineRule="auto"/>
        <w:ind w:left="1531"/>
        <w:jc w:val="both"/>
      </w:pPr>
      <w:r>
        <w:rPr>
          <w:rFonts w:ascii="Times New Roman" w:hAnsi="Times New Roman" w:cs="Times New Roman"/>
          <w:sz w:val="22"/>
          <w:szCs w:val="22"/>
        </w:rPr>
        <w:t>f.4.2) Os RSS do Grupo A - Subgrupo A2 devem ser tratados antes da disposição final ambientalmente adequada conforme especificam os artigos 50 e 51 da RDC nº 222/20108 da ANVISA.</w:t>
      </w:r>
    </w:p>
    <w:p w14:paraId="75765BD3" w14:textId="77777777" w:rsidR="00957C99" w:rsidRDefault="00957C99">
      <w:pPr>
        <w:suppressAutoHyphens w:val="0"/>
        <w:spacing w:line="360" w:lineRule="auto"/>
        <w:ind w:left="1531"/>
        <w:jc w:val="both"/>
        <w:rPr>
          <w:rFonts w:ascii="Times New Roman" w:hAnsi="Times New Roman" w:cs="Times New Roman"/>
          <w:sz w:val="22"/>
          <w:szCs w:val="22"/>
        </w:rPr>
      </w:pPr>
    </w:p>
    <w:p w14:paraId="58ADABC2" w14:textId="77777777" w:rsidR="00957C99" w:rsidRDefault="008E5427">
      <w:pPr>
        <w:suppressAutoHyphens w:val="0"/>
        <w:spacing w:line="360" w:lineRule="auto"/>
        <w:ind w:left="1134"/>
        <w:jc w:val="both"/>
      </w:pPr>
      <w:r>
        <w:rPr>
          <w:rFonts w:ascii="Times New Roman" w:hAnsi="Times New Roman" w:cs="Times New Roman"/>
          <w:sz w:val="22"/>
          <w:szCs w:val="22"/>
        </w:rPr>
        <w:t xml:space="preserve">f.5) os resíduos pertencentes ao Grupo A3 do Anexo I da Resolução CONAMA n° 358, de 29/04/2005, quando não houver requisição pelo paciente ou familiares e/ou não tenham mais valor científico ou legal, devem ser encaminhados para sepultamento em cemitério, desde que haja autorização do órgão competente do Município, do Estado ou do Distrito </w:t>
      </w:r>
      <w:r>
        <w:rPr>
          <w:rFonts w:ascii="Times New Roman" w:hAnsi="Times New Roman" w:cs="Times New Roman"/>
          <w:sz w:val="22"/>
          <w:szCs w:val="22"/>
        </w:rPr>
        <w:lastRenderedPageBreak/>
        <w:t xml:space="preserve">Federal, ou para tratamento térmico por incineração ou cremação, em equipamento devidamente licenciado para esse fim. </w:t>
      </w:r>
    </w:p>
    <w:p w14:paraId="19A316DB" w14:textId="77777777" w:rsidR="00957C99" w:rsidRDefault="00957C99">
      <w:pPr>
        <w:suppressAutoHyphens w:val="0"/>
        <w:spacing w:line="360" w:lineRule="auto"/>
        <w:ind w:left="1134"/>
        <w:jc w:val="both"/>
        <w:rPr>
          <w:rFonts w:ascii="Times New Roman" w:hAnsi="Times New Roman" w:cs="Times New Roman"/>
          <w:sz w:val="22"/>
          <w:szCs w:val="22"/>
        </w:rPr>
      </w:pPr>
    </w:p>
    <w:p w14:paraId="20B0A02F" w14:textId="77777777" w:rsidR="00957C99" w:rsidRDefault="008E5427">
      <w:pPr>
        <w:suppressAutoHyphens w:val="0"/>
        <w:spacing w:line="360" w:lineRule="auto"/>
        <w:ind w:left="1531"/>
        <w:jc w:val="both"/>
      </w:pPr>
      <w:r>
        <w:rPr>
          <w:rFonts w:ascii="Times New Roman" w:hAnsi="Times New Roman" w:cs="Times New Roman"/>
          <w:sz w:val="22"/>
          <w:szCs w:val="22"/>
        </w:rPr>
        <w:t>f.5.1) na impossibilidade de atendimento de tais destinações, o órgão ambiental competente nos Estados, Municípios e Distrito Federal pode aprovar outros processos alternativos de destinação.</w:t>
      </w:r>
    </w:p>
    <w:p w14:paraId="32FDEFA2" w14:textId="77777777" w:rsidR="00957C99" w:rsidRDefault="00957C99">
      <w:pPr>
        <w:suppressAutoHyphens w:val="0"/>
        <w:spacing w:line="360" w:lineRule="auto"/>
        <w:ind w:left="1531"/>
        <w:jc w:val="both"/>
        <w:rPr>
          <w:rFonts w:ascii="Times New Roman" w:hAnsi="Times New Roman" w:cs="Times New Roman"/>
          <w:sz w:val="22"/>
          <w:szCs w:val="22"/>
        </w:rPr>
      </w:pPr>
    </w:p>
    <w:p w14:paraId="52DEFB68" w14:textId="77777777" w:rsidR="00957C99" w:rsidRDefault="008E5427">
      <w:pPr>
        <w:suppressAutoHyphens w:val="0"/>
        <w:spacing w:line="360" w:lineRule="auto"/>
        <w:ind w:left="1531"/>
        <w:jc w:val="both"/>
      </w:pPr>
      <w:r>
        <w:rPr>
          <w:rFonts w:ascii="Times New Roman" w:hAnsi="Times New Roman" w:cs="Times New Roman"/>
          <w:sz w:val="22"/>
          <w:szCs w:val="22"/>
        </w:rPr>
        <w:t>f.5.2) A RDC nº 222/2018 estabelece em seu art. 52 que os RSS do Grupo A – Subgrupo A3 devem ser destinados para sepultamento, cremação, incineração ou outra destinação licenciada pelo órgão ambiental competente.</w:t>
      </w:r>
    </w:p>
    <w:p w14:paraId="4F5FB1A7" w14:textId="77777777" w:rsidR="00957C99" w:rsidRDefault="00957C99">
      <w:pPr>
        <w:suppressAutoHyphens w:val="0"/>
        <w:spacing w:line="360" w:lineRule="auto"/>
        <w:ind w:left="1531"/>
        <w:jc w:val="both"/>
        <w:rPr>
          <w:rFonts w:ascii="Times New Roman" w:hAnsi="Times New Roman" w:cs="Times New Roman"/>
          <w:sz w:val="22"/>
          <w:szCs w:val="22"/>
        </w:rPr>
      </w:pPr>
    </w:p>
    <w:p w14:paraId="252F2A96" w14:textId="77777777" w:rsidR="00957C99" w:rsidRDefault="008E5427">
      <w:pPr>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f.6) os resíduos pertencentes ao Grupo A4 do Anexo I da Resolução CONAMA n° 358, de 29/04/2005, podem ser encaminhados sem tratamento prévio para local devidamente licenciado para a disposição final de resíduos dos serviços de saúde, a não ser que haja exigência de tratamento prévio por parte dos órgãos ambientais estaduais e municipais. Conforme a RDC nº 222/2018 da ANVISA os RSS do Subgrupo A4 não necessitam de tratamento prévio.</w:t>
      </w:r>
    </w:p>
    <w:p w14:paraId="1D818AF2" w14:textId="77777777" w:rsidR="00957C99" w:rsidRDefault="008E5427">
      <w:pPr>
        <w:suppressAutoHyphens w:val="0"/>
        <w:spacing w:line="360" w:lineRule="auto"/>
        <w:ind w:left="1134"/>
        <w:jc w:val="both"/>
      </w:pPr>
      <w:r>
        <w:rPr>
          <w:rFonts w:ascii="Times New Roman" w:hAnsi="Times New Roman" w:cs="Times New Roman"/>
          <w:sz w:val="22"/>
          <w:szCs w:val="22"/>
        </w:rPr>
        <w:t>f.7) os resíduos pertencentes ao Grupo A5 do Anexo I da Resolução CONAMA n° 358, de 29/04/2005 e RSS do Grupo A- Subgrupo A5 da RDC nº 222/2018 da ANVISA devem ser submetidos a tratamento térmico por incineração e devem ser segregados e acondicionados em saco vermelho duplo, como barreira de proteção, e contidos em recipiente exclusivo devidamente identificado.</w:t>
      </w:r>
    </w:p>
    <w:p w14:paraId="0DBC2036" w14:textId="77777777" w:rsidR="00957C99" w:rsidRDefault="00957C99">
      <w:pPr>
        <w:suppressAutoHyphens w:val="0"/>
        <w:spacing w:line="360" w:lineRule="auto"/>
        <w:ind w:left="1134"/>
        <w:jc w:val="both"/>
        <w:rPr>
          <w:rFonts w:ascii="Times New Roman" w:hAnsi="Times New Roman" w:cs="Times New Roman"/>
          <w:sz w:val="22"/>
          <w:szCs w:val="22"/>
        </w:rPr>
      </w:pPr>
    </w:p>
    <w:p w14:paraId="052C773C" w14:textId="77777777" w:rsidR="00957C99" w:rsidRDefault="008E5427">
      <w:pPr>
        <w:suppressAutoHyphens w:val="0"/>
        <w:spacing w:line="360" w:lineRule="auto"/>
        <w:ind w:left="907"/>
        <w:jc w:val="both"/>
      </w:pPr>
      <w:r>
        <w:rPr>
          <w:rFonts w:ascii="Times New Roman" w:hAnsi="Times New Roman" w:cs="Times New Roman"/>
          <w:sz w:val="22"/>
          <w:szCs w:val="22"/>
        </w:rPr>
        <w:t>g) os resíduos pertencentes ao Grupo B do Anexo I da Resolução CONAMA n° 358, de 29/04/2005, com características de periculosidade, conforme Ficha de Informações de Segurança de Produtos Químicos – FISPQ, quando não forem submetidos a processo de reutilização, recuperação ou reciclagem, devem ser submetidos a tratamento e disposição final específicos.</w:t>
      </w:r>
    </w:p>
    <w:p w14:paraId="15E6F471" w14:textId="77777777" w:rsidR="00957C99" w:rsidRDefault="00957C99">
      <w:pPr>
        <w:suppressAutoHyphens w:val="0"/>
        <w:spacing w:line="360" w:lineRule="auto"/>
        <w:ind w:left="907"/>
        <w:jc w:val="both"/>
        <w:rPr>
          <w:rFonts w:ascii="Times New Roman" w:hAnsi="Times New Roman" w:cs="Times New Roman"/>
          <w:sz w:val="22"/>
          <w:szCs w:val="22"/>
        </w:rPr>
      </w:pPr>
    </w:p>
    <w:p w14:paraId="583C5D01" w14:textId="77777777" w:rsidR="00957C99" w:rsidRDefault="008E5427">
      <w:pPr>
        <w:suppressAutoHyphens w:val="0"/>
        <w:spacing w:line="360" w:lineRule="auto"/>
        <w:ind w:left="1134"/>
        <w:jc w:val="both"/>
      </w:pPr>
      <w:r>
        <w:rPr>
          <w:rFonts w:ascii="Times New Roman" w:hAnsi="Times New Roman" w:cs="Times New Roman"/>
          <w:sz w:val="22"/>
          <w:szCs w:val="22"/>
        </w:rPr>
        <w:t>g1) O gerenciamento dos RSS do Grupo B deve observar a periculosidade das substâncias presentes, decorrentes das características de inflamabilidade, corrosividade, reatividade e toxicidade. (art. 56 da RDC nº 222/2018 da ANVISA)</w:t>
      </w:r>
    </w:p>
    <w:p w14:paraId="1EC8D3EB" w14:textId="77777777" w:rsidR="00957C99" w:rsidRDefault="00957C99">
      <w:pPr>
        <w:suppressAutoHyphens w:val="0"/>
        <w:spacing w:line="360" w:lineRule="auto"/>
        <w:ind w:left="1134"/>
        <w:jc w:val="both"/>
        <w:rPr>
          <w:rFonts w:ascii="Times New Roman" w:hAnsi="Times New Roman" w:cs="Times New Roman"/>
          <w:sz w:val="22"/>
          <w:szCs w:val="22"/>
        </w:rPr>
      </w:pPr>
    </w:p>
    <w:p w14:paraId="1976AF12" w14:textId="77777777" w:rsidR="00957C99" w:rsidRDefault="008E5427">
      <w:pPr>
        <w:suppressAutoHyphens w:val="0"/>
        <w:spacing w:line="360" w:lineRule="auto"/>
        <w:ind w:left="1134"/>
        <w:jc w:val="both"/>
      </w:pPr>
      <w:r>
        <w:rPr>
          <w:rFonts w:ascii="Times New Roman" w:hAnsi="Times New Roman" w:cs="Times New Roman"/>
          <w:sz w:val="22"/>
          <w:szCs w:val="22"/>
        </w:rPr>
        <w:t>g.2) os resíduos no estado sólido, quando não tratados, devem ser dispostos em aterro de resíduos perigosos - Classe I.</w:t>
      </w:r>
    </w:p>
    <w:p w14:paraId="79271110" w14:textId="77777777" w:rsidR="00957C99" w:rsidRDefault="00957C99">
      <w:pPr>
        <w:suppressAutoHyphens w:val="0"/>
        <w:spacing w:line="360" w:lineRule="auto"/>
        <w:ind w:left="1134"/>
        <w:jc w:val="both"/>
        <w:rPr>
          <w:rFonts w:ascii="Times New Roman" w:hAnsi="Times New Roman" w:cs="Times New Roman"/>
          <w:sz w:val="22"/>
          <w:szCs w:val="22"/>
        </w:rPr>
      </w:pPr>
    </w:p>
    <w:p w14:paraId="6AC6969C" w14:textId="77777777" w:rsidR="00957C99" w:rsidRDefault="008E5427">
      <w:pPr>
        <w:suppressAutoHyphens w:val="0"/>
        <w:spacing w:line="360" w:lineRule="auto"/>
        <w:ind w:left="1134"/>
        <w:jc w:val="both"/>
      </w:pPr>
      <w:r>
        <w:rPr>
          <w:rFonts w:ascii="Times New Roman" w:hAnsi="Times New Roman" w:cs="Times New Roman"/>
          <w:sz w:val="22"/>
          <w:szCs w:val="22"/>
        </w:rPr>
        <w:lastRenderedPageBreak/>
        <w:t>g.3) os resíduos no estado líquido não devem ser encaminhados para disposição final em aterros.</w:t>
      </w:r>
    </w:p>
    <w:p w14:paraId="5F8CCBFE" w14:textId="77777777" w:rsidR="00957C99" w:rsidRDefault="00957C99">
      <w:pPr>
        <w:suppressAutoHyphens w:val="0"/>
        <w:spacing w:line="360" w:lineRule="auto"/>
        <w:ind w:left="1134"/>
        <w:jc w:val="both"/>
        <w:rPr>
          <w:rFonts w:ascii="Times New Roman" w:hAnsi="Times New Roman" w:cs="Times New Roman"/>
          <w:sz w:val="22"/>
          <w:szCs w:val="22"/>
        </w:rPr>
      </w:pPr>
    </w:p>
    <w:p w14:paraId="377AA9B6" w14:textId="77777777" w:rsidR="00957C99" w:rsidRDefault="008E5427">
      <w:pPr>
        <w:suppressAutoHyphens w:val="0"/>
        <w:spacing w:line="360" w:lineRule="auto"/>
        <w:ind w:left="1134"/>
        <w:jc w:val="both"/>
      </w:pPr>
      <w:r>
        <w:rPr>
          <w:rFonts w:ascii="Times New Roman" w:hAnsi="Times New Roman" w:cs="Times New Roman"/>
          <w:sz w:val="22"/>
          <w:szCs w:val="22"/>
        </w:rPr>
        <w:t>g.4) os resíduos sem características de periculosidade não necessitam de tratamento prévio e podem ter disposição final em aterro licenciado, quando no estado sólido, ou ser lançados em corpo receptor ou na rede pública de esgoto, quando no estado líquido, desde que atendam as diretrizes estabelecidas pelos órgãos ambientais, gestores de recursos hídricos e de saneamento competentes.</w:t>
      </w:r>
    </w:p>
    <w:p w14:paraId="77CD8E2B" w14:textId="77777777" w:rsidR="00957C99" w:rsidRDefault="00957C99">
      <w:pPr>
        <w:suppressAutoHyphens w:val="0"/>
        <w:spacing w:line="360" w:lineRule="auto"/>
        <w:ind w:left="1134"/>
        <w:jc w:val="both"/>
        <w:rPr>
          <w:rFonts w:ascii="Times New Roman" w:hAnsi="Times New Roman" w:cs="Times New Roman"/>
          <w:sz w:val="22"/>
          <w:szCs w:val="22"/>
        </w:rPr>
      </w:pPr>
    </w:p>
    <w:p w14:paraId="23D40CC5" w14:textId="77777777" w:rsidR="00957C99" w:rsidRDefault="008E5427">
      <w:pPr>
        <w:suppressAutoHyphens w:val="0"/>
        <w:spacing w:line="360" w:lineRule="auto"/>
        <w:ind w:left="1134"/>
        <w:jc w:val="both"/>
      </w:pPr>
      <w:r>
        <w:rPr>
          <w:rFonts w:ascii="Times New Roman" w:hAnsi="Times New Roman" w:cs="Times New Roman"/>
          <w:sz w:val="22"/>
          <w:szCs w:val="22"/>
        </w:rPr>
        <w:t>g.5) Resíduos de medicamentos, acondicionamento de RSS do Grupo B, excretas de pacientes tratados com quimioterápicos antineoplásicos, resíduos de produtos e insumos farmacêuticos e RSS sólidos contendo metais pesados possuem disciplina específica a ser seguida nos artigos 59 a 71 da RDC nº 222/2018 da ANVISA.</w:t>
      </w:r>
    </w:p>
    <w:p w14:paraId="18FAB2DE" w14:textId="77777777" w:rsidR="00957C99" w:rsidRDefault="00957C99">
      <w:pPr>
        <w:suppressAutoHyphens w:val="0"/>
        <w:spacing w:line="360" w:lineRule="auto"/>
        <w:ind w:left="1134"/>
        <w:jc w:val="both"/>
        <w:rPr>
          <w:rFonts w:ascii="Times New Roman" w:hAnsi="Times New Roman" w:cs="Times New Roman"/>
          <w:sz w:val="22"/>
          <w:szCs w:val="22"/>
        </w:rPr>
      </w:pPr>
    </w:p>
    <w:p w14:paraId="64ACA532" w14:textId="77777777" w:rsidR="00957C99" w:rsidRDefault="008E5427">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h) os rejeitos radioativos devem obedecer às exigências definidas pela Comissão Nacional de Energia Nuclear - CNEN.</w:t>
      </w:r>
    </w:p>
    <w:p w14:paraId="4E4A51FE" w14:textId="77777777" w:rsidR="00957C99" w:rsidRDefault="008E5427">
      <w:pPr>
        <w:suppressAutoHyphens w:val="0"/>
        <w:spacing w:line="360" w:lineRule="auto"/>
        <w:ind w:left="1134"/>
        <w:jc w:val="both"/>
      </w:pPr>
      <w:r>
        <w:rPr>
          <w:rFonts w:ascii="Times New Roman" w:hAnsi="Times New Roman" w:cs="Times New Roman"/>
          <w:sz w:val="22"/>
          <w:szCs w:val="22"/>
        </w:rPr>
        <w:t>h1) Os rejeitos radioativos devem ser segregados de acordo com o radionuclídeo ou natureza da radiação, estado físico, concentração e taxa de exposição de acordo com o art. 72 da RDC nº 222/2018 da ANVISA.</w:t>
      </w:r>
    </w:p>
    <w:p w14:paraId="14386D85" w14:textId="77777777" w:rsidR="00957C99" w:rsidRDefault="00957C99">
      <w:pPr>
        <w:suppressAutoHyphens w:val="0"/>
        <w:spacing w:line="360" w:lineRule="auto"/>
        <w:ind w:left="1134"/>
        <w:jc w:val="both"/>
        <w:rPr>
          <w:rFonts w:ascii="Times New Roman" w:hAnsi="Times New Roman" w:cs="Times New Roman"/>
          <w:sz w:val="22"/>
          <w:szCs w:val="22"/>
        </w:rPr>
      </w:pPr>
    </w:p>
    <w:p w14:paraId="53CE3E8A" w14:textId="77777777" w:rsidR="00957C99" w:rsidRDefault="008E5427">
      <w:pPr>
        <w:suppressAutoHyphens w:val="0"/>
        <w:spacing w:line="360" w:lineRule="auto"/>
        <w:ind w:left="1134"/>
        <w:jc w:val="both"/>
      </w:pPr>
      <w:r>
        <w:rPr>
          <w:rFonts w:ascii="Times New Roman" w:hAnsi="Times New Roman" w:cs="Times New Roman"/>
          <w:sz w:val="22"/>
          <w:szCs w:val="22"/>
        </w:rPr>
        <w:t>h.2) os rejeitos radioativos não podem ser considerados resíduos até que seja decorrido o tempo de decaimento necessário ao atingimento do limite de eliminação.</w:t>
      </w:r>
    </w:p>
    <w:p w14:paraId="2A4208F4" w14:textId="77777777" w:rsidR="00957C99" w:rsidRDefault="00957C99">
      <w:pPr>
        <w:suppressAutoHyphens w:val="0"/>
        <w:spacing w:line="360" w:lineRule="auto"/>
        <w:ind w:left="1134"/>
        <w:jc w:val="both"/>
        <w:rPr>
          <w:rFonts w:ascii="Times New Roman" w:hAnsi="Times New Roman" w:cs="Times New Roman"/>
          <w:sz w:val="22"/>
          <w:szCs w:val="22"/>
        </w:rPr>
      </w:pPr>
    </w:p>
    <w:p w14:paraId="425E43CB" w14:textId="77777777" w:rsidR="00957C99" w:rsidRDefault="008E5427">
      <w:pPr>
        <w:suppressAutoHyphens w:val="0"/>
        <w:spacing w:line="360" w:lineRule="auto"/>
        <w:ind w:left="1134"/>
        <w:jc w:val="both"/>
      </w:pPr>
      <w:r>
        <w:rPr>
          <w:rFonts w:ascii="Times New Roman" w:hAnsi="Times New Roman" w:cs="Times New Roman"/>
          <w:sz w:val="22"/>
          <w:szCs w:val="22"/>
        </w:rPr>
        <w:t>h.3) os rejeitos radioativos, quando atingido o limite de eliminação, passam a ser considerados resíduos das categorias biológica, química ou de resíduo comum, devendo seguir as determinações do grupo ao qual pertencem.</w:t>
      </w:r>
    </w:p>
    <w:p w14:paraId="355BA3B4" w14:textId="77777777" w:rsidR="00957C99" w:rsidRDefault="00957C99">
      <w:pPr>
        <w:suppressAutoHyphens w:val="0"/>
        <w:spacing w:line="360" w:lineRule="auto"/>
        <w:ind w:left="1134"/>
        <w:jc w:val="both"/>
        <w:rPr>
          <w:rFonts w:ascii="Times New Roman" w:hAnsi="Times New Roman" w:cs="Times New Roman"/>
          <w:sz w:val="22"/>
          <w:szCs w:val="22"/>
        </w:rPr>
      </w:pPr>
    </w:p>
    <w:p w14:paraId="17A40BE1" w14:textId="77777777" w:rsidR="00957C99" w:rsidRDefault="008E5427">
      <w:pPr>
        <w:suppressAutoHyphens w:val="0"/>
        <w:spacing w:line="360" w:lineRule="auto"/>
        <w:ind w:left="1134"/>
        <w:jc w:val="both"/>
      </w:pPr>
      <w:r>
        <w:rPr>
          <w:rFonts w:ascii="Times New Roman" w:hAnsi="Times New Roman" w:cs="Times New Roman"/>
          <w:sz w:val="22"/>
          <w:szCs w:val="22"/>
        </w:rPr>
        <w:t>h.4) Os rejeitos radioativos devem ser armazenados e descartados conforme o disposto nos artigos 72 a 79 da RDC nº 222/2018.</w:t>
      </w:r>
    </w:p>
    <w:p w14:paraId="0B688844" w14:textId="77777777" w:rsidR="00957C99" w:rsidRDefault="00957C99">
      <w:pPr>
        <w:suppressAutoHyphens w:val="0"/>
        <w:spacing w:line="360" w:lineRule="auto"/>
        <w:ind w:left="1134"/>
        <w:jc w:val="both"/>
        <w:rPr>
          <w:rFonts w:ascii="Times New Roman" w:hAnsi="Times New Roman" w:cs="Times New Roman"/>
          <w:sz w:val="22"/>
          <w:szCs w:val="22"/>
        </w:rPr>
      </w:pPr>
    </w:p>
    <w:p w14:paraId="44403DCB" w14:textId="77777777" w:rsidR="00957C99" w:rsidRDefault="008E5427">
      <w:pPr>
        <w:suppressAutoHyphens w:val="0"/>
        <w:spacing w:line="360" w:lineRule="auto"/>
        <w:ind w:left="907"/>
        <w:jc w:val="both"/>
      </w:pPr>
      <w:r>
        <w:rPr>
          <w:rFonts w:ascii="Times New Roman" w:hAnsi="Times New Roman" w:cs="Times New Roman"/>
          <w:sz w:val="22"/>
          <w:szCs w:val="22"/>
        </w:rPr>
        <w:t>i) os resíduos pertencentes ao Grupo D Do Anexo I da Resolução CONAMA n° 358, de 29/04/2005, quando não forem passíveis de processo de reutilização, recuperação ou reciclagem, devem ser encaminhados para aterro sanitário de resíduos sólidos urbanos, devidamente licenciado pelo órgão ambiental competente.</w:t>
      </w:r>
    </w:p>
    <w:p w14:paraId="6F8F6B36" w14:textId="77777777" w:rsidR="00957C99" w:rsidRDefault="00957C99">
      <w:pPr>
        <w:suppressAutoHyphens w:val="0"/>
        <w:spacing w:line="360" w:lineRule="auto"/>
        <w:ind w:left="907"/>
        <w:jc w:val="both"/>
        <w:rPr>
          <w:rFonts w:ascii="Times New Roman" w:hAnsi="Times New Roman" w:cs="Times New Roman"/>
          <w:sz w:val="22"/>
          <w:szCs w:val="22"/>
        </w:rPr>
      </w:pPr>
    </w:p>
    <w:p w14:paraId="6C10E7FB" w14:textId="77777777" w:rsidR="00957C99" w:rsidRDefault="008E5427">
      <w:pPr>
        <w:suppressAutoHyphens w:val="0"/>
        <w:spacing w:line="360" w:lineRule="auto"/>
        <w:ind w:left="1134"/>
        <w:jc w:val="both"/>
      </w:pPr>
      <w:r>
        <w:rPr>
          <w:rFonts w:ascii="Times New Roman" w:hAnsi="Times New Roman" w:cs="Times New Roman"/>
          <w:sz w:val="22"/>
          <w:szCs w:val="22"/>
        </w:rPr>
        <w:t xml:space="preserve">i1) Os RSS do Grupo D, na forma do art. 80 da RDC nº 222/2018 da ANVISA, quando não </w:t>
      </w:r>
      <w:r>
        <w:rPr>
          <w:rFonts w:ascii="Times New Roman" w:hAnsi="Times New Roman" w:cs="Times New Roman"/>
          <w:sz w:val="22"/>
          <w:szCs w:val="22"/>
        </w:rPr>
        <w:lastRenderedPageBreak/>
        <w:t>encaminhados para reutilização, recuperação, reciclagem, compostagem, logística reversa ou aproveitamento energético, devem ser classificados como rejeitos.</w:t>
      </w:r>
    </w:p>
    <w:p w14:paraId="5FA081A4" w14:textId="77777777" w:rsidR="00957C99" w:rsidRDefault="00957C99">
      <w:pPr>
        <w:suppressAutoHyphens w:val="0"/>
        <w:spacing w:line="360" w:lineRule="auto"/>
        <w:ind w:left="1134"/>
        <w:jc w:val="both"/>
        <w:rPr>
          <w:rFonts w:ascii="Times New Roman" w:hAnsi="Times New Roman" w:cs="Times New Roman"/>
          <w:sz w:val="22"/>
          <w:szCs w:val="22"/>
        </w:rPr>
      </w:pPr>
    </w:p>
    <w:p w14:paraId="2B9A5B5A" w14:textId="77777777" w:rsidR="00957C99" w:rsidRDefault="008E5427">
      <w:pPr>
        <w:suppressAutoHyphens w:val="0"/>
        <w:spacing w:line="360" w:lineRule="auto"/>
        <w:ind w:left="1134"/>
        <w:jc w:val="both"/>
      </w:pPr>
      <w:r>
        <w:rPr>
          <w:rFonts w:ascii="Times New Roman" w:hAnsi="Times New Roman" w:cs="Times New Roman"/>
          <w:sz w:val="22"/>
          <w:szCs w:val="22"/>
        </w:rPr>
        <w:t>i.2) quando tais resíduos forem passíveis de processo de reutilização, recuperação ou reciclagem, devem atender as normas legais de higienização e descontaminação e a Resolução CONAMA n° 275, de 25/04/2001.</w:t>
      </w:r>
    </w:p>
    <w:p w14:paraId="5BAF5F50" w14:textId="77777777" w:rsidR="00957C99" w:rsidRDefault="00957C99">
      <w:pPr>
        <w:suppressAutoHyphens w:val="0"/>
        <w:spacing w:line="360" w:lineRule="auto"/>
        <w:ind w:left="1134"/>
        <w:jc w:val="both"/>
        <w:rPr>
          <w:rFonts w:ascii="Times New Roman" w:hAnsi="Times New Roman" w:cs="Times New Roman"/>
          <w:sz w:val="22"/>
          <w:szCs w:val="22"/>
        </w:rPr>
      </w:pPr>
    </w:p>
    <w:p w14:paraId="71E8752C" w14:textId="77777777" w:rsidR="00957C99" w:rsidRDefault="008E5427">
      <w:pPr>
        <w:suppressAutoHyphens w:val="0"/>
        <w:spacing w:line="360" w:lineRule="auto"/>
        <w:ind w:left="1134"/>
        <w:jc w:val="both"/>
      </w:pPr>
      <w:r>
        <w:rPr>
          <w:rFonts w:ascii="Times New Roman" w:hAnsi="Times New Roman" w:cs="Times New Roman"/>
          <w:sz w:val="22"/>
          <w:szCs w:val="22"/>
        </w:rPr>
        <w:t>i.3) Os rejeitos sólidos de RSS do Grupo D devem ser dispostos conforme as normas ambientais vigentes e os efluentes líquidos podem ser lançados em rede coletora de esgotos.</w:t>
      </w:r>
    </w:p>
    <w:p w14:paraId="7DE41583" w14:textId="77777777" w:rsidR="00957C99" w:rsidRDefault="00957C99">
      <w:pPr>
        <w:suppressAutoHyphens w:val="0"/>
        <w:spacing w:line="360" w:lineRule="auto"/>
        <w:ind w:left="1134"/>
        <w:jc w:val="both"/>
        <w:rPr>
          <w:rFonts w:ascii="Times New Roman" w:hAnsi="Times New Roman" w:cs="Times New Roman"/>
          <w:sz w:val="22"/>
          <w:szCs w:val="22"/>
        </w:rPr>
      </w:pPr>
    </w:p>
    <w:p w14:paraId="321A3E99" w14:textId="77777777" w:rsidR="00957C99" w:rsidRDefault="008E5427">
      <w:pPr>
        <w:tabs>
          <w:tab w:val="left" w:pos="993"/>
        </w:tabs>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i.4) O lançamento de rejeitos líquidos em rede coletora de esgotos, conectada à estação de tratamento, deve atender às normas ambientais e às diretrizes do serviço de saneamento. Quando não houver acesso à sistema de coleta e tratamento de esgoto por empresa de saneamento, estes efluentes devem ser tratados em sistema ambientalmente licenciado antes do lançamento em corpo receptor.</w:t>
      </w:r>
    </w:p>
    <w:p w14:paraId="33E03EBC" w14:textId="77777777" w:rsidR="00957C99" w:rsidRDefault="008E5427">
      <w:pPr>
        <w:suppressAutoHyphens w:val="0"/>
        <w:spacing w:line="360" w:lineRule="auto"/>
        <w:ind w:left="1134"/>
        <w:jc w:val="both"/>
      </w:pPr>
      <w:r>
        <w:rPr>
          <w:rFonts w:ascii="Times New Roman" w:hAnsi="Times New Roman" w:cs="Times New Roman"/>
          <w:sz w:val="22"/>
          <w:szCs w:val="22"/>
        </w:rPr>
        <w:t>i.5) Artigos e materiais utilizados na área de trabalho, incluindo vestimentas e Equipamento de Proteção Individual (EPI), desde que não apresentem sinais ou suspeita de contaminação química, biológica ou radiológica, podem ter seu manejo realizado como RSS do Grupo D.</w:t>
      </w:r>
    </w:p>
    <w:p w14:paraId="3CD39341" w14:textId="77777777" w:rsidR="00957C99" w:rsidRDefault="00957C99">
      <w:pPr>
        <w:suppressAutoHyphens w:val="0"/>
        <w:spacing w:line="360" w:lineRule="auto"/>
        <w:ind w:left="1134"/>
        <w:jc w:val="both"/>
        <w:rPr>
          <w:rFonts w:ascii="Times New Roman" w:hAnsi="Times New Roman" w:cs="Times New Roman"/>
          <w:sz w:val="22"/>
          <w:szCs w:val="22"/>
        </w:rPr>
      </w:pPr>
    </w:p>
    <w:p w14:paraId="1BC5001A" w14:textId="77777777" w:rsidR="00957C99" w:rsidRDefault="008E5427">
      <w:pPr>
        <w:suppressAutoHyphens w:val="0"/>
        <w:spacing w:line="360" w:lineRule="auto"/>
        <w:ind w:left="1134"/>
        <w:jc w:val="both"/>
      </w:pPr>
      <w:r>
        <w:rPr>
          <w:rFonts w:ascii="Times New Roman" w:hAnsi="Times New Roman" w:cs="Times New Roman"/>
          <w:sz w:val="22"/>
          <w:szCs w:val="22"/>
        </w:rPr>
        <w:t>i.6) Os procedimentos de segregação, acondicionamento e identificação dos coletores dos resíduos do Grupo D, para fins de reciclagem, devem estar descritos no PGRSS.</w:t>
      </w:r>
    </w:p>
    <w:p w14:paraId="6FA1B6F7" w14:textId="77777777" w:rsidR="00957C99" w:rsidRDefault="00957C99">
      <w:pPr>
        <w:suppressAutoHyphens w:val="0"/>
        <w:spacing w:line="360" w:lineRule="auto"/>
        <w:ind w:left="1134"/>
        <w:jc w:val="both"/>
        <w:rPr>
          <w:rFonts w:ascii="Times New Roman" w:hAnsi="Times New Roman" w:cs="Times New Roman"/>
          <w:sz w:val="22"/>
          <w:szCs w:val="22"/>
        </w:rPr>
      </w:pPr>
    </w:p>
    <w:p w14:paraId="29F5138C" w14:textId="77777777" w:rsidR="00957C99" w:rsidRDefault="008E5427">
      <w:pPr>
        <w:suppressAutoHyphens w:val="0"/>
        <w:spacing w:line="360" w:lineRule="auto"/>
        <w:ind w:left="1134"/>
        <w:jc w:val="both"/>
      </w:pPr>
      <w:r>
        <w:rPr>
          <w:rFonts w:ascii="Times New Roman" w:hAnsi="Times New Roman" w:cs="Times New Roman"/>
          <w:sz w:val="22"/>
          <w:szCs w:val="22"/>
        </w:rPr>
        <w:t>i.7) Só podem ser destinados para compostagem forrações de animais de biotérios que não tenham risco biológico associado, os resíduos de flores, podas de árvores, jardinagem, sobras de alimentos e de seu pré-preparo, restos alimentares de refeitórios e restos alimentares de pacientes que não estejam em isolamento.</w:t>
      </w:r>
    </w:p>
    <w:p w14:paraId="39FBB867" w14:textId="77777777" w:rsidR="00957C99" w:rsidRDefault="00957C99">
      <w:pPr>
        <w:suppressAutoHyphens w:val="0"/>
        <w:spacing w:line="360" w:lineRule="auto"/>
        <w:ind w:left="1134"/>
        <w:jc w:val="both"/>
        <w:rPr>
          <w:rFonts w:ascii="Times New Roman" w:hAnsi="Times New Roman" w:cs="Times New Roman"/>
          <w:sz w:val="22"/>
          <w:szCs w:val="22"/>
        </w:rPr>
      </w:pPr>
    </w:p>
    <w:p w14:paraId="08DE1965" w14:textId="77777777" w:rsidR="00957C99" w:rsidRDefault="008E5427">
      <w:pPr>
        <w:suppressAutoHyphens w:val="0"/>
        <w:spacing w:line="360" w:lineRule="auto"/>
        <w:ind w:left="1134"/>
        <w:jc w:val="both"/>
      </w:pPr>
      <w:r>
        <w:rPr>
          <w:rFonts w:ascii="Times New Roman" w:hAnsi="Times New Roman" w:cs="Times New Roman"/>
          <w:sz w:val="22"/>
          <w:szCs w:val="22"/>
        </w:rPr>
        <w:t>i.8) Os restos e sobras de alimentos só podem ser utilizados como ração animal, se forem submetidos a processo que garanta a inocuidade do composto, com a concordância do órgão competente do Ministério da Agricultura e de Vigilância Sanitária.</w:t>
      </w:r>
    </w:p>
    <w:p w14:paraId="4B80E03A" w14:textId="77777777" w:rsidR="00957C99" w:rsidRDefault="00957C99">
      <w:pPr>
        <w:suppressAutoHyphens w:val="0"/>
        <w:spacing w:line="360" w:lineRule="auto"/>
        <w:ind w:left="1134"/>
        <w:jc w:val="both"/>
        <w:rPr>
          <w:rFonts w:ascii="Times New Roman" w:hAnsi="Times New Roman" w:cs="Times New Roman"/>
          <w:sz w:val="22"/>
          <w:szCs w:val="22"/>
        </w:rPr>
      </w:pPr>
    </w:p>
    <w:p w14:paraId="2A26F52D" w14:textId="77777777" w:rsidR="00957C99" w:rsidRDefault="008E5427">
      <w:pPr>
        <w:suppressAutoHyphens w:val="0"/>
        <w:spacing w:line="360" w:lineRule="auto"/>
        <w:ind w:left="907"/>
        <w:jc w:val="both"/>
      </w:pPr>
      <w:r>
        <w:rPr>
          <w:rFonts w:ascii="Times New Roman" w:hAnsi="Times New Roman" w:cs="Times New Roman"/>
          <w:sz w:val="22"/>
          <w:szCs w:val="22"/>
        </w:rPr>
        <w:t>j) os resíduos pertencentes ao Grupo E do Anexo I da Resolução CONAMA n° 358, de 29/04/2005, devem ser apresentados para coleta acondicionados em coletores estanques, rígidos e hígidos, resistentes à ruptura, à punctura, ao corte ou à escarificação, de acordo com a ABNT NBR 13853-1:2018, e ter tratamento específico de acordo com a contaminação química, biológica ou radiológica.</w:t>
      </w:r>
    </w:p>
    <w:p w14:paraId="33988C9A" w14:textId="77777777" w:rsidR="00957C99" w:rsidRDefault="00957C99">
      <w:pPr>
        <w:suppressAutoHyphens w:val="0"/>
        <w:spacing w:line="360" w:lineRule="auto"/>
        <w:ind w:left="907"/>
        <w:jc w:val="both"/>
        <w:rPr>
          <w:rFonts w:ascii="Times New Roman" w:hAnsi="Times New Roman" w:cs="Times New Roman"/>
          <w:sz w:val="22"/>
          <w:szCs w:val="22"/>
        </w:rPr>
      </w:pPr>
    </w:p>
    <w:p w14:paraId="7E56ADD5" w14:textId="77777777" w:rsidR="00957C99" w:rsidRDefault="008E5427">
      <w:pPr>
        <w:suppressAutoHyphens w:val="0"/>
        <w:spacing w:line="360" w:lineRule="auto"/>
        <w:ind w:left="1134"/>
        <w:jc w:val="both"/>
      </w:pPr>
      <w:r>
        <w:rPr>
          <w:rFonts w:ascii="Times New Roman" w:hAnsi="Times New Roman" w:cs="Times New Roman"/>
          <w:sz w:val="22"/>
          <w:szCs w:val="22"/>
        </w:rPr>
        <w:t>j1) Conforme o art. 86 da RDC nº 222/2018, os materiais perfurocortantes devem ser descartados em recipientes identificados, rígidos, providos com tampa, resistentes à punctura, ruptura e vazamento.</w:t>
      </w:r>
    </w:p>
    <w:p w14:paraId="5E57C5EE" w14:textId="77777777" w:rsidR="00957C99" w:rsidRDefault="00957C99">
      <w:pPr>
        <w:suppressAutoHyphens w:val="0"/>
        <w:spacing w:line="360" w:lineRule="auto"/>
        <w:ind w:left="1134"/>
        <w:jc w:val="both"/>
        <w:rPr>
          <w:rFonts w:ascii="Times New Roman" w:hAnsi="Times New Roman" w:cs="Times New Roman"/>
          <w:sz w:val="22"/>
          <w:szCs w:val="22"/>
        </w:rPr>
      </w:pPr>
    </w:p>
    <w:p w14:paraId="6851178C" w14:textId="77777777" w:rsidR="00957C99" w:rsidRDefault="008E5427">
      <w:pPr>
        <w:suppressAutoHyphens w:val="0"/>
        <w:spacing w:line="360" w:lineRule="auto"/>
        <w:ind w:left="1134"/>
        <w:jc w:val="both"/>
      </w:pPr>
      <w:r>
        <w:rPr>
          <w:rFonts w:ascii="Times New Roman" w:hAnsi="Times New Roman" w:cs="Times New Roman"/>
          <w:sz w:val="22"/>
          <w:szCs w:val="22"/>
        </w:rPr>
        <w:t>j.2) os resíduos com contaminação radiológica devem seguir as orientações relativas aos resíduos do Grupo C.</w:t>
      </w:r>
    </w:p>
    <w:p w14:paraId="0A0138C5" w14:textId="77777777" w:rsidR="00957C99" w:rsidRDefault="00957C99">
      <w:pPr>
        <w:suppressAutoHyphens w:val="0"/>
        <w:spacing w:line="360" w:lineRule="auto"/>
        <w:ind w:left="1134"/>
        <w:jc w:val="both"/>
        <w:rPr>
          <w:rFonts w:ascii="Times New Roman" w:hAnsi="Times New Roman" w:cs="Times New Roman"/>
          <w:sz w:val="22"/>
          <w:szCs w:val="22"/>
        </w:rPr>
      </w:pPr>
    </w:p>
    <w:p w14:paraId="6BEB880C" w14:textId="77777777" w:rsidR="00957C99" w:rsidRDefault="008E5427">
      <w:pPr>
        <w:suppressAutoHyphens w:val="0"/>
        <w:spacing w:line="360" w:lineRule="auto"/>
        <w:ind w:left="1134"/>
        <w:jc w:val="both"/>
      </w:pPr>
      <w:r>
        <w:rPr>
          <w:rFonts w:ascii="Times New Roman" w:hAnsi="Times New Roman" w:cs="Times New Roman"/>
          <w:sz w:val="22"/>
          <w:szCs w:val="22"/>
        </w:rPr>
        <w:t>j.3) os resíduos que contenham medicamentos citostáticos ou antineoplásicos devem seguir as orientações relativas aos resíduos do Grupo B com características de periculosidade.</w:t>
      </w:r>
    </w:p>
    <w:p w14:paraId="45CF3430" w14:textId="77777777" w:rsidR="00957C99" w:rsidRDefault="00957C99">
      <w:pPr>
        <w:suppressAutoHyphens w:val="0"/>
        <w:spacing w:line="360" w:lineRule="auto"/>
        <w:ind w:left="1134"/>
        <w:jc w:val="both"/>
        <w:rPr>
          <w:rFonts w:ascii="Times New Roman" w:hAnsi="Times New Roman" w:cs="Times New Roman"/>
          <w:sz w:val="22"/>
          <w:szCs w:val="22"/>
        </w:rPr>
      </w:pPr>
    </w:p>
    <w:p w14:paraId="3911EAC8" w14:textId="77777777" w:rsidR="00957C99" w:rsidRDefault="008E5427">
      <w:pPr>
        <w:suppressAutoHyphens w:val="0"/>
        <w:spacing w:line="360" w:lineRule="auto"/>
        <w:ind w:left="1134"/>
        <w:jc w:val="both"/>
      </w:pPr>
      <w:r>
        <w:rPr>
          <w:rFonts w:ascii="Times New Roman" w:hAnsi="Times New Roman" w:cs="Times New Roman"/>
          <w:sz w:val="22"/>
          <w:szCs w:val="22"/>
        </w:rPr>
        <w:t>j.4) As seringas e agulhas, inclusive as usadas na coleta laboratorial de amostra de doadores e de pacientes, e os demais materiais perfurocortantes que não apresentem risco químico, biológico ou radiológico não necessitam de tratamento prévio à disposição final ambientalmente adequada. É permitida a separação do conjunto seringa agulha com auxílio de dispositivos de segurança, sendo vedada a desconexão e o reencape manual de agulhas.</w:t>
      </w:r>
    </w:p>
    <w:p w14:paraId="7F68D039" w14:textId="77777777" w:rsidR="00957C99" w:rsidRDefault="00957C99">
      <w:pPr>
        <w:suppressAutoHyphens w:val="0"/>
        <w:spacing w:line="360" w:lineRule="auto"/>
        <w:ind w:left="1134"/>
        <w:jc w:val="both"/>
        <w:rPr>
          <w:rFonts w:ascii="Times New Roman" w:hAnsi="Times New Roman" w:cs="Times New Roman"/>
          <w:sz w:val="22"/>
          <w:szCs w:val="22"/>
        </w:rPr>
      </w:pPr>
    </w:p>
    <w:p w14:paraId="7309052D" w14:textId="77777777" w:rsidR="00957C99" w:rsidRDefault="008E5427">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k) A RDC nº 222/2018 da ANVISA (artigos 90 e 91) estabelece medidas de segurança ocupacional para os serviços que geram RSS. Os serviços devem garantir que os trabalhadores sejam avaliados periodicamente, seguindo a legislação específica, em relação à saúde ocupacional, mantendo registros desta avaliação, bem como manter um programa de educação continuada para os trabalhadores e todos os envolvidos nas atividades de gerenciamento de resíduos, mesmo os que atuam temporariamente, que contemple os temas que indica.</w:t>
      </w:r>
    </w:p>
    <w:p w14:paraId="3C1893E5" w14:textId="77777777" w:rsidR="00957C99" w:rsidRDefault="00957C99">
      <w:pPr>
        <w:suppressAutoHyphens w:val="0"/>
        <w:spacing w:line="360" w:lineRule="auto"/>
        <w:jc w:val="both"/>
        <w:rPr>
          <w:rFonts w:ascii="Times New Roman" w:hAnsi="Times New Roman" w:cs="Times New Roman"/>
          <w:sz w:val="22"/>
          <w:szCs w:val="22"/>
        </w:rPr>
      </w:pPr>
    </w:p>
    <w:p w14:paraId="3ABE58E2" w14:textId="77777777" w:rsidR="008E5427" w:rsidRDefault="008E5427">
      <w:pPr>
        <w:suppressAutoHyphens w:val="0"/>
        <w:spacing w:line="360" w:lineRule="auto"/>
        <w:jc w:val="both"/>
        <w:rPr>
          <w:rFonts w:ascii="Times New Roman" w:hAnsi="Times New Roman" w:cs="Times New Roman"/>
          <w:sz w:val="22"/>
          <w:szCs w:val="22"/>
        </w:rPr>
      </w:pPr>
    </w:p>
    <w:p w14:paraId="3A1492D5" w14:textId="77777777" w:rsidR="008E5427" w:rsidRDefault="008E5427">
      <w:pPr>
        <w:suppressAutoHyphens w:val="0"/>
        <w:spacing w:line="360" w:lineRule="auto"/>
        <w:jc w:val="both"/>
        <w:rPr>
          <w:rFonts w:ascii="Times New Roman" w:hAnsi="Times New Roman" w:cs="Times New Roman"/>
          <w:sz w:val="22"/>
          <w:szCs w:val="22"/>
        </w:rPr>
      </w:pPr>
    </w:p>
    <w:p w14:paraId="58B53B6F" w14:textId="77777777" w:rsidR="008E5427" w:rsidRDefault="008E5427">
      <w:pPr>
        <w:suppressAutoHyphens w:val="0"/>
        <w:spacing w:line="360" w:lineRule="auto"/>
        <w:jc w:val="both"/>
        <w:rPr>
          <w:rFonts w:ascii="Times New Roman" w:hAnsi="Times New Roman" w:cs="Times New Roman"/>
          <w:sz w:val="22"/>
          <w:szCs w:val="22"/>
        </w:rPr>
      </w:pPr>
    </w:p>
    <w:p w14:paraId="511EECFC" w14:textId="77777777" w:rsidR="008E5427" w:rsidRDefault="008E5427">
      <w:pPr>
        <w:suppressAutoHyphens w:val="0"/>
        <w:spacing w:line="360" w:lineRule="auto"/>
        <w:jc w:val="both"/>
        <w:rPr>
          <w:rFonts w:ascii="Times New Roman" w:hAnsi="Times New Roman" w:cs="Times New Roman"/>
          <w:sz w:val="22"/>
          <w:szCs w:val="22"/>
        </w:rPr>
      </w:pPr>
    </w:p>
    <w:p w14:paraId="19475D07" w14:textId="77777777" w:rsidR="008E5427" w:rsidRDefault="008E5427">
      <w:pPr>
        <w:suppressAutoHyphens w:val="0"/>
        <w:spacing w:line="360" w:lineRule="auto"/>
        <w:jc w:val="both"/>
        <w:rPr>
          <w:rFonts w:ascii="Times New Roman" w:hAnsi="Times New Roman" w:cs="Times New Roman"/>
          <w:sz w:val="22"/>
          <w:szCs w:val="22"/>
        </w:rPr>
      </w:pPr>
    </w:p>
    <w:p w14:paraId="670661EC" w14:textId="77777777" w:rsidR="008E5427" w:rsidRDefault="008E5427">
      <w:pPr>
        <w:suppressAutoHyphens w:val="0"/>
        <w:spacing w:line="360" w:lineRule="auto"/>
        <w:jc w:val="both"/>
        <w:rPr>
          <w:rFonts w:ascii="Times New Roman" w:hAnsi="Times New Roman" w:cs="Times New Roman"/>
          <w:sz w:val="22"/>
          <w:szCs w:val="22"/>
        </w:rPr>
      </w:pPr>
    </w:p>
    <w:p w14:paraId="21A8A0F1" w14:textId="77777777" w:rsidR="008E5427" w:rsidRDefault="008E5427">
      <w:pPr>
        <w:suppressAutoHyphens w:val="0"/>
        <w:spacing w:line="360" w:lineRule="auto"/>
        <w:jc w:val="both"/>
        <w:rPr>
          <w:rFonts w:ascii="Times New Roman" w:hAnsi="Times New Roman" w:cs="Times New Roman"/>
          <w:sz w:val="22"/>
          <w:szCs w:val="22"/>
        </w:rPr>
      </w:pPr>
    </w:p>
    <w:p w14:paraId="068EE8A2" w14:textId="77777777" w:rsidR="008E5427" w:rsidRDefault="008E5427">
      <w:pPr>
        <w:suppressAutoHyphens w:val="0"/>
        <w:spacing w:line="360" w:lineRule="auto"/>
        <w:jc w:val="both"/>
        <w:rPr>
          <w:rFonts w:ascii="Times New Roman" w:hAnsi="Times New Roman" w:cs="Times New Roman"/>
          <w:sz w:val="22"/>
          <w:szCs w:val="22"/>
        </w:rPr>
      </w:pPr>
    </w:p>
    <w:p w14:paraId="3334ACCB" w14:textId="77777777" w:rsidR="008E5427" w:rsidRDefault="008E5427">
      <w:pPr>
        <w:suppressAutoHyphens w:val="0"/>
        <w:spacing w:line="360" w:lineRule="auto"/>
        <w:jc w:val="both"/>
        <w:rPr>
          <w:rFonts w:ascii="Times New Roman" w:hAnsi="Times New Roman" w:cs="Times New Roman"/>
          <w:sz w:val="22"/>
          <w:szCs w:val="22"/>
        </w:rPr>
      </w:pPr>
    </w:p>
    <w:p w14:paraId="5045769D" w14:textId="77777777" w:rsidR="008E5427" w:rsidRDefault="008E5427">
      <w:pPr>
        <w:suppressAutoHyphens w:val="0"/>
        <w:spacing w:line="360" w:lineRule="auto"/>
        <w:jc w:val="both"/>
        <w:rPr>
          <w:rFonts w:ascii="Times New Roman" w:hAnsi="Times New Roman" w:cs="Times New Roman"/>
          <w:sz w:val="22"/>
          <w:szCs w:val="22"/>
        </w:rPr>
      </w:pPr>
    </w:p>
    <w:p w14:paraId="37389E71" w14:textId="77777777" w:rsidR="008E5427" w:rsidRDefault="008E5427">
      <w:pPr>
        <w:suppressAutoHyphens w:val="0"/>
        <w:spacing w:line="360" w:lineRule="auto"/>
        <w:jc w:val="both"/>
        <w:rPr>
          <w:rFonts w:ascii="Times New Roman" w:hAnsi="Times New Roman" w:cs="Times New Roman"/>
          <w:sz w:val="22"/>
          <w:szCs w:val="22"/>
        </w:rPr>
      </w:pPr>
    </w:p>
    <w:p w14:paraId="6DCF4A29" w14:textId="77777777" w:rsidR="008E5427" w:rsidRDefault="008E5427">
      <w:pPr>
        <w:suppressAutoHyphens w:val="0"/>
        <w:spacing w:line="360" w:lineRule="auto"/>
        <w:jc w:val="both"/>
        <w:rPr>
          <w:rFonts w:ascii="Times New Roman" w:hAnsi="Times New Roman" w:cs="Times New Roman"/>
          <w:sz w:val="22"/>
          <w:szCs w:val="22"/>
        </w:rPr>
      </w:pPr>
    </w:p>
    <w:p w14:paraId="4019D980" w14:textId="77777777" w:rsidR="008E5427" w:rsidRDefault="008E5427">
      <w:pPr>
        <w:suppressAutoHyphens w:val="0"/>
        <w:spacing w:line="360" w:lineRule="auto"/>
        <w:jc w:val="both"/>
        <w:rPr>
          <w:rFonts w:ascii="Times New Roman" w:hAnsi="Times New Roman" w:cs="Times New Roman"/>
          <w:sz w:val="22"/>
          <w:szCs w:val="22"/>
        </w:rPr>
      </w:pPr>
    </w:p>
    <w:p w14:paraId="15EE9E79" w14:textId="77777777" w:rsidR="00957C99" w:rsidRDefault="00957C99">
      <w:pPr>
        <w:suppressAutoHyphens w:val="0"/>
        <w:spacing w:line="360" w:lineRule="auto"/>
        <w:jc w:val="both"/>
        <w:rPr>
          <w:rFonts w:ascii="Times New Roman" w:hAnsi="Times New Roman" w:cs="Times New Roman"/>
          <w:sz w:val="22"/>
          <w:szCs w:val="22"/>
        </w:rPr>
      </w:pPr>
    </w:p>
    <w:p w14:paraId="7E42391B" w14:textId="77777777" w:rsidR="00957C99" w:rsidRDefault="008E5427">
      <w:pPr>
        <w:suppressAutoHyphens w:val="0"/>
        <w:spacing w:line="360" w:lineRule="auto"/>
        <w:jc w:val="both"/>
      </w:pPr>
      <w:r>
        <w:rPr>
          <w:rFonts w:ascii="Times New Roman" w:hAnsi="Times New Roman" w:cs="Times New Roman"/>
          <w:sz w:val="22"/>
          <w:szCs w:val="22"/>
        </w:rPr>
        <w:t xml:space="preserve">Rio de Janeiro, 18 </w:t>
      </w:r>
      <w:r>
        <w:rPr>
          <w:rFonts w:ascii="Times New Roman" w:eastAsia="Times New Roman" w:hAnsi="Times New Roman" w:cs="Times New Roman"/>
          <w:kern w:val="2"/>
          <w:sz w:val="22"/>
          <w:szCs w:val="22"/>
          <w:lang w:bidi="ar-SA"/>
        </w:rPr>
        <w:t xml:space="preserve">de </w:t>
      </w:r>
      <w:proofErr w:type="gramStart"/>
      <w:r>
        <w:rPr>
          <w:rFonts w:ascii="Times New Roman" w:eastAsia="Times New Roman" w:hAnsi="Times New Roman" w:cs="Times New Roman"/>
          <w:kern w:val="2"/>
          <w:sz w:val="22"/>
          <w:szCs w:val="22"/>
          <w:lang w:bidi="ar-SA"/>
        </w:rPr>
        <w:t>Julho</w:t>
      </w:r>
      <w:proofErr w:type="gramEnd"/>
      <w:r>
        <w:rPr>
          <w:rFonts w:ascii="Times New Roman" w:eastAsia="Times New Roman" w:hAnsi="Times New Roman" w:cs="Times New Roman"/>
          <w:kern w:val="2"/>
          <w:sz w:val="22"/>
          <w:szCs w:val="22"/>
          <w:lang w:bidi="ar-SA"/>
        </w:rPr>
        <w:t xml:space="preserve"> </w:t>
      </w:r>
      <w:r>
        <w:rPr>
          <w:rFonts w:ascii="Times New Roman" w:hAnsi="Times New Roman" w:cs="Times New Roman"/>
          <w:sz w:val="22"/>
          <w:szCs w:val="22"/>
        </w:rPr>
        <w:t>de 2023.</w:t>
      </w:r>
    </w:p>
    <w:p w14:paraId="4D95C701" w14:textId="77777777" w:rsidR="00957C99" w:rsidRDefault="00957C99">
      <w:pPr>
        <w:ind w:left="-426" w:right="-15"/>
        <w:rPr>
          <w:rFonts w:ascii="Times New Roman" w:hAnsi="Times New Roman" w:cs="Times New Roman"/>
          <w:bCs/>
          <w:sz w:val="22"/>
          <w:szCs w:val="22"/>
        </w:rPr>
      </w:pPr>
    </w:p>
    <w:p w14:paraId="0600577F" w14:textId="77777777" w:rsidR="00957C99" w:rsidRDefault="00957C99">
      <w:pPr>
        <w:ind w:right="-15"/>
        <w:rPr>
          <w:rFonts w:ascii="Times New Roman" w:hAnsi="Times New Roman" w:cs="Times New Roman"/>
          <w:bCs/>
          <w:sz w:val="22"/>
          <w:szCs w:val="22"/>
        </w:rPr>
      </w:pPr>
    </w:p>
    <w:p w14:paraId="5629465A" w14:textId="77777777" w:rsidR="00957C99" w:rsidRDefault="008E5427">
      <w:pPr>
        <w:ind w:left="-426" w:right="-15"/>
        <w:rPr>
          <w:rFonts w:ascii="Times New Roman" w:hAnsi="Times New Roman" w:cs="Times New Roman"/>
          <w:bCs/>
          <w:sz w:val="22"/>
          <w:szCs w:val="22"/>
        </w:rPr>
      </w:pPr>
      <w:r>
        <w:rPr>
          <w:rFonts w:ascii="Times New Roman" w:hAnsi="Times New Roman" w:cs="Times New Roman"/>
          <w:bCs/>
          <w:sz w:val="22"/>
          <w:szCs w:val="22"/>
        </w:rPr>
        <w:t>Requisitante:</w:t>
      </w:r>
    </w:p>
    <w:p w14:paraId="087CD2C6" w14:textId="77777777" w:rsidR="00957C99" w:rsidRDefault="00957C99">
      <w:pPr>
        <w:ind w:left="-426" w:right="-15"/>
        <w:rPr>
          <w:rFonts w:ascii="Times New Roman" w:hAnsi="Times New Roman" w:cs="Times New Roman"/>
          <w:bCs/>
          <w:sz w:val="22"/>
          <w:szCs w:val="22"/>
        </w:rPr>
      </w:pPr>
    </w:p>
    <w:p w14:paraId="37AEB4DF" w14:textId="77777777" w:rsidR="00957C99" w:rsidRDefault="00957C99">
      <w:pPr>
        <w:ind w:left="-426" w:right="-15"/>
        <w:rPr>
          <w:rFonts w:ascii="Times New Roman" w:hAnsi="Times New Roman" w:cs="Times New Roman"/>
          <w:bCs/>
          <w:sz w:val="22"/>
          <w:szCs w:val="22"/>
        </w:rPr>
      </w:pPr>
    </w:p>
    <w:p w14:paraId="445D98AB" w14:textId="77777777" w:rsidR="00957C99" w:rsidRDefault="00957C99">
      <w:pPr>
        <w:pStyle w:val="SemEspaamento1"/>
        <w:ind w:hanging="426"/>
        <w:rPr>
          <w:sz w:val="22"/>
          <w:szCs w:val="22"/>
        </w:rPr>
      </w:pPr>
    </w:p>
    <w:p w14:paraId="55B6A0CD" w14:textId="77777777" w:rsidR="00957C99" w:rsidRDefault="008E5427">
      <w:pPr>
        <w:pStyle w:val="SemEspaamento1"/>
        <w:ind w:hanging="426"/>
        <w:rPr>
          <w:sz w:val="22"/>
          <w:szCs w:val="22"/>
        </w:rPr>
      </w:pPr>
      <w:r>
        <w:rPr>
          <w:sz w:val="22"/>
          <w:szCs w:val="22"/>
        </w:rPr>
        <w:t xml:space="preserve"> _________________________________________________</w:t>
      </w:r>
    </w:p>
    <w:p w14:paraId="5A43B9A7" w14:textId="77777777" w:rsidR="00957C99" w:rsidRDefault="008E5427">
      <w:pPr>
        <w:pStyle w:val="SemEspaamento1"/>
        <w:ind w:hanging="426"/>
      </w:pPr>
      <w:r w:rsidRPr="008E5427">
        <w:rPr>
          <w:sz w:val="20"/>
          <w:szCs w:val="20"/>
        </w:rPr>
        <w:t>DÉBORA</w:t>
      </w:r>
      <w:r>
        <w:rPr>
          <w:sz w:val="20"/>
          <w:szCs w:val="20"/>
        </w:rPr>
        <w:t xml:space="preserve"> CRISTINA PERES DE OLIVEIRA – 1º TEN</w:t>
      </w:r>
    </w:p>
    <w:p w14:paraId="73362C0F" w14:textId="77777777" w:rsidR="00957C99" w:rsidRDefault="008E5427">
      <w:pPr>
        <w:pStyle w:val="SemEspaamento1"/>
        <w:ind w:hanging="426"/>
      </w:pPr>
      <w:r>
        <w:rPr>
          <w:sz w:val="22"/>
          <w:szCs w:val="22"/>
        </w:rPr>
        <w:t xml:space="preserve">Respondendo pela </w:t>
      </w:r>
      <w:proofErr w:type="gramStart"/>
      <w:r>
        <w:rPr>
          <w:sz w:val="22"/>
          <w:szCs w:val="22"/>
        </w:rPr>
        <w:t>Chefia  da</w:t>
      </w:r>
      <w:proofErr w:type="gramEnd"/>
      <w:r>
        <w:rPr>
          <w:sz w:val="22"/>
          <w:szCs w:val="22"/>
        </w:rPr>
        <w:t xml:space="preserve"> SND</w:t>
      </w:r>
    </w:p>
    <w:p w14:paraId="004526FA" w14:textId="77777777" w:rsidR="00957C99" w:rsidRDefault="00957C99">
      <w:pPr>
        <w:pStyle w:val="SemEspaamento1"/>
        <w:rPr>
          <w:kern w:val="0"/>
          <w:sz w:val="22"/>
          <w:szCs w:val="22"/>
        </w:rPr>
      </w:pPr>
    </w:p>
    <w:p w14:paraId="77F4EB1B" w14:textId="77777777" w:rsidR="00957C99" w:rsidRDefault="00957C99">
      <w:pPr>
        <w:pStyle w:val="SemEspaamento1"/>
        <w:rPr>
          <w:kern w:val="0"/>
          <w:sz w:val="22"/>
          <w:szCs w:val="22"/>
        </w:rPr>
      </w:pPr>
    </w:p>
    <w:p w14:paraId="09EC640C" w14:textId="77777777" w:rsidR="00957C99" w:rsidRDefault="00957C99">
      <w:pPr>
        <w:pStyle w:val="SemEspaamento1"/>
        <w:ind w:left="-426"/>
        <w:rPr>
          <w:kern w:val="0"/>
          <w:sz w:val="22"/>
          <w:szCs w:val="22"/>
        </w:rPr>
      </w:pPr>
    </w:p>
    <w:p w14:paraId="4CC6DE2D" w14:textId="77777777" w:rsidR="00957C99" w:rsidRDefault="008E5427">
      <w:pPr>
        <w:ind w:left="-426" w:right="-15"/>
        <w:rPr>
          <w:rFonts w:ascii="Times New Roman" w:hAnsi="Times New Roman" w:cs="Times New Roman"/>
          <w:sz w:val="22"/>
          <w:szCs w:val="22"/>
        </w:rPr>
      </w:pPr>
      <w:r>
        <w:rPr>
          <w:rFonts w:ascii="Times New Roman" w:hAnsi="Times New Roman" w:cs="Times New Roman"/>
          <w:sz w:val="22"/>
          <w:szCs w:val="22"/>
        </w:rPr>
        <w:t xml:space="preserve">  Planejamento e Pesquisa de Mercado</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14:paraId="04463892" w14:textId="77777777" w:rsidR="00957C99" w:rsidRDefault="00957C99">
      <w:pPr>
        <w:ind w:right="-15"/>
        <w:rPr>
          <w:rFonts w:ascii="Times New Roman" w:hAnsi="Times New Roman" w:cs="Times New Roman"/>
          <w:bCs/>
          <w:sz w:val="22"/>
          <w:szCs w:val="22"/>
        </w:rPr>
      </w:pPr>
    </w:p>
    <w:p w14:paraId="14F4F2D0" w14:textId="77777777" w:rsidR="00957C99" w:rsidRDefault="00957C99">
      <w:pPr>
        <w:ind w:right="-15"/>
        <w:rPr>
          <w:rFonts w:ascii="Times New Roman" w:hAnsi="Times New Roman" w:cs="Times New Roman"/>
          <w:bCs/>
          <w:sz w:val="22"/>
          <w:szCs w:val="22"/>
        </w:rPr>
      </w:pPr>
    </w:p>
    <w:p w14:paraId="1413CAC4" w14:textId="77777777" w:rsidR="00957C99" w:rsidRDefault="00957C99">
      <w:pPr>
        <w:ind w:right="-15"/>
        <w:rPr>
          <w:rFonts w:ascii="Times New Roman" w:hAnsi="Times New Roman" w:cs="Times New Roman"/>
          <w:bCs/>
          <w:sz w:val="22"/>
          <w:szCs w:val="22"/>
        </w:rPr>
      </w:pPr>
    </w:p>
    <w:p w14:paraId="56567354" w14:textId="77777777" w:rsidR="00957C99" w:rsidRDefault="008E5427">
      <w:pPr>
        <w:pStyle w:val="SemEspaamento1"/>
        <w:ind w:hanging="426"/>
        <w:rPr>
          <w:sz w:val="22"/>
          <w:szCs w:val="22"/>
        </w:rPr>
      </w:pPr>
      <w:r>
        <w:rPr>
          <w:sz w:val="22"/>
          <w:szCs w:val="22"/>
        </w:rPr>
        <w:t xml:space="preserve">  _______________________________________________</w:t>
      </w:r>
    </w:p>
    <w:p w14:paraId="4D934B36" w14:textId="77777777" w:rsidR="00957C99" w:rsidRDefault="008E5427">
      <w:pPr>
        <w:pStyle w:val="SemEspaamento1"/>
        <w:ind w:hanging="426"/>
        <w:rPr>
          <w:b/>
          <w:bCs/>
        </w:rPr>
      </w:pPr>
      <w:r>
        <w:rPr>
          <w:b/>
          <w:bCs/>
          <w:sz w:val="22"/>
          <w:szCs w:val="22"/>
        </w:rPr>
        <w:t xml:space="preserve">  PAULO SÉRGIO </w:t>
      </w:r>
      <w:r>
        <w:rPr>
          <w:sz w:val="22"/>
          <w:szCs w:val="22"/>
        </w:rPr>
        <w:t xml:space="preserve">RODRIGUES GONÇALVES - </w:t>
      </w:r>
      <w:r>
        <w:rPr>
          <w:b/>
          <w:bCs/>
          <w:sz w:val="22"/>
          <w:szCs w:val="22"/>
        </w:rPr>
        <w:t>Cap</w:t>
      </w:r>
    </w:p>
    <w:p w14:paraId="26B92D76" w14:textId="77777777" w:rsidR="00957C99" w:rsidRDefault="008E5427">
      <w:pPr>
        <w:pStyle w:val="SemEspaamento1"/>
        <w:ind w:hanging="426"/>
        <w:rPr>
          <w:sz w:val="22"/>
          <w:szCs w:val="22"/>
        </w:rPr>
      </w:pPr>
      <w:r>
        <w:rPr>
          <w:sz w:val="22"/>
          <w:szCs w:val="22"/>
        </w:rPr>
        <w:t xml:space="preserve">  Chefe da Seção de Planejamento e Pesquisa </w:t>
      </w:r>
    </w:p>
    <w:p w14:paraId="2911CF5A" w14:textId="77777777" w:rsidR="00957C99" w:rsidRDefault="00957C99">
      <w:pPr>
        <w:pStyle w:val="SemEspaamento1"/>
        <w:spacing w:line="276" w:lineRule="auto"/>
        <w:ind w:hanging="426"/>
        <w:rPr>
          <w:sz w:val="22"/>
          <w:szCs w:val="22"/>
        </w:rPr>
      </w:pPr>
    </w:p>
    <w:p w14:paraId="2B4C6E1D" w14:textId="77777777" w:rsidR="00957C99" w:rsidRDefault="00957C99">
      <w:pPr>
        <w:ind w:right="-15" w:hanging="426"/>
        <w:rPr>
          <w:rFonts w:ascii="Times New Roman" w:hAnsi="Times New Roman" w:cs="Times New Roman"/>
          <w:b/>
          <w:sz w:val="22"/>
          <w:szCs w:val="22"/>
          <w:u w:val="single"/>
        </w:rPr>
      </w:pPr>
    </w:p>
    <w:p w14:paraId="2E290DC7" w14:textId="77777777" w:rsidR="00957C99" w:rsidRDefault="008E5427">
      <w:pPr>
        <w:suppressAutoHyphens w:val="0"/>
        <w:ind w:left="-426"/>
        <w:rPr>
          <w:rFonts w:ascii="Times New Roman" w:hAnsi="Times New Roman" w:cs="Times New Roman"/>
          <w:b/>
          <w:sz w:val="22"/>
          <w:szCs w:val="22"/>
          <w:u w:val="single"/>
        </w:rPr>
      </w:pPr>
      <w:r>
        <w:rPr>
          <w:rFonts w:ascii="Times New Roman" w:hAnsi="Times New Roman" w:cs="Times New Roman"/>
          <w:b/>
          <w:sz w:val="22"/>
          <w:szCs w:val="22"/>
          <w:u w:val="single"/>
        </w:rPr>
        <w:t xml:space="preserve">  APROVAÇÃO DA AUTORIDADE COMPETENTE</w:t>
      </w:r>
    </w:p>
    <w:p w14:paraId="78024A74" w14:textId="77777777" w:rsidR="00957C99" w:rsidRDefault="00957C99">
      <w:pPr>
        <w:suppressAutoHyphens w:val="0"/>
        <w:ind w:left="-426"/>
        <w:rPr>
          <w:rFonts w:ascii="Times New Roman" w:hAnsi="Times New Roman" w:cs="Times New Roman"/>
          <w:b/>
          <w:sz w:val="22"/>
          <w:szCs w:val="22"/>
          <w:u w:val="single"/>
        </w:rPr>
      </w:pPr>
    </w:p>
    <w:p w14:paraId="0AEF4911" w14:textId="77777777" w:rsidR="00957C99" w:rsidRDefault="008E5427">
      <w:pPr>
        <w:suppressAutoHyphens w:val="0"/>
        <w:ind w:left="-426"/>
        <w:jc w:val="both"/>
        <w:rPr>
          <w:rFonts w:ascii="Times New Roman" w:hAnsi="Times New Roman" w:cs="Times New Roman"/>
          <w:sz w:val="22"/>
          <w:szCs w:val="22"/>
        </w:rPr>
      </w:pPr>
      <w:r>
        <w:rPr>
          <w:rFonts w:ascii="Times New Roman" w:hAnsi="Times New Roman" w:cs="Times New Roman"/>
          <w:sz w:val="22"/>
          <w:szCs w:val="22"/>
        </w:rPr>
        <w:t xml:space="preserve"> Assim decido:</w:t>
      </w:r>
    </w:p>
    <w:p w14:paraId="18D2CDA5" w14:textId="77777777" w:rsidR="00957C99" w:rsidRDefault="008E5427">
      <w:pPr>
        <w:suppressAutoHyphens w:val="0"/>
        <w:ind w:left="-426"/>
        <w:jc w:val="both"/>
        <w:rPr>
          <w:rFonts w:ascii="Times New Roman" w:hAnsi="Times New Roman" w:cs="Times New Roman"/>
          <w:sz w:val="22"/>
          <w:szCs w:val="22"/>
        </w:rPr>
      </w:pPr>
      <w:r>
        <w:rPr>
          <w:rFonts w:ascii="Times New Roman" w:hAnsi="Times New Roman" w:cs="Times New Roman"/>
          <w:sz w:val="22"/>
          <w:szCs w:val="22"/>
        </w:rPr>
        <w:t xml:space="preserve"> </w:t>
      </w:r>
    </w:p>
    <w:p w14:paraId="6A27FCD2" w14:textId="77777777" w:rsidR="00957C99" w:rsidRDefault="00957C99">
      <w:pPr>
        <w:suppressAutoHyphens w:val="0"/>
        <w:spacing w:line="2" w:lineRule="exact"/>
        <w:ind w:left="-426"/>
        <w:jc w:val="both"/>
        <w:rPr>
          <w:rFonts w:ascii="Times New Roman" w:hAnsi="Times New Roman" w:cs="Times New Roman"/>
          <w:sz w:val="22"/>
          <w:szCs w:val="22"/>
        </w:rPr>
      </w:pPr>
    </w:p>
    <w:p w14:paraId="1B1AE1E1" w14:textId="77777777" w:rsidR="00957C99" w:rsidRDefault="008E5427">
      <w:pPr>
        <w:ind w:left="-426" w:right="-15"/>
        <w:jc w:val="both"/>
      </w:pPr>
      <w:r>
        <w:rPr>
          <w:rFonts w:ascii="Times New Roman" w:hAnsi="Times New Roman" w:cs="Times New Roman"/>
          <w:sz w:val="22"/>
          <w:szCs w:val="22"/>
        </w:rPr>
        <w:t xml:space="preserve">a. aprovar, nos termos do inciso II, do </w:t>
      </w:r>
      <w:proofErr w:type="spellStart"/>
      <w:r>
        <w:rPr>
          <w:rFonts w:ascii="Times New Roman" w:hAnsi="Times New Roman" w:cs="Times New Roman"/>
          <w:sz w:val="22"/>
          <w:szCs w:val="22"/>
        </w:rPr>
        <w:t>Art</w:t>
      </w:r>
      <w:proofErr w:type="spellEnd"/>
      <w:r>
        <w:rPr>
          <w:rFonts w:ascii="Times New Roman" w:hAnsi="Times New Roman" w:cs="Times New Roman"/>
          <w:sz w:val="22"/>
          <w:szCs w:val="22"/>
        </w:rPr>
        <w:t xml:space="preserve"> 14º do Decreto nº 10.024, de 20 setembro 2019, o Termo de Referência nº 62</w:t>
      </w:r>
      <w:r>
        <w:rPr>
          <w:rFonts w:ascii="Times New Roman" w:eastAsia="Times New Roman" w:hAnsi="Times New Roman" w:cs="Times New Roman"/>
          <w:kern w:val="2"/>
          <w:sz w:val="22"/>
          <w:szCs w:val="22"/>
          <w:lang w:bidi="ar-SA"/>
        </w:rPr>
        <w:t>/</w:t>
      </w:r>
      <w:r>
        <w:rPr>
          <w:rFonts w:ascii="Times New Roman" w:hAnsi="Times New Roman" w:cs="Times New Roman"/>
          <w:sz w:val="22"/>
          <w:szCs w:val="22"/>
        </w:rPr>
        <w:t>2023, que trata do registro de preços para eventual aquisição de material permanente para a Nutrição do Hospital Central do Exército (HCE).</w:t>
      </w:r>
    </w:p>
    <w:p w14:paraId="71582331" w14:textId="77777777" w:rsidR="00957C99" w:rsidRDefault="008E5427">
      <w:pPr>
        <w:ind w:left="-426" w:right="-15"/>
        <w:jc w:val="both"/>
        <w:rPr>
          <w:rFonts w:ascii="Times New Roman" w:hAnsi="Times New Roman" w:cs="Times New Roman"/>
          <w:sz w:val="22"/>
          <w:szCs w:val="22"/>
        </w:rPr>
      </w:pPr>
      <w:r>
        <w:rPr>
          <w:rFonts w:ascii="Times New Roman" w:hAnsi="Times New Roman" w:cs="Times New Roman"/>
          <w:sz w:val="22"/>
          <w:szCs w:val="22"/>
        </w:rPr>
        <w:t>b. a SALC adote as providências cabíveis, de acordo com as normas em vigor, e autue o presente Termo de Referência no respectivo Processo Administrativo atinente ao processo licitatório.</w:t>
      </w:r>
    </w:p>
    <w:p w14:paraId="5D4B0051" w14:textId="77777777" w:rsidR="00957C99" w:rsidRDefault="00957C99">
      <w:pPr>
        <w:ind w:left="-426" w:right="-15"/>
        <w:rPr>
          <w:rFonts w:ascii="Times New Roman" w:hAnsi="Times New Roman" w:cs="Times New Roman"/>
          <w:sz w:val="22"/>
          <w:szCs w:val="22"/>
        </w:rPr>
      </w:pPr>
    </w:p>
    <w:p w14:paraId="21580476" w14:textId="77777777" w:rsidR="00957C99" w:rsidRDefault="008E5427">
      <w:pPr>
        <w:pStyle w:val="SemEspaamento1"/>
        <w:ind w:hanging="426"/>
      </w:pPr>
      <w:r>
        <w:rPr>
          <w:sz w:val="22"/>
          <w:szCs w:val="22"/>
        </w:rPr>
        <w:t>____________________________________</w:t>
      </w:r>
    </w:p>
    <w:p w14:paraId="48AFDEF6" w14:textId="77777777" w:rsidR="00957C99" w:rsidRDefault="008E5427">
      <w:pPr>
        <w:pStyle w:val="SemEspaamento1"/>
        <w:ind w:hanging="426"/>
      </w:pPr>
      <w:r>
        <w:rPr>
          <w:b/>
          <w:bCs/>
          <w:sz w:val="22"/>
          <w:szCs w:val="22"/>
        </w:rPr>
        <w:lastRenderedPageBreak/>
        <w:t>GESSER GOMES DE MATTOS</w:t>
      </w:r>
      <w:r>
        <w:rPr>
          <w:bCs/>
          <w:sz w:val="22"/>
          <w:szCs w:val="22"/>
        </w:rPr>
        <w:t xml:space="preserve"> - </w:t>
      </w:r>
      <w:proofErr w:type="spellStart"/>
      <w:r>
        <w:rPr>
          <w:b/>
          <w:bCs/>
          <w:sz w:val="22"/>
          <w:szCs w:val="22"/>
        </w:rPr>
        <w:t>Cel</w:t>
      </w:r>
      <w:proofErr w:type="spellEnd"/>
    </w:p>
    <w:p w14:paraId="1E0950C5" w14:textId="77777777" w:rsidR="00957C99" w:rsidRDefault="008E5427">
      <w:pPr>
        <w:pStyle w:val="SemEspaamento1"/>
        <w:ind w:hanging="426"/>
      </w:pPr>
      <w:r>
        <w:rPr>
          <w:sz w:val="22"/>
          <w:szCs w:val="22"/>
        </w:rPr>
        <w:t xml:space="preserve">Ordenador de Despesas </w:t>
      </w:r>
      <w:proofErr w:type="spellStart"/>
      <w:r>
        <w:rPr>
          <w:sz w:val="22"/>
          <w:szCs w:val="22"/>
        </w:rPr>
        <w:t>Sustitutodo</w:t>
      </w:r>
      <w:proofErr w:type="spellEnd"/>
      <w:r>
        <w:rPr>
          <w:sz w:val="22"/>
          <w:szCs w:val="22"/>
        </w:rPr>
        <w:t xml:space="preserve"> HCE</w:t>
      </w:r>
    </w:p>
    <w:sectPr w:rsidR="00957C99">
      <w:headerReference w:type="default" r:id="rId39"/>
      <w:footerReference w:type="default" r:id="rId40"/>
      <w:pgSz w:w="11906" w:h="16838"/>
      <w:pgMar w:top="777" w:right="1134" w:bottom="1135" w:left="1701" w:header="720" w:footer="708"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B8A3" w14:textId="77777777" w:rsidR="00F30D32" w:rsidRDefault="008E5427">
      <w:r>
        <w:separator/>
      </w:r>
    </w:p>
  </w:endnote>
  <w:endnote w:type="continuationSeparator" w:id="0">
    <w:p w14:paraId="281AB059" w14:textId="77777777" w:rsidR="00F30D32" w:rsidRDefault="008E5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mbria"/>
    <w:charset w:val="00"/>
    <w:family w:val="roman"/>
    <w:pitch w:val="variable"/>
  </w:font>
  <w:font w:name="Liberation Mono">
    <w:altName w:val="Courier New"/>
    <w:panose1 w:val="02070409020205020404"/>
    <w:charset w:val="00"/>
    <w:family w:val="modern"/>
    <w:pitch w:val="fixed"/>
    <w:sig w:usb0="E0000AFF" w:usb1="400078FF" w:usb2="0000000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awline">
    <w:altName w:val="Cambria"/>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82D1" w14:textId="77777777" w:rsidR="00957C99" w:rsidRDefault="008E5427">
    <w:pPr>
      <w:pStyle w:val="Rodap"/>
      <w:rPr>
        <w:color w:val="8496B0"/>
        <w:spacing w:val="60"/>
        <w:sz w:val="22"/>
        <w:szCs w:val="22"/>
      </w:rPr>
    </w:pPr>
    <w:r>
      <w:rPr>
        <w:color w:val="8496B0"/>
        <w:spacing w:val="60"/>
        <w:sz w:val="22"/>
        <w:szCs w:val="22"/>
      </w:rPr>
      <w:tab/>
    </w:r>
    <w:r>
      <w:rPr>
        <w:color w:val="8496B0"/>
        <w:spacing w:val="60"/>
        <w:sz w:val="22"/>
        <w:szCs w:val="22"/>
      </w:rPr>
      <w:tab/>
    </w:r>
  </w:p>
  <w:p w14:paraId="0C3B77C0" w14:textId="77777777" w:rsidR="00957C99" w:rsidRDefault="008E5427">
    <w:pPr>
      <w:pStyle w:val="Rodap"/>
    </w:pPr>
    <w:r>
      <w:rPr>
        <w:color w:val="7F7F7F"/>
        <w:spacing w:val="60"/>
        <w:sz w:val="22"/>
        <w:szCs w:val="22"/>
      </w:rPr>
      <w:tab/>
    </w:r>
    <w:r>
      <w:rPr>
        <w:color w:val="7F7F7F"/>
        <w:spacing w:val="60"/>
        <w:sz w:val="22"/>
        <w:szCs w:val="22"/>
      </w:rPr>
      <w:tab/>
    </w:r>
    <w:r>
      <w:rPr>
        <w:color w:val="595959"/>
        <w:spacing w:val="60"/>
        <w:sz w:val="22"/>
        <w:szCs w:val="22"/>
      </w:rPr>
      <w:t>Página</w:t>
    </w:r>
    <w:r>
      <w:rPr>
        <w:color w:val="595959"/>
        <w:sz w:val="22"/>
        <w:szCs w:val="22"/>
      </w:rPr>
      <w:t xml:space="preserve"> </w:t>
    </w:r>
    <w:r>
      <w:rPr>
        <w:sz w:val="22"/>
        <w:szCs w:val="22"/>
      </w:rPr>
      <w:fldChar w:fldCharType="begin"/>
    </w:r>
    <w:r>
      <w:rPr>
        <w:sz w:val="22"/>
        <w:szCs w:val="22"/>
      </w:rPr>
      <w:instrText>PAGE</w:instrText>
    </w:r>
    <w:r>
      <w:rPr>
        <w:sz w:val="22"/>
        <w:szCs w:val="22"/>
      </w:rPr>
      <w:fldChar w:fldCharType="separate"/>
    </w:r>
    <w:r>
      <w:rPr>
        <w:sz w:val="22"/>
        <w:szCs w:val="22"/>
      </w:rPr>
      <w:t>2</w:t>
    </w:r>
    <w:r>
      <w:rPr>
        <w:sz w:val="22"/>
        <w:szCs w:val="22"/>
      </w:rPr>
      <w:fldChar w:fldCharType="end"/>
    </w:r>
    <w:r>
      <w:rPr>
        <w:color w:val="595959"/>
        <w:sz w:val="22"/>
        <w:szCs w:val="22"/>
      </w:rPr>
      <w:t xml:space="preserve"> | </w:t>
    </w:r>
    <w:r>
      <w:rPr>
        <w:sz w:val="22"/>
        <w:szCs w:val="22"/>
      </w:rPr>
      <w:fldChar w:fldCharType="begin"/>
    </w:r>
    <w:r>
      <w:rPr>
        <w:sz w:val="22"/>
        <w:szCs w:val="22"/>
      </w:rPr>
      <w:instrText>NUMPAGES</w:instrText>
    </w:r>
    <w:r>
      <w:rPr>
        <w:sz w:val="22"/>
        <w:szCs w:val="22"/>
      </w:rPr>
      <w:fldChar w:fldCharType="separate"/>
    </w:r>
    <w:r>
      <w:rPr>
        <w:sz w:val="22"/>
        <w:szCs w:val="22"/>
      </w:rPr>
      <w:t>19</w:t>
    </w:r>
    <w:r>
      <w:rPr>
        <w:sz w:val="22"/>
        <w:szCs w:val="22"/>
      </w:rPr>
      <w:fldChar w:fldCharType="end"/>
    </w:r>
  </w:p>
  <w:p w14:paraId="606DC2D6" w14:textId="77777777" w:rsidR="00957C99" w:rsidRDefault="008E5427">
    <w:pPr>
      <w:pStyle w:val="Rodap"/>
      <w:rPr>
        <w:rFonts w:ascii="Rawline" w:hAnsi="Rawline" w:cs="Arial"/>
        <w:sz w:val="12"/>
      </w:rPr>
    </w:pPr>
    <w:r>
      <w:rPr>
        <w:rFonts w:ascii="Rawline" w:hAnsi="Rawline" w:cs="Arial"/>
        <w:sz w:val="12"/>
      </w:rPr>
      <w:t>Câmara Nacional de Modelos de Licitações e Contratos da Consultoria-Geral da União</w:t>
    </w:r>
  </w:p>
  <w:p w14:paraId="6DD86D85" w14:textId="77777777" w:rsidR="00957C99" w:rsidRDefault="008E5427">
    <w:pPr>
      <w:pStyle w:val="Rodap"/>
      <w:rPr>
        <w:rFonts w:ascii="Rawline" w:hAnsi="Rawline" w:cs="Arial"/>
        <w:sz w:val="12"/>
      </w:rPr>
    </w:pPr>
    <w:r>
      <w:rPr>
        <w:rFonts w:ascii="Rawline" w:hAnsi="Rawline" w:cs="Arial"/>
        <w:sz w:val="12"/>
      </w:rPr>
      <w:t>Atualização: maio/2023</w:t>
    </w:r>
  </w:p>
  <w:p w14:paraId="22EE8918" w14:textId="77777777" w:rsidR="00957C99" w:rsidRDefault="008E5427">
    <w:pPr>
      <w:pStyle w:val="Rodap"/>
      <w:rPr>
        <w:rFonts w:ascii="Rawline" w:hAnsi="Rawline" w:cs="Arial"/>
        <w:sz w:val="12"/>
        <w:szCs w:val="12"/>
      </w:rPr>
    </w:pPr>
    <w:r>
      <w:rPr>
        <w:rFonts w:ascii="Rawline" w:hAnsi="Rawline" w:cs="Arial"/>
        <w:sz w:val="12"/>
        <w:szCs w:val="12"/>
      </w:rPr>
      <w:t>Termo de Referência Aquisições – Licitação - Modelo para Pregão Eletrônico</w:t>
    </w:r>
    <w:r>
      <w:rPr>
        <w:rFonts w:ascii="Rawline" w:hAnsi="Rawline" w:cs="Arial"/>
        <w:sz w:val="12"/>
        <w:szCs w:val="12"/>
      </w:rPr>
      <w:tab/>
    </w:r>
    <w:r>
      <w:rPr>
        <w:rFonts w:ascii="Rawline" w:hAnsi="Rawline" w:cs="Arial"/>
        <w:sz w:val="12"/>
        <w:szCs w:val="12"/>
      </w:rPr>
      <w:tab/>
    </w:r>
  </w:p>
  <w:p w14:paraId="340E2846" w14:textId="77777777" w:rsidR="00957C99" w:rsidRDefault="008E5427">
    <w:pPr>
      <w:pStyle w:val="Rodap"/>
      <w:rPr>
        <w:rFonts w:ascii="Rawline" w:hAnsi="Rawline"/>
        <w:sz w:val="12"/>
        <w:szCs w:val="12"/>
      </w:rPr>
    </w:pPr>
    <w:r>
      <w:rPr>
        <w:rFonts w:ascii="Rawline" w:hAnsi="Rawline"/>
        <w:sz w:val="12"/>
        <w:szCs w:val="12"/>
      </w:rPr>
      <w:t>Aprovado pela Secretaria de Gestão.</w:t>
    </w:r>
  </w:p>
  <w:p w14:paraId="1E2BD502" w14:textId="77777777" w:rsidR="00957C99" w:rsidRDefault="008E5427">
    <w:pPr>
      <w:pStyle w:val="Rodap"/>
      <w:rPr>
        <w:rFonts w:ascii="Rawline" w:hAnsi="Rawline"/>
        <w:sz w:val="12"/>
        <w:szCs w:val="12"/>
      </w:rPr>
    </w:pPr>
    <w:r>
      <w:rPr>
        <w:rFonts w:ascii="Rawline" w:hAnsi="Rawline"/>
        <w:sz w:val="12"/>
        <w:szCs w:val="12"/>
      </w:rPr>
      <w:t>Identidade visual pela Secretaria de Gestão (versão dezembro/2022)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177A" w14:textId="77777777" w:rsidR="00957C99" w:rsidRDefault="008E5427">
    <w:pPr>
      <w:pStyle w:val="Corpodetexto"/>
      <w:tabs>
        <w:tab w:val="center" w:pos="4252"/>
        <w:tab w:val="right" w:pos="8504"/>
      </w:tabs>
      <w:suppressAutoHyphens w:val="0"/>
      <w:spacing w:after="0" w:line="100" w:lineRule="atLeast"/>
      <w:rPr>
        <w:rFonts w:ascii="Times New Roman" w:hAnsi="Times New Roman" w:cs="Times New Roman"/>
        <w:sz w:val="12"/>
        <w:szCs w:val="12"/>
      </w:rPr>
    </w:pPr>
    <w:r>
      <w:rPr>
        <w:rFonts w:ascii="Times New Roman" w:hAnsi="Times New Roman" w:cs="Times New Roman"/>
        <w:sz w:val="12"/>
        <w:szCs w:val="12"/>
      </w:rPr>
      <w:t>________________________________________________________________________________________________________________</w:t>
    </w:r>
  </w:p>
  <w:p w14:paraId="0B1C85B4" w14:textId="77777777" w:rsidR="00957C99" w:rsidRDefault="008E5427">
    <w:pPr>
      <w:pStyle w:val="Rodap"/>
      <w:rPr>
        <w:color w:val="8496B0"/>
        <w:spacing w:val="60"/>
        <w:sz w:val="22"/>
        <w:szCs w:val="22"/>
      </w:rPr>
    </w:pPr>
    <w:r>
      <w:rPr>
        <w:color w:val="8496B0"/>
        <w:spacing w:val="60"/>
        <w:sz w:val="22"/>
        <w:szCs w:val="22"/>
      </w:rPr>
      <w:tab/>
    </w:r>
    <w:r>
      <w:rPr>
        <w:color w:val="8496B0"/>
        <w:spacing w:val="60"/>
        <w:sz w:val="22"/>
        <w:szCs w:val="22"/>
      </w:rPr>
      <w:tab/>
    </w:r>
  </w:p>
  <w:p w14:paraId="604210D2" w14:textId="77777777" w:rsidR="00957C99" w:rsidRDefault="008E5427">
    <w:pPr>
      <w:pStyle w:val="Rodap"/>
    </w:pPr>
    <w:r>
      <w:rPr>
        <w:color w:val="7F7F7F"/>
        <w:spacing w:val="60"/>
        <w:sz w:val="22"/>
        <w:szCs w:val="22"/>
      </w:rPr>
      <w:tab/>
    </w:r>
    <w:r>
      <w:rPr>
        <w:color w:val="7F7F7F"/>
        <w:spacing w:val="60"/>
        <w:sz w:val="22"/>
        <w:szCs w:val="22"/>
      </w:rPr>
      <w:tab/>
    </w:r>
    <w:r>
      <w:rPr>
        <w:color w:val="595959"/>
        <w:spacing w:val="60"/>
        <w:sz w:val="22"/>
        <w:szCs w:val="22"/>
      </w:rPr>
      <w:t>Página</w:t>
    </w:r>
    <w:r>
      <w:rPr>
        <w:color w:val="595959"/>
        <w:sz w:val="22"/>
        <w:szCs w:val="22"/>
      </w:rPr>
      <w:t xml:space="preserve"> </w:t>
    </w:r>
    <w:r>
      <w:rPr>
        <w:sz w:val="22"/>
        <w:szCs w:val="22"/>
      </w:rPr>
      <w:fldChar w:fldCharType="begin"/>
    </w:r>
    <w:r>
      <w:rPr>
        <w:sz w:val="22"/>
        <w:szCs w:val="22"/>
      </w:rPr>
      <w:instrText>PAGE</w:instrText>
    </w:r>
    <w:r>
      <w:rPr>
        <w:sz w:val="22"/>
        <w:szCs w:val="22"/>
      </w:rPr>
      <w:fldChar w:fldCharType="separate"/>
    </w:r>
    <w:r>
      <w:rPr>
        <w:sz w:val="22"/>
        <w:szCs w:val="22"/>
      </w:rPr>
      <w:t>17</w:t>
    </w:r>
    <w:r>
      <w:rPr>
        <w:sz w:val="22"/>
        <w:szCs w:val="22"/>
      </w:rPr>
      <w:fldChar w:fldCharType="end"/>
    </w:r>
    <w:r>
      <w:rPr>
        <w:color w:val="595959"/>
        <w:sz w:val="22"/>
        <w:szCs w:val="22"/>
      </w:rPr>
      <w:t xml:space="preserve"> | </w:t>
    </w:r>
    <w:r>
      <w:rPr>
        <w:sz w:val="22"/>
        <w:szCs w:val="22"/>
      </w:rPr>
      <w:fldChar w:fldCharType="begin"/>
    </w:r>
    <w:r>
      <w:rPr>
        <w:sz w:val="22"/>
        <w:szCs w:val="22"/>
      </w:rPr>
      <w:instrText>NUMPAGES</w:instrText>
    </w:r>
    <w:r>
      <w:rPr>
        <w:sz w:val="22"/>
        <w:szCs w:val="22"/>
      </w:rPr>
      <w:fldChar w:fldCharType="separate"/>
    </w:r>
    <w:r>
      <w:rPr>
        <w:sz w:val="22"/>
        <w:szCs w:val="22"/>
      </w:rPr>
      <w:t>19</w:t>
    </w:r>
    <w:r>
      <w:rPr>
        <w:sz w:val="22"/>
        <w:szCs w:val="22"/>
      </w:rPr>
      <w:fldChar w:fldCharType="end"/>
    </w:r>
  </w:p>
  <w:p w14:paraId="618C3E99" w14:textId="77777777" w:rsidR="00957C99" w:rsidRDefault="008E5427">
    <w:pPr>
      <w:pStyle w:val="Rodap"/>
    </w:pPr>
    <w:r>
      <w:rPr>
        <w:rFonts w:ascii="Rawline" w:hAnsi="Rawline" w:cs="Arial"/>
        <w:sz w:val="12"/>
      </w:rPr>
      <w:t>Câmara Nacional de Modelos de Licitações e Contratos da Consultoria-Geral da União</w:t>
    </w:r>
    <w:r>
      <w:rPr>
        <w:color w:val="595959"/>
        <w:spacing w:val="60"/>
        <w:sz w:val="22"/>
        <w:szCs w:val="22"/>
      </w:rPr>
      <w:t xml:space="preserve">                           Página</w:t>
    </w:r>
    <w:r>
      <w:rPr>
        <w:color w:val="595959"/>
        <w:sz w:val="22"/>
        <w:szCs w:val="22"/>
      </w:rPr>
      <w:t xml:space="preserve"> </w:t>
    </w:r>
    <w:r>
      <w:rPr>
        <w:sz w:val="22"/>
        <w:szCs w:val="22"/>
      </w:rPr>
      <w:fldChar w:fldCharType="begin"/>
    </w:r>
    <w:r>
      <w:rPr>
        <w:sz w:val="22"/>
        <w:szCs w:val="22"/>
      </w:rPr>
      <w:instrText>PAGE</w:instrText>
    </w:r>
    <w:r>
      <w:rPr>
        <w:sz w:val="22"/>
        <w:szCs w:val="22"/>
      </w:rPr>
      <w:fldChar w:fldCharType="separate"/>
    </w:r>
    <w:r>
      <w:rPr>
        <w:sz w:val="22"/>
        <w:szCs w:val="22"/>
      </w:rPr>
      <w:t>17</w:t>
    </w:r>
    <w:r>
      <w:rPr>
        <w:sz w:val="22"/>
        <w:szCs w:val="22"/>
      </w:rPr>
      <w:fldChar w:fldCharType="end"/>
    </w:r>
    <w:r>
      <w:rPr>
        <w:color w:val="595959"/>
        <w:sz w:val="22"/>
        <w:szCs w:val="22"/>
      </w:rPr>
      <w:t xml:space="preserve"> | </w:t>
    </w:r>
    <w:r>
      <w:rPr>
        <w:sz w:val="22"/>
        <w:szCs w:val="22"/>
      </w:rPr>
      <w:fldChar w:fldCharType="begin"/>
    </w:r>
    <w:r>
      <w:rPr>
        <w:sz w:val="22"/>
        <w:szCs w:val="22"/>
      </w:rPr>
      <w:instrText>NUMPAGES</w:instrText>
    </w:r>
    <w:r>
      <w:rPr>
        <w:sz w:val="22"/>
        <w:szCs w:val="22"/>
      </w:rPr>
      <w:fldChar w:fldCharType="separate"/>
    </w:r>
    <w:r>
      <w:rPr>
        <w:sz w:val="22"/>
        <w:szCs w:val="22"/>
      </w:rPr>
      <w:t>19</w:t>
    </w:r>
    <w:r>
      <w:rPr>
        <w:sz w:val="22"/>
        <w:szCs w:val="22"/>
      </w:rPr>
      <w:fldChar w:fldCharType="end"/>
    </w:r>
  </w:p>
  <w:p w14:paraId="5C4A6C84" w14:textId="77777777" w:rsidR="00957C99" w:rsidRDefault="008E5427">
    <w:pPr>
      <w:pStyle w:val="Rodap"/>
      <w:rPr>
        <w:rFonts w:ascii="Rawline" w:hAnsi="Rawline" w:cs="Arial"/>
        <w:sz w:val="12"/>
      </w:rPr>
    </w:pPr>
    <w:r>
      <w:rPr>
        <w:rFonts w:ascii="Rawline" w:hAnsi="Rawline" w:cs="Arial"/>
        <w:sz w:val="12"/>
      </w:rPr>
      <w:t>Atualização: maio/2023</w:t>
    </w:r>
  </w:p>
  <w:p w14:paraId="2E31E43D" w14:textId="77777777" w:rsidR="00957C99" w:rsidRDefault="008E5427">
    <w:pPr>
      <w:pStyle w:val="Rodap"/>
      <w:rPr>
        <w:rFonts w:ascii="Rawline" w:hAnsi="Rawline" w:cs="Arial"/>
        <w:sz w:val="12"/>
        <w:szCs w:val="12"/>
      </w:rPr>
    </w:pPr>
    <w:r>
      <w:rPr>
        <w:rFonts w:ascii="Rawline" w:hAnsi="Rawline" w:cs="Arial"/>
        <w:sz w:val="12"/>
        <w:szCs w:val="12"/>
      </w:rPr>
      <w:t>Termo de Referência Aquisições – Licitação - Modelo para Pregão Eletrônico</w:t>
    </w:r>
    <w:r>
      <w:rPr>
        <w:rFonts w:ascii="Rawline" w:hAnsi="Rawline" w:cs="Arial"/>
        <w:sz w:val="12"/>
        <w:szCs w:val="12"/>
      </w:rPr>
      <w:tab/>
    </w:r>
    <w:r>
      <w:rPr>
        <w:rFonts w:ascii="Rawline" w:hAnsi="Rawline" w:cs="Arial"/>
        <w:sz w:val="12"/>
        <w:szCs w:val="12"/>
      </w:rPr>
      <w:tab/>
    </w:r>
  </w:p>
  <w:p w14:paraId="4B0DBB4C" w14:textId="77777777" w:rsidR="00957C99" w:rsidRDefault="008E5427">
    <w:pPr>
      <w:pStyle w:val="Rodap"/>
      <w:rPr>
        <w:rFonts w:ascii="Rawline" w:hAnsi="Rawline"/>
        <w:sz w:val="12"/>
        <w:szCs w:val="12"/>
      </w:rPr>
    </w:pPr>
    <w:r>
      <w:rPr>
        <w:rFonts w:ascii="Rawline" w:hAnsi="Rawline"/>
        <w:sz w:val="12"/>
        <w:szCs w:val="12"/>
      </w:rPr>
      <w:t>Aprovado pela Secretaria de Gestão.</w:t>
    </w:r>
  </w:p>
  <w:p w14:paraId="68D722DB" w14:textId="77777777" w:rsidR="00957C99" w:rsidRDefault="008E5427">
    <w:pPr>
      <w:pStyle w:val="Rodap"/>
      <w:rPr>
        <w:rFonts w:ascii="Rawline" w:hAnsi="Rawline"/>
        <w:sz w:val="12"/>
        <w:szCs w:val="12"/>
      </w:rPr>
    </w:pPr>
    <w:r>
      <w:rPr>
        <w:rFonts w:ascii="Rawline" w:hAnsi="Rawline"/>
        <w:sz w:val="12"/>
        <w:szCs w:val="12"/>
      </w:rPr>
      <w:t>Identidade visual pela Secretaria de Gestão (versão dezembro/2022)</w:t>
    </w:r>
  </w:p>
  <w:p w14:paraId="20611A01" w14:textId="77777777" w:rsidR="00957C99" w:rsidRDefault="00957C99">
    <w:pPr>
      <w:tabs>
        <w:tab w:val="center" w:pos="4252"/>
        <w:tab w:val="right" w:pos="8504"/>
      </w:tabs>
      <w:suppressAutoHyphens w:val="0"/>
      <w:spacing w:line="100" w:lineRule="atLeast"/>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0C89A" w14:textId="77777777" w:rsidR="00F30D32" w:rsidRDefault="008E5427">
      <w:r>
        <w:separator/>
      </w:r>
    </w:p>
  </w:footnote>
  <w:footnote w:type="continuationSeparator" w:id="0">
    <w:p w14:paraId="1FCE0C85" w14:textId="77777777" w:rsidR="00F30D32" w:rsidRDefault="008E5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92007" w14:textId="77777777" w:rsidR="00957C99" w:rsidRDefault="00957C9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04B"/>
    <w:multiLevelType w:val="multilevel"/>
    <w:tmpl w:val="231894E8"/>
    <w:lvl w:ilvl="0">
      <w:start w:val="2"/>
      <w:numFmt w:val="decimal"/>
      <w:lvlText w:val="%1."/>
      <w:lvlJc w:val="left"/>
      <w:pPr>
        <w:ind w:left="360" w:hanging="360"/>
      </w:pPr>
      <w:rPr>
        <w:rFonts w:ascii="Times New Roman" w:hAnsi="Times New Roman" w:cs="Times New Roman"/>
        <w:b/>
        <w:sz w:val="22"/>
        <w:szCs w:val="22"/>
      </w:rPr>
    </w:lvl>
    <w:lvl w:ilvl="1">
      <w:start w:val="1"/>
      <w:numFmt w:val="decimal"/>
      <w:lvlText w:val="%1.%2."/>
      <w:lvlJc w:val="left"/>
      <w:pPr>
        <w:tabs>
          <w:tab w:val="num" w:pos="143"/>
        </w:tabs>
        <w:ind w:left="928" w:hanging="360"/>
      </w:pPr>
      <w:rPr>
        <w:rFonts w:ascii="Times New Roman" w:eastAsia="Times New Roman" w:hAnsi="Times New Roman" w:cs="Times New Roman"/>
        <w:b/>
        <w:bCs/>
        <w:i w:val="0"/>
        <w:iCs/>
        <w:color w:val="000000"/>
        <w:kern w:val="2"/>
        <w:sz w:val="22"/>
        <w:szCs w:val="22"/>
        <w:lang w:val="pt-BR" w:eastAsia="en-US" w:bidi="ar-SA"/>
      </w:rPr>
    </w:lvl>
    <w:lvl w:ilvl="2">
      <w:start w:val="1"/>
      <w:numFmt w:val="decimal"/>
      <w:lvlText w:val="%1.%2.%3."/>
      <w:lvlJc w:val="left"/>
      <w:pPr>
        <w:ind w:left="1570" w:hanging="720"/>
      </w:pPr>
      <w:rPr>
        <w:rFonts w:ascii="Times New Roman" w:hAnsi="Times New Roman" w:cs="Times New Roman"/>
        <w:b/>
        <w:bCs/>
        <w:sz w:val="22"/>
        <w:szCs w:val="22"/>
      </w:rPr>
    </w:lvl>
    <w:lvl w:ilvl="3">
      <w:start w:val="1"/>
      <w:numFmt w:val="decimal"/>
      <w:lvlText w:val="%1.%2.%3.%4."/>
      <w:lvlJc w:val="left"/>
      <w:pPr>
        <w:ind w:left="1995" w:hanging="720"/>
      </w:pPr>
    </w:lvl>
    <w:lvl w:ilvl="4">
      <w:start w:val="1"/>
      <w:numFmt w:val="decimal"/>
      <w:lvlText w:val="%1.%2.%3.%4.%5."/>
      <w:lvlJc w:val="left"/>
      <w:pPr>
        <w:ind w:left="2420" w:hanging="720"/>
      </w:pPr>
    </w:lvl>
    <w:lvl w:ilvl="5">
      <w:start w:val="1"/>
      <w:numFmt w:val="decimal"/>
      <w:lvlText w:val="%1.%2.%3.%4.%5.%6."/>
      <w:lvlJc w:val="left"/>
      <w:pPr>
        <w:ind w:left="3205" w:hanging="1080"/>
      </w:pPr>
    </w:lvl>
    <w:lvl w:ilvl="6">
      <w:start w:val="1"/>
      <w:numFmt w:val="decimal"/>
      <w:lvlText w:val="%1.%2.%3.%4.%5.%6.%7."/>
      <w:lvlJc w:val="left"/>
      <w:pPr>
        <w:ind w:left="3630" w:hanging="108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1" w15:restartNumberingAfterBreak="0">
    <w:nsid w:val="0E7B46E8"/>
    <w:multiLevelType w:val="multilevel"/>
    <w:tmpl w:val="D80A804A"/>
    <w:lvl w:ilvl="0">
      <w:start w:val="1"/>
      <w:numFmt w:val="decimal"/>
      <w:lvlText w:val="%1."/>
      <w:lvlJc w:val="left"/>
      <w:pPr>
        <w:ind w:left="360" w:hanging="360"/>
      </w:pPr>
    </w:lvl>
    <w:lvl w:ilvl="1">
      <w:start w:val="2"/>
      <w:numFmt w:val="decimal"/>
      <w:lvlText w:val="%1.%2."/>
      <w:lvlJc w:val="left"/>
      <w:pPr>
        <w:ind w:left="785" w:hanging="360"/>
      </w:pPr>
      <w:rPr>
        <w:rFonts w:ascii="Times New Roman" w:hAnsi="Times New Roman" w:cs="Times New Roman"/>
        <w:b/>
        <w:bCs/>
        <w:iCs/>
        <w:kern w:val="0"/>
        <w:sz w:val="22"/>
        <w:szCs w:val="22"/>
      </w:rPr>
    </w:lvl>
    <w:lvl w:ilvl="2">
      <w:start w:val="1"/>
      <w:numFmt w:val="decimal"/>
      <w:lvlText w:val="%1.%2.%3."/>
      <w:lvlJc w:val="left"/>
      <w:pPr>
        <w:ind w:left="1570" w:hanging="720"/>
      </w:pPr>
      <w:rPr>
        <w:rFonts w:cs="Times New Roman"/>
        <w:sz w:val="22"/>
      </w:rPr>
    </w:lvl>
    <w:lvl w:ilvl="3">
      <w:start w:val="1"/>
      <w:numFmt w:val="decimal"/>
      <w:lvlText w:val="%1.%2.%3.%4."/>
      <w:lvlJc w:val="left"/>
      <w:pPr>
        <w:ind w:left="1995" w:hanging="720"/>
      </w:pPr>
    </w:lvl>
    <w:lvl w:ilvl="4">
      <w:start w:val="1"/>
      <w:numFmt w:val="decimal"/>
      <w:lvlText w:val="%1.%2.%3.%4.%5."/>
      <w:lvlJc w:val="left"/>
      <w:pPr>
        <w:ind w:left="2420" w:hanging="720"/>
      </w:pPr>
    </w:lvl>
    <w:lvl w:ilvl="5">
      <w:start w:val="1"/>
      <w:numFmt w:val="decimal"/>
      <w:lvlText w:val="%1.%2.%3.%4.%5.%6."/>
      <w:lvlJc w:val="left"/>
      <w:pPr>
        <w:ind w:left="3205" w:hanging="1080"/>
      </w:pPr>
    </w:lvl>
    <w:lvl w:ilvl="6">
      <w:start w:val="1"/>
      <w:numFmt w:val="decimal"/>
      <w:lvlText w:val="%1.%2.%3.%4.%5.%6.%7."/>
      <w:lvlJc w:val="left"/>
      <w:pPr>
        <w:ind w:left="3630" w:hanging="108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2" w15:restartNumberingAfterBreak="0">
    <w:nsid w:val="10874B6C"/>
    <w:multiLevelType w:val="multilevel"/>
    <w:tmpl w:val="83EC60AA"/>
    <w:lvl w:ilvl="0">
      <w:start w:val="6"/>
      <w:numFmt w:val="decimal"/>
      <w:lvlText w:val="%1"/>
      <w:lvlJc w:val="left"/>
      <w:pPr>
        <w:ind w:left="435" w:hanging="435"/>
      </w:pPr>
    </w:lvl>
    <w:lvl w:ilvl="1">
      <w:start w:val="7"/>
      <w:numFmt w:val="decimal"/>
      <w:lvlText w:val="%1.%2"/>
      <w:lvlJc w:val="left"/>
      <w:pPr>
        <w:ind w:left="874" w:hanging="435"/>
      </w:pPr>
    </w:lvl>
    <w:lvl w:ilvl="2">
      <w:start w:val="4"/>
      <w:numFmt w:val="decimal"/>
      <w:lvlText w:val="%1.%2.%3"/>
      <w:lvlJc w:val="left"/>
      <w:pPr>
        <w:ind w:left="1598" w:hanging="720"/>
      </w:pPr>
    </w:lvl>
    <w:lvl w:ilvl="3">
      <w:start w:val="1"/>
      <w:numFmt w:val="decimal"/>
      <w:lvlText w:val="%1.%2.%3.%4"/>
      <w:lvlJc w:val="left"/>
      <w:pPr>
        <w:ind w:left="2037" w:hanging="720"/>
      </w:pPr>
    </w:lvl>
    <w:lvl w:ilvl="4">
      <w:start w:val="1"/>
      <w:numFmt w:val="decimal"/>
      <w:lvlText w:val="%1.%2.%3.%4.%5"/>
      <w:lvlJc w:val="left"/>
      <w:pPr>
        <w:ind w:left="2836" w:hanging="1080"/>
      </w:pPr>
    </w:lvl>
    <w:lvl w:ilvl="5">
      <w:start w:val="1"/>
      <w:numFmt w:val="decimal"/>
      <w:lvlText w:val="%1.%2.%3.%4.%5.%6"/>
      <w:lvlJc w:val="left"/>
      <w:pPr>
        <w:ind w:left="3275" w:hanging="1080"/>
      </w:pPr>
    </w:lvl>
    <w:lvl w:ilvl="6">
      <w:start w:val="1"/>
      <w:numFmt w:val="decimal"/>
      <w:lvlText w:val="%1.%2.%3.%4.%5.%6.%7"/>
      <w:lvlJc w:val="left"/>
      <w:pPr>
        <w:ind w:left="4074" w:hanging="1440"/>
      </w:pPr>
    </w:lvl>
    <w:lvl w:ilvl="7">
      <w:start w:val="1"/>
      <w:numFmt w:val="decimal"/>
      <w:lvlText w:val="%1.%2.%3.%4.%5.%6.%7.%8"/>
      <w:lvlJc w:val="left"/>
      <w:pPr>
        <w:ind w:left="4513" w:hanging="1440"/>
      </w:pPr>
    </w:lvl>
    <w:lvl w:ilvl="8">
      <w:start w:val="1"/>
      <w:numFmt w:val="decimal"/>
      <w:lvlText w:val="%1.%2.%3.%4.%5.%6.%7.%8.%9"/>
      <w:lvlJc w:val="left"/>
      <w:pPr>
        <w:ind w:left="5312" w:hanging="1800"/>
      </w:pPr>
    </w:lvl>
  </w:abstractNum>
  <w:abstractNum w:abstractNumId="3" w15:restartNumberingAfterBreak="0">
    <w:nsid w:val="173754EF"/>
    <w:multiLevelType w:val="multilevel"/>
    <w:tmpl w:val="2A4855A4"/>
    <w:lvl w:ilvl="0">
      <w:start w:val="1"/>
      <w:numFmt w:val="lowerLetter"/>
      <w:lvlText w:val="%1)"/>
      <w:lvlJc w:val="left"/>
      <w:pPr>
        <w:ind w:left="1287" w:hanging="360"/>
      </w:pPr>
    </w:lvl>
    <w:lvl w:ilvl="1">
      <w:start w:val="1"/>
      <w:numFmt w:val="lowerLetter"/>
      <w:lvlText w:val="%1.%2."/>
      <w:lvlJc w:val="left"/>
      <w:pPr>
        <w:ind w:left="2007" w:hanging="360"/>
      </w:pPr>
    </w:lvl>
    <w:lvl w:ilvl="2">
      <w:start w:val="1"/>
      <w:numFmt w:val="lowerRoman"/>
      <w:lvlText w:val="%2.%3."/>
      <w:lvlJc w:val="right"/>
      <w:pPr>
        <w:ind w:left="2727" w:hanging="180"/>
      </w:pPr>
    </w:lvl>
    <w:lvl w:ilvl="3">
      <w:start w:val="1"/>
      <w:numFmt w:val="decimal"/>
      <w:lvlText w:val="%3.%4."/>
      <w:lvlJc w:val="left"/>
      <w:pPr>
        <w:ind w:left="3447" w:hanging="360"/>
      </w:pPr>
    </w:lvl>
    <w:lvl w:ilvl="4">
      <w:start w:val="1"/>
      <w:numFmt w:val="lowerLetter"/>
      <w:lvlText w:val="%4.%5."/>
      <w:lvlJc w:val="left"/>
      <w:pPr>
        <w:ind w:left="4167" w:hanging="360"/>
      </w:pPr>
    </w:lvl>
    <w:lvl w:ilvl="5">
      <w:start w:val="1"/>
      <w:numFmt w:val="lowerRoman"/>
      <w:lvlText w:val="%5.%6."/>
      <w:lvlJc w:val="right"/>
      <w:pPr>
        <w:ind w:left="4887" w:hanging="180"/>
      </w:pPr>
    </w:lvl>
    <w:lvl w:ilvl="6">
      <w:start w:val="1"/>
      <w:numFmt w:val="decimal"/>
      <w:lvlText w:val="%6.%7."/>
      <w:lvlJc w:val="left"/>
      <w:pPr>
        <w:ind w:left="5607" w:hanging="360"/>
      </w:pPr>
    </w:lvl>
    <w:lvl w:ilvl="7">
      <w:start w:val="1"/>
      <w:numFmt w:val="lowerLetter"/>
      <w:lvlText w:val="%7.%8."/>
      <w:lvlJc w:val="left"/>
      <w:pPr>
        <w:ind w:left="6327" w:hanging="360"/>
      </w:pPr>
    </w:lvl>
    <w:lvl w:ilvl="8">
      <w:start w:val="1"/>
      <w:numFmt w:val="lowerRoman"/>
      <w:lvlText w:val="%8.%9."/>
      <w:lvlJc w:val="right"/>
      <w:pPr>
        <w:ind w:left="7047" w:hanging="180"/>
      </w:pPr>
    </w:lvl>
  </w:abstractNum>
  <w:abstractNum w:abstractNumId="4" w15:restartNumberingAfterBreak="0">
    <w:nsid w:val="1F094443"/>
    <w:multiLevelType w:val="multilevel"/>
    <w:tmpl w:val="FD6E27EA"/>
    <w:lvl w:ilvl="0">
      <w:start w:val="7"/>
      <w:numFmt w:val="decimal"/>
      <w:lvlText w:val="%1"/>
      <w:lvlJc w:val="left"/>
      <w:pPr>
        <w:ind w:left="360" w:hanging="360"/>
      </w:pPr>
      <w:rPr>
        <w:rFonts w:ascii="Times New Roman" w:hAnsi="Times New Roman" w:cs="Times New Roman"/>
        <w:b/>
        <w:bCs/>
        <w:sz w:val="22"/>
      </w:rPr>
    </w:lvl>
    <w:lvl w:ilvl="1">
      <w:start w:val="1"/>
      <w:numFmt w:val="decimal"/>
      <w:lvlText w:val="%1.%2"/>
      <w:lvlJc w:val="left"/>
      <w:pPr>
        <w:ind w:left="927" w:hanging="360"/>
      </w:pPr>
      <w:rPr>
        <w:rFonts w:ascii="Times New Roman" w:hAnsi="Times New Roman" w:cs="Times New Roman"/>
        <w:b/>
        <w:sz w:val="22"/>
      </w:rPr>
    </w:lvl>
    <w:lvl w:ilvl="2">
      <w:start w:val="1"/>
      <w:numFmt w:val="decimal"/>
      <w:lvlText w:val="%1.%2.%3"/>
      <w:lvlJc w:val="left"/>
      <w:pPr>
        <w:ind w:left="1854" w:hanging="720"/>
      </w:pPr>
      <w:rPr>
        <w:rFonts w:cs="Times New Roman"/>
        <w:sz w:val="22"/>
      </w:rPr>
    </w:lvl>
    <w:lvl w:ilvl="3">
      <w:start w:val="1"/>
      <w:numFmt w:val="decimal"/>
      <w:lvlText w:val="%1.%2.%3.%4"/>
      <w:lvlJc w:val="left"/>
      <w:pPr>
        <w:ind w:left="2421" w:hanging="720"/>
      </w:pPr>
      <w:rPr>
        <w:rFonts w:cs="Times New Roman"/>
        <w:sz w:val="22"/>
      </w:rPr>
    </w:lvl>
    <w:lvl w:ilvl="4">
      <w:start w:val="1"/>
      <w:numFmt w:val="decimal"/>
      <w:lvlText w:val="%1.%2.%3.%4.%5"/>
      <w:lvlJc w:val="left"/>
      <w:pPr>
        <w:ind w:left="3348" w:hanging="1080"/>
      </w:pPr>
      <w:rPr>
        <w:rFonts w:cs="Times New Roman"/>
        <w:sz w:val="22"/>
      </w:rPr>
    </w:lvl>
    <w:lvl w:ilvl="5">
      <w:start w:val="1"/>
      <w:numFmt w:val="decimal"/>
      <w:lvlText w:val="%1.%2.%3.%4.%5.%6"/>
      <w:lvlJc w:val="left"/>
      <w:pPr>
        <w:ind w:left="3915" w:hanging="1080"/>
      </w:pPr>
      <w:rPr>
        <w:rFonts w:cs="Times New Roman"/>
        <w:sz w:val="22"/>
      </w:rPr>
    </w:lvl>
    <w:lvl w:ilvl="6">
      <w:start w:val="1"/>
      <w:numFmt w:val="decimal"/>
      <w:lvlText w:val="%1.%2.%3.%4.%5.%6.%7"/>
      <w:lvlJc w:val="left"/>
      <w:pPr>
        <w:ind w:left="4842" w:hanging="1440"/>
      </w:pPr>
      <w:rPr>
        <w:rFonts w:cs="Times New Roman"/>
        <w:sz w:val="22"/>
      </w:rPr>
    </w:lvl>
    <w:lvl w:ilvl="7">
      <w:start w:val="1"/>
      <w:numFmt w:val="decimal"/>
      <w:lvlText w:val="%1.%2.%3.%4.%5.%6.%7.%8"/>
      <w:lvlJc w:val="left"/>
      <w:pPr>
        <w:ind w:left="5409" w:hanging="1440"/>
      </w:pPr>
      <w:rPr>
        <w:rFonts w:cs="Times New Roman"/>
        <w:sz w:val="22"/>
      </w:rPr>
    </w:lvl>
    <w:lvl w:ilvl="8">
      <w:start w:val="1"/>
      <w:numFmt w:val="decimal"/>
      <w:lvlText w:val="%1.%2.%3.%4.%5.%6.%7.%8.%9"/>
      <w:lvlJc w:val="left"/>
      <w:pPr>
        <w:ind w:left="6336" w:hanging="1800"/>
      </w:pPr>
      <w:rPr>
        <w:rFonts w:cs="Times New Roman"/>
        <w:sz w:val="22"/>
      </w:rPr>
    </w:lvl>
  </w:abstractNum>
  <w:abstractNum w:abstractNumId="5" w15:restartNumberingAfterBreak="0">
    <w:nsid w:val="2FFB66CC"/>
    <w:multiLevelType w:val="multilevel"/>
    <w:tmpl w:val="DA64D6A2"/>
    <w:lvl w:ilvl="0">
      <w:start w:val="1"/>
      <w:numFmt w:val="upperRoman"/>
      <w:lvlText w:val="%1)"/>
      <w:lvlJc w:val="left"/>
      <w:pPr>
        <w:ind w:left="2136" w:hanging="720"/>
      </w:pPr>
    </w:lvl>
    <w:lvl w:ilvl="1">
      <w:start w:val="1"/>
      <w:numFmt w:val="lowerLetter"/>
      <w:lvlText w:val="%1.%2."/>
      <w:lvlJc w:val="left"/>
      <w:pPr>
        <w:ind w:left="2496" w:hanging="360"/>
      </w:pPr>
    </w:lvl>
    <w:lvl w:ilvl="2">
      <w:start w:val="1"/>
      <w:numFmt w:val="lowerRoman"/>
      <w:lvlText w:val="%2.%3."/>
      <w:lvlJc w:val="right"/>
      <w:pPr>
        <w:ind w:left="3216" w:hanging="180"/>
      </w:pPr>
    </w:lvl>
    <w:lvl w:ilvl="3">
      <w:start w:val="1"/>
      <w:numFmt w:val="decimal"/>
      <w:lvlText w:val="%3.%4."/>
      <w:lvlJc w:val="left"/>
      <w:pPr>
        <w:ind w:left="3936" w:hanging="360"/>
      </w:pPr>
    </w:lvl>
    <w:lvl w:ilvl="4">
      <w:start w:val="1"/>
      <w:numFmt w:val="lowerLetter"/>
      <w:lvlText w:val="%4.%5."/>
      <w:lvlJc w:val="left"/>
      <w:pPr>
        <w:ind w:left="4656" w:hanging="360"/>
      </w:pPr>
    </w:lvl>
    <w:lvl w:ilvl="5">
      <w:start w:val="1"/>
      <w:numFmt w:val="lowerRoman"/>
      <w:lvlText w:val="%5.%6."/>
      <w:lvlJc w:val="right"/>
      <w:pPr>
        <w:ind w:left="5376" w:hanging="180"/>
      </w:pPr>
    </w:lvl>
    <w:lvl w:ilvl="6">
      <w:start w:val="1"/>
      <w:numFmt w:val="decimal"/>
      <w:lvlText w:val="%6.%7."/>
      <w:lvlJc w:val="left"/>
      <w:pPr>
        <w:ind w:left="6096" w:hanging="360"/>
      </w:pPr>
    </w:lvl>
    <w:lvl w:ilvl="7">
      <w:start w:val="1"/>
      <w:numFmt w:val="lowerLetter"/>
      <w:lvlText w:val="%7.%8."/>
      <w:lvlJc w:val="left"/>
      <w:pPr>
        <w:ind w:left="6816" w:hanging="360"/>
      </w:pPr>
    </w:lvl>
    <w:lvl w:ilvl="8">
      <w:start w:val="1"/>
      <w:numFmt w:val="lowerRoman"/>
      <w:lvlText w:val="%8.%9."/>
      <w:lvlJc w:val="right"/>
      <w:pPr>
        <w:ind w:left="7536" w:hanging="180"/>
      </w:pPr>
    </w:lvl>
  </w:abstractNum>
  <w:abstractNum w:abstractNumId="6" w15:restartNumberingAfterBreak="0">
    <w:nsid w:val="475260F9"/>
    <w:multiLevelType w:val="multilevel"/>
    <w:tmpl w:val="E586FA8E"/>
    <w:lvl w:ilvl="0">
      <w:start w:val="1"/>
      <w:numFmt w:val="decimal"/>
      <w:lvlText w:val="%1."/>
      <w:lvlJc w:val="left"/>
      <w:pPr>
        <w:ind w:left="360" w:hanging="360"/>
      </w:pPr>
      <w:rPr>
        <w:rFonts w:ascii="Times New Roman" w:hAnsi="Times New Roman"/>
        <w:b/>
        <w:sz w:val="22"/>
      </w:rPr>
    </w:lvl>
    <w:lvl w:ilvl="1">
      <w:start w:val="1"/>
      <w:numFmt w:val="decimal"/>
      <w:lvlText w:val="%1.%2."/>
      <w:lvlJc w:val="left"/>
      <w:pPr>
        <w:ind w:left="1141" w:hanging="432"/>
      </w:pPr>
      <w:rPr>
        <w:rFonts w:ascii="Times New Roman" w:hAnsi="Times New Roman" w:cs="Times New Roman"/>
        <w:b w:val="0"/>
        <w:color w:val="00000A"/>
        <w:sz w:val="22"/>
        <w:szCs w:val="20"/>
      </w:rPr>
    </w:lvl>
    <w:lvl w:ilvl="2">
      <w:start w:val="1"/>
      <w:numFmt w:val="decimal"/>
      <w:lvlText w:val="%1.%2.%3."/>
      <w:lvlJc w:val="left"/>
      <w:pPr>
        <w:ind w:left="1922" w:hanging="504"/>
      </w:pPr>
      <w:rPr>
        <w:rFonts w:cs="Times New Roman"/>
        <w:b w:val="0"/>
        <w:color w:val="00000A"/>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013D37"/>
    <w:multiLevelType w:val="multilevel"/>
    <w:tmpl w:val="617643EE"/>
    <w:lvl w:ilvl="0">
      <w:start w:val="7"/>
      <w:numFmt w:val="decimal"/>
      <w:lvlText w:val="%1."/>
      <w:lvlJc w:val="left"/>
      <w:pPr>
        <w:ind w:left="435" w:hanging="435"/>
      </w:pPr>
    </w:lvl>
    <w:lvl w:ilvl="1">
      <w:start w:val="17"/>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5EEE1645"/>
    <w:multiLevelType w:val="multilevel"/>
    <w:tmpl w:val="F7DA1F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614D15C1"/>
    <w:multiLevelType w:val="multilevel"/>
    <w:tmpl w:val="72B038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6719082A"/>
    <w:multiLevelType w:val="multilevel"/>
    <w:tmpl w:val="E20A23DA"/>
    <w:lvl w:ilvl="0">
      <w:start w:val="1"/>
      <w:numFmt w:val="decimal"/>
      <w:lvlText w:val="%1."/>
      <w:lvlJc w:val="left"/>
      <w:pPr>
        <w:ind w:left="360" w:hanging="360"/>
      </w:pPr>
      <w:rPr>
        <w:rFonts w:ascii="Times New Roman" w:hAnsi="Times New Roman"/>
        <w:b/>
        <w:color w:val="00000A"/>
        <w:sz w:val="22"/>
      </w:rPr>
    </w:lvl>
    <w:lvl w:ilvl="1">
      <w:start w:val="1"/>
      <w:numFmt w:val="decimal"/>
      <w:lvlText w:val="%1.%2."/>
      <w:lvlJc w:val="left"/>
      <w:pPr>
        <w:ind w:left="716" w:hanging="432"/>
      </w:pPr>
      <w:rPr>
        <w:b w:val="0"/>
        <w:i w:val="0"/>
        <w:strike w:val="0"/>
        <w:dstrike w:val="0"/>
        <w:color w:val="00000A"/>
      </w:rPr>
    </w:lvl>
    <w:lvl w:ilvl="2">
      <w:start w:val="1"/>
      <w:numFmt w:val="decimal"/>
      <w:lvlText w:val="%1.%2.%3."/>
      <w:lvlJc w:val="left"/>
      <w:pPr>
        <w:ind w:left="930" w:hanging="504"/>
      </w:pPr>
      <w:rPr>
        <w:b w:val="0"/>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22359D"/>
    <w:multiLevelType w:val="multilevel"/>
    <w:tmpl w:val="0012FD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32F3465"/>
    <w:multiLevelType w:val="multilevel"/>
    <w:tmpl w:val="6F9C5042"/>
    <w:lvl w:ilvl="0">
      <w:start w:val="6"/>
      <w:numFmt w:val="decimal"/>
      <w:lvlText w:val="%1"/>
      <w:lvlJc w:val="left"/>
      <w:pPr>
        <w:ind w:left="435" w:hanging="435"/>
      </w:pPr>
    </w:lvl>
    <w:lvl w:ilvl="1">
      <w:start w:val="8"/>
      <w:numFmt w:val="decimal"/>
      <w:lvlText w:val="%1.%2"/>
      <w:lvlJc w:val="left"/>
      <w:pPr>
        <w:ind w:left="874" w:hanging="435"/>
      </w:pPr>
    </w:lvl>
    <w:lvl w:ilvl="2">
      <w:start w:val="1"/>
      <w:numFmt w:val="decimal"/>
      <w:lvlText w:val="%1.%2.%3"/>
      <w:lvlJc w:val="left"/>
      <w:pPr>
        <w:ind w:left="1598" w:hanging="720"/>
      </w:pPr>
    </w:lvl>
    <w:lvl w:ilvl="3">
      <w:start w:val="1"/>
      <w:numFmt w:val="decimal"/>
      <w:lvlText w:val="%1.%2.%3.%4"/>
      <w:lvlJc w:val="left"/>
      <w:pPr>
        <w:ind w:left="2037" w:hanging="720"/>
      </w:pPr>
    </w:lvl>
    <w:lvl w:ilvl="4">
      <w:start w:val="1"/>
      <w:numFmt w:val="decimal"/>
      <w:lvlText w:val="%1.%2.%3.%4.%5"/>
      <w:lvlJc w:val="left"/>
      <w:pPr>
        <w:ind w:left="2836" w:hanging="1080"/>
      </w:pPr>
    </w:lvl>
    <w:lvl w:ilvl="5">
      <w:start w:val="1"/>
      <w:numFmt w:val="decimal"/>
      <w:lvlText w:val="%1.%2.%3.%4.%5.%6"/>
      <w:lvlJc w:val="left"/>
      <w:pPr>
        <w:ind w:left="3275" w:hanging="1080"/>
      </w:pPr>
    </w:lvl>
    <w:lvl w:ilvl="6">
      <w:start w:val="1"/>
      <w:numFmt w:val="decimal"/>
      <w:lvlText w:val="%1.%2.%3.%4.%5.%6.%7"/>
      <w:lvlJc w:val="left"/>
      <w:pPr>
        <w:ind w:left="4074" w:hanging="1440"/>
      </w:pPr>
    </w:lvl>
    <w:lvl w:ilvl="7">
      <w:start w:val="1"/>
      <w:numFmt w:val="decimal"/>
      <w:lvlText w:val="%1.%2.%3.%4.%5.%6.%7.%8"/>
      <w:lvlJc w:val="left"/>
      <w:pPr>
        <w:ind w:left="4513" w:hanging="1440"/>
      </w:pPr>
    </w:lvl>
    <w:lvl w:ilvl="8">
      <w:start w:val="1"/>
      <w:numFmt w:val="decimal"/>
      <w:lvlText w:val="%1.%2.%3.%4.%5.%6.%7.%8.%9"/>
      <w:lvlJc w:val="left"/>
      <w:pPr>
        <w:ind w:left="5312" w:hanging="1800"/>
      </w:pPr>
    </w:lvl>
  </w:abstractNum>
  <w:num w:numId="1" w16cid:durableId="1698387341">
    <w:abstractNumId w:val="1"/>
  </w:num>
  <w:num w:numId="2" w16cid:durableId="531304345">
    <w:abstractNumId w:val="0"/>
  </w:num>
  <w:num w:numId="3" w16cid:durableId="773210785">
    <w:abstractNumId w:val="10"/>
  </w:num>
  <w:num w:numId="4" w16cid:durableId="454522292">
    <w:abstractNumId w:val="6"/>
  </w:num>
  <w:num w:numId="5" w16cid:durableId="549807931">
    <w:abstractNumId w:val="2"/>
  </w:num>
  <w:num w:numId="6" w16cid:durableId="1271088398">
    <w:abstractNumId w:val="12"/>
  </w:num>
  <w:num w:numId="7" w16cid:durableId="630745397">
    <w:abstractNumId w:val="4"/>
  </w:num>
  <w:num w:numId="8" w16cid:durableId="552429716">
    <w:abstractNumId w:val="3"/>
  </w:num>
  <w:num w:numId="9" w16cid:durableId="1230768454">
    <w:abstractNumId w:val="7"/>
  </w:num>
  <w:num w:numId="10" w16cid:durableId="1169825930">
    <w:abstractNumId w:val="5"/>
  </w:num>
  <w:num w:numId="11" w16cid:durableId="435290200">
    <w:abstractNumId w:val="9"/>
  </w:num>
  <w:num w:numId="12" w16cid:durableId="486172150">
    <w:abstractNumId w:val="11"/>
  </w:num>
  <w:num w:numId="13" w16cid:durableId="917088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13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99"/>
    <w:rsid w:val="004174A8"/>
    <w:rsid w:val="004C673D"/>
    <w:rsid w:val="008E5427"/>
    <w:rsid w:val="00956B43"/>
    <w:rsid w:val="00957C99"/>
    <w:rsid w:val="00F30D3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D1B72"/>
  <w15:docId w15:val="{FA2F69B0-720E-4E18-A039-FBAEB4DB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egoe UI" w:hAnsi="Liberation Serif" w:cs="Tahoma"/>
      <w:color w:val="000000"/>
      <w:sz w:val="24"/>
      <w:szCs w:val="24"/>
      <w:lang w:eastAsia="zh-CN" w:bidi="hi-IN"/>
    </w:rPr>
  </w:style>
  <w:style w:type="paragraph" w:styleId="Ttulo1">
    <w:name w:val="heading 1"/>
    <w:basedOn w:val="Normal"/>
    <w:next w:val="Corpodetexto"/>
    <w:uiPriority w:val="9"/>
    <w:qFormat/>
    <w:pPr>
      <w:keepNext/>
      <w:keepLines/>
      <w:spacing w:before="240"/>
      <w:outlineLvl w:val="0"/>
    </w:pPr>
    <w:rPr>
      <w:rFonts w:ascii="Cambria" w:eastAsia="MS Gothic" w:hAnsi="Cambria" w:cs="Times New Roman"/>
      <w:color w:val="365F91"/>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7z0">
    <w:name w:val="WW8Num7z0"/>
    <w:qFormat/>
  </w:style>
  <w:style w:type="character" w:customStyle="1" w:styleId="WW8Num7z1">
    <w:name w:val="WW8Num7z1"/>
    <w:qFormat/>
    <w:rPr>
      <w:rFonts w:ascii="Times New Roman" w:hAnsi="Times New Roman" w:cs="Times New Roman"/>
      <w:bCs/>
      <w:iCs/>
      <w:kern w:val="0"/>
      <w:sz w:val="22"/>
      <w:szCs w:val="22"/>
    </w:rPr>
  </w:style>
  <w:style w:type="character" w:customStyle="1" w:styleId="WW8Num7z2">
    <w:name w:val="WW8Num7z2"/>
    <w:qFormat/>
    <w:rPr>
      <w:rFonts w:cs="Times New Roman"/>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5z0">
    <w:name w:val="WW8Num5z0"/>
    <w:qFormat/>
    <w:rPr>
      <w:rFonts w:ascii="Times New Roman" w:hAnsi="Times New Roman" w:cs="Times New Roman"/>
      <w:b/>
      <w:sz w:val="22"/>
      <w:szCs w:val="22"/>
    </w:rPr>
  </w:style>
  <w:style w:type="character" w:customStyle="1" w:styleId="WW8Num5z1">
    <w:name w:val="WW8Num5z1"/>
    <w:qFormat/>
    <w:rPr>
      <w:rFonts w:ascii="Times New Roman" w:eastAsia="Times New Roman" w:hAnsi="Times New Roman" w:cs="Times New Roman"/>
      <w:b w:val="0"/>
      <w:bCs/>
      <w:i w:val="0"/>
      <w:iCs/>
      <w:color w:val="000000"/>
      <w:kern w:val="2"/>
      <w:sz w:val="22"/>
      <w:szCs w:val="22"/>
      <w:lang w:val="pt-BR" w:eastAsia="en-US" w:bidi="ar-SA"/>
    </w:rPr>
  </w:style>
  <w:style w:type="character" w:customStyle="1" w:styleId="WW8Num5z2">
    <w:name w:val="WW8Num5z2"/>
    <w:qFormat/>
    <w:rPr>
      <w:rFonts w:ascii="Times New Roman" w:hAnsi="Times New Roman" w:cs="Times New Roman"/>
      <w:bCs/>
      <w:sz w:val="22"/>
      <w:szCs w:val="22"/>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b/>
      <w:color w:val="00000A"/>
    </w:rPr>
  </w:style>
  <w:style w:type="character" w:customStyle="1" w:styleId="WW8Num6z1">
    <w:name w:val="WW8Num6z1"/>
    <w:qFormat/>
    <w:rPr>
      <w:b w:val="0"/>
      <w:i w:val="0"/>
      <w:strike w:val="0"/>
      <w:dstrike w:val="0"/>
      <w:color w:val="00000A"/>
    </w:rPr>
  </w:style>
  <w:style w:type="character" w:customStyle="1" w:styleId="WW8Num6z2">
    <w:name w:val="WW8Num6z2"/>
    <w:qFormat/>
    <w:rPr>
      <w:b w:val="0"/>
      <w:i w:val="0"/>
      <w:color w:val="00000A"/>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0">
    <w:name w:val="WW8Num3z0"/>
    <w:qFormat/>
    <w:rPr>
      <w:b/>
      <w:color w:val="00000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b/>
    </w:rPr>
  </w:style>
  <w:style w:type="character" w:customStyle="1" w:styleId="WW8Num4z1">
    <w:name w:val="WW8Num4z1"/>
    <w:qFormat/>
    <w:rPr>
      <w:rFonts w:ascii="Times New Roman" w:hAnsi="Times New Roman" w:cs="Times New Roman"/>
      <w:b w:val="0"/>
      <w:color w:val="00000A"/>
      <w:sz w:val="20"/>
      <w:szCs w:val="20"/>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TextodebaloChar">
    <w:name w:val="Texto de balão Char"/>
    <w:basedOn w:val="Fontepargpadro"/>
    <w:qFormat/>
    <w:rPr>
      <w:rFonts w:ascii="Tahoma" w:eastAsia="Segoe UI" w:hAnsi="Tahoma" w:cs="Mangal"/>
      <w:color w:val="000000"/>
      <w:sz w:val="16"/>
      <w:szCs w:val="14"/>
      <w:lang w:eastAsia="zh-CN" w:bidi="hi-IN"/>
    </w:rPr>
  </w:style>
  <w:style w:type="character" w:customStyle="1" w:styleId="Nivel2Char">
    <w:name w:val="Nivel 2 Char"/>
    <w:basedOn w:val="Fontepargpadro"/>
    <w:qFormat/>
    <w:rPr>
      <w:rFonts w:ascii="Arial" w:eastAsia="Times New Roman" w:hAnsi="Arial" w:cs="Arial"/>
      <w:color w:val="000000"/>
    </w:rPr>
  </w:style>
  <w:style w:type="character" w:customStyle="1" w:styleId="LinkdaInternet">
    <w:name w:val="Link da Internet"/>
    <w:rPr>
      <w:color w:val="000080"/>
      <w:u w:val="single"/>
    </w:rPr>
  </w:style>
  <w:style w:type="character" w:customStyle="1" w:styleId="Nvel2-RedChar">
    <w:name w:val="Nível 2 -Red Char"/>
    <w:basedOn w:val="Nivel2Char"/>
    <w:qFormat/>
    <w:rPr>
      <w:rFonts w:ascii="Arial" w:eastAsia="Times New Roman" w:hAnsi="Arial" w:cs="Arial"/>
      <w:i/>
      <w:iCs/>
      <w:color w:val="FF0000"/>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Ecofont_Spranq_eco_Sans" w:eastAsia="Times New Roman" w:hAnsi="Ecofont_Spranq_eco_Sans" w:cs="Tahoma"/>
    </w:rPr>
  </w:style>
  <w:style w:type="character" w:customStyle="1" w:styleId="Nivel3Char">
    <w:name w:val="Nivel 3 Char"/>
    <w:basedOn w:val="Fontepargpadro"/>
    <w:qFormat/>
    <w:rPr>
      <w:rFonts w:ascii="Arial" w:eastAsia="Times New Roman" w:hAnsi="Arial" w:cs="Arial"/>
      <w:color w:val="000000"/>
    </w:rPr>
  </w:style>
  <w:style w:type="character" w:customStyle="1" w:styleId="Nivel01Char">
    <w:name w:val="Nivel 01 Char"/>
    <w:basedOn w:val="Fontepargpadro"/>
    <w:qFormat/>
    <w:rPr>
      <w:rFonts w:ascii="Arial" w:eastAsia="Times New Roman" w:hAnsi="Arial" w:cs="Arial"/>
      <w:b/>
      <w:bCs/>
    </w:rPr>
  </w:style>
  <w:style w:type="character" w:customStyle="1" w:styleId="PargrafodaListaChar">
    <w:name w:val="Parágrafo da Lista Char"/>
    <w:basedOn w:val="Fontepargpadro"/>
    <w:qFormat/>
    <w:rPr>
      <w:rFonts w:ascii="Liberation Serif" w:eastAsia="Segoe UI" w:hAnsi="Liberation Serif" w:cs="Mangal"/>
      <w:color w:val="000000"/>
      <w:sz w:val="24"/>
      <w:szCs w:val="21"/>
      <w:lang w:eastAsia="zh-CN" w:bidi="hi-IN"/>
    </w:rPr>
  </w:style>
  <w:style w:type="character" w:customStyle="1" w:styleId="Cdigofonte">
    <w:name w:val="Código fonte"/>
    <w:qFormat/>
    <w:rPr>
      <w:rFonts w:ascii="Liberation Mono" w:eastAsia="Liberation Mono" w:hAnsi="Liberation Mono" w:cs="Liberation Mono"/>
    </w:rPr>
  </w:style>
  <w:style w:type="character" w:customStyle="1" w:styleId="RodapChar">
    <w:name w:val="Rodapé Char"/>
    <w:qFormat/>
    <w:rPr>
      <w:rFonts w:ascii="Liberation Serif" w:eastAsia="Segoe UI" w:hAnsi="Liberation Serif" w:cs="Tahoma"/>
      <w:color w:val="000000"/>
      <w:sz w:val="24"/>
      <w:szCs w:val="24"/>
      <w:lang w:eastAsia="zh-CN" w:bidi="hi-IN"/>
    </w:rPr>
  </w:style>
  <w:style w:type="character" w:customStyle="1" w:styleId="ListLabel1">
    <w:name w:val="ListLabel 1"/>
    <w:qFormat/>
    <w:rPr>
      <w:rFonts w:ascii="Times New Roman" w:hAnsi="Times New Roman" w:cs="Times New Roman"/>
      <w:b/>
      <w:bCs/>
      <w:iCs/>
      <w:kern w:val="0"/>
      <w:sz w:val="22"/>
      <w:szCs w:val="22"/>
    </w:rPr>
  </w:style>
  <w:style w:type="character" w:customStyle="1" w:styleId="ListLabel2">
    <w:name w:val="ListLabel 2"/>
    <w:qFormat/>
    <w:rPr>
      <w:rFonts w:cs="Times New Roman"/>
      <w:sz w:val="22"/>
    </w:rPr>
  </w:style>
  <w:style w:type="character" w:customStyle="1" w:styleId="ListLabel3">
    <w:name w:val="ListLabel 3"/>
    <w:qFormat/>
    <w:rPr>
      <w:rFonts w:ascii="Times New Roman" w:hAnsi="Times New Roman" w:cs="Times New Roman"/>
      <w:b/>
      <w:sz w:val="22"/>
      <w:szCs w:val="22"/>
    </w:rPr>
  </w:style>
  <w:style w:type="character" w:customStyle="1" w:styleId="ListLabel4">
    <w:name w:val="ListLabel 4"/>
    <w:qFormat/>
    <w:rPr>
      <w:rFonts w:ascii="Times New Roman" w:eastAsia="Times New Roman" w:hAnsi="Times New Roman" w:cs="Times New Roman"/>
      <w:b/>
      <w:bCs/>
      <w:i w:val="0"/>
      <w:iCs/>
      <w:color w:val="000000"/>
      <w:kern w:val="2"/>
      <w:sz w:val="22"/>
      <w:szCs w:val="22"/>
      <w:lang w:val="pt-BR" w:eastAsia="en-US" w:bidi="ar-SA"/>
    </w:rPr>
  </w:style>
  <w:style w:type="character" w:customStyle="1" w:styleId="ListLabel5">
    <w:name w:val="ListLabel 5"/>
    <w:qFormat/>
    <w:rPr>
      <w:rFonts w:ascii="Times New Roman" w:hAnsi="Times New Roman" w:cs="Times New Roman"/>
      <w:b/>
      <w:bCs/>
      <w:sz w:val="22"/>
      <w:szCs w:val="22"/>
    </w:rPr>
  </w:style>
  <w:style w:type="character" w:customStyle="1" w:styleId="ListLabel6">
    <w:name w:val="ListLabel 6"/>
    <w:qFormat/>
    <w:rPr>
      <w:rFonts w:ascii="Times New Roman" w:hAnsi="Times New Roman"/>
      <w:b/>
      <w:color w:val="00000A"/>
      <w:sz w:val="22"/>
    </w:rPr>
  </w:style>
  <w:style w:type="character" w:customStyle="1" w:styleId="ListLabel7">
    <w:name w:val="ListLabel 7"/>
    <w:qFormat/>
    <w:rPr>
      <w:b w:val="0"/>
      <w:i w:val="0"/>
      <w:strike w:val="0"/>
      <w:dstrike w:val="0"/>
      <w:color w:val="00000A"/>
    </w:rPr>
  </w:style>
  <w:style w:type="character" w:customStyle="1" w:styleId="ListLabel8">
    <w:name w:val="ListLabel 8"/>
    <w:qFormat/>
    <w:rPr>
      <w:b w:val="0"/>
      <w:i w:val="0"/>
      <w:color w:val="00000A"/>
    </w:rPr>
  </w:style>
  <w:style w:type="character" w:customStyle="1" w:styleId="ListLabel9">
    <w:name w:val="ListLabel 9"/>
    <w:qFormat/>
    <w:rPr>
      <w:rFonts w:ascii="Times New Roman" w:hAnsi="Times New Roman"/>
      <w:b/>
      <w:sz w:val="22"/>
    </w:rPr>
  </w:style>
  <w:style w:type="character" w:customStyle="1" w:styleId="ListLabel10">
    <w:name w:val="ListLabel 10"/>
    <w:qFormat/>
    <w:rPr>
      <w:rFonts w:ascii="Times New Roman" w:hAnsi="Times New Roman" w:cs="Times New Roman"/>
      <w:b w:val="0"/>
      <w:color w:val="00000A"/>
      <w:sz w:val="22"/>
      <w:szCs w:val="20"/>
    </w:rPr>
  </w:style>
  <w:style w:type="character" w:customStyle="1" w:styleId="ListLabel11">
    <w:name w:val="ListLabel 11"/>
    <w:qFormat/>
    <w:rPr>
      <w:rFonts w:cs="Times New Roman"/>
      <w:b w:val="0"/>
      <w:color w:val="00000A"/>
      <w:sz w:val="20"/>
      <w:szCs w:val="20"/>
    </w:rPr>
  </w:style>
  <w:style w:type="character" w:customStyle="1" w:styleId="ListLabel12">
    <w:name w:val="ListLabel 12"/>
    <w:qFormat/>
    <w:rPr>
      <w:rFonts w:ascii="Times New Roman" w:hAnsi="Times New Roman" w:cs="Times New Roman"/>
      <w:b/>
      <w:bCs/>
      <w:sz w:val="22"/>
    </w:rPr>
  </w:style>
  <w:style w:type="character" w:customStyle="1" w:styleId="ListLabel13">
    <w:name w:val="ListLabel 13"/>
    <w:qFormat/>
    <w:rPr>
      <w:rFonts w:ascii="Times New Roman" w:hAnsi="Times New Roman" w:cs="Times New Roman"/>
      <w:b/>
      <w:sz w:val="22"/>
    </w:rPr>
  </w:style>
  <w:style w:type="character" w:customStyle="1" w:styleId="ListLabel14">
    <w:name w:val="ListLabel 14"/>
    <w:qFormat/>
    <w:rPr>
      <w:rFonts w:cs="Times New Roman"/>
      <w:sz w:val="22"/>
    </w:rPr>
  </w:style>
  <w:style w:type="character" w:customStyle="1" w:styleId="ListLabel15">
    <w:name w:val="ListLabel 15"/>
    <w:qFormat/>
    <w:rPr>
      <w:rFonts w:cs="Times New Roman"/>
      <w:sz w:val="22"/>
    </w:rPr>
  </w:style>
  <w:style w:type="character" w:customStyle="1" w:styleId="ListLabel16">
    <w:name w:val="ListLabel 16"/>
    <w:qFormat/>
    <w:rPr>
      <w:rFonts w:cs="Times New Roman"/>
      <w:sz w:val="22"/>
    </w:rPr>
  </w:style>
  <w:style w:type="character" w:customStyle="1" w:styleId="ListLabel17">
    <w:name w:val="ListLabel 17"/>
    <w:qFormat/>
    <w:rPr>
      <w:rFonts w:cs="Times New Roman"/>
      <w:sz w:val="22"/>
    </w:rPr>
  </w:style>
  <w:style w:type="character" w:customStyle="1" w:styleId="ListLabel18">
    <w:name w:val="ListLabel 18"/>
    <w:qFormat/>
    <w:rPr>
      <w:rFonts w:cs="Times New Roman"/>
      <w:sz w:val="22"/>
    </w:rPr>
  </w:style>
  <w:style w:type="character" w:customStyle="1" w:styleId="ListLabel19">
    <w:name w:val="ListLabel 19"/>
    <w:qFormat/>
    <w:rPr>
      <w:rFonts w:cs="Times New Roman"/>
      <w:sz w:val="22"/>
    </w:rPr>
  </w:style>
  <w:style w:type="character" w:customStyle="1" w:styleId="ListLabel20">
    <w:name w:val="ListLabel 20"/>
    <w:qFormat/>
    <w:rPr>
      <w:rFonts w:cs="Times New Roman"/>
      <w:sz w:val="22"/>
    </w:rPr>
  </w:style>
  <w:style w:type="character" w:customStyle="1" w:styleId="ListLabel21">
    <w:name w:val="ListLabel 21"/>
    <w:qFormat/>
    <w:rPr>
      <w:rFonts w:ascii="Times New Roman" w:hAnsi="Times New Roman" w:cs="Times New Roman"/>
      <w:i w:val="0"/>
      <w:iCs w:val="0"/>
      <w:color w:val="000000"/>
      <w:sz w:val="22"/>
      <w:szCs w:val="22"/>
      <w:u w:val="none"/>
    </w:rPr>
  </w:style>
  <w:style w:type="character" w:customStyle="1" w:styleId="ListLabel22">
    <w:name w:val="ListLabel 22"/>
    <w:qFormat/>
    <w:rPr>
      <w:rFonts w:ascii="Times New Roman" w:hAnsi="Times New Roman" w:cs="Times New Roman"/>
      <w:color w:val="auto"/>
      <w:sz w:val="22"/>
      <w:szCs w:val="22"/>
      <w:u w:val="none"/>
    </w:rPr>
  </w:style>
  <w:style w:type="character" w:customStyle="1" w:styleId="ListLabel23">
    <w:name w:val="ListLabel 23"/>
    <w:qFormat/>
    <w:rPr>
      <w:rFonts w:ascii="Times New Roman" w:hAnsi="Times New Roman" w:cs="Times New Roman"/>
      <w:color w:val="000000"/>
      <w:sz w:val="22"/>
      <w:szCs w:val="22"/>
      <w:u w:val="none"/>
    </w:rPr>
  </w:style>
  <w:style w:type="character" w:customStyle="1" w:styleId="ListLabel24">
    <w:name w:val="ListLabel 24"/>
    <w:qFormat/>
    <w:rPr>
      <w:rFonts w:ascii="Times New Roman" w:hAnsi="Times New Roman" w:cs="Times New Roman"/>
      <w:color w:val="000000"/>
      <w:sz w:val="22"/>
      <w:szCs w:val="22"/>
    </w:rPr>
  </w:style>
  <w:style w:type="character" w:customStyle="1" w:styleId="ListLabel25">
    <w:name w:val="ListLabel 25"/>
    <w:qFormat/>
    <w:rPr>
      <w:rFonts w:ascii="Times New Roman" w:hAnsi="Times New Roman" w:cs="Times New Roman"/>
      <w:color w:val="000000"/>
      <w:sz w:val="22"/>
      <w:szCs w:val="22"/>
      <w:lang w:eastAsia="en-US"/>
    </w:rPr>
  </w:style>
  <w:style w:type="character" w:customStyle="1" w:styleId="ListLabel26">
    <w:name w:val="ListLabel 26"/>
    <w:qFormat/>
  </w:style>
  <w:style w:type="character" w:customStyle="1" w:styleId="ListLabel27">
    <w:name w:val="ListLabel 27"/>
    <w:qFormat/>
    <w:rPr>
      <w:rFonts w:ascii="Times New Roman" w:hAnsi="Times New Roman" w:cs="Times New Roman"/>
      <w:b/>
      <w:bCs/>
      <w:iCs/>
      <w:kern w:val="0"/>
      <w:sz w:val="22"/>
      <w:szCs w:val="22"/>
    </w:rPr>
  </w:style>
  <w:style w:type="character" w:customStyle="1" w:styleId="ListLabel28">
    <w:name w:val="ListLabel 28"/>
    <w:qFormat/>
    <w:rPr>
      <w:rFonts w:cs="Times New Roman"/>
      <w:sz w:val="22"/>
    </w:rPr>
  </w:style>
  <w:style w:type="character" w:customStyle="1" w:styleId="ListLabel29">
    <w:name w:val="ListLabel 29"/>
    <w:qFormat/>
    <w:rPr>
      <w:rFonts w:ascii="Times New Roman" w:hAnsi="Times New Roman" w:cs="Times New Roman"/>
      <w:b/>
      <w:sz w:val="22"/>
      <w:szCs w:val="22"/>
    </w:rPr>
  </w:style>
  <w:style w:type="character" w:customStyle="1" w:styleId="ListLabel30">
    <w:name w:val="ListLabel 30"/>
    <w:qFormat/>
    <w:rPr>
      <w:rFonts w:ascii="Times New Roman" w:eastAsia="Times New Roman" w:hAnsi="Times New Roman" w:cs="Times New Roman"/>
      <w:b/>
      <w:bCs/>
      <w:i w:val="0"/>
      <w:iCs/>
      <w:color w:val="000000"/>
      <w:kern w:val="2"/>
      <w:sz w:val="22"/>
      <w:szCs w:val="22"/>
      <w:lang w:val="pt-BR" w:eastAsia="en-US" w:bidi="ar-SA"/>
    </w:rPr>
  </w:style>
  <w:style w:type="character" w:customStyle="1" w:styleId="ListLabel31">
    <w:name w:val="ListLabel 31"/>
    <w:qFormat/>
    <w:rPr>
      <w:rFonts w:ascii="Times New Roman" w:hAnsi="Times New Roman" w:cs="Times New Roman"/>
      <w:b/>
      <w:bCs/>
      <w:sz w:val="22"/>
      <w:szCs w:val="22"/>
    </w:rPr>
  </w:style>
  <w:style w:type="character" w:customStyle="1" w:styleId="ListLabel32">
    <w:name w:val="ListLabel 32"/>
    <w:qFormat/>
    <w:rPr>
      <w:rFonts w:ascii="Times New Roman" w:hAnsi="Times New Roman"/>
      <w:b/>
      <w:color w:val="00000A"/>
      <w:sz w:val="22"/>
    </w:rPr>
  </w:style>
  <w:style w:type="character" w:customStyle="1" w:styleId="ListLabel33">
    <w:name w:val="ListLabel 33"/>
    <w:qFormat/>
    <w:rPr>
      <w:b w:val="0"/>
      <w:i w:val="0"/>
      <w:strike w:val="0"/>
      <w:dstrike w:val="0"/>
      <w:color w:val="00000A"/>
    </w:rPr>
  </w:style>
  <w:style w:type="character" w:customStyle="1" w:styleId="ListLabel34">
    <w:name w:val="ListLabel 34"/>
    <w:qFormat/>
    <w:rPr>
      <w:b w:val="0"/>
      <w:i w:val="0"/>
      <w:color w:val="00000A"/>
    </w:rPr>
  </w:style>
  <w:style w:type="character" w:customStyle="1" w:styleId="ListLabel35">
    <w:name w:val="ListLabel 35"/>
    <w:qFormat/>
    <w:rPr>
      <w:rFonts w:ascii="Times New Roman" w:hAnsi="Times New Roman"/>
      <w:b/>
      <w:sz w:val="22"/>
    </w:rPr>
  </w:style>
  <w:style w:type="character" w:customStyle="1" w:styleId="ListLabel36">
    <w:name w:val="ListLabel 36"/>
    <w:qFormat/>
    <w:rPr>
      <w:rFonts w:ascii="Times New Roman" w:hAnsi="Times New Roman" w:cs="Times New Roman"/>
      <w:b w:val="0"/>
      <w:color w:val="00000A"/>
      <w:sz w:val="22"/>
      <w:szCs w:val="20"/>
    </w:rPr>
  </w:style>
  <w:style w:type="character" w:customStyle="1" w:styleId="ListLabel37">
    <w:name w:val="ListLabel 37"/>
    <w:qFormat/>
    <w:rPr>
      <w:rFonts w:cs="Times New Roman"/>
      <w:b w:val="0"/>
      <w:color w:val="00000A"/>
      <w:sz w:val="20"/>
      <w:szCs w:val="20"/>
    </w:rPr>
  </w:style>
  <w:style w:type="character" w:customStyle="1" w:styleId="ListLabel38">
    <w:name w:val="ListLabel 38"/>
    <w:qFormat/>
    <w:rPr>
      <w:rFonts w:ascii="Times New Roman" w:hAnsi="Times New Roman" w:cs="Times New Roman"/>
      <w:b/>
      <w:bCs/>
      <w:sz w:val="22"/>
    </w:rPr>
  </w:style>
  <w:style w:type="character" w:customStyle="1" w:styleId="ListLabel39">
    <w:name w:val="ListLabel 39"/>
    <w:qFormat/>
    <w:rPr>
      <w:rFonts w:ascii="Times New Roman" w:hAnsi="Times New Roman" w:cs="Times New Roman"/>
      <w:b/>
      <w:sz w:val="22"/>
    </w:rPr>
  </w:style>
  <w:style w:type="character" w:customStyle="1" w:styleId="ListLabel40">
    <w:name w:val="ListLabel 40"/>
    <w:qFormat/>
    <w:rPr>
      <w:rFonts w:cs="Times New Roman"/>
      <w:sz w:val="22"/>
    </w:rPr>
  </w:style>
  <w:style w:type="character" w:customStyle="1" w:styleId="ListLabel41">
    <w:name w:val="ListLabel 41"/>
    <w:qFormat/>
    <w:rPr>
      <w:rFonts w:cs="Times New Roman"/>
      <w:sz w:val="22"/>
    </w:rPr>
  </w:style>
  <w:style w:type="character" w:customStyle="1" w:styleId="ListLabel42">
    <w:name w:val="ListLabel 42"/>
    <w:qFormat/>
    <w:rPr>
      <w:rFonts w:cs="Times New Roman"/>
      <w:sz w:val="22"/>
    </w:rPr>
  </w:style>
  <w:style w:type="character" w:customStyle="1" w:styleId="ListLabel43">
    <w:name w:val="ListLabel 43"/>
    <w:qFormat/>
    <w:rPr>
      <w:rFonts w:cs="Times New Roman"/>
      <w:sz w:val="22"/>
    </w:rPr>
  </w:style>
  <w:style w:type="character" w:customStyle="1" w:styleId="ListLabel44">
    <w:name w:val="ListLabel 44"/>
    <w:qFormat/>
    <w:rPr>
      <w:rFonts w:cs="Times New Roman"/>
      <w:sz w:val="22"/>
    </w:rPr>
  </w:style>
  <w:style w:type="character" w:customStyle="1" w:styleId="ListLabel45">
    <w:name w:val="ListLabel 45"/>
    <w:qFormat/>
    <w:rPr>
      <w:rFonts w:cs="Times New Roman"/>
      <w:sz w:val="22"/>
    </w:rPr>
  </w:style>
  <w:style w:type="character" w:customStyle="1" w:styleId="ListLabel46">
    <w:name w:val="ListLabel 46"/>
    <w:qFormat/>
    <w:rPr>
      <w:rFonts w:cs="Times New Roman"/>
      <w:sz w:val="22"/>
    </w:rPr>
  </w:style>
  <w:style w:type="character" w:customStyle="1" w:styleId="ListLabel47">
    <w:name w:val="ListLabel 47"/>
    <w:qFormat/>
    <w:rPr>
      <w:rFonts w:ascii="Times New Roman" w:hAnsi="Times New Roman" w:cs="Times New Roman"/>
      <w:i w:val="0"/>
      <w:iCs w:val="0"/>
      <w:color w:val="000000"/>
      <w:sz w:val="22"/>
      <w:szCs w:val="22"/>
      <w:u w:val="none"/>
    </w:rPr>
  </w:style>
  <w:style w:type="character" w:customStyle="1" w:styleId="ListLabel48">
    <w:name w:val="ListLabel 48"/>
    <w:qFormat/>
    <w:rPr>
      <w:rFonts w:ascii="Times New Roman" w:hAnsi="Times New Roman" w:cs="Times New Roman"/>
      <w:color w:val="auto"/>
      <w:sz w:val="22"/>
      <w:szCs w:val="22"/>
      <w:u w:val="none"/>
    </w:rPr>
  </w:style>
  <w:style w:type="character" w:customStyle="1" w:styleId="ListLabel49">
    <w:name w:val="ListLabel 49"/>
    <w:qFormat/>
    <w:rPr>
      <w:rFonts w:ascii="Times New Roman" w:hAnsi="Times New Roman" w:cs="Times New Roman"/>
      <w:color w:val="000000"/>
      <w:sz w:val="22"/>
      <w:szCs w:val="22"/>
      <w:u w:val="none"/>
    </w:rPr>
  </w:style>
  <w:style w:type="character" w:customStyle="1" w:styleId="ListLabel50">
    <w:name w:val="ListLabel 50"/>
    <w:qFormat/>
    <w:rPr>
      <w:rFonts w:ascii="Times New Roman" w:hAnsi="Times New Roman" w:cs="Times New Roman"/>
      <w:color w:val="000000"/>
      <w:sz w:val="22"/>
      <w:szCs w:val="22"/>
    </w:rPr>
  </w:style>
  <w:style w:type="character" w:customStyle="1" w:styleId="ListLabel51">
    <w:name w:val="ListLabel 51"/>
    <w:qFormat/>
    <w:rPr>
      <w:rFonts w:ascii="Times New Roman" w:hAnsi="Times New Roman" w:cs="Times New Roman"/>
      <w:color w:val="000000"/>
      <w:sz w:val="22"/>
      <w:szCs w:val="22"/>
      <w:lang w:eastAsia="en-US"/>
    </w:rPr>
  </w:style>
  <w:style w:type="character" w:customStyle="1" w:styleId="ListLabel52">
    <w:name w:val="ListLabel 52"/>
    <w:qFormat/>
  </w:style>
  <w:style w:type="paragraph" w:styleId="Ttulo">
    <w:name w:val="Title"/>
    <w:basedOn w:val="Normal"/>
    <w:next w:val="Corpodetexto"/>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283"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abealhoeRodap">
    <w:name w:val="Cabeçalho e Rodapé"/>
    <w:basedOn w:val="Normal"/>
    <w:qFormat/>
    <w:pPr>
      <w:suppressLineNumbers/>
      <w:tabs>
        <w:tab w:val="center" w:pos="7285"/>
        <w:tab w:val="right" w:pos="14570"/>
      </w:tabs>
    </w:pPr>
  </w:style>
  <w:style w:type="paragraph" w:styleId="Cabealho">
    <w:name w:val="header"/>
    <w:basedOn w:val="CabealhoeRodap"/>
  </w:style>
  <w:style w:type="paragraph" w:customStyle="1" w:styleId="Padro">
    <w:name w:val="Padrão"/>
    <w:qFormat/>
    <w:pPr>
      <w:tabs>
        <w:tab w:val="left" w:pos="708"/>
      </w:tabs>
      <w:suppressAutoHyphens/>
      <w:spacing w:after="200" w:line="276" w:lineRule="auto"/>
    </w:pPr>
    <w:rPr>
      <w:rFonts w:ascii="Ecofont_Spranq_eco_Sans" w:hAnsi="Ecofont_Spranq_eco_Sans" w:cs="Tahoma"/>
      <w:sz w:val="24"/>
      <w:szCs w:val="24"/>
      <w:lang w:eastAsia="zh-CN"/>
    </w:rPr>
  </w:style>
  <w:style w:type="paragraph" w:customStyle="1" w:styleId="PargrafodaLista1">
    <w:name w:val="Parágrafo da Lista1"/>
    <w:basedOn w:val="Normal"/>
    <w:qFormat/>
    <w:pPr>
      <w:ind w:left="720"/>
    </w:p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customStyle="1" w:styleId="Nivel1">
    <w:name w:val="Nivel1"/>
    <w:basedOn w:val="Ttulo1"/>
    <w:qFormat/>
    <w:pPr>
      <w:tabs>
        <w:tab w:val="left" w:pos="0"/>
      </w:tabs>
      <w:suppressAutoHyphens w:val="0"/>
      <w:spacing w:before="480" w:after="120"/>
      <w:ind w:left="360" w:hanging="360"/>
      <w:jc w:val="both"/>
    </w:pPr>
    <w:rPr>
      <w:rFonts w:ascii="Arial" w:hAnsi="Arial" w:cs="Arial"/>
      <w:b/>
      <w:color w:val="000000"/>
      <w:sz w:val="20"/>
      <w:szCs w:val="20"/>
    </w:rPr>
  </w:style>
  <w:style w:type="paragraph" w:customStyle="1" w:styleId="SemEspaamento1">
    <w:name w:val="Sem Espaçamento1"/>
    <w:qFormat/>
    <w:pPr>
      <w:tabs>
        <w:tab w:val="left" w:pos="708"/>
      </w:tabs>
      <w:suppressAutoHyphens/>
      <w:spacing w:line="100" w:lineRule="atLeast"/>
    </w:pPr>
    <w:rPr>
      <w:color w:val="000000"/>
      <w:kern w:val="2"/>
      <w:sz w:val="24"/>
      <w:szCs w:val="24"/>
      <w:lang w:eastAsia="zh-CN"/>
    </w:rPr>
  </w:style>
  <w:style w:type="paragraph" w:styleId="Rodap">
    <w:name w:val="footer"/>
    <w:basedOn w:val="CabealhoeRodap"/>
  </w:style>
  <w:style w:type="paragraph" w:customStyle="1" w:styleId="Standard">
    <w:name w:val="Standard"/>
    <w:qFormat/>
    <w:pPr>
      <w:tabs>
        <w:tab w:val="left" w:pos="708"/>
      </w:tabs>
      <w:suppressAutoHyphens/>
      <w:spacing w:after="200" w:line="276" w:lineRule="auto"/>
    </w:pPr>
    <w:rPr>
      <w:rFonts w:ascii="Ecofont_Spranq_eco_Sans" w:hAnsi="Ecofont_Spranq_eco_Sans" w:cs="Tahoma"/>
      <w:sz w:val="24"/>
      <w:szCs w:val="24"/>
    </w:rPr>
  </w:style>
  <w:style w:type="paragraph" w:styleId="Textodebalo">
    <w:name w:val="Balloon Text"/>
    <w:basedOn w:val="Normal"/>
    <w:qFormat/>
    <w:rPr>
      <w:rFonts w:ascii="Tahoma" w:hAnsi="Tahoma" w:cs="Mangal"/>
      <w:sz w:val="16"/>
      <w:szCs w:val="14"/>
    </w:rPr>
  </w:style>
  <w:style w:type="paragraph" w:customStyle="1" w:styleId="Nivel01">
    <w:name w:val="Nivel 01"/>
    <w:basedOn w:val="Ttulo1"/>
    <w:next w:val="Normal"/>
    <w:qFormat/>
    <w:pPr>
      <w:widowControl/>
      <w:tabs>
        <w:tab w:val="left" w:pos="567"/>
      </w:tabs>
      <w:suppressAutoHyphens w:val="0"/>
      <w:jc w:val="both"/>
    </w:pPr>
    <w:rPr>
      <w:rFonts w:ascii="Arial" w:eastAsia="Times New Roman" w:hAnsi="Arial" w:cs="Arial"/>
      <w:b/>
      <w:bCs/>
      <w:color w:val="auto"/>
      <w:sz w:val="20"/>
      <w:szCs w:val="20"/>
      <w:lang w:eastAsia="pt-BR" w:bidi="ar-SA"/>
    </w:rPr>
  </w:style>
  <w:style w:type="paragraph" w:customStyle="1" w:styleId="Nivel2">
    <w:name w:val="Nivel 2"/>
    <w:basedOn w:val="Normal"/>
    <w:qFormat/>
    <w:pPr>
      <w:widowControl/>
      <w:suppressAutoHyphens w:val="0"/>
      <w:spacing w:before="120" w:after="120" w:line="276" w:lineRule="auto"/>
      <w:jc w:val="both"/>
    </w:pPr>
    <w:rPr>
      <w:rFonts w:ascii="Arial" w:eastAsia="Times New Roman" w:hAnsi="Arial" w:cs="Arial"/>
      <w:sz w:val="20"/>
      <w:szCs w:val="20"/>
      <w:lang w:eastAsia="pt-BR" w:bidi="ar-SA"/>
    </w:rPr>
  </w:style>
  <w:style w:type="paragraph" w:customStyle="1" w:styleId="Nivel3">
    <w:name w:val="Nivel 3"/>
    <w:basedOn w:val="Normal"/>
    <w:qFormat/>
    <w:pPr>
      <w:widowControl/>
      <w:suppressAutoHyphens w:val="0"/>
      <w:spacing w:before="120" w:after="120" w:line="276" w:lineRule="auto"/>
      <w:ind w:left="425"/>
      <w:jc w:val="both"/>
    </w:pPr>
    <w:rPr>
      <w:rFonts w:ascii="Arial" w:eastAsia="Times New Roman" w:hAnsi="Arial" w:cs="Arial"/>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styleId="PargrafodaLista">
    <w:name w:val="List Paragraph"/>
    <w:basedOn w:val="Normal"/>
    <w:uiPriority w:val="1"/>
    <w:qFormat/>
    <w:pPr>
      <w:ind w:left="720"/>
      <w:contextualSpacing/>
    </w:pPr>
    <w:rPr>
      <w:rFonts w:cs="Mangal"/>
      <w:szCs w:val="21"/>
    </w:rPr>
  </w:style>
  <w:style w:type="paragraph" w:customStyle="1" w:styleId="Nvel2-Red">
    <w:name w:val="Nível 2 -Red"/>
    <w:basedOn w:val="Nivel2"/>
    <w:qFormat/>
    <w:rPr>
      <w:i/>
      <w:iCs/>
      <w:color w:val="FF0000"/>
    </w:rPr>
  </w:style>
  <w:style w:type="paragraph" w:styleId="Textodecomentrio">
    <w:name w:val="annotation text"/>
    <w:basedOn w:val="Normal"/>
    <w:qFormat/>
    <w:pPr>
      <w:widowControl/>
      <w:suppressAutoHyphens w:val="0"/>
    </w:pPr>
    <w:rPr>
      <w:rFonts w:ascii="Ecofont_Spranq_eco_Sans" w:eastAsia="Times New Roman" w:hAnsi="Ecofont_Spranq_eco_Sans"/>
      <w:color w:val="auto"/>
      <w:sz w:val="20"/>
      <w:szCs w:val="20"/>
      <w:lang w:eastAsia="pt-BR" w:bidi="ar-SA"/>
    </w:rPr>
  </w:style>
  <w:style w:type="paragraph" w:styleId="Reviso">
    <w:name w:val="Revision"/>
    <w:qFormat/>
    <w:pPr>
      <w:suppressAutoHyphens/>
    </w:pPr>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in.gov.br/en/web/dou/-/instrucao-normativa-seges/me-n-77-de-4-de-novembro-de-2022-441681061" TargetMode="External"/><Relationship Id="rId39" Type="http://schemas.openxmlformats.org/officeDocument/2006/relationships/header" Target="header1.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planalto.gov.br/ccivil_03/leis/l5764.htm"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in.gov.br/en/web/dou/-/instrucao-normativa-seges/me-n-77-de-4-de-novembro-de-2022-44168106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compras/pt-br/acesso-a-informacao/legislacao/instrucoes-normativas/instrucao-normativa-no-53-de-8-de-julho-de-2020"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19-2022/2021/decreto/d10880.htm"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24</Pages>
  <Words>8231</Words>
  <Characters>44453</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JEFFERSON RODRIGUES BRAGA</dc:creator>
  <dc:description/>
  <cp:lastModifiedBy>FERNANDO DA SILVA BORGES</cp:lastModifiedBy>
  <cp:revision>22</cp:revision>
  <dcterms:created xsi:type="dcterms:W3CDTF">2023-06-23T12:55:00Z</dcterms:created>
  <dcterms:modified xsi:type="dcterms:W3CDTF">2023-07-20T18:01:00Z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