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egenda1"/>
        <w:spacing w:before="120" w:after="120"/>
        <w:rPr>
          <w:rFonts w:ascii="Calibri" w:hAnsi="Calibri"/>
          <w:sz w:val="24"/>
          <w:szCs w:val="24"/>
        </w:rPr>
      </w:pPr>
      <w:r>
        <w:rPr>
          <w:rFonts w:ascii="Calibri" w:hAnsi="Calibri"/>
          <w:sz w:val="24"/>
          <w:szCs w:val="24"/>
        </w:rPr>
      </w:r>
    </w:p>
    <w:p>
      <w:pPr>
        <w:pStyle w:val="Caption"/>
        <w:pBdr>
          <w:top w:val="single" w:sz="4" w:space="0" w:color="1F497D"/>
          <w:left w:val="single" w:sz="4" w:space="4" w:color="1F497D"/>
          <w:bottom w:val="single" w:sz="4" w:space="1" w:color="1F497D"/>
          <w:right w:val="single" w:sz="4" w:space="4" w:color="1F497D"/>
        </w:pBdr>
        <w:tabs>
          <w:tab w:val="clear" w:pos="708"/>
          <w:tab w:val="left" w:pos="0" w:leader="none"/>
        </w:tabs>
        <w:spacing w:lineRule="auto" w:line="276"/>
        <w:ind w:left="360" w:hanging="0"/>
        <w:jc w:val="center"/>
        <w:rPr>
          <w:rFonts w:ascii="Calibri" w:hAnsi="Calibri"/>
          <w:b/>
          <w:b/>
          <w:bCs/>
          <w:sz w:val="24"/>
          <w:szCs w:val="24"/>
        </w:rPr>
      </w:pPr>
      <w:r>
        <w:rPr>
          <w:rFonts w:ascii="Calibri" w:hAnsi="Calibri"/>
          <w:b/>
          <w:bCs/>
          <w:sz w:val="24"/>
          <w:szCs w:val="24"/>
        </w:rPr>
        <w:drawing>
          <wp:anchor behindDoc="1" distT="0" distB="0" distL="0" distR="0" simplePos="0" locked="0" layoutInCell="0" allowOverlap="1" relativeHeight="2">
            <wp:simplePos x="0" y="0"/>
            <wp:positionH relativeFrom="column">
              <wp:posOffset>2385060</wp:posOffset>
            </wp:positionH>
            <wp:positionV relativeFrom="paragraph">
              <wp:posOffset>-4445</wp:posOffset>
            </wp:positionV>
            <wp:extent cx="660400" cy="682625"/>
            <wp:effectExtent l="0" t="0" r="0" b="0"/>
            <wp:wrapNone/>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tretch>
                      <a:fillRect/>
                    </a:stretch>
                  </pic:blipFill>
                  <pic:spPr bwMode="auto">
                    <a:xfrm>
                      <a:off x="0" y="0"/>
                      <a:ext cx="660400" cy="682625"/>
                    </a:xfrm>
                    <a:prstGeom prst="rect">
                      <a:avLst/>
                    </a:prstGeom>
                  </pic:spPr>
                </pic:pic>
              </a:graphicData>
            </a:graphic>
          </wp:anchor>
        </w:drawing>
      </w:r>
    </w:p>
    <w:p>
      <w:pPr>
        <w:pStyle w:val="Caption"/>
        <w:pBdr>
          <w:top w:val="single" w:sz="4" w:space="0" w:color="1F497D"/>
          <w:left w:val="single" w:sz="4" w:space="4" w:color="1F497D"/>
          <w:bottom w:val="single" w:sz="4" w:space="1" w:color="1F497D"/>
          <w:right w:val="single" w:sz="4" w:space="4" w:color="1F497D"/>
        </w:pBdr>
        <w:tabs>
          <w:tab w:val="clear" w:pos="708"/>
          <w:tab w:val="left" w:pos="0" w:leader="none"/>
        </w:tabs>
        <w:spacing w:lineRule="auto" w:line="276"/>
        <w:ind w:left="360" w:hanging="0"/>
        <w:jc w:val="center"/>
        <w:rPr>
          <w:rFonts w:ascii="Calibri" w:hAnsi="Calibri"/>
          <w:b/>
          <w:b/>
          <w:bCs/>
          <w:sz w:val="24"/>
          <w:szCs w:val="24"/>
        </w:rPr>
      </w:pPr>
      <w:r>
        <w:rPr>
          <w:rFonts w:ascii="Calibri" w:hAnsi="Calibri"/>
          <w:b/>
          <w:bCs/>
          <w:sz w:val="24"/>
          <w:szCs w:val="24"/>
        </w:rPr>
      </w:r>
    </w:p>
    <w:p>
      <w:pPr>
        <w:pStyle w:val="Caption"/>
        <w:pBdr>
          <w:top w:val="single" w:sz="4" w:space="0" w:color="1F497D"/>
          <w:left w:val="single" w:sz="4" w:space="4" w:color="1F497D"/>
          <w:bottom w:val="single" w:sz="4" w:space="1" w:color="1F497D"/>
          <w:right w:val="single" w:sz="4" w:space="4" w:color="1F497D"/>
        </w:pBdr>
        <w:tabs>
          <w:tab w:val="clear" w:pos="708"/>
          <w:tab w:val="left" w:pos="0" w:leader="none"/>
        </w:tabs>
        <w:spacing w:lineRule="auto" w:line="276"/>
        <w:ind w:left="360" w:hanging="0"/>
        <w:jc w:val="center"/>
        <w:rPr>
          <w:rFonts w:ascii="Calibri" w:hAnsi="Calibri"/>
          <w:sz w:val="24"/>
          <w:szCs w:val="24"/>
        </w:rPr>
      </w:pPr>
      <w:r>
        <w:rPr>
          <w:rFonts w:ascii="Calibri" w:hAnsi="Calibri"/>
          <w:sz w:val="24"/>
          <w:szCs w:val="24"/>
        </w:rPr>
      </w:r>
    </w:p>
    <w:p>
      <w:pPr>
        <w:pStyle w:val="Caption"/>
        <w:pBdr>
          <w:top w:val="single" w:sz="4" w:space="0" w:color="1F497D"/>
          <w:left w:val="single" w:sz="4" w:space="4" w:color="1F497D"/>
          <w:bottom w:val="single" w:sz="4" w:space="1" w:color="1F497D"/>
          <w:right w:val="single" w:sz="4" w:space="4" w:color="1F497D"/>
        </w:pBdr>
        <w:tabs>
          <w:tab w:val="clear" w:pos="708"/>
          <w:tab w:val="left" w:pos="0" w:leader="none"/>
        </w:tabs>
        <w:spacing w:lineRule="auto" w:line="276"/>
        <w:ind w:left="360" w:hanging="0"/>
        <w:jc w:val="center"/>
        <w:rPr>
          <w:rFonts w:ascii="Calibri" w:hAnsi="Calibri"/>
          <w:sz w:val="24"/>
          <w:szCs w:val="24"/>
        </w:rPr>
      </w:pPr>
      <w:r>
        <w:rPr>
          <w:rFonts w:ascii="Calibri" w:hAnsi="Calibri"/>
          <w:b/>
          <w:bCs/>
          <w:sz w:val="24"/>
          <w:szCs w:val="24"/>
        </w:rPr>
        <w:t>MINISTÉRIO DA DEFESA</w:t>
      </w:r>
    </w:p>
    <w:p>
      <w:pPr>
        <w:pStyle w:val="Normal"/>
        <w:pBdr>
          <w:top w:val="single" w:sz="4" w:space="0" w:color="1F497D"/>
          <w:left w:val="single" w:sz="4" w:space="4" w:color="1F497D"/>
          <w:bottom w:val="single" w:sz="4" w:space="1" w:color="1F497D"/>
          <w:right w:val="single" w:sz="4" w:space="4" w:color="1F497D"/>
        </w:pBdr>
        <w:tabs>
          <w:tab w:val="clear" w:pos="708"/>
          <w:tab w:val="left" w:pos="0" w:leader="none"/>
        </w:tabs>
        <w:spacing w:lineRule="auto" w:line="276"/>
        <w:ind w:left="360" w:hanging="0"/>
        <w:jc w:val="center"/>
        <w:rPr>
          <w:rFonts w:ascii="Calibri" w:hAnsi="Calibri"/>
          <w:sz w:val="24"/>
          <w:szCs w:val="24"/>
        </w:rPr>
      </w:pPr>
      <w:r>
        <w:rPr>
          <w:rFonts w:ascii="Calibri" w:hAnsi="Calibri"/>
          <w:b/>
          <w:sz w:val="24"/>
          <w:szCs w:val="24"/>
        </w:rPr>
        <w:t>EXÉRCITO BRASILEIRO</w:t>
      </w:r>
    </w:p>
    <w:p>
      <w:pPr>
        <w:pStyle w:val="Normal"/>
        <w:pBdr>
          <w:top w:val="single" w:sz="4" w:space="0" w:color="1F497D"/>
          <w:left w:val="single" w:sz="4" w:space="4" w:color="1F497D"/>
          <w:bottom w:val="single" w:sz="4" w:space="1" w:color="1F497D"/>
          <w:right w:val="single" w:sz="4" w:space="4" w:color="1F497D"/>
        </w:pBdr>
        <w:tabs>
          <w:tab w:val="clear" w:pos="708"/>
          <w:tab w:val="left" w:pos="0" w:leader="none"/>
        </w:tabs>
        <w:spacing w:lineRule="auto" w:line="276"/>
        <w:ind w:left="360" w:hanging="0"/>
        <w:jc w:val="center"/>
        <w:rPr>
          <w:rFonts w:ascii="Calibri" w:hAnsi="Calibri"/>
          <w:sz w:val="24"/>
          <w:szCs w:val="24"/>
        </w:rPr>
      </w:pPr>
      <w:r>
        <w:rPr>
          <w:rFonts w:ascii="Calibri" w:hAnsi="Calibri"/>
          <w:b/>
          <w:sz w:val="24"/>
          <w:szCs w:val="24"/>
        </w:rPr>
        <w:t>C M O – 4ª Bda C Mec</w:t>
      </w:r>
    </w:p>
    <w:p>
      <w:pPr>
        <w:pStyle w:val="Normal"/>
        <w:pBdr>
          <w:top w:val="single" w:sz="4" w:space="0" w:color="1F497D"/>
          <w:left w:val="single" w:sz="4" w:space="4" w:color="1F497D"/>
          <w:bottom w:val="single" w:sz="4" w:space="1" w:color="1F497D"/>
          <w:right w:val="single" w:sz="4" w:space="4" w:color="1F497D"/>
        </w:pBdr>
        <w:tabs>
          <w:tab w:val="clear" w:pos="708"/>
          <w:tab w:val="left" w:pos="0" w:leader="none"/>
        </w:tabs>
        <w:spacing w:lineRule="auto" w:line="276"/>
        <w:ind w:left="360" w:hanging="0"/>
        <w:jc w:val="center"/>
        <w:rPr>
          <w:rFonts w:ascii="Calibri" w:hAnsi="Calibri"/>
          <w:sz w:val="24"/>
          <w:szCs w:val="24"/>
        </w:rPr>
      </w:pPr>
      <w:r>
        <w:rPr>
          <w:rFonts w:ascii="Calibri" w:hAnsi="Calibri"/>
          <w:b/>
          <w:sz w:val="24"/>
          <w:szCs w:val="24"/>
        </w:rPr>
        <w:t>10º REGIMENTO DE CAVALARIA MECANIZADO</w:t>
      </w:r>
    </w:p>
    <w:p>
      <w:pPr>
        <w:pStyle w:val="Normal"/>
        <w:pBdr>
          <w:top w:val="single" w:sz="4" w:space="0" w:color="1F497D"/>
          <w:left w:val="single" w:sz="4" w:space="4" w:color="1F497D"/>
          <w:bottom w:val="single" w:sz="4" w:space="1" w:color="1F497D"/>
          <w:right w:val="single" w:sz="4" w:space="4" w:color="1F497D"/>
        </w:pBdr>
        <w:tabs>
          <w:tab w:val="clear" w:pos="708"/>
          <w:tab w:val="left" w:pos="0" w:leader="none"/>
        </w:tabs>
        <w:spacing w:lineRule="auto" w:line="276"/>
        <w:ind w:left="360" w:hanging="0"/>
        <w:jc w:val="center"/>
        <w:rPr>
          <w:rFonts w:ascii="Calibri" w:hAnsi="Calibri"/>
          <w:sz w:val="24"/>
          <w:szCs w:val="24"/>
        </w:rPr>
      </w:pPr>
      <w:r>
        <w:rPr>
          <w:rFonts w:ascii="Calibri" w:hAnsi="Calibri"/>
          <w:b/>
          <w:sz w:val="24"/>
          <w:szCs w:val="24"/>
        </w:rPr>
        <w:t>(Companhia de Cavalaria de Mato Grosso – 1839)</w:t>
      </w:r>
    </w:p>
    <w:p>
      <w:pPr>
        <w:pStyle w:val="Normal"/>
        <w:pBdr>
          <w:top w:val="single" w:sz="4" w:space="0" w:color="1F497D"/>
          <w:left w:val="single" w:sz="4" w:space="4" w:color="1F497D"/>
          <w:bottom w:val="single" w:sz="4" w:space="1" w:color="1F497D"/>
          <w:right w:val="single" w:sz="4" w:space="4" w:color="1F497D"/>
        </w:pBdr>
        <w:tabs>
          <w:tab w:val="clear" w:pos="708"/>
          <w:tab w:val="left" w:pos="0" w:leader="none"/>
          <w:tab w:val="left" w:pos="4820" w:leader="none"/>
          <w:tab w:val="left" w:pos="5954" w:leader="none"/>
        </w:tabs>
        <w:spacing w:lineRule="auto" w:line="276"/>
        <w:ind w:left="360" w:hanging="0"/>
        <w:jc w:val="center"/>
        <w:rPr>
          <w:rFonts w:ascii="Calibri" w:hAnsi="Calibri"/>
          <w:sz w:val="24"/>
          <w:szCs w:val="24"/>
        </w:rPr>
      </w:pPr>
      <w:r>
        <w:rPr>
          <w:rFonts w:ascii="Calibri" w:hAnsi="Calibri"/>
          <w:b/>
          <w:sz w:val="24"/>
          <w:szCs w:val="24"/>
        </w:rPr>
        <w:t>REGIMENTO ANTÔNIO JOÃO</w:t>
      </w:r>
    </w:p>
    <w:p>
      <w:pPr>
        <w:pStyle w:val="Legenda1"/>
        <w:rPr>
          <w:rFonts w:ascii="Calibri" w:hAnsi="Calibri"/>
          <w:sz w:val="24"/>
          <w:szCs w:val="24"/>
        </w:rPr>
      </w:pPr>
      <w:r>
        <w:rPr>
          <w:rFonts w:ascii="Calibri" w:hAnsi="Calibri"/>
          <w:sz w:val="24"/>
          <w:szCs w:val="24"/>
        </w:rPr>
      </w:r>
    </w:p>
    <w:p>
      <w:pPr>
        <w:pStyle w:val="Normal"/>
        <w:spacing w:lineRule="auto" w:line="276"/>
        <w:jc w:val="center"/>
        <w:rPr>
          <w:rFonts w:ascii="Calibri" w:hAnsi="Calibri"/>
          <w:sz w:val="24"/>
          <w:szCs w:val="24"/>
        </w:rPr>
      </w:pPr>
      <w:r>
        <w:rPr>
          <w:rFonts w:cs="Arial" w:ascii="Calibri" w:hAnsi="Calibri"/>
          <w:b/>
          <w:bCs/>
          <w:color w:val="000000"/>
          <w:sz w:val="24"/>
          <w:szCs w:val="24"/>
        </w:rPr>
        <w:t>AVISO DE DISPENSA ELETRÔNICA Nº __</w:t>
      </w:r>
      <w:r>
        <w:rPr>
          <w:rFonts w:cs="Arial" w:ascii="Calibri" w:hAnsi="Calibri"/>
          <w:b/>
          <w:bCs/>
          <w:color w:val="000000"/>
          <w:sz w:val="24"/>
          <w:szCs w:val="24"/>
          <w:u w:val="single"/>
        </w:rPr>
        <w:t>/2023</w:t>
      </w:r>
    </w:p>
    <w:p>
      <w:pPr>
        <w:pStyle w:val="Normal"/>
        <w:spacing w:lineRule="auto" w:line="276" w:before="0" w:after="120"/>
        <w:ind w:right="-15" w:hanging="0"/>
        <w:jc w:val="center"/>
        <w:rPr>
          <w:rFonts w:ascii="Calibri" w:hAnsi="Calibri"/>
          <w:sz w:val="24"/>
          <w:szCs w:val="24"/>
        </w:rPr>
      </w:pPr>
      <w:r>
        <w:rPr>
          <w:rFonts w:cs="Arial" w:ascii="Calibri" w:hAnsi="Calibri"/>
          <w:b/>
          <w:bCs/>
          <w:color w:val="000000"/>
          <w:sz w:val="24"/>
          <w:szCs w:val="24"/>
        </w:rPr>
        <w:t>(Processo Administrativo n.° 64679.005183/2023-64)</w:t>
      </w:r>
    </w:p>
    <w:p>
      <w:pPr>
        <w:pStyle w:val="Normal"/>
        <w:rPr>
          <w:rFonts w:ascii="Calibri" w:hAnsi="Calibri" w:cs="Arial"/>
          <w:sz w:val="24"/>
          <w:szCs w:val="24"/>
        </w:rPr>
      </w:pPr>
      <w:r>
        <w:rPr>
          <w:rFonts w:cs="Arial" w:ascii="Calibri" w:hAnsi="Calibri"/>
          <w:sz w:val="24"/>
          <w:szCs w:val="24"/>
        </w:rPr>
      </w:r>
    </w:p>
    <w:p>
      <w:pPr>
        <w:pStyle w:val="Normal"/>
        <w:snapToGrid w:val="false"/>
        <w:spacing w:lineRule="auto" w:line="276" w:before="0" w:after="120"/>
        <w:ind w:right="-30" w:firstLine="540"/>
        <w:jc w:val="both"/>
        <w:rPr>
          <w:rFonts w:ascii="Calibri" w:hAnsi="Calibri"/>
          <w:sz w:val="24"/>
          <w:szCs w:val="24"/>
        </w:rPr>
      </w:pPr>
      <w:r>
        <w:rPr>
          <w:rFonts w:cs="Arial" w:ascii="Calibri" w:hAnsi="Calibri"/>
          <w:color w:val="000000"/>
          <w:sz w:val="24"/>
          <w:szCs w:val="24"/>
        </w:rPr>
        <w:t xml:space="preserve">Torna-se público que o 10º Regimento de Cavalaria Mecanizado, por meio da Seção de Aquisições, Licitações e Contratos, realizará Dispensa Eletrônica, </w:t>
      </w:r>
      <w:r>
        <w:rPr>
          <w:rFonts w:cs="Arial" w:ascii="Calibri" w:hAnsi="Calibri"/>
          <w:bCs/>
          <w:color w:val="000000"/>
          <w:sz w:val="24"/>
          <w:szCs w:val="24"/>
        </w:rPr>
        <w:t xml:space="preserve">com critério de julgamento </w:t>
      </w:r>
      <w:r>
        <w:rPr>
          <w:rFonts w:cs="Arial" w:ascii="Calibri" w:hAnsi="Calibri"/>
          <w:i/>
          <w:color w:val="FF0000"/>
          <w:sz w:val="24"/>
          <w:szCs w:val="24"/>
        </w:rPr>
        <w:t>menor preço</w:t>
      </w:r>
      <w:r>
        <w:rPr>
          <w:rFonts w:cs="Arial" w:ascii="Calibri" w:hAnsi="Calibri"/>
          <w:b/>
          <w:bCs/>
          <w:i/>
          <w:color w:val="FF0000"/>
          <w:sz w:val="24"/>
          <w:szCs w:val="24"/>
        </w:rPr>
        <w:t xml:space="preserve">, </w:t>
      </w:r>
      <w:r>
        <w:rPr>
          <w:rFonts w:cs="Arial" w:ascii="Calibri" w:hAnsi="Calibri"/>
          <w:color w:val="000000"/>
          <w:sz w:val="24"/>
          <w:szCs w:val="24"/>
        </w:rPr>
        <w:t>na hipótese do art. 75</w:t>
      </w:r>
      <w:r>
        <w:rPr>
          <w:rFonts w:cs="Arial" w:ascii="Calibri" w:hAnsi="Calibri"/>
          <w:i/>
          <w:iCs/>
          <w:color w:val="000000"/>
          <w:sz w:val="24"/>
          <w:szCs w:val="24"/>
        </w:rPr>
        <w:t xml:space="preserve">, </w:t>
      </w:r>
      <w:r>
        <w:rPr>
          <w:rFonts w:cs="Arial" w:ascii="Calibri" w:hAnsi="Calibri"/>
          <w:i/>
          <w:iCs/>
          <w:color w:val="FF0000"/>
          <w:sz w:val="24"/>
          <w:szCs w:val="24"/>
        </w:rPr>
        <w:t xml:space="preserve">inciso </w:t>
      </w:r>
      <w:r>
        <w:rPr>
          <w:rFonts w:cs="Arial" w:ascii="Calibri" w:hAnsi="Calibri"/>
          <w:b/>
          <w:i/>
          <w:iCs/>
          <w:color w:val="FF0000"/>
          <w:sz w:val="24"/>
          <w:szCs w:val="24"/>
        </w:rPr>
        <w:t>II</w:t>
      </w:r>
      <w:r>
        <w:rPr>
          <w:rFonts w:cs="Arial" w:ascii="Calibri" w:hAnsi="Calibri"/>
          <w:i/>
          <w:iCs/>
          <w:color w:val="FF0000"/>
          <w:sz w:val="24"/>
          <w:szCs w:val="24"/>
        </w:rPr>
        <w:t>,</w:t>
      </w:r>
      <w:r>
        <w:rPr>
          <w:rFonts w:cs="Arial" w:ascii="Calibri" w:hAnsi="Calibri"/>
          <w:bCs/>
          <w:sz w:val="24"/>
          <w:szCs w:val="24"/>
        </w:rPr>
        <w:t>nos termos da Lei nº 14.133, de 1º de abril de 2021, da Instrução Normativa SEGES/ME nº 67/2021 e demais legislação aplicável</w:t>
      </w:r>
      <w:r>
        <w:rPr>
          <w:rFonts w:cs="Arial" w:ascii="Calibri" w:hAnsi="Calibri"/>
          <w:color w:val="000000"/>
          <w:sz w:val="24"/>
          <w:szCs w:val="24"/>
        </w:rPr>
        <w:t>.</w:t>
      </w:r>
    </w:p>
    <w:p>
      <w:pPr>
        <w:pStyle w:val="Normal"/>
        <w:spacing w:lineRule="auto" w:line="276"/>
        <w:jc w:val="both"/>
        <w:rPr>
          <w:rFonts w:ascii="Calibri" w:hAnsi="Calibri"/>
          <w:sz w:val="24"/>
          <w:szCs w:val="24"/>
        </w:rPr>
      </w:pPr>
      <w:r>
        <w:rPr>
          <w:rFonts w:cs="Arial" w:ascii="Calibri" w:hAnsi="Calibri"/>
          <w:color w:val="000000"/>
          <w:sz w:val="24"/>
          <w:szCs w:val="24"/>
        </w:rPr>
        <w:t>Data da sessão:</w:t>
      </w:r>
    </w:p>
    <w:p>
      <w:pPr>
        <w:pStyle w:val="Normal"/>
        <w:rPr>
          <w:rFonts w:ascii="Calibri" w:hAnsi="Calibri"/>
          <w:sz w:val="24"/>
          <w:szCs w:val="24"/>
        </w:rPr>
      </w:pPr>
      <w:r>
        <w:rPr>
          <w:rFonts w:cs="Arial" w:ascii="Calibri" w:hAnsi="Calibri"/>
          <w:color w:val="000000"/>
          <w:sz w:val="24"/>
          <w:szCs w:val="24"/>
        </w:rPr>
        <w:t xml:space="preserve">Link: </w:t>
      </w:r>
      <w:r>
        <w:rPr>
          <w:rFonts w:cs="Arial" w:ascii="Calibri" w:hAnsi="Calibri"/>
          <w:b/>
          <w:bCs/>
          <w:color w:val="000000"/>
          <w:sz w:val="24"/>
          <w:szCs w:val="24"/>
          <w:u w:val="single"/>
        </w:rPr>
        <w:t>https://www.gov.br/compras/pt-br/</w:t>
      </w:r>
    </w:p>
    <w:p>
      <w:pPr>
        <w:pStyle w:val="Normal"/>
        <w:rPr>
          <w:rFonts w:ascii="Calibri" w:hAnsi="Calibri"/>
          <w:sz w:val="24"/>
          <w:szCs w:val="24"/>
        </w:rPr>
      </w:pPr>
      <w:r>
        <w:rPr>
          <w:rFonts w:cs="Arial" w:ascii="Calibri" w:hAnsi="Calibri"/>
          <w:color w:val="000000"/>
          <w:sz w:val="24"/>
          <w:szCs w:val="24"/>
        </w:rPr>
        <w:t>Horário da Fase de Lances: 8:00 às 16:00</w:t>
      </w:r>
      <w:r>
        <w:rPr>
          <w:rFonts w:cs="Arial" w:ascii="Calibri" w:hAnsi="Calibri"/>
          <w:b/>
          <w:sz w:val="24"/>
          <w:szCs w:val="24"/>
        </w:rPr>
        <w:tab/>
      </w:r>
    </w:p>
    <w:p>
      <w:pPr>
        <w:pStyle w:val="PADRO"/>
        <w:widowControl/>
        <w:numPr>
          <w:ilvl w:val="0"/>
          <w:numId w:val="1"/>
        </w:numPr>
        <w:spacing w:before="120" w:after="120"/>
        <w:jc w:val="left"/>
        <w:rPr>
          <w:rFonts w:ascii="Calibri" w:hAnsi="Calibri"/>
          <w:sz w:val="24"/>
          <w:szCs w:val="24"/>
        </w:rPr>
      </w:pPr>
      <w:r>
        <w:rPr>
          <w:rFonts w:cs="Arial" w:ascii="Calibri" w:hAnsi="Calibri"/>
          <w:b/>
          <w:sz w:val="24"/>
          <w:szCs w:val="24"/>
        </w:rPr>
        <w:t>OBJETO DA CONTRATAÇÃO DIRETA</w:t>
      </w:r>
    </w:p>
    <w:p>
      <w:pPr>
        <w:pStyle w:val="PADRO"/>
        <w:widowControl/>
        <w:numPr>
          <w:ilvl w:val="1"/>
          <w:numId w:val="1"/>
        </w:numPr>
        <w:spacing w:before="120" w:after="120"/>
        <w:rPr>
          <w:rFonts w:ascii="Calibri" w:hAnsi="Calibri"/>
          <w:sz w:val="24"/>
          <w:szCs w:val="24"/>
        </w:rPr>
      </w:pPr>
      <w:r>
        <w:rPr>
          <w:rFonts w:cs="Arial" w:ascii="Calibri" w:hAnsi="Calibri"/>
          <w:color w:val="000000"/>
          <w:sz w:val="24"/>
          <w:szCs w:val="24"/>
        </w:rPr>
        <w:t xml:space="preserve">O objeto da presente dispensa é a escolha da proposta mais vantajosa para a </w:t>
      </w:r>
      <w:r>
        <w:rPr>
          <w:rFonts w:cs="Arial" w:ascii="Calibri" w:hAnsi="Calibri"/>
          <w:color w:val="FF0000"/>
          <w:sz w:val="24"/>
          <w:szCs w:val="24"/>
        </w:rPr>
        <w:t>contratação</w:t>
      </w:r>
      <w:r>
        <w:rPr>
          <w:rFonts w:cs="Arial" w:ascii="Calibri" w:hAnsi="Calibri"/>
          <w:color w:val="000000"/>
          <w:sz w:val="24"/>
          <w:szCs w:val="24"/>
        </w:rPr>
        <w:t xml:space="preserve"> por dispensa de licitação da </w:t>
      </w:r>
      <w:r>
        <w:rPr>
          <w:rFonts w:cs="Arial" w:ascii="Calibri" w:hAnsi="Calibri"/>
          <w:b/>
          <w:bCs/>
          <w:i/>
          <w:iCs/>
          <w:color w:val="000000"/>
          <w:sz w:val="24"/>
          <w:szCs w:val="24"/>
          <w:u w:val="single"/>
        </w:rPr>
        <w:t>AQUISIÇÃO DE SERVIÇO DE CONFECÇÃO DE UNIFORME HISTÓRICO PARA O 10º R C MEC</w:t>
      </w:r>
      <w:r>
        <w:rPr>
          <w:rFonts w:cs="Arial" w:ascii="Calibri" w:hAnsi="Calibri"/>
          <w:b/>
          <w:bCs/>
          <w:color w:val="000000"/>
          <w:sz w:val="24"/>
          <w:szCs w:val="24"/>
        </w:rPr>
        <w:t>,</w:t>
      </w:r>
      <w:r>
        <w:rPr>
          <w:rFonts w:cs="Arial" w:ascii="Calibri" w:hAnsi="Calibri"/>
          <w:color w:val="000000"/>
          <w:sz w:val="24"/>
          <w:szCs w:val="24"/>
        </w:rPr>
        <w:t xml:space="preserve"> conforme condições, quantidades e exigências estabelecidas neste Aviso de Contratação Direta e seus anexos.</w:t>
      </w:r>
    </w:p>
    <w:p>
      <w:pPr>
        <w:pStyle w:val="PADRO"/>
        <w:widowControl/>
        <w:numPr>
          <w:ilvl w:val="1"/>
          <w:numId w:val="1"/>
        </w:numPr>
        <w:spacing w:before="120" w:after="120"/>
        <w:ind w:left="792" w:hanging="650"/>
        <w:jc w:val="left"/>
        <w:rPr>
          <w:rFonts w:ascii="Calibri" w:hAnsi="Calibri"/>
          <w:sz w:val="24"/>
          <w:szCs w:val="24"/>
        </w:rPr>
      </w:pPr>
      <w:r>
        <w:rPr>
          <w:rFonts w:cs="Arial" w:ascii="Calibri" w:hAnsi="Calibri"/>
          <w:i/>
          <w:iCs/>
          <w:color w:val="FF0000"/>
          <w:sz w:val="24"/>
          <w:szCs w:val="24"/>
        </w:rPr>
        <w:t>A contratação será pela aquisição do LOTE do item listado abaixo:</w:t>
      </w:r>
    </w:p>
    <w:p>
      <w:pPr>
        <w:pStyle w:val="PADRO"/>
        <w:widowControl/>
        <w:spacing w:before="120" w:after="120"/>
        <w:ind w:left="792" w:hanging="650"/>
        <w:jc w:val="left"/>
        <w:rPr>
          <w:rFonts w:cs="Arial"/>
          <w:i/>
          <w:i/>
          <w:iCs/>
          <w:color w:val="FF0000"/>
        </w:rPr>
      </w:pPr>
      <w:r>
        <w:rPr>
          <w:rFonts w:ascii="Calibri" w:hAnsi="Calibri"/>
          <w:sz w:val="24"/>
          <w:szCs w:val="24"/>
        </w:rPr>
      </w:r>
    </w:p>
    <w:p>
      <w:pPr>
        <w:pStyle w:val="PADRO"/>
        <w:widowControl/>
        <w:spacing w:before="120" w:after="120"/>
        <w:ind w:left="792" w:hanging="650"/>
        <w:jc w:val="left"/>
        <w:rPr>
          <w:rFonts w:cs="Arial"/>
          <w:i/>
          <w:i/>
          <w:iCs/>
          <w:color w:val="FF0000"/>
        </w:rPr>
      </w:pPr>
      <w:r>
        <w:rPr>
          <w:rFonts w:ascii="Calibri" w:hAnsi="Calibri"/>
          <w:sz w:val="24"/>
          <w:szCs w:val="24"/>
        </w:rPr>
      </w:r>
    </w:p>
    <w:tbl>
      <w:tblPr>
        <w:tblW w:w="9875" w:type="dxa"/>
        <w:jc w:val="left"/>
        <w:tblInd w:w="-531" w:type="dxa"/>
        <w:tblLayout w:type="fixed"/>
        <w:tblCellMar>
          <w:top w:w="0" w:type="dxa"/>
          <w:left w:w="78" w:type="dxa"/>
          <w:bottom w:w="0" w:type="dxa"/>
          <w:right w:w="108" w:type="dxa"/>
        </w:tblCellMar>
        <w:tblLook w:firstRow="0" w:noVBand="0" w:lastRow="0" w:firstColumn="0" w:lastColumn="0" w:noHBand="0" w:val="0000"/>
      </w:tblPr>
      <w:tblGrid>
        <w:gridCol w:w="749"/>
        <w:gridCol w:w="2895"/>
        <w:gridCol w:w="993"/>
        <w:gridCol w:w="850"/>
        <w:gridCol w:w="568"/>
        <w:gridCol w:w="1275"/>
        <w:gridCol w:w="1276"/>
        <w:gridCol w:w="1267"/>
      </w:tblGrid>
      <w:tr>
        <w:trPr/>
        <w:tc>
          <w:tcPr>
            <w:tcW w:w="749"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jc w:val="center"/>
              <w:rPr>
                <w:rFonts w:ascii="Calibri" w:hAnsi="Calibri"/>
                <w:sz w:val="24"/>
                <w:szCs w:val="24"/>
              </w:rPr>
            </w:pPr>
            <w:r>
              <w:rPr>
                <w:rFonts w:cs="Arial" w:ascii="Calibri" w:hAnsi="Calibri"/>
                <w:b/>
                <w:bCs/>
                <w:color w:val="000000"/>
                <w:sz w:val="24"/>
                <w:szCs w:val="24"/>
              </w:rPr>
              <w:t>ITEM</w:t>
            </w:r>
          </w:p>
          <w:p>
            <w:pPr>
              <w:pStyle w:val="Normal"/>
              <w:widowControl w:val="false"/>
              <w:jc w:val="center"/>
              <w:rPr>
                <w:rFonts w:ascii="Calibri" w:hAnsi="Calibri" w:cs="Arial"/>
                <w:b/>
                <w:b/>
                <w:bCs/>
                <w:color w:val="000000"/>
                <w:sz w:val="24"/>
                <w:szCs w:val="24"/>
              </w:rPr>
            </w:pPr>
            <w:r>
              <w:rPr>
                <w:rFonts w:cs="Arial" w:ascii="Calibri" w:hAnsi="Calibri"/>
                <w:b/>
                <w:bCs/>
                <w:color w:val="000000"/>
                <w:sz w:val="24"/>
                <w:szCs w:val="24"/>
              </w:rPr>
            </w:r>
          </w:p>
        </w:tc>
        <w:tc>
          <w:tcPr>
            <w:tcW w:w="2895"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jc w:val="center"/>
              <w:rPr>
                <w:rFonts w:ascii="Calibri" w:hAnsi="Calibri"/>
                <w:sz w:val="24"/>
                <w:szCs w:val="24"/>
              </w:rPr>
            </w:pPr>
            <w:r>
              <w:rPr>
                <w:rFonts w:cs="Arial" w:ascii="Calibri" w:hAnsi="Calibri"/>
                <w:b/>
                <w:bCs/>
                <w:color w:val="000000"/>
                <w:sz w:val="24"/>
                <w:szCs w:val="24"/>
              </w:rPr>
              <w:t>DESCRIÇÃO/</w:t>
            </w:r>
          </w:p>
          <w:p>
            <w:pPr>
              <w:pStyle w:val="Normal"/>
              <w:widowControl w:val="false"/>
              <w:jc w:val="center"/>
              <w:rPr>
                <w:rFonts w:ascii="Calibri" w:hAnsi="Calibri"/>
                <w:sz w:val="24"/>
                <w:szCs w:val="24"/>
              </w:rPr>
            </w:pPr>
            <w:r>
              <w:rPr>
                <w:rFonts w:cs="Arial" w:ascii="Calibri" w:hAnsi="Calibri"/>
                <w:b/>
                <w:bCs/>
                <w:color w:val="000000"/>
                <w:sz w:val="24"/>
                <w:szCs w:val="24"/>
              </w:rPr>
              <w:t>ESPECIFICAÇÃO</w:t>
            </w:r>
          </w:p>
        </w:tc>
        <w:tc>
          <w:tcPr>
            <w:tcW w:w="993"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jc w:val="center"/>
              <w:rPr>
                <w:rFonts w:ascii="Calibri" w:hAnsi="Calibri"/>
                <w:sz w:val="24"/>
                <w:szCs w:val="24"/>
              </w:rPr>
            </w:pPr>
            <w:r>
              <w:rPr>
                <w:rFonts w:cs="Arial" w:ascii="Calibri" w:hAnsi="Calibri"/>
                <w:b/>
                <w:bCs/>
                <w:color w:val="000000"/>
                <w:sz w:val="24"/>
                <w:szCs w:val="24"/>
              </w:rPr>
              <w:t>CATSER/</w:t>
            </w:r>
          </w:p>
          <w:p>
            <w:pPr>
              <w:pStyle w:val="Normal"/>
              <w:widowControl w:val="false"/>
              <w:jc w:val="center"/>
              <w:rPr>
                <w:rFonts w:ascii="Calibri" w:hAnsi="Calibri"/>
                <w:sz w:val="24"/>
                <w:szCs w:val="24"/>
              </w:rPr>
            </w:pPr>
            <w:r>
              <w:rPr>
                <w:rFonts w:cs="Arial" w:ascii="Calibri" w:hAnsi="Calibri"/>
                <w:b/>
                <w:bCs/>
                <w:color w:val="000000"/>
                <w:sz w:val="24"/>
                <w:szCs w:val="24"/>
              </w:rPr>
              <w:t>CATMAT</w:t>
            </w:r>
          </w:p>
        </w:tc>
        <w:tc>
          <w:tcPr>
            <w:tcW w:w="8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jc w:val="center"/>
              <w:rPr>
                <w:rFonts w:ascii="Calibri" w:hAnsi="Calibri"/>
                <w:sz w:val="24"/>
                <w:szCs w:val="24"/>
              </w:rPr>
            </w:pPr>
            <w:r>
              <w:rPr>
                <w:rFonts w:cs="Arial" w:ascii="Calibri" w:hAnsi="Calibri"/>
                <w:b/>
                <w:bCs/>
                <w:color w:val="000000"/>
                <w:sz w:val="24"/>
                <w:szCs w:val="24"/>
              </w:rPr>
              <w:t>APRESENTAÇÃO</w:t>
            </w:r>
          </w:p>
        </w:tc>
        <w:tc>
          <w:tcPr>
            <w:tcW w:w="568"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jc w:val="center"/>
              <w:rPr>
                <w:rFonts w:ascii="Calibri" w:hAnsi="Calibri"/>
                <w:sz w:val="24"/>
                <w:szCs w:val="24"/>
              </w:rPr>
            </w:pPr>
            <w:r>
              <w:rPr>
                <w:rFonts w:cs="Arial" w:ascii="Calibri" w:hAnsi="Calibri"/>
                <w:b/>
                <w:bCs/>
                <w:color w:val="000000"/>
                <w:sz w:val="24"/>
                <w:szCs w:val="24"/>
              </w:rPr>
              <w:t>QTD</w:t>
            </w:r>
          </w:p>
        </w:tc>
        <w:tc>
          <w:tcPr>
            <w:tcW w:w="1275"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jc w:val="center"/>
              <w:rPr>
                <w:rFonts w:ascii="Calibri" w:hAnsi="Calibri"/>
                <w:sz w:val="24"/>
                <w:szCs w:val="24"/>
              </w:rPr>
            </w:pPr>
            <w:r>
              <w:rPr>
                <w:rFonts w:cs="Arial" w:ascii="Calibri" w:hAnsi="Calibri"/>
                <w:b/>
                <w:bCs/>
                <w:color w:val="000000"/>
                <w:sz w:val="24"/>
                <w:szCs w:val="24"/>
              </w:rPr>
              <w:t>PREÇO ESTIMADO (Und)</w:t>
            </w:r>
          </w:p>
        </w:tc>
        <w:tc>
          <w:tcPr>
            <w:tcW w:w="1276"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jc w:val="center"/>
              <w:rPr>
                <w:rFonts w:ascii="Calibri" w:hAnsi="Calibri"/>
                <w:sz w:val="24"/>
                <w:szCs w:val="24"/>
              </w:rPr>
            </w:pPr>
            <w:r>
              <w:rPr>
                <w:rFonts w:cs="Arial" w:ascii="Calibri" w:hAnsi="Calibri"/>
                <w:b/>
                <w:bCs/>
                <w:color w:val="000000"/>
                <w:sz w:val="24"/>
                <w:szCs w:val="24"/>
              </w:rPr>
              <w:t>LOCAL DE EXECUÇÃO</w:t>
            </w:r>
          </w:p>
        </w:tc>
        <w:tc>
          <w:tcPr>
            <w:tcW w:w="1267"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jc w:val="center"/>
              <w:rPr>
                <w:rFonts w:ascii="Calibri" w:hAnsi="Calibri"/>
                <w:sz w:val="24"/>
                <w:szCs w:val="24"/>
              </w:rPr>
            </w:pPr>
            <w:r>
              <w:rPr>
                <w:rFonts w:cs="Arial" w:ascii="Calibri" w:hAnsi="Calibri"/>
                <w:b/>
                <w:bCs/>
                <w:color w:val="000000"/>
                <w:sz w:val="24"/>
                <w:szCs w:val="24"/>
              </w:rPr>
              <w:t>PRAZO DE EXECUÇÃO</w:t>
            </w:r>
          </w:p>
        </w:tc>
      </w:tr>
      <w:tr>
        <w:trPr/>
        <w:tc>
          <w:tcPr>
            <w:tcW w:w="749"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jc w:val="center"/>
              <w:rPr>
                <w:rFonts w:ascii="Calibri" w:hAnsi="Calibri"/>
                <w:sz w:val="24"/>
                <w:szCs w:val="24"/>
              </w:rPr>
            </w:pPr>
            <w:r>
              <w:rPr>
                <w:rFonts w:cs="Arial" w:ascii="Calibri" w:hAnsi="Calibri"/>
                <w:bCs/>
                <w:color w:val="000000"/>
                <w:sz w:val="24"/>
                <w:szCs w:val="24"/>
              </w:rPr>
              <w:t>01</w:t>
            </w:r>
          </w:p>
        </w:tc>
        <w:tc>
          <w:tcPr>
            <w:tcW w:w="2895"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jc w:val="both"/>
              <w:rPr>
                <w:rFonts w:ascii="Calibri" w:hAnsi="Calibri"/>
                <w:sz w:val="24"/>
                <w:szCs w:val="24"/>
              </w:rPr>
            </w:pPr>
            <w:r>
              <w:rPr>
                <w:rFonts w:cs="Times New Roman" w:ascii="Calibri" w:hAnsi="Calibri"/>
                <w:sz w:val="24"/>
                <w:szCs w:val="24"/>
              </w:rPr>
              <w:t>CONFECÇÃO – BORDADO - AVIAMENTO DE ROUPA / FARDAMENTO / CAMISETA: Uniforme histórico do 10º RC Mec fabricado em Oxford, na cor azul royal, composto de túnica com apliques dourados no punho e na sua extensão dos botões, com fechamento por 6 botões dourados e alças no ombro para fixação de charlateiras, calça do mesmo tecido e mesma cor da túnica e quepe confeccionado no mesmo tecido do uniforme, com bordado na sua copa. Cinto preto de 45mm de largura com fivela preta em couro sintético, com comprimento de 130mm.</w:t>
            </w:r>
          </w:p>
        </w:tc>
        <w:tc>
          <w:tcPr>
            <w:tcW w:w="993"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jc w:val="center"/>
              <w:rPr>
                <w:rFonts w:ascii="Calibri" w:hAnsi="Calibri"/>
                <w:sz w:val="24"/>
                <w:szCs w:val="24"/>
              </w:rPr>
            </w:pPr>
            <w:r>
              <w:rPr>
                <w:rFonts w:ascii="Calibri" w:hAnsi="Calibri"/>
                <w:sz w:val="24"/>
                <w:szCs w:val="24"/>
              </w:rPr>
              <w:t>10030</w:t>
            </w:r>
          </w:p>
        </w:tc>
        <w:tc>
          <w:tcPr>
            <w:tcW w:w="8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jc w:val="center"/>
              <w:rPr>
                <w:rFonts w:ascii="Calibri" w:hAnsi="Calibri"/>
                <w:sz w:val="24"/>
                <w:szCs w:val="24"/>
              </w:rPr>
            </w:pPr>
            <w:r>
              <w:rPr>
                <w:rFonts w:ascii="Calibri" w:hAnsi="Calibri"/>
                <w:sz w:val="24"/>
                <w:szCs w:val="24"/>
              </w:rPr>
              <w:t>Und</w:t>
            </w:r>
          </w:p>
        </w:tc>
        <w:tc>
          <w:tcPr>
            <w:tcW w:w="568"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jc w:val="center"/>
              <w:rPr>
                <w:rFonts w:ascii="Calibri" w:hAnsi="Calibri"/>
                <w:sz w:val="24"/>
                <w:szCs w:val="24"/>
              </w:rPr>
            </w:pPr>
            <w:r>
              <w:rPr>
                <w:rFonts w:cs="Arial" w:ascii="Calibri" w:hAnsi="Calibri"/>
                <w:bCs/>
                <w:color w:val="000000"/>
                <w:sz w:val="24"/>
                <w:szCs w:val="24"/>
              </w:rPr>
              <w:t>86</w:t>
            </w:r>
          </w:p>
        </w:tc>
        <w:tc>
          <w:tcPr>
            <w:tcW w:w="1275"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jc w:val="center"/>
              <w:rPr>
                <w:rFonts w:ascii="Calibri" w:hAnsi="Calibri"/>
                <w:sz w:val="24"/>
                <w:szCs w:val="24"/>
              </w:rPr>
            </w:pPr>
            <w:r>
              <w:rPr>
                <w:rFonts w:cs="Arial" w:ascii="Calibri" w:hAnsi="Calibri"/>
                <w:bCs/>
                <w:color w:val="000000"/>
                <w:sz w:val="24"/>
                <w:szCs w:val="24"/>
              </w:rPr>
              <w:t>R$ 234,55</w:t>
            </w:r>
          </w:p>
        </w:tc>
        <w:tc>
          <w:tcPr>
            <w:tcW w:w="1276"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jc w:val="center"/>
              <w:rPr>
                <w:rFonts w:ascii="Calibri" w:hAnsi="Calibri"/>
                <w:sz w:val="24"/>
                <w:szCs w:val="24"/>
              </w:rPr>
            </w:pPr>
            <w:r>
              <w:rPr>
                <w:rFonts w:cs="Arial" w:ascii="Calibri" w:hAnsi="Calibri"/>
                <w:bCs/>
                <w:color w:val="000000"/>
                <w:sz w:val="24"/>
                <w:szCs w:val="24"/>
              </w:rPr>
              <w:t>10º R C Mec</w:t>
            </w:r>
          </w:p>
        </w:tc>
        <w:tc>
          <w:tcPr>
            <w:tcW w:w="1267"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jc w:val="center"/>
              <w:rPr>
                <w:rFonts w:ascii="Calibri" w:hAnsi="Calibri"/>
                <w:sz w:val="24"/>
                <w:szCs w:val="24"/>
              </w:rPr>
            </w:pPr>
            <w:r>
              <w:rPr>
                <w:rFonts w:cs="Arial" w:ascii="Calibri" w:hAnsi="Calibri"/>
                <w:bCs/>
                <w:color w:val="000000"/>
                <w:sz w:val="24"/>
                <w:szCs w:val="24"/>
              </w:rPr>
              <w:t>20 dias</w:t>
            </w:r>
          </w:p>
        </w:tc>
      </w:tr>
    </w:tbl>
    <w:p>
      <w:pPr>
        <w:pStyle w:val="PADRO"/>
        <w:widowControl/>
        <w:spacing w:before="120" w:after="120"/>
        <w:rPr>
          <w:rFonts w:ascii="Calibri" w:hAnsi="Calibri"/>
          <w:sz w:val="24"/>
          <w:szCs w:val="24"/>
        </w:rPr>
      </w:pPr>
      <w:r>
        <w:rPr>
          <w:rFonts w:ascii="Calibri" w:hAnsi="Calibri"/>
          <w:sz w:val="24"/>
          <w:szCs w:val="24"/>
        </w:rPr>
        <w:drawing>
          <wp:anchor behindDoc="0" distT="0" distB="0" distL="0" distR="0" simplePos="0" locked="0" layoutInCell="0" allowOverlap="1" relativeHeight="5">
            <wp:simplePos x="0" y="0"/>
            <wp:positionH relativeFrom="column">
              <wp:posOffset>132715</wp:posOffset>
            </wp:positionH>
            <wp:positionV relativeFrom="paragraph">
              <wp:posOffset>-401320</wp:posOffset>
            </wp:positionV>
            <wp:extent cx="2164080" cy="1546860"/>
            <wp:effectExtent l="0" t="0" r="0" b="0"/>
            <wp:wrapSquare wrapText="largest"/>
            <wp:docPr id="2"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pic:cNvPicPr>
                      <a:picLocks noChangeAspect="1" noChangeArrowheads="1"/>
                    </pic:cNvPicPr>
                  </pic:nvPicPr>
                  <pic:blipFill>
                    <a:blip r:embed="rId3"/>
                    <a:srcRect l="26551" t="17141" r="12156" b="4976"/>
                    <a:stretch>
                      <a:fillRect/>
                    </a:stretch>
                  </pic:blipFill>
                  <pic:spPr bwMode="auto">
                    <a:xfrm>
                      <a:off x="0" y="0"/>
                      <a:ext cx="2164080" cy="1546860"/>
                    </a:xfrm>
                    <a:prstGeom prst="rect">
                      <a:avLst/>
                    </a:prstGeom>
                  </pic:spPr>
                </pic:pic>
              </a:graphicData>
            </a:graphic>
          </wp:anchor>
        </w:drawing>
      </w:r>
    </w:p>
    <w:p>
      <w:pPr>
        <w:pStyle w:val="PADRO"/>
        <w:widowControl/>
        <w:spacing w:before="120" w:after="120"/>
        <w:rPr>
          <w:rFonts w:ascii="Calibri" w:hAnsi="Calibri"/>
          <w:sz w:val="24"/>
          <w:szCs w:val="24"/>
        </w:rPr>
      </w:pPr>
      <w:r>
        <w:rPr>
          <w:rFonts w:ascii="Calibri" w:hAnsi="Calibri"/>
          <w:sz w:val="24"/>
          <w:szCs w:val="24"/>
        </w:rPr>
      </w:r>
    </w:p>
    <w:p>
      <w:pPr>
        <w:pStyle w:val="PADRO"/>
        <w:widowControl/>
        <w:spacing w:before="120" w:after="120"/>
        <w:rPr>
          <w:rFonts w:ascii="Calibri" w:hAnsi="Calibri"/>
          <w:sz w:val="24"/>
          <w:szCs w:val="24"/>
        </w:rPr>
      </w:pPr>
      <w:r>
        <w:rPr>
          <w:rFonts w:ascii="Calibri" w:hAnsi="Calibri"/>
          <w:sz w:val="24"/>
          <w:szCs w:val="24"/>
        </w:rPr>
        <w:drawing>
          <wp:anchor behindDoc="0" distT="0" distB="0" distL="0" distR="0" simplePos="0" locked="0" layoutInCell="0" allowOverlap="1" relativeHeight="3">
            <wp:simplePos x="0" y="0"/>
            <wp:positionH relativeFrom="column">
              <wp:posOffset>2639695</wp:posOffset>
            </wp:positionH>
            <wp:positionV relativeFrom="paragraph">
              <wp:posOffset>15240</wp:posOffset>
            </wp:positionV>
            <wp:extent cx="2054860" cy="1397000"/>
            <wp:effectExtent l="0" t="0" r="0" b="0"/>
            <wp:wrapSquare wrapText="largest"/>
            <wp:docPr id="3"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
                    <pic:cNvPicPr>
                      <a:picLocks noChangeAspect="1" noChangeArrowheads="1"/>
                    </pic:cNvPicPr>
                  </pic:nvPicPr>
                  <pic:blipFill>
                    <a:blip r:embed="rId4"/>
                    <a:srcRect l="26400" t="17431" r="10687" b="6523"/>
                    <a:stretch>
                      <a:fillRect/>
                    </a:stretch>
                  </pic:blipFill>
                  <pic:spPr bwMode="auto">
                    <a:xfrm>
                      <a:off x="0" y="0"/>
                      <a:ext cx="2054860" cy="1397000"/>
                    </a:xfrm>
                    <a:prstGeom prst="rect">
                      <a:avLst/>
                    </a:prstGeom>
                  </pic:spPr>
                </pic:pic>
              </a:graphicData>
            </a:graphic>
          </wp:anchor>
        </w:drawing>
        <w:drawing>
          <wp:anchor behindDoc="0" distT="0" distB="0" distL="0" distR="0" simplePos="0" locked="0" layoutInCell="0" allowOverlap="1" relativeHeight="4">
            <wp:simplePos x="0" y="0"/>
            <wp:positionH relativeFrom="column">
              <wp:posOffset>230505</wp:posOffset>
            </wp:positionH>
            <wp:positionV relativeFrom="paragraph">
              <wp:posOffset>662305</wp:posOffset>
            </wp:positionV>
            <wp:extent cx="1950085" cy="1564640"/>
            <wp:effectExtent l="0" t="0" r="0" b="0"/>
            <wp:wrapSquare wrapText="largest"/>
            <wp:docPr id="4"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2" descr=""/>
                    <pic:cNvPicPr>
                      <a:picLocks noChangeAspect="1" noChangeArrowheads="1"/>
                    </pic:cNvPicPr>
                  </pic:nvPicPr>
                  <pic:blipFill>
                    <a:blip r:embed="rId5"/>
                    <a:srcRect l="0" t="0" r="0" b="17094"/>
                    <a:stretch>
                      <a:fillRect/>
                    </a:stretch>
                  </pic:blipFill>
                  <pic:spPr bwMode="auto">
                    <a:xfrm>
                      <a:off x="0" y="0"/>
                      <a:ext cx="1950085" cy="1564640"/>
                    </a:xfrm>
                    <a:prstGeom prst="rect">
                      <a:avLst/>
                    </a:prstGeom>
                  </pic:spPr>
                </pic:pic>
              </a:graphicData>
            </a:graphic>
          </wp:anchor>
        </w:drawing>
      </w:r>
    </w:p>
    <w:p>
      <w:pPr>
        <w:pStyle w:val="PADRO"/>
        <w:widowControl/>
        <w:spacing w:before="120" w:after="120"/>
        <w:rPr>
          <w:rFonts w:ascii="Calibri" w:hAnsi="Calibri"/>
          <w:sz w:val="24"/>
          <w:szCs w:val="24"/>
        </w:rPr>
      </w:pPr>
      <w:r>
        <w:rPr>
          <w:rFonts w:ascii="Calibri" w:hAnsi="Calibri"/>
          <w:sz w:val="24"/>
          <w:szCs w:val="24"/>
        </w:rPr>
      </w:r>
    </w:p>
    <w:p>
      <w:pPr>
        <w:pStyle w:val="PADRO"/>
        <w:widowControl/>
        <w:spacing w:before="120" w:after="120"/>
        <w:rPr>
          <w:rFonts w:ascii="Calibri" w:hAnsi="Calibri"/>
          <w:sz w:val="24"/>
          <w:szCs w:val="24"/>
        </w:rPr>
      </w:pPr>
      <w:r>
        <w:rPr>
          <w:rFonts w:ascii="Calibri" w:hAnsi="Calibri"/>
          <w:sz w:val="24"/>
          <w:szCs w:val="24"/>
        </w:rPr>
      </w:r>
    </w:p>
    <w:p>
      <w:pPr>
        <w:pStyle w:val="PADRO"/>
        <w:widowControl/>
        <w:spacing w:before="120" w:after="120"/>
        <w:rPr>
          <w:rFonts w:ascii="Calibri" w:hAnsi="Calibri"/>
          <w:sz w:val="24"/>
          <w:szCs w:val="24"/>
        </w:rPr>
      </w:pPr>
      <w:r>
        <w:rPr>
          <w:rFonts w:ascii="Calibri" w:hAnsi="Calibri"/>
          <w:sz w:val="24"/>
          <w:szCs w:val="24"/>
        </w:rPr>
      </w:r>
    </w:p>
    <w:p>
      <w:pPr>
        <w:pStyle w:val="PADRO"/>
        <w:widowControl/>
        <w:spacing w:before="120" w:after="120"/>
        <w:rPr>
          <w:rFonts w:ascii="Calibri" w:hAnsi="Calibri"/>
          <w:sz w:val="24"/>
          <w:szCs w:val="24"/>
        </w:rPr>
      </w:pPr>
      <w:r>
        <w:rPr>
          <w:rFonts w:ascii="Calibri" w:hAnsi="Calibri"/>
          <w:sz w:val="24"/>
          <w:szCs w:val="24"/>
        </w:rPr>
      </w:r>
    </w:p>
    <w:p>
      <w:pPr>
        <w:pStyle w:val="PADRO"/>
        <w:widowControl/>
        <w:spacing w:before="120" w:after="120"/>
        <w:rPr>
          <w:rFonts w:ascii="Calibri" w:hAnsi="Calibri"/>
          <w:sz w:val="24"/>
          <w:szCs w:val="24"/>
        </w:rPr>
      </w:pPr>
      <w:r>
        <w:rPr>
          <w:rFonts w:ascii="Calibri" w:hAnsi="Calibri"/>
          <w:sz w:val="24"/>
          <w:szCs w:val="24"/>
        </w:rPr>
      </w:r>
    </w:p>
    <w:p>
      <w:pPr>
        <w:pStyle w:val="PADRO"/>
        <w:widowControl/>
        <w:spacing w:before="120" w:after="120"/>
        <w:rPr>
          <w:rFonts w:ascii="Calibri" w:hAnsi="Calibri"/>
          <w:sz w:val="24"/>
          <w:szCs w:val="24"/>
        </w:rPr>
      </w:pPr>
      <w:r>
        <w:rPr>
          <w:rFonts w:ascii="Calibri" w:hAnsi="Calibri"/>
          <w:sz w:val="24"/>
          <w:szCs w:val="24"/>
        </w:rPr>
        <w:drawing>
          <wp:anchor behindDoc="0" distT="0" distB="0" distL="0" distR="0" simplePos="0" locked="0" layoutInCell="0" allowOverlap="1" relativeHeight="6">
            <wp:simplePos x="0" y="0"/>
            <wp:positionH relativeFrom="column">
              <wp:posOffset>178435</wp:posOffset>
            </wp:positionH>
            <wp:positionV relativeFrom="paragraph">
              <wp:posOffset>-88900</wp:posOffset>
            </wp:positionV>
            <wp:extent cx="4542155" cy="1337310"/>
            <wp:effectExtent l="0" t="0" r="0" b="0"/>
            <wp:wrapSquare wrapText="largest"/>
            <wp:docPr id="5"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5" descr=""/>
                    <pic:cNvPicPr>
                      <a:picLocks noChangeAspect="1" noChangeArrowheads="1"/>
                    </pic:cNvPicPr>
                  </pic:nvPicPr>
                  <pic:blipFill>
                    <a:blip r:embed="rId6"/>
                    <a:srcRect l="13169" t="36000" r="14945" b="26366"/>
                    <a:stretch>
                      <a:fillRect/>
                    </a:stretch>
                  </pic:blipFill>
                  <pic:spPr bwMode="auto">
                    <a:xfrm>
                      <a:off x="0" y="0"/>
                      <a:ext cx="4542155" cy="1337310"/>
                    </a:xfrm>
                    <a:prstGeom prst="rect">
                      <a:avLst/>
                    </a:prstGeom>
                  </pic:spPr>
                </pic:pic>
              </a:graphicData>
            </a:graphic>
          </wp:anchor>
        </w:drawing>
      </w:r>
    </w:p>
    <w:p>
      <w:pPr>
        <w:pStyle w:val="PADRO"/>
        <w:widowControl/>
        <w:spacing w:before="120" w:after="120"/>
        <w:rPr>
          <w:rFonts w:ascii="Calibri" w:hAnsi="Calibri"/>
          <w:sz w:val="24"/>
          <w:szCs w:val="24"/>
        </w:rPr>
      </w:pPr>
      <w:r>
        <w:rPr>
          <w:rFonts w:ascii="Calibri" w:hAnsi="Calibri"/>
          <w:sz w:val="24"/>
          <w:szCs w:val="24"/>
        </w:rPr>
      </w:r>
    </w:p>
    <w:p>
      <w:pPr>
        <w:pStyle w:val="PADRO"/>
        <w:widowControl/>
        <w:spacing w:before="120" w:after="120"/>
        <w:rPr>
          <w:rFonts w:ascii="Calibri" w:hAnsi="Calibri"/>
          <w:sz w:val="24"/>
          <w:szCs w:val="24"/>
        </w:rPr>
      </w:pPr>
      <w:r>
        <w:rPr>
          <w:rFonts w:ascii="Calibri" w:hAnsi="Calibri"/>
          <w:sz w:val="24"/>
          <w:szCs w:val="24"/>
        </w:rPr>
      </w:r>
    </w:p>
    <w:p>
      <w:pPr>
        <w:pStyle w:val="PADRO"/>
        <w:widowControl/>
        <w:spacing w:before="120" w:after="120"/>
        <w:rPr>
          <w:rFonts w:ascii="Calibri" w:hAnsi="Calibri"/>
          <w:sz w:val="24"/>
          <w:szCs w:val="24"/>
        </w:rPr>
      </w:pPr>
      <w:r>
        <w:rPr>
          <w:rFonts w:ascii="Calibri" w:hAnsi="Calibri"/>
          <w:sz w:val="24"/>
          <w:szCs w:val="24"/>
        </w:rPr>
      </w:r>
    </w:p>
    <w:p>
      <w:pPr>
        <w:pStyle w:val="PADRO"/>
        <w:widowControl/>
        <w:spacing w:before="120" w:after="120"/>
        <w:rPr>
          <w:rFonts w:ascii="Calibri" w:hAnsi="Calibri"/>
          <w:sz w:val="24"/>
          <w:szCs w:val="24"/>
        </w:rPr>
      </w:pPr>
      <w:r>
        <w:rPr>
          <w:rFonts w:ascii="Calibri" w:hAnsi="Calibri"/>
          <w:sz w:val="24"/>
          <w:szCs w:val="24"/>
        </w:rPr>
        <w:drawing>
          <wp:anchor behindDoc="0" distT="0" distB="0" distL="0" distR="0" simplePos="0" locked="0" layoutInCell="0" allowOverlap="1" relativeHeight="7">
            <wp:simplePos x="0" y="0"/>
            <wp:positionH relativeFrom="column">
              <wp:posOffset>327025</wp:posOffset>
            </wp:positionH>
            <wp:positionV relativeFrom="paragraph">
              <wp:posOffset>89535</wp:posOffset>
            </wp:positionV>
            <wp:extent cx="1428750" cy="1428750"/>
            <wp:effectExtent l="0" t="0" r="0" b="0"/>
            <wp:wrapSquare wrapText="largest"/>
            <wp:docPr id="6"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6" descr=""/>
                    <pic:cNvPicPr>
                      <a:picLocks noChangeAspect="1" noChangeArrowheads="1"/>
                    </pic:cNvPicPr>
                  </pic:nvPicPr>
                  <pic:blipFill>
                    <a:blip r:embed="rId7"/>
                    <a:stretch>
                      <a:fillRect/>
                    </a:stretch>
                  </pic:blipFill>
                  <pic:spPr bwMode="auto">
                    <a:xfrm>
                      <a:off x="0" y="0"/>
                      <a:ext cx="1428750" cy="1428750"/>
                    </a:xfrm>
                    <a:prstGeom prst="rect">
                      <a:avLst/>
                    </a:prstGeom>
                  </pic:spPr>
                </pic:pic>
              </a:graphicData>
            </a:graphic>
          </wp:anchor>
        </w:drawing>
      </w:r>
    </w:p>
    <w:p>
      <w:pPr>
        <w:pStyle w:val="PADRO"/>
        <w:widowControl/>
        <w:spacing w:before="120" w:after="120"/>
        <w:rPr>
          <w:rFonts w:ascii="Calibri" w:hAnsi="Calibri"/>
          <w:sz w:val="24"/>
          <w:szCs w:val="24"/>
        </w:rPr>
      </w:pPr>
      <w:r>
        <w:rPr>
          <w:rFonts w:ascii="Calibri" w:hAnsi="Calibri"/>
          <w:sz w:val="24"/>
          <w:szCs w:val="24"/>
        </w:rPr>
      </w:r>
    </w:p>
    <w:p>
      <w:pPr>
        <w:pStyle w:val="PADRO"/>
        <w:widowControl/>
        <w:spacing w:before="120" w:after="120"/>
        <w:rPr>
          <w:rFonts w:ascii="Calibri" w:hAnsi="Calibri"/>
          <w:sz w:val="24"/>
          <w:szCs w:val="24"/>
        </w:rPr>
      </w:pPr>
      <w:r>
        <w:rPr>
          <w:rFonts w:ascii="Calibri" w:hAnsi="Calibri"/>
          <w:sz w:val="24"/>
          <w:szCs w:val="24"/>
        </w:rPr>
      </w:r>
    </w:p>
    <w:p>
      <w:pPr>
        <w:pStyle w:val="PADRO"/>
        <w:widowControl/>
        <w:spacing w:before="120" w:after="120"/>
        <w:rPr>
          <w:rFonts w:ascii="Calibri" w:hAnsi="Calibri"/>
          <w:sz w:val="24"/>
          <w:szCs w:val="24"/>
        </w:rPr>
      </w:pPr>
      <w:r>
        <w:rPr>
          <w:rFonts w:ascii="Calibri" w:hAnsi="Calibri"/>
          <w:sz w:val="24"/>
          <w:szCs w:val="24"/>
        </w:rPr>
      </w:r>
    </w:p>
    <w:p>
      <w:pPr>
        <w:pStyle w:val="PADRO"/>
        <w:widowControl/>
        <w:spacing w:before="120" w:after="120"/>
        <w:rPr>
          <w:rFonts w:ascii="Calibri" w:hAnsi="Calibri"/>
          <w:sz w:val="24"/>
          <w:szCs w:val="24"/>
        </w:rPr>
      </w:pPr>
      <w:r>
        <w:rPr>
          <w:rFonts w:ascii="Calibri" w:hAnsi="Calibri"/>
          <w:sz w:val="24"/>
          <w:szCs w:val="24"/>
        </w:rPr>
      </w:r>
    </w:p>
    <w:p>
      <w:pPr>
        <w:pStyle w:val="PADRO"/>
        <w:widowControl/>
        <w:spacing w:before="120" w:after="120"/>
        <w:rPr>
          <w:rFonts w:ascii="Calibri" w:hAnsi="Calibri"/>
          <w:sz w:val="24"/>
          <w:szCs w:val="24"/>
        </w:rPr>
      </w:pPr>
      <w:r>
        <w:rPr>
          <w:rFonts w:ascii="Calibri" w:hAnsi="Calibri"/>
          <w:sz w:val="24"/>
          <w:szCs w:val="24"/>
        </w:rPr>
      </w:r>
    </w:p>
    <w:p>
      <w:pPr>
        <w:pStyle w:val="PADRO"/>
        <w:widowControl/>
        <w:spacing w:before="120" w:after="120"/>
        <w:rPr>
          <w:rFonts w:ascii="Calibri" w:hAnsi="Calibri"/>
          <w:sz w:val="24"/>
          <w:szCs w:val="24"/>
        </w:rPr>
      </w:pPr>
      <w:r>
        <w:rPr>
          <w:rFonts w:ascii="Calibri" w:hAnsi="Calibri"/>
          <w:sz w:val="24"/>
          <w:szCs w:val="24"/>
        </w:rPr>
        <w:t xml:space="preserve">Cor aceitável Original </w:t>
      </w:r>
      <w:r>
        <w:rPr>
          <w:rFonts w:ascii="Calibri" w:hAnsi="Calibri"/>
          <w:sz w:val="24"/>
          <w:szCs w:val="24"/>
        </w:rPr>
        <w:t xml:space="preserve">Ford Royal Blue / #0d214f código de cor hexadecimal #0d214f. </w:t>
      </w:r>
    </w:p>
    <w:p>
      <w:pPr>
        <w:pStyle w:val="PADRO"/>
        <w:widowControl/>
        <w:spacing w:before="120" w:after="120"/>
        <w:rPr>
          <w:rFonts w:ascii="Calibri" w:hAnsi="Calibri"/>
          <w:sz w:val="24"/>
          <w:szCs w:val="24"/>
        </w:rPr>
      </w:pPr>
      <w:r>
        <w:rPr>
          <w:rFonts w:ascii="Calibri" w:hAnsi="Calibri"/>
          <w:sz w:val="24"/>
          <w:szCs w:val="24"/>
        </w:rPr>
        <w:t>À semelhança dos uniformes acima exemplificados.</w:t>
      </w:r>
    </w:p>
    <w:p>
      <w:pPr>
        <w:pStyle w:val="PADRO"/>
        <w:widowControl/>
        <w:spacing w:before="120" w:after="120"/>
        <w:rPr>
          <w:rFonts w:ascii="Calibri" w:hAnsi="Calibri"/>
          <w:sz w:val="24"/>
          <w:szCs w:val="24"/>
        </w:rPr>
      </w:pPr>
      <w:r>
        <w:rPr>
          <w:rFonts w:ascii="Calibri" w:hAnsi="Calibri"/>
          <w:sz w:val="24"/>
          <w:szCs w:val="24"/>
        </w:rPr>
        <w:t>Fonte de consulta: Uniformes do Exercito brasileiro, 1730-1922 : Obra commemorativa do Centenario da Independencia.</w:t>
      </w:r>
    </w:p>
    <w:p>
      <w:pPr>
        <w:pStyle w:val="PADRO"/>
        <w:widowControl/>
        <w:spacing w:before="120" w:after="120"/>
        <w:rPr>
          <w:rFonts w:ascii="Calibri" w:hAnsi="Calibri"/>
          <w:sz w:val="24"/>
          <w:szCs w:val="24"/>
        </w:rPr>
      </w:pPr>
      <w:r>
        <w:rPr>
          <w:rFonts w:ascii="Calibri" w:hAnsi="Calibri"/>
          <w:sz w:val="24"/>
          <w:szCs w:val="24"/>
        </w:rPr>
        <w:t xml:space="preserve">Fonte de consulta: </w:t>
      </w:r>
      <w:hyperlink r:id="rId8">
        <w:r>
          <w:rPr>
            <w:rStyle w:val="LinkdaInternet"/>
            <w:rFonts w:ascii="Calibri" w:hAnsi="Calibri"/>
            <w:sz w:val="24"/>
            <w:szCs w:val="24"/>
          </w:rPr>
          <w:t>https://www.literaturabrasileira.ufsc.br/documentos/?action=download&amp;id=83415</w:t>
        </w:r>
      </w:hyperlink>
      <w:hyperlink r:id="rId9">
        <w:r>
          <w:rPr>
            <w:rFonts w:ascii="Calibri" w:hAnsi="Calibri"/>
            <w:sz w:val="24"/>
            <w:szCs w:val="24"/>
          </w:rPr>
          <w:t>. Acesso em 08/08/2023 15h15min.</w:t>
        </w:r>
      </w:hyperlink>
    </w:p>
    <w:p>
      <w:pPr>
        <w:pStyle w:val="PADRO"/>
        <w:widowControl/>
        <w:numPr>
          <w:ilvl w:val="2"/>
          <w:numId w:val="1"/>
        </w:numPr>
        <w:spacing w:before="120" w:after="120"/>
        <w:rPr>
          <w:rFonts w:ascii="Calibri" w:hAnsi="Calibri"/>
          <w:sz w:val="24"/>
          <w:szCs w:val="24"/>
        </w:rPr>
      </w:pPr>
      <w:r>
        <w:rPr>
          <w:rFonts w:cs="Arial" w:ascii="Calibri" w:hAnsi="Calibri"/>
          <w:sz w:val="24"/>
          <w:szCs w:val="24"/>
        </w:rPr>
        <w:t xml:space="preserve"> </w:t>
      </w:r>
      <w:r>
        <w:rPr>
          <w:rFonts w:cs="Arial" w:ascii="Calibri" w:hAnsi="Calibri"/>
          <w:sz w:val="24"/>
          <w:szCs w:val="24"/>
        </w:rPr>
        <w:t>Os códigos e descrições do “CATMAT / CATSER”, constantes do “SIASG”, citados pelo “Portal de Compras Governamentais” podem eventualmente divergirem da descrição dos itens licitados quanto a especificações e outras características. Neste caso, ou seja, havendo divergência quanto ao código/descrição CATMAT / CATSER, valem as especificações detalhadas neste termo de referência.</w:t>
      </w:r>
    </w:p>
    <w:p>
      <w:pPr>
        <w:pStyle w:val="PADRO"/>
        <w:widowControl/>
        <w:numPr>
          <w:ilvl w:val="2"/>
          <w:numId w:val="1"/>
        </w:numPr>
        <w:spacing w:before="120" w:after="120"/>
        <w:rPr>
          <w:rFonts w:ascii="Calibri" w:hAnsi="Calibri"/>
          <w:sz w:val="24"/>
          <w:szCs w:val="24"/>
        </w:rPr>
      </w:pPr>
      <w:r>
        <w:rPr>
          <w:rFonts w:cs="Arial" w:ascii="Calibri" w:hAnsi="Calibri"/>
          <w:sz w:val="24"/>
          <w:szCs w:val="24"/>
        </w:rPr>
        <w:t xml:space="preserve"> </w:t>
      </w:r>
      <w:r>
        <w:rPr>
          <w:rFonts w:cs="Arial" w:ascii="Calibri" w:hAnsi="Calibri"/>
          <w:b/>
          <w:color w:val="FF0000"/>
          <w:sz w:val="24"/>
          <w:szCs w:val="24"/>
        </w:rPr>
        <w:t>A EMPRESA VENCEDORA DEVERÁ COMPARECER NO 10º R C MEC, EM BELA VISTA-MS,</w:t>
      </w:r>
      <w:bookmarkStart w:id="0" w:name="_GoBack"/>
      <w:bookmarkEnd w:id="0"/>
      <w:r>
        <w:rPr>
          <w:rFonts w:cs="Arial" w:ascii="Calibri" w:hAnsi="Calibri"/>
          <w:b/>
          <w:color w:val="FF0000"/>
          <w:sz w:val="24"/>
          <w:szCs w:val="24"/>
        </w:rPr>
        <w:t xml:space="preserve"> PARA TIRAR AS MEDIDAS DOS UNIFORMES, BEM COMO, REALIZAR A PROVA DOS MESMOS.</w:t>
      </w:r>
    </w:p>
    <w:p>
      <w:pPr>
        <w:pStyle w:val="PADRO"/>
        <w:widowControl/>
        <w:numPr>
          <w:ilvl w:val="2"/>
          <w:numId w:val="1"/>
        </w:numPr>
        <w:spacing w:before="120" w:after="120"/>
        <w:ind w:left="426" w:hanging="0"/>
        <w:rPr>
          <w:rFonts w:ascii="Calibri" w:hAnsi="Calibri"/>
          <w:sz w:val="24"/>
          <w:szCs w:val="24"/>
        </w:rPr>
      </w:pPr>
      <w:r>
        <w:rPr>
          <w:rFonts w:cs="Arial" w:ascii="Calibri" w:hAnsi="Calibri"/>
          <w:sz w:val="24"/>
          <w:szCs w:val="24"/>
        </w:rPr>
        <w:t>Havendo mais de item ou lote faculta-se ao fornecedor a participação em quantos forem de seu interesse. Entretanto, optando-se por participar de um lote, deve o fornecedor enviar proposta para todos os itens que o compõem.</w:t>
      </w:r>
    </w:p>
    <w:p>
      <w:pPr>
        <w:pStyle w:val="PADRO"/>
        <w:widowControl/>
        <w:numPr>
          <w:ilvl w:val="1"/>
          <w:numId w:val="1"/>
        </w:numPr>
        <w:spacing w:before="120" w:after="120"/>
        <w:ind w:left="426" w:hanging="0"/>
        <w:rPr>
          <w:rFonts w:ascii="Calibri" w:hAnsi="Calibri"/>
          <w:sz w:val="24"/>
          <w:szCs w:val="24"/>
        </w:rPr>
      </w:pPr>
      <w:r>
        <w:rPr>
          <w:rFonts w:cs="Arial" w:ascii="Calibri" w:hAnsi="Calibri"/>
          <w:sz w:val="24"/>
          <w:szCs w:val="24"/>
        </w:rPr>
        <w:t xml:space="preserve">O critério de julgamento adotado será o </w:t>
      </w:r>
      <w:r>
        <w:rPr>
          <w:rFonts w:cs="Arial" w:ascii="Calibri" w:hAnsi="Calibri"/>
          <w:i/>
          <w:iCs/>
          <w:color w:val="FF0000"/>
          <w:sz w:val="24"/>
          <w:szCs w:val="24"/>
        </w:rPr>
        <w:t xml:space="preserve">menor preço, </w:t>
      </w:r>
      <w:r>
        <w:rPr>
          <w:rFonts w:cs="Arial" w:ascii="Calibri" w:hAnsi="Calibri"/>
          <w:sz w:val="24"/>
          <w:szCs w:val="24"/>
        </w:rPr>
        <w:t>observadas as exigências contidas neste Aviso de Contratação Direta conforme item 1.2 quanto às especificações do objeto.</w:t>
      </w:r>
    </w:p>
    <w:p>
      <w:pPr>
        <w:pStyle w:val="PADRO"/>
        <w:ind w:left="792" w:hanging="0"/>
        <w:rPr>
          <w:rFonts w:ascii="Calibri" w:hAnsi="Calibri"/>
          <w:sz w:val="24"/>
          <w:szCs w:val="24"/>
        </w:rPr>
      </w:pPr>
      <w:r>
        <w:rPr>
          <w:rFonts w:cs="Arial" w:ascii="Calibri" w:hAnsi="Calibri"/>
          <w:sz w:val="24"/>
          <w:szCs w:val="24"/>
        </w:rPr>
        <w:t xml:space="preserve">Havendo divergência entre a descrição de um item no Sistema https://www2.comprasnet.gov.br e no termo de AVISO DE DISPENSA ELETRÔNICA, para fins, tanto de apresentação de proposta por parte do proponente, quanto para execução do contrato, prevalecerá o descrito no termo de AVISO DE DISPENSA ELETRÔNICA. Com relação aos preços e quantidades havendo divergência entre o sistema  https://www2.comprasnet.gov.br, e o  termo de AVISO DE DISPENSA ELETRÔNICA, prevalecerá o previsto no Sistema https://www2.comprasnet.gov.br. </w:t>
      </w:r>
    </w:p>
    <w:p>
      <w:pPr>
        <w:pStyle w:val="PADRO"/>
        <w:widowControl/>
        <w:numPr>
          <w:ilvl w:val="0"/>
          <w:numId w:val="1"/>
        </w:numPr>
        <w:spacing w:before="120" w:after="120"/>
        <w:ind w:left="426" w:hanging="0"/>
        <w:rPr>
          <w:rFonts w:ascii="Calibri" w:hAnsi="Calibri"/>
          <w:sz w:val="24"/>
          <w:szCs w:val="24"/>
        </w:rPr>
      </w:pPr>
      <w:r>
        <w:rPr>
          <w:rFonts w:cs="Arial" w:ascii="Calibri" w:hAnsi="Calibri"/>
          <w:b/>
          <w:sz w:val="24"/>
          <w:szCs w:val="24"/>
        </w:rPr>
        <w:t>PARTICIPAÇÃO NA DISPENSA ELETRÔNICA.</w:t>
      </w:r>
    </w:p>
    <w:p>
      <w:pPr>
        <w:pStyle w:val="Normal"/>
        <w:numPr>
          <w:ilvl w:val="1"/>
          <w:numId w:val="1"/>
        </w:numPr>
        <w:snapToGrid w:val="false"/>
        <w:spacing w:lineRule="auto" w:line="276" w:before="120" w:after="120"/>
        <w:ind w:left="426" w:hanging="0"/>
        <w:jc w:val="both"/>
        <w:rPr>
          <w:rFonts w:ascii="Calibri" w:hAnsi="Calibri"/>
          <w:sz w:val="24"/>
          <w:szCs w:val="24"/>
        </w:rPr>
      </w:pPr>
      <w:r>
        <w:rPr>
          <w:rFonts w:cs="Arial" w:ascii="Calibri" w:hAnsi="Calibri"/>
          <w:sz w:val="24"/>
          <w:szCs w:val="24"/>
        </w:rPr>
        <w:t xml:space="preserve">A participação na presente dispensa eletrônica se dará mediante </w:t>
      </w:r>
      <w:r>
        <w:rPr>
          <w:rFonts w:cs="Arial" w:ascii="Calibri" w:hAnsi="Calibri"/>
          <w:bCs/>
          <w:sz w:val="24"/>
          <w:szCs w:val="24"/>
        </w:rPr>
        <w:t>Sistema de Dispensa Eletrônica</w:t>
      </w:r>
      <w:r>
        <w:rPr>
          <w:rFonts w:cs="Arial" w:ascii="Calibri" w:hAnsi="Calibri"/>
          <w:sz w:val="24"/>
          <w:szCs w:val="24"/>
        </w:rPr>
        <w:t xml:space="preserve"> integrante do Sistema de Compras do Governo Federal – Comprasnet 4.0, disponível no </w:t>
      </w:r>
      <w:r>
        <w:rPr>
          <w:rFonts w:cs="Arial" w:ascii="Calibri" w:hAnsi="Calibri"/>
          <w:bCs/>
          <w:sz w:val="24"/>
          <w:szCs w:val="24"/>
        </w:rPr>
        <w:t xml:space="preserve">endereço eletrônico: </w:t>
      </w:r>
      <w:r>
        <w:rPr>
          <w:rFonts w:cs="Arial" w:ascii="Calibri" w:hAnsi="Calibri"/>
          <w:b/>
          <w:bCs/>
          <w:sz w:val="24"/>
          <w:szCs w:val="24"/>
          <w:u w:val="single"/>
        </w:rPr>
        <w:t>https://pncp.gov.br/</w:t>
      </w:r>
    </w:p>
    <w:p>
      <w:pPr>
        <w:pStyle w:val="Normal"/>
        <w:numPr>
          <w:ilvl w:val="2"/>
          <w:numId w:val="1"/>
        </w:numPr>
        <w:snapToGrid w:val="false"/>
        <w:spacing w:lineRule="auto" w:line="276" w:before="120" w:after="120"/>
        <w:ind w:left="426" w:hanging="0"/>
        <w:jc w:val="both"/>
        <w:rPr>
          <w:rFonts w:ascii="Calibri" w:hAnsi="Calibri"/>
          <w:sz w:val="24"/>
          <w:szCs w:val="24"/>
        </w:rPr>
      </w:pPr>
      <w:r>
        <w:rPr>
          <w:rFonts w:cs="Arial" w:ascii="Calibri" w:hAnsi="Calibri"/>
          <w:sz w:val="24"/>
          <w:szCs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ind w:left="426" w:hanging="0"/>
        <w:jc w:val="both"/>
        <w:rPr>
          <w:rFonts w:ascii="Calibri" w:hAnsi="Calibri"/>
          <w:sz w:val="24"/>
          <w:szCs w:val="24"/>
        </w:rPr>
      </w:pPr>
      <w:r>
        <w:rPr>
          <w:rFonts w:cs="Arial" w:ascii="Calibri" w:hAnsi="Calibri"/>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6" w:hanging="0"/>
        <w:jc w:val="both"/>
        <w:rPr>
          <w:rFonts w:ascii="Calibri" w:hAnsi="Calibri"/>
          <w:sz w:val="24"/>
          <w:szCs w:val="24"/>
        </w:rPr>
      </w:pPr>
      <w:r>
        <w:rPr>
          <w:rFonts w:cs="Arial" w:ascii="Calibri" w:hAnsi="Calibri"/>
          <w:color w:val="000000"/>
          <w:sz w:val="24"/>
          <w:szCs w:val="24"/>
        </w:rPr>
        <w:t>Não poderão participar desta dispensa os fornecedores:</w:t>
      </w:r>
    </w:p>
    <w:p>
      <w:pPr>
        <w:pStyle w:val="Normal"/>
        <w:numPr>
          <w:ilvl w:val="2"/>
          <w:numId w:val="1"/>
        </w:numPr>
        <w:spacing w:lineRule="auto" w:line="276" w:before="120" w:after="120"/>
        <w:ind w:left="426" w:hanging="0"/>
        <w:jc w:val="both"/>
        <w:rPr>
          <w:rFonts w:ascii="Calibri" w:hAnsi="Calibri"/>
          <w:sz w:val="24"/>
          <w:szCs w:val="24"/>
        </w:rPr>
      </w:pPr>
      <w:r>
        <w:rPr>
          <w:rFonts w:cs="Arial" w:ascii="Calibri" w:hAnsi="Calibri"/>
          <w:color w:val="000000"/>
          <w:sz w:val="24"/>
          <w:szCs w:val="24"/>
        </w:rPr>
        <w:t>que não atendam às condições deste Aviso de Contratação Direta;</w:t>
      </w:r>
    </w:p>
    <w:p>
      <w:pPr>
        <w:pStyle w:val="Normal"/>
        <w:numPr>
          <w:ilvl w:val="2"/>
          <w:numId w:val="1"/>
        </w:numPr>
        <w:spacing w:lineRule="auto" w:line="276" w:before="120" w:after="120"/>
        <w:ind w:left="426" w:hanging="0"/>
        <w:jc w:val="both"/>
        <w:rPr>
          <w:rFonts w:ascii="Calibri" w:hAnsi="Calibri"/>
          <w:sz w:val="24"/>
          <w:szCs w:val="24"/>
        </w:rPr>
      </w:pPr>
      <w:r>
        <w:rPr>
          <w:rFonts w:cs="Arial" w:ascii="Calibri" w:hAnsi="Calibri"/>
          <w:color w:val="000000"/>
          <w:sz w:val="24"/>
          <w:szCs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ind w:left="426" w:hanging="0"/>
        <w:jc w:val="both"/>
        <w:rPr>
          <w:rFonts w:ascii="Calibri" w:hAnsi="Calibri"/>
          <w:sz w:val="24"/>
          <w:szCs w:val="24"/>
        </w:rPr>
      </w:pPr>
      <w:r>
        <w:rPr>
          <w:rFonts w:cs="Arial" w:ascii="Calibri" w:hAnsi="Calibri"/>
          <w:color w:val="000000"/>
          <w:sz w:val="24"/>
          <w:szCs w:val="24"/>
        </w:rPr>
        <w:t>que se enquadrem nas seguintes vedações:</w:t>
      </w:r>
    </w:p>
    <w:p>
      <w:pPr>
        <w:pStyle w:val="Normal"/>
        <w:numPr>
          <w:ilvl w:val="3"/>
          <w:numId w:val="4"/>
        </w:numPr>
        <w:spacing w:lineRule="auto" w:line="276" w:before="120" w:after="120"/>
        <w:ind w:left="426" w:hanging="0"/>
        <w:jc w:val="both"/>
        <w:rPr>
          <w:rFonts w:ascii="Calibri" w:hAnsi="Calibri"/>
          <w:sz w:val="24"/>
          <w:szCs w:val="24"/>
        </w:rPr>
      </w:pPr>
      <w:r>
        <w:rPr>
          <w:rFonts w:cs="Arial" w:ascii="Calibri" w:hAnsi="Calibri"/>
          <w:color w:val="000000"/>
          <w:sz w:val="24"/>
          <w:szCs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ind w:left="426" w:hanging="0"/>
        <w:jc w:val="both"/>
        <w:rPr>
          <w:rFonts w:ascii="Calibri" w:hAnsi="Calibri"/>
          <w:sz w:val="24"/>
          <w:szCs w:val="24"/>
        </w:rPr>
      </w:pPr>
      <w:r>
        <w:rPr>
          <w:rFonts w:cs="Arial" w:ascii="Calibri" w:hAnsi="Calibri"/>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ind w:left="426" w:hanging="0"/>
        <w:jc w:val="both"/>
        <w:rPr>
          <w:rFonts w:ascii="Calibri" w:hAnsi="Calibri"/>
          <w:sz w:val="24"/>
          <w:szCs w:val="24"/>
        </w:rPr>
      </w:pPr>
      <w:r>
        <w:rPr>
          <w:rFonts w:cs="Arial" w:ascii="Calibri" w:hAnsi="Calibri"/>
          <w:color w:val="000000"/>
          <w:sz w:val="24"/>
          <w:szCs w:val="24"/>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ind w:left="709" w:hanging="364"/>
        <w:jc w:val="both"/>
        <w:rPr>
          <w:rFonts w:ascii="Calibri" w:hAnsi="Calibri"/>
          <w:sz w:val="24"/>
          <w:szCs w:val="24"/>
        </w:rPr>
      </w:pPr>
      <w:r>
        <w:rPr>
          <w:rFonts w:cs="Arial" w:ascii="Calibri" w:hAnsi="Calibri"/>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ind w:left="709" w:hanging="364"/>
        <w:jc w:val="both"/>
        <w:rPr/>
      </w:pPr>
      <w:r>
        <w:rPr>
          <w:rFonts w:cs="Arial" w:ascii="Calibri" w:hAnsi="Calibri"/>
          <w:color w:val="000000"/>
          <w:sz w:val="24"/>
          <w:szCs w:val="24"/>
        </w:rPr>
        <w:t>empresas controladoras, controladas ou coligadas, nos termos da </w:t>
      </w:r>
      <w:hyperlink r:id="rId10">
        <w:r>
          <w:rPr>
            <w:rStyle w:val="Hyperlink1"/>
            <w:rFonts w:eastAsia="Calibri" w:cs="Arial" w:ascii="Calibri" w:hAnsi="Calibri"/>
            <w:sz w:val="24"/>
            <w:szCs w:val="24"/>
          </w:rPr>
          <w:t>Lei nº 6.404, de 15 de dezembro de 1976</w:t>
        </w:r>
      </w:hyperlink>
      <w:r>
        <w:rPr>
          <w:rFonts w:cs="Arial" w:ascii="Calibri" w:hAnsi="Calibri"/>
          <w:color w:val="000000"/>
          <w:sz w:val="24"/>
          <w:szCs w:val="24"/>
        </w:rPr>
        <w:t>, concorrendo entre si;</w:t>
      </w:r>
    </w:p>
    <w:p>
      <w:pPr>
        <w:pStyle w:val="Normal"/>
        <w:numPr>
          <w:ilvl w:val="3"/>
          <w:numId w:val="4"/>
        </w:numPr>
        <w:spacing w:lineRule="auto" w:line="276" w:before="120" w:after="120"/>
        <w:ind w:left="709" w:hanging="364"/>
        <w:jc w:val="both"/>
        <w:rPr>
          <w:rFonts w:ascii="Calibri" w:hAnsi="Calibri"/>
          <w:sz w:val="24"/>
          <w:szCs w:val="24"/>
        </w:rPr>
      </w:pPr>
      <w:r>
        <w:rPr>
          <w:rFonts w:cs="Arial" w:ascii="Calibri" w:hAnsi="Calibri"/>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Equiparam-se aos autores do projeto as empresas integrantes do mesmo grupo econômico;</w:t>
      </w:r>
    </w:p>
    <w:p>
      <w:pPr>
        <w:pStyle w:val="Normal"/>
        <w:numPr>
          <w:ilvl w:val="3"/>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organizações da Sociedade Civil de Interesse Público - OSCIP, atuando nessa condição (Acórdão nº 746/2014-TCU-Plenário); e</w:t>
      </w:r>
    </w:p>
    <w:p>
      <w:pPr>
        <w:pStyle w:val="Normal"/>
        <w:numPr>
          <w:ilvl w:val="2"/>
          <w:numId w:val="1"/>
        </w:numPr>
        <w:spacing w:lineRule="auto" w:line="276" w:before="120" w:after="120"/>
        <w:ind w:left="709" w:hanging="364"/>
        <w:jc w:val="both"/>
        <w:rPr>
          <w:rFonts w:ascii="Calibri" w:hAnsi="Calibri"/>
          <w:sz w:val="24"/>
          <w:szCs w:val="24"/>
        </w:rPr>
      </w:pPr>
      <w:bookmarkStart w:id="1" w:name="_Hlk519667815"/>
      <w:bookmarkEnd w:id="1"/>
      <w:r>
        <w:rPr>
          <w:rFonts w:cs="Arial" w:ascii="Calibri" w:hAnsi="Calibri"/>
          <w:color w:val="000000"/>
          <w:sz w:val="24"/>
          <w:szCs w:val="24"/>
        </w:rPr>
        <w:t>sociedades cooperativas.</w:t>
      </w:r>
    </w:p>
    <w:p>
      <w:pPr>
        <w:pStyle w:val="PADRO"/>
        <w:widowControl/>
        <w:numPr>
          <w:ilvl w:val="0"/>
          <w:numId w:val="1"/>
        </w:numPr>
        <w:spacing w:before="120" w:after="120"/>
        <w:ind w:left="709" w:hanging="364"/>
        <w:rPr>
          <w:rFonts w:ascii="Calibri" w:hAnsi="Calibri"/>
          <w:sz w:val="24"/>
          <w:szCs w:val="24"/>
        </w:rPr>
      </w:pPr>
      <w:r>
        <w:rPr>
          <w:rFonts w:cs="Arial" w:ascii="Calibri" w:hAnsi="Calibri"/>
          <w:b/>
          <w:sz w:val="24"/>
          <w:szCs w:val="24"/>
        </w:rPr>
        <w:t>INGRESSO NA DISPENSA ELETRÔNICA E CADASTRAMENTO DA PROPOSTA INICIAL</w:t>
      </w:r>
    </w:p>
    <w:p>
      <w:pPr>
        <w:pStyle w:val="Normal"/>
        <w:numPr>
          <w:ilvl w:val="1"/>
          <w:numId w:val="1"/>
        </w:numPr>
        <w:snapToGrid w:val="false"/>
        <w:spacing w:lineRule="auto" w:line="276" w:before="120" w:after="120"/>
        <w:ind w:left="709" w:hanging="364"/>
        <w:jc w:val="both"/>
        <w:rPr>
          <w:rFonts w:ascii="Calibri" w:hAnsi="Calibri"/>
          <w:sz w:val="24"/>
          <w:szCs w:val="24"/>
        </w:rPr>
      </w:pPr>
      <w:r>
        <w:rPr>
          <w:rFonts w:cs="Arial" w:ascii="Calibri" w:hAnsi="Calibri"/>
          <w:color w:val="000000"/>
          <w:sz w:val="24"/>
          <w:szCs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709" w:hanging="364"/>
        <w:jc w:val="both"/>
        <w:rPr>
          <w:rFonts w:ascii="Calibri" w:hAnsi="Calibri"/>
          <w:sz w:val="24"/>
          <w:szCs w:val="24"/>
        </w:rPr>
      </w:pPr>
      <w:r>
        <w:rPr>
          <w:rFonts w:cs="Arial" w:ascii="Calibri" w:hAnsi="Calibri"/>
          <w:color w:val="000000"/>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sz w:val="24"/>
          <w:szCs w:val="24"/>
        </w:rPr>
        <w:t xml:space="preserve">Todas as especificações do </w:t>
      </w:r>
      <w:r>
        <w:rPr>
          <w:rFonts w:cs="Arial" w:ascii="Calibri" w:hAnsi="Calibri"/>
          <w:color w:val="000000"/>
          <w:sz w:val="24"/>
          <w:szCs w:val="24"/>
        </w:rPr>
        <w:t>objeto</w:t>
      </w:r>
      <w:r>
        <w:rPr>
          <w:rFonts w:cs="Arial" w:ascii="Calibri" w:hAnsi="Calibri"/>
          <w:sz w:val="24"/>
          <w:szCs w:val="24"/>
        </w:rPr>
        <w:t xml:space="preserve"> contidas na proposta, em especial o preço, vinculam a Contratada.</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sz w:val="24"/>
          <w:szCs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b/>
          <w:bCs/>
          <w:sz w:val="24"/>
          <w:szCs w:val="24"/>
          <w:u w:val="single"/>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sz w:val="24"/>
          <w:szCs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sz w:val="24"/>
          <w:szCs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sz w:val="24"/>
          <w:szCs w:val="24"/>
        </w:rPr>
        <w:t xml:space="preserve">A apresentação das propostas implica obrigatoriedade do cumprimento das disposições nelas contidas, em conformidade com o que dispõe o neste </w:t>
      </w:r>
      <w:r>
        <w:rPr>
          <w:rFonts w:cs="Arial" w:ascii="Calibri" w:hAnsi="Calibri"/>
          <w:color w:val="000000"/>
          <w:sz w:val="24"/>
          <w:szCs w:val="24"/>
        </w:rPr>
        <w:t>documento</w:t>
      </w:r>
      <w:r>
        <w:rPr>
          <w:rFonts w:cs="Arial" w:ascii="Calibri" w:hAnsi="Calibri"/>
          <w:sz w:val="24"/>
          <w:szCs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sz w:val="24"/>
          <w:szCs w:val="24"/>
        </w:rPr>
        <w:t xml:space="preserve">Uma vez enviada a proposta no sistema, os fornecedores </w:t>
      </w:r>
      <w:r>
        <w:rPr>
          <w:rFonts w:cs="Arial" w:ascii="Calibri" w:hAnsi="Calibri"/>
          <w:b/>
          <w:bCs/>
          <w:sz w:val="24"/>
          <w:szCs w:val="24"/>
        </w:rPr>
        <w:t>NÃO</w:t>
      </w:r>
      <w:r>
        <w:rPr>
          <w:rFonts w:cs="Arial" w:ascii="Calibri" w:hAnsi="Calibri"/>
          <w:sz w:val="24"/>
          <w:szCs w:val="24"/>
        </w:rPr>
        <w:t xml:space="preserve"> poderão retirá-la, substituí-la ou modificá-la</w:t>
      </w:r>
      <w:r>
        <w:rPr>
          <w:rFonts w:cs="Arial" w:ascii="Calibri" w:hAnsi="Calibri"/>
          <w:color w:val="000000"/>
          <w:sz w:val="24"/>
          <w:szCs w:val="24"/>
        </w:rPr>
        <w:t>;</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b/>
          <w:bCs/>
          <w:color w:val="000000"/>
          <w:sz w:val="24"/>
          <w:szCs w:val="24"/>
        </w:rPr>
        <w:t xml:space="preserve">No cadastramento da proposta inicial, o fornecedor deverá, também, assinalar “sim” ou “não” em campo </w:t>
      </w:r>
      <w:r>
        <w:rPr>
          <w:rFonts w:cs="Arial" w:ascii="Calibri" w:hAnsi="Calibri"/>
          <w:b/>
          <w:bCs/>
          <w:sz w:val="24"/>
          <w:szCs w:val="24"/>
        </w:rPr>
        <w:t>próprio</w:t>
      </w:r>
      <w:r>
        <w:rPr>
          <w:rFonts w:cs="Arial" w:ascii="Calibri" w:hAnsi="Calibri"/>
          <w:b/>
          <w:bCs/>
          <w:color w:val="000000"/>
          <w:sz w:val="24"/>
          <w:szCs w:val="24"/>
        </w:rPr>
        <w:t xml:space="preserve"> do sistema eletrônico, às seguintes declarações:</w:t>
      </w:r>
    </w:p>
    <w:p>
      <w:pPr>
        <w:pStyle w:val="ListParagraph"/>
        <w:numPr>
          <w:ilvl w:val="0"/>
          <w:numId w:val="0"/>
        </w:numPr>
        <w:tabs>
          <w:tab w:val="clear" w:pos="708"/>
          <w:tab w:val="left" w:pos="1440" w:leader="none"/>
        </w:tabs>
        <w:snapToGrid w:val="false"/>
        <w:spacing w:lineRule="auto" w:line="276" w:before="120" w:after="120"/>
        <w:ind w:left="709" w:hanging="0"/>
        <w:contextualSpacing/>
        <w:jc w:val="both"/>
        <w:rPr>
          <w:rFonts w:ascii="Calibri" w:hAnsi="Calibri" w:cs="Arial"/>
          <w:b/>
          <w:b/>
          <w:bCs/>
          <w:vanish w:val="false"/>
          <w:color w:val="000000"/>
          <w:sz w:val="24"/>
          <w:szCs w:val="24"/>
        </w:rPr>
      </w:pPr>
      <w:r>
        <w:rPr>
          <w:rFonts w:cs="Arial" w:ascii="Calibri" w:hAnsi="Calibri"/>
          <w:b/>
          <w:bCs/>
          <w:vanish w:val="false"/>
          <w:color w:val="000000"/>
          <w:sz w:val="24"/>
          <w:szCs w:val="24"/>
        </w:rPr>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que inexistem fatos impeditivos para sua habilitação no certame, ciente da obrigatoriedade de declarar ocorrências posteriores;</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que cumpre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que está ciente e concorda com as condições contidas no Aviso de Contratação Direta e seus anexos;</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que assume a responsabilidade pelas transações que forem efetuadas no sistema, assumindo como firmes e verdadeiras;</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i/>
          <w:color w:val="000000"/>
          <w:sz w:val="24"/>
          <w:szCs w:val="24"/>
        </w:rPr>
        <w:t>Fica facultado ao fornecedor, ao cadastrar sua proposta inicial, a parametrização de valor final mínimo, com o registro do seu lance final aceitável menor preço.</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i/>
          <w:color w:val="000000"/>
          <w:sz w:val="24"/>
          <w:szCs w:val="24"/>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ind w:left="709" w:hanging="364"/>
        <w:jc w:val="both"/>
        <w:rPr>
          <w:rFonts w:ascii="Calibri" w:hAnsi="Calibri"/>
          <w:sz w:val="24"/>
          <w:szCs w:val="24"/>
        </w:rPr>
      </w:pPr>
      <w:r>
        <w:rPr>
          <w:rFonts w:cs="Arial" w:ascii="Calibri" w:hAnsi="Calibri"/>
          <w:i/>
          <w:color w:val="000000"/>
          <w:sz w:val="24"/>
          <w:szCs w:val="24"/>
        </w:rPr>
        <w:t>Sem prejuízo do disposto acima, os lances poderão ser enviados manualmente, na forma da seção respectiva deste Aviso de Contratação Direta;</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i/>
          <w:color w:val="000000"/>
          <w:sz w:val="24"/>
          <w:szCs w:val="24"/>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i/>
          <w:color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widowControl/>
        <w:numPr>
          <w:ilvl w:val="0"/>
          <w:numId w:val="1"/>
        </w:numPr>
        <w:spacing w:before="120" w:after="120"/>
        <w:ind w:left="709" w:hanging="364"/>
        <w:rPr>
          <w:rFonts w:ascii="Calibri" w:hAnsi="Calibri"/>
          <w:sz w:val="24"/>
          <w:szCs w:val="24"/>
        </w:rPr>
      </w:pPr>
      <w:r>
        <w:rPr>
          <w:rFonts w:cs="Arial" w:ascii="Calibri" w:hAnsi="Calibri"/>
          <w:b/>
          <w:sz w:val="24"/>
          <w:szCs w:val="24"/>
        </w:rPr>
        <w:t>FASE DE LANCES</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lang w:eastAsia="en-US"/>
        </w:rPr>
        <w:t xml:space="preserve">A partir das 8:00h da data estabelecida neste Aviso de Contratação Direta, a sessão pública será automaticamente aberta pelo sistema para o envio de lances públicos e sucessivos, </w:t>
      </w:r>
      <w:r>
        <w:rPr>
          <w:rFonts w:cs="Arial" w:ascii="Calibri" w:hAnsi="Calibri"/>
          <w:bCs/>
          <w:sz w:val="24"/>
          <w:szCs w:val="24"/>
          <w:lang w:eastAsia="en-US"/>
        </w:rPr>
        <w:t>exclusivamente por meio do sistema eletrônico</w:t>
      </w:r>
      <w:r>
        <w:rPr>
          <w:rFonts w:cs="Arial" w:ascii="Calibri" w:hAnsi="Calibri"/>
          <w:sz w:val="24"/>
          <w:szCs w:val="24"/>
          <w:lang w:eastAsia="en-US"/>
        </w:rPr>
        <w:t xml:space="preserve">, </w:t>
      </w:r>
      <w:r>
        <w:rPr>
          <w:rFonts w:cs="Arial" w:ascii="Calibri" w:hAnsi="Calibri"/>
          <w:color w:val="000000"/>
          <w:sz w:val="24"/>
          <w:szCs w:val="24"/>
          <w:lang w:eastAsia="en-US"/>
        </w:rPr>
        <w:t>sendo encerrado no horário de finalização de lances também já previsto neste aviso.</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b/>
          <w:bCs/>
          <w:i/>
          <w:iCs/>
          <w:color w:val="FF0000"/>
          <w:sz w:val="24"/>
          <w:szCs w:val="24"/>
        </w:rPr>
        <w:t>O lance deverá ser ofertado pelo VALOR TOTAL DO ITEM, SEMPRE ATENTANDO PARA DUAS CASAS DECIMAIS.</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sz w:val="24"/>
          <w:szCs w:val="24"/>
        </w:rPr>
        <w:t xml:space="preserve">O intervalo mínimo de diferença de valores entre os lances, que incidirá tanto em relação aos lances intermediários quanto em relação ao que cobrir a melhor oferta é de </w:t>
      </w:r>
      <w:r>
        <w:rPr>
          <w:rFonts w:cs="Arial" w:ascii="Calibri" w:hAnsi="Calibri"/>
          <w:i/>
          <w:iCs/>
          <w:sz w:val="24"/>
          <w:szCs w:val="24"/>
        </w:rPr>
        <w:t>R$ 0,01 (um centavo)</w:t>
      </w:r>
      <w:r>
        <w:rPr>
          <w:rFonts w:cs="Arial" w:ascii="Calibri" w:hAnsi="Calibri"/>
          <w:i/>
          <w:iCs/>
          <w:color w:val="FF0000"/>
          <w:sz w:val="24"/>
          <w:szCs w:val="24"/>
        </w:rPr>
        <w:t>.</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lang w:eastAsia="en-US"/>
        </w:rPr>
        <w:t>Caso o fornecedor não apresente lances, concorrerá com o valor de sua proposta.</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lang w:eastAsia="en-US"/>
        </w:rPr>
        <w:t>O encerramento da fase de lances ocorrerá de forma automática pontualmente no horário indicado, sem qualquer possibilidade de prorrogação e não havendo tempo aleatório ou mecanismo similar.</w:t>
      </w:r>
    </w:p>
    <w:p>
      <w:pPr>
        <w:pStyle w:val="PADRO"/>
        <w:widowControl/>
        <w:numPr>
          <w:ilvl w:val="0"/>
          <w:numId w:val="1"/>
        </w:numPr>
        <w:spacing w:before="120" w:after="120"/>
        <w:ind w:left="709" w:hanging="364"/>
        <w:rPr>
          <w:rFonts w:ascii="Calibri" w:hAnsi="Calibri"/>
          <w:sz w:val="24"/>
          <w:szCs w:val="24"/>
        </w:rPr>
      </w:pPr>
      <w:r>
        <w:rPr>
          <w:rFonts w:cs="Arial" w:ascii="Calibri" w:hAnsi="Calibri"/>
          <w:b/>
          <w:sz w:val="24"/>
          <w:szCs w:val="24"/>
        </w:rPr>
        <w:t>JULGAMENTO DAS PROPOSTAS DE PREÇO</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sz w:val="24"/>
          <w:szCs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sz w:val="24"/>
          <w:szCs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sz w:val="24"/>
          <w:szCs w:val="24"/>
        </w:rPr>
        <w:t>Em qualquer caso, concluída a negociação, o resultado será registrado na ata do procedimento da dispensa eletrônica.</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sz w:val="24"/>
          <w:szCs w:val="24"/>
        </w:rPr>
        <w:t>Estando o preço compatível, será solicitado o envio da proposta e, se necessário, de documentos complementares, adequada ao último lance.</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 xml:space="preserve">O prazo de validade </w:t>
      </w:r>
      <w:r>
        <w:rPr>
          <w:rFonts w:cs="Arial" w:ascii="Calibri" w:hAnsi="Calibri"/>
          <w:sz w:val="24"/>
          <w:szCs w:val="24"/>
        </w:rPr>
        <w:t>da</w:t>
      </w:r>
      <w:r>
        <w:rPr>
          <w:rFonts w:cs="Arial" w:ascii="Calibri" w:hAnsi="Calibri"/>
          <w:color w:val="000000"/>
          <w:sz w:val="24"/>
          <w:szCs w:val="24"/>
        </w:rPr>
        <w:t xml:space="preserve"> proposta não será inferior a 60 </w:t>
      </w:r>
      <w:r>
        <w:rPr>
          <w:rFonts w:cs="Arial" w:ascii="Calibri" w:hAnsi="Calibri"/>
          <w:color w:val="FF0000"/>
          <w:sz w:val="24"/>
          <w:szCs w:val="24"/>
        </w:rPr>
        <w:t>(sessenta)</w:t>
      </w:r>
      <w:r>
        <w:rPr>
          <w:rFonts w:cs="Arial" w:ascii="Calibri" w:hAnsi="Calibri"/>
          <w:color w:val="000000"/>
          <w:sz w:val="24"/>
          <w:szCs w:val="24"/>
        </w:rPr>
        <w:t xml:space="preserve"> dias</w:t>
      </w:r>
      <w:r>
        <w:rPr>
          <w:rFonts w:cs="Arial" w:ascii="Calibri" w:hAnsi="Calibri"/>
          <w:b/>
          <w:bCs/>
          <w:color w:val="000000"/>
          <w:sz w:val="24"/>
          <w:szCs w:val="24"/>
        </w:rPr>
        <w:t>,</w:t>
      </w:r>
      <w:r>
        <w:rPr>
          <w:rFonts w:cs="Arial" w:ascii="Calibri" w:hAnsi="Calibri"/>
          <w:color w:val="000000"/>
          <w:sz w:val="24"/>
          <w:szCs w:val="24"/>
        </w:rPr>
        <w:t xml:space="preserve"> a contar da data de sua apresentação.</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lang w:eastAsia="en-US"/>
        </w:rPr>
        <w:t xml:space="preserve">Será desclassificada a proposta vencedora que: </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contiver vícios insanáveis</w:t>
      </w:r>
      <w:r>
        <w:rPr>
          <w:rFonts w:cs="Arial" w:ascii="Calibri" w:hAnsi="Calibri"/>
          <w:iCs/>
          <w:color w:val="000000"/>
          <w:sz w:val="24"/>
          <w:szCs w:val="24"/>
        </w:rPr>
        <w:t>;</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não obedecer às especificações técnicas pormenorizadas neste aviso</w:t>
      </w:r>
      <w:r>
        <w:rPr>
          <w:rFonts w:cs="Arial" w:ascii="Calibri" w:hAnsi="Calibri"/>
          <w:iCs/>
          <w:color w:val="000000"/>
          <w:sz w:val="24"/>
          <w:szCs w:val="24"/>
        </w:rPr>
        <w:t>;</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apresentar preços inexequíveis ou permanecerem acima do preço máximo definido para a contratação;</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não tiverem sua exequibilidade demonstrada, quando exigido pela Administração</w:t>
      </w:r>
      <w:r>
        <w:rPr>
          <w:rFonts w:cs="Arial" w:ascii="Calibri" w:hAnsi="Calibri"/>
          <w:iCs/>
          <w:color w:val="000000"/>
          <w:sz w:val="24"/>
          <w:szCs w:val="24"/>
        </w:rPr>
        <w:t>;</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apresentar desconformidade com quaisquer outras exigências deste aviso ou seus anexos, desde que insanável.</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lang w:eastAsia="en-US"/>
        </w:rPr>
        <w:t>Quando</w:t>
      </w:r>
      <w:r>
        <w:rPr>
          <w:rFonts w:cs="Arial" w:ascii="Calibri" w:hAnsi="Calibri"/>
          <w:sz w:val="24"/>
          <w:szCs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09" w:right="-15" w:hanging="364"/>
        <w:contextualSpacing/>
        <w:jc w:val="both"/>
        <w:rPr>
          <w:rFonts w:ascii="Calibri" w:hAnsi="Calibri"/>
          <w:sz w:val="24"/>
          <w:szCs w:val="24"/>
        </w:rPr>
      </w:pPr>
      <w:r>
        <w:rPr>
          <w:rFonts w:cs="Arial" w:ascii="Calibri" w:hAnsi="Calibri"/>
          <w:color w:val="000000"/>
          <w:sz w:val="24"/>
          <w:szCs w:val="24"/>
          <w:lang w:eastAsia="en-US"/>
        </w:rPr>
        <w:t xml:space="preserve">Se houver indícios de inexequibilidade da proposta de preço, ou em caso da necessidade de esclarecimentos </w:t>
      </w:r>
      <w:r>
        <w:rPr>
          <w:rFonts w:cs="Arial" w:ascii="Calibri" w:hAnsi="Calibri"/>
          <w:sz w:val="24"/>
          <w:szCs w:val="24"/>
        </w:rPr>
        <w:t>complementares</w:t>
      </w:r>
      <w:r>
        <w:rPr>
          <w:rFonts w:cs="Arial" w:ascii="Calibri" w:hAnsi="Calibri"/>
          <w:color w:val="000000"/>
          <w:sz w:val="24"/>
          <w:szCs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lang w:eastAsia="en-US"/>
        </w:rPr>
        <w:t xml:space="preserve">Erros no preenchimento da planilha não constituem motivo para a desclassificação da proposta. A planilha </w:t>
      </w:r>
      <w:r>
        <w:rPr>
          <w:rFonts w:cs="Arial" w:ascii="Calibri" w:hAnsi="Calibri"/>
          <w:sz w:val="24"/>
          <w:szCs w:val="24"/>
        </w:rPr>
        <w:t>poderá</w:t>
      </w:r>
      <w:r>
        <w:rPr>
          <w:rFonts w:cs="Arial" w:ascii="Calibri" w:hAnsi="Calibri"/>
          <w:color w:val="000000"/>
          <w:sz w:val="24"/>
          <w:szCs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lang w:eastAsia="en-US"/>
        </w:rPr>
        <w:t>Encerrada a análise quanto à aceitação da proposta, se iniciará a fase de habilitação, observado o disposto neste Aviso de Contratação Direta. </w:t>
      </w:r>
    </w:p>
    <w:p>
      <w:pPr>
        <w:pStyle w:val="PADRO"/>
        <w:widowControl/>
        <w:numPr>
          <w:ilvl w:val="0"/>
          <w:numId w:val="1"/>
        </w:numPr>
        <w:spacing w:before="120" w:after="120"/>
        <w:ind w:left="709" w:hanging="364"/>
        <w:rPr>
          <w:rFonts w:ascii="Calibri" w:hAnsi="Calibri"/>
          <w:sz w:val="24"/>
          <w:szCs w:val="24"/>
        </w:rPr>
      </w:pPr>
      <w:r>
        <w:rPr>
          <w:rFonts w:cs="Arial" w:ascii="Calibri" w:hAnsi="Calibri"/>
          <w:b/>
          <w:sz w:val="24"/>
          <w:szCs w:val="24"/>
        </w:rPr>
        <w:t>HABILITAÇÃO</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sz w:val="24"/>
          <w:szCs w:val="24"/>
          <w:lang w:eastAsia="ar-SA"/>
        </w:rPr>
        <w:t xml:space="preserve">Como </w:t>
      </w:r>
      <w:r>
        <w:rPr>
          <w:rFonts w:cs="Arial" w:ascii="Calibri" w:hAnsi="Calibri"/>
          <w:color w:val="000000"/>
          <w:sz w:val="24"/>
          <w:szCs w:val="24"/>
        </w:rPr>
        <w:t>condição</w:t>
      </w:r>
      <w:r>
        <w:rPr>
          <w:rFonts w:cs="Arial" w:ascii="Calibri" w:hAnsi="Calibri"/>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709" w:hanging="364"/>
        <w:contextualSpacing/>
        <w:jc w:val="both"/>
        <w:rPr>
          <w:rFonts w:ascii="Calibri" w:hAnsi="Calibri"/>
          <w:sz w:val="24"/>
          <w:szCs w:val="24"/>
        </w:rPr>
      </w:pPr>
      <w:r>
        <w:rPr>
          <w:rFonts w:cs="Arial" w:ascii="Calibri" w:hAnsi="Calibri"/>
          <w:sz w:val="24"/>
          <w:szCs w:val="24"/>
          <w:lang w:eastAsia="ar-SA"/>
        </w:rPr>
        <w:t>a) SICAF;</w:t>
      </w:r>
    </w:p>
    <w:p>
      <w:pPr>
        <w:pStyle w:val="ListParagraph"/>
        <w:spacing w:lineRule="auto" w:line="276" w:before="120" w:after="120"/>
        <w:ind w:left="709" w:hanging="364"/>
        <w:contextualSpacing/>
        <w:jc w:val="both"/>
        <w:rPr/>
      </w:pPr>
      <w:r>
        <w:rPr>
          <w:rFonts w:cs="Arial" w:ascii="Calibri" w:hAnsi="Calibri"/>
          <w:sz w:val="24"/>
          <w:szCs w:val="24"/>
          <w:lang w:eastAsia="ar-SA"/>
        </w:rPr>
        <w:t>b) Cadastro Nacional de Empresas Inidôneas e Suspensas - CEIS, mantido pela Controladoria-Geral da União (</w:t>
      </w:r>
      <w:hyperlink r:id="rId11">
        <w:r>
          <w:rPr>
            <w:rStyle w:val="Hyperlink1"/>
            <w:rFonts w:eastAsia="Calibri" w:cs="Arial" w:ascii="Calibri" w:hAnsi="Calibri"/>
            <w:sz w:val="24"/>
            <w:szCs w:val="24"/>
            <w:lang w:eastAsia="ar-SA"/>
          </w:rPr>
          <w:t>www.portaldatransparencia.gov.br/ceis</w:t>
        </w:r>
      </w:hyperlink>
      <w:r>
        <w:rPr>
          <w:rFonts w:cs="Arial" w:ascii="Calibri" w:hAnsi="Calibri"/>
          <w:sz w:val="24"/>
          <w:szCs w:val="24"/>
          <w:lang w:eastAsia="ar-SA"/>
        </w:rPr>
        <w:t>);</w:t>
      </w:r>
    </w:p>
    <w:p>
      <w:pPr>
        <w:pStyle w:val="ListParagraph"/>
        <w:spacing w:lineRule="auto" w:line="276" w:before="120" w:after="120"/>
        <w:ind w:left="709" w:hanging="364"/>
        <w:contextualSpacing/>
        <w:jc w:val="both"/>
        <w:rPr/>
      </w:pPr>
      <w:r>
        <w:rPr>
          <w:rFonts w:cs="Arial" w:ascii="Calibri" w:hAnsi="Calibri"/>
          <w:sz w:val="24"/>
          <w:szCs w:val="24"/>
          <w:lang w:eastAsia="ar-SA"/>
        </w:rPr>
        <w:t>c) Cadastro Nacional de Condenações Cíveis por Atos de Improbidade Administrativa, mantido pelo Conselho Nacional de Justiça (</w:t>
      </w:r>
      <w:hyperlink r:id="rId12">
        <w:r>
          <w:rPr>
            <w:rStyle w:val="Hyperlink1"/>
            <w:rFonts w:eastAsia="Calibri" w:cs="Arial" w:ascii="Calibri" w:hAnsi="Calibri"/>
            <w:sz w:val="24"/>
            <w:szCs w:val="24"/>
            <w:lang w:eastAsia="ar-SA"/>
          </w:rPr>
          <w:t>www.cnj.jus.br/improbidade_adm/consultar_requerido.php</w:t>
        </w:r>
      </w:hyperlink>
      <w:r>
        <w:rPr>
          <w:rFonts w:cs="Arial" w:ascii="Calibri" w:hAnsi="Calibri"/>
          <w:sz w:val="24"/>
          <w:szCs w:val="24"/>
          <w:lang w:eastAsia="ar-SA"/>
        </w:rPr>
        <w:t xml:space="preserve">).  </w:t>
      </w:r>
    </w:p>
    <w:p>
      <w:pPr>
        <w:pStyle w:val="ListParagraph"/>
        <w:spacing w:lineRule="auto" w:line="276" w:before="120" w:after="120"/>
        <w:ind w:left="709" w:hanging="364"/>
        <w:contextualSpacing/>
        <w:jc w:val="both"/>
        <w:rPr>
          <w:rFonts w:ascii="Calibri" w:hAnsi="Calibri"/>
          <w:sz w:val="24"/>
          <w:szCs w:val="24"/>
        </w:rPr>
      </w:pPr>
      <w:r>
        <w:rPr>
          <w:rFonts w:cs="Arial" w:ascii="Calibri" w:hAnsi="Calibri"/>
          <w:sz w:val="24"/>
          <w:szCs w:val="24"/>
          <w:lang w:eastAsia="ar-SA"/>
        </w:rPr>
        <w:t xml:space="preserve">d) Lista de Inidôneos mantida pelo Tribunal de Contas da União - TCU; </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sz w:val="24"/>
          <w:szCs w:val="24"/>
          <w:lang w:eastAsia="ar-SA"/>
        </w:rPr>
        <w:t xml:space="preserve">Para a consulta de </w:t>
      </w:r>
      <w:r>
        <w:rPr>
          <w:rFonts w:cs="Arial" w:ascii="Calibri" w:hAnsi="Calibri"/>
          <w:color w:val="000000"/>
          <w:sz w:val="24"/>
          <w:szCs w:val="24"/>
        </w:rPr>
        <w:t>fornecedores</w:t>
      </w:r>
      <w:r>
        <w:rPr>
          <w:rFonts w:cs="Arial" w:ascii="Calibri" w:hAnsi="Calibri"/>
          <w:sz w:val="24"/>
          <w:szCs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 xml:space="preserve">A consulta aos </w:t>
      </w:r>
      <w:r>
        <w:rPr>
          <w:rFonts w:cs="Arial" w:ascii="Calibri" w:hAnsi="Calibri"/>
          <w:sz w:val="24"/>
          <w:szCs w:val="24"/>
          <w:lang w:eastAsia="ar-SA"/>
        </w:rPr>
        <w:t>cadastros</w:t>
      </w:r>
      <w:r>
        <w:rPr>
          <w:rFonts w:cs="Arial" w:ascii="Calibri" w:hAnsi="Calibri"/>
          <w:color w:val="000000"/>
          <w:sz w:val="24"/>
          <w:szCs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A tentativa de burla será verificada por meio dos vínculos societários, linhas de fornecimento similares, dentre outros.</w:t>
      </w:r>
    </w:p>
    <w:p>
      <w:pPr>
        <w:pStyle w:val="ListParagraph"/>
        <w:numPr>
          <w:ilvl w:val="4"/>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O fornecedor será convocado para manifestação previamente à sua desclassificação</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Constatada a existência de sanção, o fornecedor será reputado inabilitado, por falta de condição de participação.</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 xml:space="preserve">Caso atendidas as condições de participação, </w:t>
      </w:r>
      <w:r>
        <w:rPr>
          <w:rFonts w:cs="Arial" w:ascii="Calibri" w:hAnsi="Calibri"/>
          <w:sz w:val="24"/>
          <w:szCs w:val="24"/>
        </w:rPr>
        <w:t>a habilitação dos fornecedores será verificada por meio do SICAF, nos documentos por ele abrangidos</w:t>
      </w:r>
      <w:r>
        <w:rPr>
          <w:rFonts w:cs="Arial" w:ascii="Calibri" w:hAnsi="Calibri"/>
          <w:color w:val="000000"/>
          <w:sz w:val="24"/>
          <w:szCs w:val="24"/>
        </w:rPr>
        <w:t>.</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09" w:hanging="364"/>
        <w:contextualSpacing/>
        <w:jc w:val="both"/>
        <w:rPr/>
      </w:pPr>
      <w:r>
        <w:rPr>
          <w:rFonts w:cs="Arial" w:ascii="Calibri" w:hAnsi="Calibri"/>
          <w:color w:val="000000"/>
          <w:sz w:val="24"/>
          <w:szCs w:val="24"/>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para endereço </w:t>
      </w:r>
      <w:hyperlink r:id="rId13">
        <w:r>
          <w:rPr>
            <w:rStyle w:val="Hyperlink1"/>
            <w:rFonts w:cs="Arial" w:ascii="Calibri" w:hAnsi="Calibri"/>
            <w:b/>
            <w:bCs/>
            <w:color w:val="0000FF"/>
            <w:sz w:val="24"/>
            <w:szCs w:val="24"/>
            <w:u w:val="none"/>
          </w:rPr>
          <w:t>salc.raj@hotmail.com</w:t>
        </w:r>
      </w:hyperlink>
      <w:r>
        <w:rPr>
          <w:rFonts w:cs="Arial" w:ascii="Calibri" w:hAnsi="Calibri"/>
          <w:color w:val="000000"/>
          <w:sz w:val="24"/>
          <w:szCs w:val="24"/>
        </w:rPr>
        <w:t>, sob pena de inabilitação.</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bCs/>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bCs/>
          <w:sz w:val="24"/>
          <w:szCs w:val="24"/>
        </w:rPr>
        <w:t xml:space="preserve">Havendo </w:t>
      </w:r>
      <w:r>
        <w:rPr>
          <w:rFonts w:cs="Arial" w:ascii="Calibri" w:hAnsi="Calibri"/>
          <w:iCs/>
          <w:sz w:val="24"/>
          <w:szCs w:val="24"/>
          <w:lang w:eastAsia="en-US"/>
        </w:rPr>
        <w:t>necessidade</w:t>
      </w:r>
      <w:r>
        <w:rPr>
          <w:rFonts w:cs="Arial" w:ascii="Calibri" w:hAnsi="Calibri"/>
          <w:bCs/>
          <w:sz w:val="24"/>
          <w:szCs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 xml:space="preserve">Será inabilitado o fornecedor que não comprovar sua habilitação, seja por não apresentar </w:t>
      </w:r>
      <w:r>
        <w:rPr>
          <w:rFonts w:cs="Arial" w:ascii="Calibri" w:hAnsi="Calibri"/>
          <w:iCs/>
          <w:sz w:val="24"/>
          <w:szCs w:val="24"/>
          <w:lang w:eastAsia="en-US"/>
        </w:rPr>
        <w:t>quaisquer</w:t>
      </w:r>
      <w:r>
        <w:rPr>
          <w:rFonts w:cs="Arial" w:ascii="Calibri" w:hAnsi="Calibri"/>
          <w:color w:val="000000"/>
          <w:sz w:val="24"/>
          <w:szCs w:val="24"/>
        </w:rPr>
        <w:t xml:space="preserve"> dos </w:t>
      </w:r>
      <w:r>
        <w:rPr>
          <w:rFonts w:cs="Arial" w:ascii="Calibri" w:hAnsi="Calibri"/>
          <w:bCs/>
          <w:sz w:val="24"/>
          <w:szCs w:val="24"/>
        </w:rPr>
        <w:t>documentos</w:t>
      </w:r>
      <w:r>
        <w:rPr>
          <w:rFonts w:cs="Arial" w:ascii="Calibri" w:hAnsi="Calibri"/>
          <w:color w:val="000000"/>
          <w:sz w:val="24"/>
          <w:szCs w:val="24"/>
        </w:rPr>
        <w:t xml:space="preserve"> exigidos, ou apresentá-los em desacordo com o estabelecido neste Aviso de Contratação Direta.</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iCs/>
          <w:sz w:val="24"/>
          <w:szCs w:val="24"/>
          <w:lang w:eastAsia="en-US"/>
        </w:rPr>
        <w:t>Constatado o atendimento às exigências de habilitação, o fornecedor será habilitado</w:t>
      </w:r>
    </w:p>
    <w:p>
      <w:pPr>
        <w:pStyle w:val="PADRO"/>
        <w:widowControl/>
        <w:numPr>
          <w:ilvl w:val="0"/>
          <w:numId w:val="1"/>
        </w:numPr>
        <w:spacing w:before="120" w:after="120"/>
        <w:ind w:left="709" w:hanging="364"/>
        <w:rPr>
          <w:rFonts w:ascii="Calibri" w:hAnsi="Calibri"/>
          <w:sz w:val="24"/>
          <w:szCs w:val="24"/>
        </w:rPr>
      </w:pPr>
      <w:r>
        <w:rPr>
          <w:rFonts w:cs="Arial" w:ascii="Calibri" w:hAnsi="Calibri"/>
          <w:b/>
          <w:sz w:val="24"/>
          <w:szCs w:val="24"/>
        </w:rPr>
        <w:t>CONTRATAÇÃO</w:t>
      </w:r>
    </w:p>
    <w:p>
      <w:pPr>
        <w:pStyle w:val="Normal"/>
        <w:numPr>
          <w:ilvl w:val="1"/>
          <w:numId w:val="1"/>
        </w:numPr>
        <w:spacing w:lineRule="auto" w:line="276" w:before="120" w:after="120"/>
        <w:ind w:left="709" w:hanging="364"/>
        <w:jc w:val="both"/>
        <w:rPr>
          <w:rFonts w:ascii="Calibri" w:hAnsi="Calibri"/>
          <w:sz w:val="24"/>
          <w:szCs w:val="24"/>
        </w:rPr>
      </w:pPr>
      <w:r>
        <w:rPr>
          <w:rFonts w:eastAsia="Arial" w:cs="Arial" w:ascii="Calibri" w:hAnsi="Calibri"/>
          <w:color w:val="000000"/>
          <w:sz w:val="24"/>
          <w:szCs w:val="24"/>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709" w:hanging="364"/>
        <w:jc w:val="both"/>
        <w:rPr>
          <w:rFonts w:ascii="Calibri" w:hAnsi="Calibri"/>
          <w:sz w:val="24"/>
          <w:szCs w:val="24"/>
        </w:rPr>
      </w:pPr>
      <w:r>
        <w:rPr>
          <w:rFonts w:eastAsia="Arial" w:cs="Arial" w:ascii="Calibri" w:hAnsi="Calibri"/>
          <w:color w:val="000000"/>
          <w:sz w:val="24"/>
          <w:szCs w:val="24"/>
        </w:rPr>
        <w:t xml:space="preserve">O adjudicatário terá o prazo de 02 </w:t>
      </w:r>
      <w:r>
        <w:rPr>
          <w:rFonts w:eastAsia="Arial" w:cs="Arial" w:ascii="Calibri" w:hAnsi="Calibri"/>
          <w:color w:val="FF0000"/>
          <w:sz w:val="24"/>
          <w:szCs w:val="24"/>
        </w:rPr>
        <w:t>(dois) dias úteis</w:t>
      </w:r>
      <w:r>
        <w:rPr>
          <w:rFonts w:eastAsia="Arial" w:cs="Arial" w:ascii="Calibri" w:hAnsi="Calibri"/>
          <w:color w:val="000000"/>
          <w:sz w:val="24"/>
          <w:szCs w:val="24"/>
        </w:rPr>
        <w:t xml:space="preserve">, contados a partir da data de sua convocação, para </w:t>
      </w:r>
      <w:r>
        <w:rPr>
          <w:rFonts w:eastAsia="Arial" w:cs="Arial" w:ascii="Calibri" w:hAnsi="Calibri"/>
          <w:color w:val="FF0000"/>
          <w:sz w:val="24"/>
          <w:szCs w:val="24"/>
        </w:rPr>
        <w:t xml:space="preserve">assinar o Termo de Contrato ou aceitar instrumento equivalente, conforme o caso (Nota de Empenho/Carta Contrato/Autorização), </w:t>
      </w:r>
      <w:r>
        <w:rPr>
          <w:rFonts w:eastAsia="Arial" w:cs="Arial" w:ascii="Calibri" w:hAnsi="Calibri"/>
          <w:color w:val="000000"/>
          <w:sz w:val="24"/>
          <w:szCs w:val="24"/>
        </w:rPr>
        <w:t xml:space="preserve">sob pena de decair do direito à contratação, sem prejuízo das sanções previstas neste Aviso de Contratação Direta. </w:t>
      </w:r>
    </w:p>
    <w:p>
      <w:pPr>
        <w:pStyle w:val="Normal"/>
        <w:numPr>
          <w:ilvl w:val="2"/>
          <w:numId w:val="1"/>
        </w:numPr>
        <w:spacing w:lineRule="auto" w:line="276" w:before="120" w:after="120"/>
        <w:ind w:left="709" w:hanging="364"/>
        <w:jc w:val="both"/>
        <w:rPr>
          <w:rFonts w:ascii="Calibri" w:hAnsi="Calibri"/>
          <w:sz w:val="24"/>
          <w:szCs w:val="24"/>
        </w:rPr>
      </w:pPr>
      <w:r>
        <w:rPr>
          <w:rFonts w:eastAsia="Arial" w:cs="Arial" w:ascii="Calibri" w:hAnsi="Calibri"/>
          <w:i/>
          <w:color w:val="FF0000"/>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 (dois) dias utéis, a contar da data de seu recebimento. </w:t>
      </w:r>
    </w:p>
    <w:p>
      <w:pPr>
        <w:pStyle w:val="Normal"/>
        <w:numPr>
          <w:ilvl w:val="2"/>
          <w:numId w:val="1"/>
        </w:numPr>
        <w:spacing w:lineRule="auto" w:line="276" w:before="120" w:after="120"/>
        <w:ind w:left="709" w:hanging="364"/>
        <w:jc w:val="both"/>
        <w:rPr>
          <w:rFonts w:ascii="Calibri" w:hAnsi="Calibri"/>
          <w:sz w:val="24"/>
          <w:szCs w:val="24"/>
        </w:rPr>
      </w:pPr>
      <w:r>
        <w:rPr>
          <w:rFonts w:eastAsia="Arial" w:cs="Arial" w:ascii="Calibri" w:hAnsi="Calibri"/>
          <w:color w:val="000000"/>
          <w:sz w:val="24"/>
          <w:szCs w:val="24"/>
        </w:rPr>
        <w:t xml:space="preserve">O prazo previsto para assinatura do contrato ou aceitação da nota de empenho ou instrumento equivalente poderá ser prorrogado </w:t>
      </w:r>
      <w:r>
        <w:rPr>
          <w:rFonts w:cs="Times New Roman" w:ascii="Calibri" w:hAnsi="Calibri"/>
          <w:bCs/>
          <w:sz w:val="24"/>
          <w:szCs w:val="24"/>
        </w:rPr>
        <w:t>1 (uma) vez</w:t>
      </w:r>
      <w:r>
        <w:rPr>
          <w:rFonts w:eastAsia="Arial" w:cs="Arial" w:ascii="Calibri" w:hAnsi="Calibri"/>
          <w:sz w:val="24"/>
          <w:szCs w:val="24"/>
        </w:rPr>
        <w:t xml:space="preserve">, </w:t>
      </w:r>
      <w:r>
        <w:rPr>
          <w:rFonts w:eastAsia="Arial" w:cs="Arial" w:ascii="Calibri" w:hAnsi="Calibri"/>
          <w:color w:val="000000"/>
          <w:sz w:val="24"/>
          <w:szCs w:val="24"/>
        </w:rPr>
        <w:t>por igual período, por solicitação justificada do adjudicatário e aceita pela Administração.</w:t>
      </w:r>
    </w:p>
    <w:p>
      <w:pPr>
        <w:pStyle w:val="Normal"/>
        <w:numPr>
          <w:ilvl w:val="1"/>
          <w:numId w:val="1"/>
        </w:numPr>
        <w:spacing w:lineRule="auto" w:line="276" w:before="120" w:after="120"/>
        <w:ind w:left="709" w:hanging="364"/>
        <w:jc w:val="both"/>
        <w:rPr>
          <w:rFonts w:ascii="Calibri" w:hAnsi="Calibri"/>
          <w:sz w:val="24"/>
          <w:szCs w:val="24"/>
        </w:rPr>
      </w:pPr>
      <w:r>
        <w:rPr>
          <w:rFonts w:eastAsia="Arial" w:cs="Arial" w:ascii="Calibri" w:hAnsi="Calibri"/>
          <w:i/>
          <w:color w:val="FF0000"/>
          <w:sz w:val="24"/>
          <w:szCs w:val="24"/>
        </w:rPr>
        <w:t>O Aceite da Nota de Empenho ou do instrumento equivalente, emitida à empresa adjudicada, implica no reconhecimento de que:</w:t>
      </w:r>
    </w:p>
    <w:p>
      <w:pPr>
        <w:pStyle w:val="Normal"/>
        <w:numPr>
          <w:ilvl w:val="2"/>
          <w:numId w:val="1"/>
        </w:numPr>
        <w:spacing w:lineRule="auto" w:line="276" w:before="120" w:after="120"/>
        <w:ind w:left="709" w:hanging="364"/>
        <w:jc w:val="both"/>
        <w:rPr>
          <w:rFonts w:ascii="Calibri" w:hAnsi="Calibri"/>
          <w:sz w:val="24"/>
          <w:szCs w:val="24"/>
        </w:rPr>
      </w:pPr>
      <w:r>
        <w:rPr>
          <w:rFonts w:eastAsia="Arial" w:cs="Arial" w:ascii="Calibri" w:hAnsi="Calibri"/>
          <w:i/>
          <w:color w:val="FF0000"/>
          <w:sz w:val="24"/>
          <w:szCs w:val="24"/>
        </w:rPr>
        <w:t>referida Nota está substituindo o contrato, aplicando-se à relação de negócios ali estabelecida as disposições da Lei nº 14.133, de 2021;</w:t>
      </w:r>
    </w:p>
    <w:p>
      <w:pPr>
        <w:pStyle w:val="Normal"/>
        <w:numPr>
          <w:ilvl w:val="2"/>
          <w:numId w:val="1"/>
        </w:numPr>
        <w:spacing w:lineRule="auto" w:line="276" w:before="120" w:after="120"/>
        <w:ind w:left="709" w:hanging="364"/>
        <w:jc w:val="both"/>
        <w:rPr>
          <w:rFonts w:ascii="Calibri" w:hAnsi="Calibri"/>
          <w:sz w:val="24"/>
          <w:szCs w:val="24"/>
        </w:rPr>
      </w:pPr>
      <w:r>
        <w:rPr>
          <w:rFonts w:eastAsia="Arial" w:cs="Arial" w:ascii="Calibri" w:hAnsi="Calibri"/>
          <w:i/>
          <w:color w:val="FF0000"/>
          <w:sz w:val="24"/>
          <w:szCs w:val="24"/>
        </w:rPr>
        <w:t>a contratada se vincula à sua proposta e às previsões contidas no Aviso de Contratação Direta e seus anexos;</w:t>
      </w:r>
    </w:p>
    <w:p>
      <w:pPr>
        <w:pStyle w:val="Normal"/>
        <w:numPr>
          <w:ilvl w:val="2"/>
          <w:numId w:val="1"/>
        </w:numPr>
        <w:spacing w:lineRule="auto" w:line="276" w:before="120" w:after="120"/>
        <w:ind w:left="709" w:hanging="364"/>
        <w:jc w:val="both"/>
        <w:rPr>
          <w:rFonts w:ascii="Calibri" w:hAnsi="Calibri"/>
          <w:sz w:val="24"/>
          <w:szCs w:val="24"/>
        </w:rPr>
      </w:pPr>
      <w:r>
        <w:rPr>
          <w:rFonts w:eastAsia="Arial" w:cs="Arial" w:ascii="Calibri" w:hAnsi="Calibri"/>
          <w:i/>
          <w:color w:val="FF0000"/>
          <w:sz w:val="24"/>
          <w:szCs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709" w:hanging="364"/>
        <w:jc w:val="both"/>
        <w:rPr>
          <w:rFonts w:ascii="Calibri" w:hAnsi="Calibri"/>
          <w:sz w:val="24"/>
          <w:szCs w:val="24"/>
        </w:rPr>
      </w:pPr>
      <w:r>
        <w:rPr>
          <w:rFonts w:eastAsia="Arial" w:cs="Arial" w:ascii="Calibri" w:hAnsi="Calibri"/>
          <w:color w:val="000000"/>
          <w:sz w:val="24"/>
          <w:szCs w:val="24"/>
        </w:rPr>
        <w:t xml:space="preserve">O prazo de vigência da contratação é de 90 (noventa) dias prorrogável conforme previsão nos anexos a este Aviso de Contratação Direta. </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pPr>
        <w:pStyle w:val="PADRO"/>
        <w:widowControl/>
        <w:numPr>
          <w:ilvl w:val="0"/>
          <w:numId w:val="1"/>
        </w:numPr>
        <w:spacing w:before="120" w:after="120"/>
        <w:ind w:left="709" w:hanging="364"/>
        <w:rPr>
          <w:rFonts w:ascii="Calibri" w:hAnsi="Calibri"/>
          <w:sz w:val="24"/>
          <w:szCs w:val="24"/>
        </w:rPr>
      </w:pPr>
      <w:r>
        <w:rPr>
          <w:rFonts w:cs="Arial" w:ascii="Calibri" w:hAnsi="Calibri"/>
          <w:b/>
          <w:sz w:val="24"/>
          <w:szCs w:val="24"/>
        </w:rPr>
        <w:t>SANÇÕES</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sz w:val="24"/>
          <w:szCs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dar causa à inexecução parcial do contrato</w:t>
      </w:r>
      <w:r>
        <w:rPr>
          <w:rFonts w:cs="Arial" w:ascii="Calibri" w:hAnsi="Calibri"/>
          <w:sz w:val="24"/>
          <w:szCs w:val="24"/>
        </w:rPr>
        <w:t>;</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dar causa à inexecução total do contrato;</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deixar de entregar a documentação exigida para o certame;</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não manter a proposta, salvo em decorrência de fato superveniente devidamente justificado;</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 </w:t>
      </w:r>
      <w:r>
        <w:rPr>
          <w:rFonts w:cs="Arial" w:ascii="Calibri" w:hAnsi="Calibri"/>
          <w:color w:val="000000"/>
          <w:sz w:val="24"/>
          <w:szCs w:val="24"/>
        </w:rPr>
        <w:t>ensejar o retardamento da execução ou da entrega do objeto da licitação sem motivo justificado;</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fraudar a dispensa eletrônica ou praticar ato fraudulento na execução do contrato;</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 </w:t>
      </w:r>
      <w:r>
        <w:rPr>
          <w:rFonts w:cs="Arial" w:ascii="Calibri" w:hAnsi="Calibri"/>
          <w:color w:val="000000"/>
          <w:sz w:val="24"/>
          <w:szCs w:val="24"/>
        </w:rPr>
        <w:t>comportar-se de modo inidôneo ou cometer fraude de qualquer natureza;</w:t>
      </w:r>
    </w:p>
    <w:p>
      <w:pPr>
        <w:pStyle w:val="ListParagraph"/>
        <w:numPr>
          <w:ilvl w:val="3"/>
          <w:numId w:val="1"/>
        </w:numPr>
        <w:spacing w:lineRule="auto" w:line="276" w:before="120" w:after="120"/>
        <w:ind w:left="709" w:hanging="364"/>
        <w:contextualSpacing/>
        <w:jc w:val="both"/>
        <w:rPr>
          <w:rFonts w:ascii="Calibri" w:hAnsi="Calibri"/>
          <w:sz w:val="24"/>
          <w:szCs w:val="24"/>
        </w:rPr>
      </w:pPr>
      <w:r>
        <w:rPr>
          <w:rFonts w:cs="Arial" w:ascii="Calibri" w:hAnsi="Calibri"/>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 </w:t>
      </w:r>
      <w:r>
        <w:rPr>
          <w:rFonts w:cs="Arial" w:ascii="Calibri" w:hAnsi="Calibri"/>
          <w:color w:val="000000"/>
          <w:sz w:val="24"/>
          <w:szCs w:val="24"/>
        </w:rPr>
        <w:t>praticar atos ilícitos com vistas a frustrar os objetivos deste certame.</w:t>
      </w:r>
    </w:p>
    <w:p>
      <w:pPr>
        <w:pStyle w:val="Normal"/>
        <w:numPr>
          <w:ilvl w:val="2"/>
          <w:numId w:val="1"/>
        </w:numPr>
        <w:spacing w:lineRule="auto" w:line="276" w:before="120" w:after="120"/>
        <w:ind w:left="709" w:hanging="364"/>
        <w:jc w:val="both"/>
        <w:rPr/>
      </w:pPr>
      <w:r>
        <w:rPr>
          <w:rFonts w:cs="Arial" w:ascii="Calibri" w:hAnsi="Calibri"/>
          <w:color w:val="000000"/>
          <w:sz w:val="24"/>
          <w:szCs w:val="24"/>
        </w:rPr>
        <w:t>praticar ato lesivo previsto no </w:t>
      </w:r>
      <w:r>
        <w:fldChar w:fldCharType="begin"/>
      </w:r>
      <w:r>
        <w:rPr>
          <w:rStyle w:val="Hyperlink1"/>
          <w:sz w:val="24"/>
          <w:szCs w:val="24"/>
          <w:rFonts w:ascii="Calibri" w:hAnsi="Calibri"/>
          <w:color w:val="000000"/>
        </w:rPr>
        <w:instrText xml:space="preserve"> HYPERLINK "http://www.planalto.gov.br/ccivil_03/_Ato2011-2014/2013/Lei/L12846.htm" \l "art5"</w:instrText>
      </w:r>
      <w:r>
        <w:rPr>
          <w:rStyle w:val="Hyperlink1"/>
          <w:sz w:val="24"/>
          <w:szCs w:val="24"/>
          <w:rFonts w:ascii="Calibri" w:hAnsi="Calibri"/>
          <w:color w:val="000000"/>
        </w:rPr>
        <w:fldChar w:fldCharType="separate"/>
      </w:r>
      <w:r>
        <w:rPr>
          <w:rStyle w:val="Hyperlink1"/>
          <w:rFonts w:ascii="Calibri" w:hAnsi="Calibri"/>
          <w:color w:val="000000"/>
          <w:sz w:val="24"/>
          <w:szCs w:val="24"/>
        </w:rPr>
        <w:t>art. 5º da Lei nº 12.846, de 1º de agosto de 2013.</w:t>
      </w:r>
      <w:r>
        <w:rPr>
          <w:rStyle w:val="Hyperlink1"/>
          <w:sz w:val="24"/>
          <w:szCs w:val="24"/>
          <w:rFonts w:ascii="Calibri" w:hAnsi="Calibri"/>
          <w:color w:val="000000"/>
        </w:rPr>
        <w:fldChar w:fldCharType="end"/>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sz w:val="24"/>
          <w:szCs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ind w:left="709" w:hanging="364"/>
        <w:jc w:val="both"/>
        <w:rPr>
          <w:rFonts w:ascii="Calibri" w:hAnsi="Calibri"/>
          <w:sz w:val="24"/>
          <w:szCs w:val="24"/>
        </w:rPr>
      </w:pPr>
      <w:r>
        <w:rPr>
          <w:rFonts w:cs="Arial" w:ascii="Calibri" w:hAnsi="Calibri"/>
          <w:sz w:val="24"/>
          <w:szCs w:val="24"/>
        </w:rPr>
        <w:t>Advertência pela falta do subitem 8.1.1 deste Aviso de Contratação Direta,quando não se justificar a imposição de penalidade mais grave;</w:t>
      </w:r>
    </w:p>
    <w:p>
      <w:pPr>
        <w:pStyle w:val="Normal"/>
        <w:numPr>
          <w:ilvl w:val="2"/>
          <w:numId w:val="5"/>
        </w:numPr>
        <w:spacing w:lineRule="auto" w:line="276" w:before="120" w:after="120"/>
        <w:ind w:left="709" w:hanging="364"/>
        <w:jc w:val="both"/>
        <w:rPr>
          <w:rFonts w:ascii="Calibri" w:hAnsi="Calibri"/>
          <w:sz w:val="24"/>
          <w:szCs w:val="24"/>
        </w:rPr>
      </w:pPr>
      <w:r>
        <w:rPr>
          <w:rFonts w:cs="Arial" w:ascii="Calibri" w:hAnsi="Calibri"/>
          <w:sz w:val="24"/>
          <w:szCs w:val="24"/>
        </w:rPr>
        <w:t xml:space="preserve">Multa de </w:t>
      </w:r>
      <w:r>
        <w:rPr>
          <w:rFonts w:cs="Arial" w:ascii="Calibri" w:hAnsi="Calibri"/>
          <w:color w:val="FF0000"/>
          <w:sz w:val="24"/>
          <w:szCs w:val="24"/>
        </w:rPr>
        <w:t xml:space="preserve">10% ( dez por cento) </w:t>
      </w:r>
      <w:r>
        <w:rPr>
          <w:rFonts w:cs="Arial" w:ascii="Calibri" w:hAnsi="Calibri"/>
          <w:sz w:val="24"/>
          <w:szCs w:val="24"/>
        </w:rPr>
        <w:t>sobre o valor estimado do(s) item(s) prejudicado(s) pela conduta do fornecedor, por qualquer das infrações dos subitens 8.1.1 a 8.1.12;</w:t>
      </w:r>
    </w:p>
    <w:p>
      <w:pPr>
        <w:pStyle w:val="Normal"/>
        <w:numPr>
          <w:ilvl w:val="2"/>
          <w:numId w:val="5"/>
        </w:numPr>
        <w:spacing w:lineRule="auto" w:line="276" w:before="120" w:after="120"/>
        <w:ind w:left="709" w:hanging="364"/>
        <w:jc w:val="both"/>
        <w:rPr>
          <w:rFonts w:ascii="Calibri" w:hAnsi="Calibri"/>
          <w:sz w:val="24"/>
          <w:szCs w:val="24"/>
        </w:rPr>
      </w:pPr>
      <w:r>
        <w:rPr>
          <w:rFonts w:cs="Arial" w:ascii="Calibri" w:hAnsi="Calibri"/>
          <w:color w:val="000000"/>
          <w:sz w:val="24"/>
          <w:szCs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ascii="Calibri" w:hAnsi="Calibri"/>
          <w:sz w:val="24"/>
          <w:szCs w:val="24"/>
        </w:rPr>
        <w:t>;</w:t>
      </w:r>
    </w:p>
    <w:p>
      <w:pPr>
        <w:pStyle w:val="Normal"/>
        <w:numPr>
          <w:ilvl w:val="2"/>
          <w:numId w:val="5"/>
        </w:numPr>
        <w:spacing w:lineRule="auto" w:line="276" w:before="120" w:after="120"/>
        <w:ind w:left="709" w:hanging="364"/>
        <w:jc w:val="both"/>
        <w:rPr>
          <w:rFonts w:ascii="Calibri" w:hAnsi="Calibri"/>
          <w:sz w:val="24"/>
          <w:szCs w:val="24"/>
        </w:rPr>
      </w:pPr>
      <w:r>
        <w:rPr>
          <w:rFonts w:cs="Arial" w:ascii="Calibri" w:hAnsi="Calibri"/>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ascii="Calibri" w:hAnsi="Calibri"/>
          <w:sz w:val="24"/>
          <w:szCs w:val="24"/>
        </w:rPr>
        <w:t>;</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bCs/>
          <w:sz w:val="24"/>
          <w:szCs w:val="24"/>
        </w:rPr>
        <w:t>Na aplicação das sanções serão considerados:</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bCs/>
          <w:sz w:val="24"/>
          <w:szCs w:val="24"/>
        </w:rPr>
        <w:t>a natureza e a gravidade da infração cometida;</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bCs/>
          <w:sz w:val="24"/>
          <w:szCs w:val="24"/>
        </w:rPr>
        <w:t>as peculiaridades do caso concreto;</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bCs/>
          <w:sz w:val="24"/>
          <w:szCs w:val="24"/>
        </w:rPr>
        <w:t>as circunstâncias agravantes ou atenuantes;</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bCs/>
          <w:sz w:val="24"/>
          <w:szCs w:val="24"/>
        </w:rPr>
        <w:t>os danos que dela provierem para a Administração Pública;</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bCs/>
          <w:sz w:val="24"/>
          <w:szCs w:val="24"/>
        </w:rPr>
        <w:t>a implantação ou o aperfeiçoamento de programa de integridade, conforme normas e orientações dos órgãos de controle.</w:t>
      </w:r>
    </w:p>
    <w:p>
      <w:pPr>
        <w:pStyle w:val="Normal"/>
        <w:numPr>
          <w:ilvl w:val="1"/>
          <w:numId w:val="1"/>
        </w:numPr>
        <w:spacing w:lineRule="auto" w:line="276" w:before="120" w:after="120"/>
        <w:ind w:left="709" w:hanging="364"/>
        <w:jc w:val="both"/>
        <w:rPr>
          <w:rFonts w:ascii="Calibri" w:hAnsi="Calibri"/>
          <w:sz w:val="24"/>
          <w:szCs w:val="24"/>
        </w:rPr>
      </w:pPr>
      <w:bookmarkStart w:id="2" w:name="art156§6"/>
      <w:bookmarkStart w:id="3" w:name="art156§8"/>
      <w:bookmarkStart w:id="4" w:name="art156§7"/>
      <w:bookmarkEnd w:id="2"/>
      <w:bookmarkEnd w:id="3"/>
      <w:bookmarkEnd w:id="4"/>
      <w:r>
        <w:rPr>
          <w:rFonts w:cs="Arial" w:ascii="Calibri" w:hAnsi="Calibri"/>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709" w:hanging="364"/>
        <w:jc w:val="both"/>
        <w:rPr>
          <w:rFonts w:ascii="Calibri" w:hAnsi="Calibri"/>
          <w:sz w:val="24"/>
          <w:szCs w:val="24"/>
        </w:rPr>
      </w:pPr>
      <w:bookmarkStart w:id="5" w:name="art156§9"/>
      <w:bookmarkEnd w:id="5"/>
      <w:r>
        <w:rPr>
          <w:rFonts w:cs="Arial" w:ascii="Calibri" w:hAnsi="Calibri"/>
          <w:sz w:val="24"/>
          <w:szCs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sz w:val="24"/>
          <w:szCs w:val="24"/>
        </w:rPr>
        <w:t>A penalidade de multa pode ser aplicada cumulativamente com as demais sanções.</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sz w:val="24"/>
          <w:szCs w:val="24"/>
        </w:rPr>
        <w:t>As sanções por atos praticados no decorrer da contratação estão previstas nos anexos a este Aviso.</w:t>
      </w:r>
    </w:p>
    <w:p>
      <w:pPr>
        <w:pStyle w:val="ListParagraph"/>
        <w:keepNext w:val="true"/>
        <w:numPr>
          <w:ilvl w:val="0"/>
          <w:numId w:val="1"/>
        </w:numPr>
        <w:tabs>
          <w:tab w:val="clear" w:pos="708"/>
          <w:tab w:val="left" w:pos="959" w:leader="none"/>
        </w:tabs>
        <w:spacing w:before="120" w:after="120"/>
        <w:ind w:left="709" w:hanging="364"/>
        <w:contextualSpacing/>
        <w:jc w:val="both"/>
        <w:rPr>
          <w:rFonts w:ascii="Calibri" w:hAnsi="Calibri"/>
          <w:sz w:val="24"/>
          <w:szCs w:val="24"/>
        </w:rPr>
      </w:pPr>
      <w:r>
        <w:rPr>
          <w:rFonts w:cs="Arial" w:ascii="Calibri" w:hAnsi="Calibri"/>
          <w:b/>
          <w:sz w:val="24"/>
          <w:szCs w:val="24"/>
        </w:rPr>
        <w:t>DO LOCAL E PRAZO PARA ENTREGA DO OBJETO</w:t>
      </w:r>
    </w:p>
    <w:p>
      <w:pPr>
        <w:pStyle w:val="ListParagraph"/>
        <w:tabs>
          <w:tab w:val="clear" w:pos="708"/>
          <w:tab w:val="left" w:pos="959" w:leader="none"/>
        </w:tabs>
        <w:spacing w:before="120" w:after="120"/>
        <w:ind w:left="709" w:hanging="364"/>
        <w:contextualSpacing/>
        <w:jc w:val="both"/>
        <w:rPr/>
      </w:pPr>
      <w:r>
        <w:rPr>
          <w:rFonts w:cs="Arial" w:ascii="Calibri" w:hAnsi="Calibri"/>
          <w:b/>
          <w:bCs/>
          <w:sz w:val="24"/>
          <w:szCs w:val="24"/>
        </w:rPr>
        <w:t>9.1</w:t>
        <w:tab/>
      </w:r>
      <w:r>
        <w:rPr>
          <w:rFonts w:cs="Arial" w:ascii="Calibri" w:hAnsi="Calibri"/>
          <w:sz w:val="24"/>
          <w:szCs w:val="24"/>
        </w:rPr>
        <w:t xml:space="preserve">Rua Alcebiades Bobadilha da Cunha, 627 – Centro –79260-000 – Bela Vista – MS Fone/Fax (67) 3439 1241 – </w:t>
      </w:r>
      <w:hyperlink r:id="rId14">
        <w:r>
          <w:rPr>
            <w:rStyle w:val="Hyperlink1"/>
            <w:rFonts w:cs="Arial" w:ascii="Calibri" w:hAnsi="Calibri"/>
            <w:sz w:val="24"/>
            <w:szCs w:val="24"/>
          </w:rPr>
          <w:t>salc.raj@hotmail.com</w:t>
        </w:r>
      </w:hyperlink>
      <w:r>
        <w:rPr>
          <w:rStyle w:val="Hyperlink1"/>
          <w:rFonts w:cs="Arial" w:ascii="Calibri" w:hAnsi="Calibri"/>
          <w:sz w:val="24"/>
          <w:szCs w:val="24"/>
          <w:u w:val="none"/>
        </w:rPr>
        <w:t>.</w:t>
      </w:r>
      <w:r>
        <w:rPr>
          <w:rFonts w:cs="Arial" w:ascii="Calibri" w:hAnsi="Calibri"/>
          <w:sz w:val="24"/>
          <w:szCs w:val="24"/>
        </w:rPr>
        <w:t xml:space="preserve"> O prazo de entrega não poderá ser superior a 30 (trinta) dias corridos, a partir do recebimento da NOTA DE EMPENHO pela CONTRATADA.</w:t>
      </w:r>
    </w:p>
    <w:p>
      <w:pPr>
        <w:pStyle w:val="PADRO"/>
        <w:widowControl/>
        <w:numPr>
          <w:ilvl w:val="0"/>
          <w:numId w:val="1"/>
        </w:numPr>
        <w:spacing w:before="120" w:after="120"/>
        <w:ind w:left="709" w:hanging="364"/>
        <w:jc w:val="left"/>
        <w:rPr>
          <w:rFonts w:ascii="Calibri" w:hAnsi="Calibri"/>
          <w:sz w:val="24"/>
          <w:szCs w:val="24"/>
        </w:rPr>
      </w:pPr>
      <w:r>
        <w:rPr>
          <w:rFonts w:cs="Arial" w:ascii="Calibri" w:hAnsi="Calibri"/>
          <w:b/>
          <w:sz w:val="24"/>
          <w:szCs w:val="24"/>
        </w:rPr>
        <w:t>DAS DISPOSIÇÕES GERAIS</w:t>
      </w:r>
    </w:p>
    <w:p>
      <w:pPr>
        <w:pStyle w:val="Normal"/>
        <w:numPr>
          <w:ilvl w:val="1"/>
          <w:numId w:val="1"/>
        </w:numPr>
        <w:snapToGrid w:val="false"/>
        <w:spacing w:lineRule="auto" w:line="276" w:before="120" w:after="120"/>
        <w:ind w:left="709" w:hanging="364"/>
        <w:jc w:val="both"/>
        <w:rPr>
          <w:rFonts w:ascii="Calibri" w:hAnsi="Calibri"/>
          <w:sz w:val="24"/>
          <w:szCs w:val="24"/>
        </w:rPr>
      </w:pPr>
      <w:r>
        <w:rPr>
          <w:rFonts w:ascii="Calibri" w:hAnsi="Calibri"/>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No caso de todos os fornecedores restarem desclassificados ou inabilitados (procedimento fracassado), a Administração poderá:</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republicar o presente aviso com uma nova data;</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No caso do subitem anterior, a contratação será operacionalizada fora deste procedimento.</w:t>
      </w:r>
    </w:p>
    <w:p>
      <w:pPr>
        <w:pStyle w:val="Normal"/>
        <w:numPr>
          <w:ilvl w:val="2"/>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fixar prazo para que possa haver adequação das propostas ou da documentação de habilitação, conforme o caso.</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color w:val="000000"/>
          <w:sz w:val="24"/>
          <w:szCs w:val="24"/>
        </w:rPr>
        <w:t>Da sessão pública será divulgada Ata no sistema eletrônico.</w:t>
      </w:r>
    </w:p>
    <w:p>
      <w:pPr>
        <w:pStyle w:val="ListParagraph"/>
        <w:numPr>
          <w:ilvl w:val="1"/>
          <w:numId w:val="1"/>
        </w:numPr>
        <w:tabs>
          <w:tab w:val="clear" w:pos="708"/>
          <w:tab w:val="left" w:pos="1067" w:leader="none"/>
        </w:tabs>
        <w:spacing w:lineRule="auto" w:line="276" w:before="1" w:after="0"/>
        <w:ind w:left="709" w:hanging="364"/>
        <w:contextualSpacing/>
        <w:jc w:val="both"/>
        <w:rPr/>
      </w:pPr>
      <w:r>
        <w:rPr>
          <w:rFonts w:cs="Arial" w:ascii="Calibri" w:hAnsi="Calibri"/>
          <w:color w:val="000000"/>
          <w:sz w:val="24"/>
          <w:szCs w:val="24"/>
        </w:rPr>
        <w:t>Os esclarecimentos poderão ser dirigidos à SALC do 10º R C Mec através de e- mail (</w:t>
      </w:r>
      <w:hyperlink r:id="rId15">
        <w:r>
          <w:rPr>
            <w:rStyle w:val="Hyperlink1"/>
            <w:rFonts w:cs="Arial" w:ascii="Calibri" w:hAnsi="Calibri"/>
            <w:color w:val="007FFF"/>
            <w:sz w:val="24"/>
            <w:szCs w:val="24"/>
            <w:u w:val="none"/>
          </w:rPr>
          <w:t>salc.raj@hotmail.com</w:t>
        </w:r>
      </w:hyperlink>
      <w:r>
        <w:rPr>
          <w:rFonts w:cs="Arial" w:ascii="Calibri" w:hAnsi="Calibri"/>
          <w:color w:val="000000"/>
          <w:sz w:val="24"/>
          <w:szCs w:val="24"/>
        </w:rPr>
        <w:t>) ou contato telefônico (67-3439-1241).</w:t>
      </w:r>
    </w:p>
    <w:p>
      <w:pPr>
        <w:pStyle w:val="Normal"/>
        <w:spacing w:lineRule="auto" w:line="276" w:before="120" w:after="120"/>
        <w:ind w:left="709" w:hanging="364"/>
        <w:jc w:val="both"/>
        <w:rPr>
          <w:rFonts w:ascii="Calibri" w:hAnsi="Calibri"/>
          <w:sz w:val="24"/>
          <w:szCs w:val="24"/>
        </w:rPr>
      </w:pPr>
      <w:r>
        <w:rPr>
          <w:rFonts w:cs="Arial" w:ascii="Calibri" w:hAnsi="Calibri"/>
          <w:b/>
          <w:bCs/>
          <w:color w:val="000000"/>
          <w:sz w:val="24"/>
          <w:szCs w:val="24"/>
        </w:rPr>
        <w:t>ANEXO I – Documentação exigida para Habilitação</w:t>
      </w:r>
    </w:p>
    <w:p>
      <w:pPr>
        <w:pStyle w:val="Normal"/>
        <w:ind w:left="709" w:hanging="364"/>
        <w:jc w:val="both"/>
        <w:rPr>
          <w:rFonts w:ascii="Calibri" w:hAnsi="Calibri"/>
          <w:sz w:val="24"/>
          <w:szCs w:val="24"/>
        </w:rPr>
      </w:pPr>
      <w:r>
        <w:rPr>
          <w:rFonts w:ascii="Calibri" w:hAnsi="Calibri"/>
          <w:sz w:val="24"/>
          <w:szCs w:val="24"/>
        </w:rPr>
      </w:r>
    </w:p>
    <w:p>
      <w:pPr>
        <w:pStyle w:val="Normal"/>
        <w:ind w:left="709" w:hanging="364"/>
        <w:jc w:val="both"/>
        <w:rPr>
          <w:rFonts w:ascii="Calibri" w:hAnsi="Calibri"/>
          <w:sz w:val="24"/>
          <w:szCs w:val="24"/>
        </w:rPr>
      </w:pPr>
      <w:r>
        <w:rPr>
          <w:rFonts w:ascii="Calibri" w:hAnsi="Calibri"/>
          <w:sz w:val="24"/>
          <w:szCs w:val="24"/>
        </w:rPr>
      </w:r>
    </w:p>
    <w:p>
      <w:pPr>
        <w:pStyle w:val="Normal"/>
        <w:ind w:left="709" w:hanging="364"/>
        <w:jc w:val="center"/>
        <w:rPr>
          <w:rFonts w:ascii="Calibri" w:hAnsi="Calibri"/>
          <w:sz w:val="24"/>
          <w:szCs w:val="24"/>
        </w:rPr>
      </w:pPr>
      <w:r>
        <w:rPr>
          <w:rFonts w:ascii="Calibri" w:hAnsi="Calibri"/>
          <w:sz w:val="24"/>
          <w:szCs w:val="24"/>
        </w:rPr>
        <w:t>Bela Vista - MS, 07 de agosto de 2023.</w:t>
      </w:r>
    </w:p>
    <w:p>
      <w:pPr>
        <w:pStyle w:val="Normal"/>
        <w:ind w:left="709" w:hanging="364"/>
        <w:jc w:val="center"/>
        <w:rPr>
          <w:rFonts w:ascii="Calibri" w:hAnsi="Calibri"/>
          <w:sz w:val="24"/>
          <w:szCs w:val="24"/>
        </w:rPr>
      </w:pPr>
      <w:r>
        <w:rPr>
          <w:rFonts w:ascii="Calibri" w:hAnsi="Calibri"/>
          <w:sz w:val="24"/>
          <w:szCs w:val="24"/>
        </w:rPr>
      </w:r>
    </w:p>
    <w:p>
      <w:pPr>
        <w:pStyle w:val="Normal"/>
        <w:ind w:left="709" w:hanging="364"/>
        <w:jc w:val="both"/>
        <w:rPr>
          <w:rFonts w:ascii="Calibri" w:hAnsi="Calibri"/>
          <w:b/>
          <w:b/>
          <w:bCs/>
          <w:sz w:val="24"/>
          <w:szCs w:val="24"/>
        </w:rPr>
      </w:pPr>
      <w:r>
        <w:rPr>
          <w:rFonts w:ascii="Calibri" w:hAnsi="Calibri"/>
          <w:b/>
          <w:bCs/>
          <w:sz w:val="24"/>
          <w:szCs w:val="24"/>
        </w:rPr>
      </w:r>
    </w:p>
    <w:p>
      <w:pPr>
        <w:pStyle w:val="Normal"/>
        <w:jc w:val="center"/>
        <w:rPr>
          <w:rFonts w:ascii="Calibri" w:hAnsi="Calibri" w:cs="Times New Roman"/>
          <w:b/>
          <w:b/>
          <w:sz w:val="24"/>
          <w:szCs w:val="24"/>
        </w:rPr>
      </w:pPr>
      <w:r>
        <w:rPr>
          <w:rFonts w:cs="Times New Roman" w:ascii="Calibri" w:hAnsi="Calibri"/>
          <w:b/>
          <w:sz w:val="24"/>
          <w:szCs w:val="24"/>
        </w:rPr>
      </w:r>
    </w:p>
    <w:p>
      <w:pPr>
        <w:pStyle w:val="Normal"/>
        <w:ind w:left="709" w:hanging="364"/>
        <w:jc w:val="center"/>
        <w:rPr>
          <w:rFonts w:ascii="Calibri" w:hAnsi="Calibri"/>
          <w:sz w:val="24"/>
          <w:szCs w:val="24"/>
        </w:rPr>
      </w:pPr>
      <w:r>
        <w:rPr>
          <w:rFonts w:cs="Times New Roman" w:ascii="Calibri" w:hAnsi="Calibri"/>
          <w:b/>
          <w:bCs/>
          <w:color w:val="000000"/>
          <w:sz w:val="24"/>
          <w:szCs w:val="24"/>
        </w:rPr>
        <w:t>SIDNEI SPORQUIO TAMIOSSO – 2º Ten</w:t>
      </w:r>
    </w:p>
    <w:p>
      <w:pPr>
        <w:pStyle w:val="Normal"/>
        <w:ind w:left="709" w:hanging="364"/>
        <w:jc w:val="center"/>
        <w:rPr>
          <w:rFonts w:ascii="Calibri" w:hAnsi="Calibri"/>
          <w:sz w:val="24"/>
          <w:szCs w:val="24"/>
        </w:rPr>
      </w:pPr>
      <w:r>
        <w:rPr>
          <w:rFonts w:cs="Times New Roman" w:ascii="Calibri" w:hAnsi="Calibri"/>
          <w:bCs/>
          <w:color w:val="000000"/>
          <w:sz w:val="24"/>
          <w:szCs w:val="24"/>
        </w:rPr>
        <w:t>Encarregado do Setor de Material do 10º R C Mec</w:t>
      </w:r>
    </w:p>
    <w:p>
      <w:pPr>
        <w:pStyle w:val="Normal"/>
        <w:ind w:left="709" w:hanging="364"/>
        <w:jc w:val="center"/>
        <w:rPr>
          <w:rFonts w:ascii="Calibri" w:hAnsi="Calibri" w:cs="Times New Roman"/>
          <w:bCs/>
          <w:color w:val="000000"/>
          <w:sz w:val="24"/>
          <w:szCs w:val="24"/>
        </w:rPr>
      </w:pPr>
      <w:r>
        <w:rPr>
          <w:rFonts w:cs="Times New Roman" w:ascii="Calibri" w:hAnsi="Calibri"/>
          <w:bCs/>
          <w:color w:val="000000"/>
          <w:sz w:val="24"/>
          <w:szCs w:val="24"/>
        </w:rPr>
      </w:r>
    </w:p>
    <w:p>
      <w:pPr>
        <w:pStyle w:val="Normal"/>
        <w:ind w:left="709" w:hanging="364"/>
        <w:jc w:val="center"/>
        <w:rPr>
          <w:rFonts w:ascii="Calibri" w:hAnsi="Calibri" w:cs="Arial"/>
          <w:color w:val="000000"/>
          <w:sz w:val="24"/>
          <w:szCs w:val="24"/>
        </w:rPr>
      </w:pPr>
      <w:r>
        <w:rPr>
          <w:rFonts w:cs="Arial" w:ascii="Calibri" w:hAnsi="Calibri"/>
          <w:color w:val="000000"/>
          <w:sz w:val="24"/>
          <w:szCs w:val="24"/>
        </w:rPr>
      </w:r>
    </w:p>
    <w:p>
      <w:pPr>
        <w:pStyle w:val="Normal"/>
        <w:ind w:left="709" w:hanging="364"/>
        <w:jc w:val="both"/>
        <w:rPr>
          <w:rFonts w:ascii="Calibri" w:hAnsi="Calibri"/>
          <w:sz w:val="24"/>
          <w:szCs w:val="24"/>
        </w:rPr>
      </w:pPr>
      <w:r>
        <w:rPr>
          <w:rFonts w:cs="Arial" w:ascii="Calibri" w:hAnsi="Calibri"/>
          <w:b/>
          <w:bCs/>
          <w:sz w:val="24"/>
          <w:szCs w:val="24"/>
          <w:lang w:eastAsia="en-US"/>
        </w:rPr>
        <w:t>ANEXO I – DOCUMENTAÇÃO EXIGIDA PARA HABILITAÇÃO</w:t>
      </w:r>
    </w:p>
    <w:p>
      <w:pPr>
        <w:pStyle w:val="PADRO"/>
        <w:widowControl/>
        <w:numPr>
          <w:ilvl w:val="0"/>
          <w:numId w:val="3"/>
        </w:numPr>
        <w:spacing w:before="120" w:after="120"/>
        <w:ind w:left="709" w:hanging="364"/>
        <w:rPr>
          <w:rFonts w:ascii="Calibri" w:hAnsi="Calibri"/>
          <w:sz w:val="24"/>
          <w:szCs w:val="24"/>
        </w:rPr>
      </w:pPr>
      <w:r>
        <w:rPr>
          <w:rFonts w:cs="Arial" w:ascii="Calibri" w:hAnsi="Calibri"/>
          <w:b/>
          <w:bCs/>
          <w:color w:val="000000"/>
          <w:sz w:val="24"/>
          <w:szCs w:val="24"/>
        </w:rPr>
        <w:t>Regularidade fiscal, social e trabalhista:</w:t>
      </w:r>
    </w:p>
    <w:p>
      <w:pPr>
        <w:pStyle w:val="Normal"/>
        <w:numPr>
          <w:ilvl w:val="1"/>
          <w:numId w:val="3"/>
        </w:numPr>
        <w:tabs>
          <w:tab w:val="clear" w:pos="708"/>
          <w:tab w:val="left" w:pos="1440" w:leader="none"/>
        </w:tabs>
        <w:snapToGrid w:val="false"/>
        <w:spacing w:lineRule="auto" w:line="276" w:before="120" w:after="120"/>
        <w:ind w:left="709" w:hanging="364"/>
        <w:jc w:val="both"/>
        <w:rPr>
          <w:rFonts w:ascii="Calibri" w:hAnsi="Calibri"/>
          <w:sz w:val="24"/>
          <w:szCs w:val="24"/>
        </w:rPr>
      </w:pPr>
      <w:r>
        <w:rPr>
          <w:rFonts w:cs="Arial" w:ascii="Calibri" w:hAnsi="Calibri"/>
          <w:sz w:val="24"/>
          <w:szCs w:val="24"/>
          <w:lang w:eastAsia="en-US"/>
        </w:rPr>
        <w:t>prova de inscrição no Cadastro Nacional de Pessoas Jurídicas ou no Cadastro de Pessoas Físicas, conforme o caso;</w:t>
      </w:r>
    </w:p>
    <w:p>
      <w:pPr>
        <w:pStyle w:val="Normal"/>
        <w:numPr>
          <w:ilvl w:val="1"/>
          <w:numId w:val="3"/>
        </w:numPr>
        <w:tabs>
          <w:tab w:val="clear" w:pos="708"/>
          <w:tab w:val="left" w:pos="1440" w:leader="none"/>
        </w:tabs>
        <w:snapToGrid w:val="false"/>
        <w:spacing w:lineRule="auto" w:line="276" w:before="120" w:after="120"/>
        <w:ind w:left="709" w:hanging="364"/>
        <w:jc w:val="both"/>
        <w:rPr>
          <w:rFonts w:ascii="Calibri" w:hAnsi="Calibri"/>
          <w:sz w:val="24"/>
          <w:szCs w:val="24"/>
        </w:rPr>
      </w:pPr>
      <w:r>
        <w:rPr>
          <w:rFonts w:cs="Arial" w:ascii="Calibri" w:hAnsi="Calibr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708"/>
          <w:tab w:val="left" w:pos="1440" w:leader="none"/>
        </w:tabs>
        <w:snapToGrid w:val="false"/>
        <w:spacing w:lineRule="auto" w:line="276" w:before="120" w:after="120"/>
        <w:ind w:left="709" w:hanging="364"/>
        <w:jc w:val="both"/>
        <w:rPr>
          <w:rFonts w:ascii="Calibri" w:hAnsi="Calibri"/>
          <w:sz w:val="24"/>
          <w:szCs w:val="24"/>
        </w:rPr>
      </w:pPr>
      <w:r>
        <w:rPr>
          <w:rFonts w:cs="Arial" w:ascii="Calibri" w:hAnsi="Calibri"/>
          <w:color w:val="000000"/>
          <w:sz w:val="24"/>
          <w:szCs w:val="24"/>
          <w:lang w:eastAsia="en-US"/>
        </w:rPr>
        <w:t>prova de regularidade com o Fundo de Garantia do Tempo de Serviço (FGTS);</w:t>
      </w:r>
    </w:p>
    <w:p>
      <w:pPr>
        <w:pStyle w:val="Normal"/>
        <w:numPr>
          <w:ilvl w:val="1"/>
          <w:numId w:val="3"/>
        </w:numPr>
        <w:tabs>
          <w:tab w:val="clear" w:pos="708"/>
          <w:tab w:val="left" w:pos="1440" w:leader="none"/>
        </w:tabs>
        <w:snapToGrid w:val="false"/>
        <w:spacing w:lineRule="auto" w:line="276" w:before="120" w:after="120"/>
        <w:ind w:left="709" w:hanging="364"/>
        <w:jc w:val="both"/>
        <w:rPr>
          <w:rFonts w:ascii="Calibri" w:hAnsi="Calibri"/>
          <w:sz w:val="24"/>
          <w:szCs w:val="24"/>
        </w:rPr>
      </w:pPr>
      <w:r>
        <w:rPr>
          <w:rFonts w:cs="Arial" w:ascii="Calibri" w:hAnsi="Calibri"/>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clear" w:pos="708"/>
          <w:tab w:val="left" w:pos="1440" w:leader="none"/>
        </w:tabs>
        <w:snapToGrid w:val="false"/>
        <w:spacing w:lineRule="auto" w:line="276" w:before="120" w:after="120"/>
        <w:ind w:left="709" w:hanging="364"/>
        <w:jc w:val="both"/>
        <w:rPr>
          <w:rFonts w:ascii="Calibri" w:hAnsi="Calibri"/>
          <w:sz w:val="24"/>
          <w:szCs w:val="24"/>
        </w:rPr>
      </w:pPr>
      <w:r>
        <w:rPr>
          <w:rFonts w:cs="Arial" w:ascii="Calibri" w:hAnsi="Calibri"/>
          <w:bCs/>
          <w:sz w:val="24"/>
          <w:szCs w:val="24"/>
        </w:rPr>
        <w:t xml:space="preserve">prova de </w:t>
      </w:r>
      <w:r>
        <w:rPr>
          <w:rFonts w:cs="Arial" w:ascii="Calibri" w:hAnsi="Calibri"/>
          <w:color w:val="000000"/>
          <w:sz w:val="24"/>
          <w:szCs w:val="24"/>
        </w:rPr>
        <w:t xml:space="preserve">inscrição no cadastro de contribuintes </w:t>
      </w:r>
      <w:r>
        <w:rPr>
          <w:rFonts w:cs="Arial" w:ascii="Calibri" w:hAnsi="Calibri"/>
          <w:i/>
          <w:iCs/>
          <w:color w:val="FF0000"/>
          <w:sz w:val="24"/>
          <w:szCs w:val="24"/>
        </w:rPr>
        <w:t>estadual e/ou municipal</w:t>
      </w:r>
      <w:r>
        <w:rPr>
          <w:rFonts w:cs="Arial" w:ascii="Calibri" w:hAnsi="Calibri"/>
          <w:color w:val="000000"/>
          <w:sz w:val="24"/>
          <w:szCs w:val="24"/>
        </w:rPr>
        <w:t>, relativo ao domicílio ou sede do fornecedor, pertinente ao seu ramo de atividade e compatível com o objeto contratual</w:t>
      </w:r>
      <w:r>
        <w:rPr>
          <w:rFonts w:cs="Arial" w:ascii="Calibri" w:hAnsi="Calibri"/>
          <w:bCs/>
          <w:sz w:val="24"/>
          <w:szCs w:val="24"/>
        </w:rPr>
        <w:t xml:space="preserve">; </w:t>
      </w:r>
    </w:p>
    <w:p>
      <w:pPr>
        <w:pStyle w:val="Normal"/>
        <w:numPr>
          <w:ilvl w:val="1"/>
          <w:numId w:val="3"/>
        </w:numPr>
        <w:tabs>
          <w:tab w:val="clear" w:pos="708"/>
          <w:tab w:val="left" w:pos="1440" w:leader="none"/>
        </w:tabs>
        <w:snapToGrid w:val="false"/>
        <w:spacing w:lineRule="auto" w:line="276" w:before="120" w:after="120"/>
        <w:ind w:left="709" w:hanging="364"/>
        <w:jc w:val="both"/>
        <w:rPr>
          <w:rFonts w:ascii="Calibri" w:hAnsi="Calibri"/>
          <w:sz w:val="24"/>
          <w:szCs w:val="24"/>
        </w:rPr>
      </w:pPr>
      <w:r>
        <w:rPr>
          <w:rFonts w:cs="Arial" w:ascii="Calibri" w:hAnsi="Calibri"/>
          <w:sz w:val="24"/>
          <w:szCs w:val="24"/>
        </w:rPr>
        <w:t xml:space="preserve">prova de regularidade com a Fazenda </w:t>
      </w:r>
      <w:r>
        <w:rPr>
          <w:rFonts w:cs="Arial" w:ascii="Calibri" w:hAnsi="Calibri"/>
          <w:i/>
          <w:iCs/>
          <w:color w:val="FF0000"/>
          <w:sz w:val="24"/>
          <w:szCs w:val="24"/>
        </w:rPr>
        <w:t>Estadual e/ou Municipal</w:t>
      </w:r>
      <w:r>
        <w:rPr>
          <w:rFonts w:cs="Arial" w:ascii="Calibri" w:hAnsi="Calibri"/>
          <w:sz w:val="24"/>
          <w:szCs w:val="24"/>
        </w:rPr>
        <w:t xml:space="preserve"> do domicílio ou sede do fornecedor, relativa à atividade em cujo exercício contrata ou concorre; </w:t>
      </w:r>
    </w:p>
    <w:p>
      <w:pPr>
        <w:pStyle w:val="Normal"/>
        <w:numPr>
          <w:ilvl w:val="1"/>
          <w:numId w:val="3"/>
        </w:numPr>
        <w:tabs>
          <w:tab w:val="clear" w:pos="708"/>
          <w:tab w:val="left" w:pos="1440" w:leader="none"/>
        </w:tabs>
        <w:snapToGrid w:val="false"/>
        <w:spacing w:lineRule="auto" w:line="276" w:before="120" w:after="120"/>
        <w:ind w:left="709" w:hanging="364"/>
        <w:jc w:val="both"/>
        <w:rPr>
          <w:rFonts w:ascii="Calibri" w:hAnsi="Calibri"/>
          <w:sz w:val="24"/>
          <w:szCs w:val="24"/>
        </w:rPr>
      </w:pPr>
      <w:r>
        <w:rPr>
          <w:rFonts w:cs="Arial" w:ascii="Calibri" w:hAnsi="Calibri"/>
          <w:sz w:val="24"/>
          <w:szCs w:val="24"/>
        </w:rPr>
        <w:t xml:space="preserve">caso o fornecedor seja considerado isento dos tributos </w:t>
      </w:r>
      <w:r>
        <w:rPr>
          <w:rFonts w:cs="Arial" w:ascii="Calibri" w:hAnsi="Calibri"/>
          <w:i/>
          <w:color w:val="FF0000"/>
          <w:sz w:val="24"/>
          <w:szCs w:val="24"/>
        </w:rPr>
        <w:t xml:space="preserve">estaduais </w:t>
      </w:r>
      <w:r>
        <w:rPr>
          <w:rFonts w:cs="Arial" w:ascii="Calibri" w:hAnsi="Calibri"/>
          <w:b/>
          <w:i/>
          <w:color w:val="FF0000"/>
          <w:sz w:val="24"/>
          <w:szCs w:val="24"/>
          <w:u w:val="single"/>
        </w:rPr>
        <w:t>ou</w:t>
      </w:r>
      <w:r>
        <w:rPr>
          <w:rFonts w:cs="Arial" w:ascii="Calibri" w:hAnsi="Calibri"/>
          <w:i/>
          <w:color w:val="FF0000"/>
          <w:sz w:val="24"/>
          <w:szCs w:val="24"/>
        </w:rPr>
        <w:t xml:space="preserve"> municipais </w:t>
      </w:r>
      <w:r>
        <w:rPr>
          <w:rFonts w:cs="Arial" w:ascii="Calibri" w:hAnsi="Calibri"/>
          <w:sz w:val="24"/>
          <w:szCs w:val="24"/>
        </w:rPr>
        <w:t xml:space="preserve">relacionados ao objeto contratual, deverá comprovar tal condição mediante a apresentação de declaração da Fazenda respectiva do seu domicílio ou sede, ou outra equivalente, na forma da lei; </w:t>
      </w:r>
    </w:p>
    <w:p>
      <w:pPr>
        <w:pStyle w:val="Normal"/>
        <w:tabs>
          <w:tab w:val="clear" w:pos="708"/>
          <w:tab w:val="left" w:pos="1440" w:leader="none"/>
        </w:tabs>
        <w:snapToGrid w:val="false"/>
        <w:spacing w:lineRule="auto" w:line="276" w:before="120" w:after="120"/>
        <w:ind w:left="1272" w:hanging="0"/>
        <w:rPr>
          <w:rFonts w:ascii="Calibri" w:hAnsi="Calibri" w:cs="Arial"/>
          <w:sz w:val="24"/>
          <w:szCs w:val="24"/>
        </w:rPr>
      </w:pPr>
      <w:r>
        <w:rPr>
          <w:rFonts w:cs="Arial" w:ascii="Calibri" w:hAnsi="Calibri"/>
          <w:sz w:val="24"/>
          <w:szCs w:val="24"/>
        </w:rPr>
      </w:r>
    </w:p>
    <w:p>
      <w:pPr>
        <w:pStyle w:val="Normal"/>
        <w:ind w:left="709" w:hanging="364"/>
        <w:jc w:val="center"/>
        <w:rPr>
          <w:rFonts w:ascii="Calibri" w:hAnsi="Calibri"/>
          <w:sz w:val="24"/>
          <w:szCs w:val="24"/>
        </w:rPr>
      </w:pPr>
      <w:r>
        <w:rPr>
          <w:rFonts w:ascii="Calibri" w:hAnsi="Calibri"/>
          <w:sz w:val="24"/>
          <w:szCs w:val="24"/>
        </w:rPr>
        <w:t>Bela Vista - MS, 07 de agosto de 2023.</w:t>
      </w:r>
    </w:p>
    <w:p>
      <w:pPr>
        <w:pStyle w:val="Normal"/>
        <w:ind w:left="709" w:hanging="364"/>
        <w:jc w:val="center"/>
        <w:rPr>
          <w:rFonts w:ascii="Calibri" w:hAnsi="Calibri"/>
          <w:sz w:val="24"/>
          <w:szCs w:val="24"/>
        </w:rPr>
      </w:pPr>
      <w:r>
        <w:rPr>
          <w:rFonts w:ascii="Calibri" w:hAnsi="Calibri"/>
          <w:sz w:val="24"/>
          <w:szCs w:val="24"/>
        </w:rPr>
      </w:r>
    </w:p>
    <w:p>
      <w:pPr>
        <w:pStyle w:val="Normal"/>
        <w:ind w:left="709" w:hanging="364"/>
        <w:jc w:val="center"/>
        <w:rPr>
          <w:rFonts w:ascii="Calibri" w:hAnsi="Calibri"/>
          <w:b/>
          <w:b/>
          <w:bCs/>
          <w:sz w:val="24"/>
          <w:szCs w:val="24"/>
        </w:rPr>
      </w:pPr>
      <w:r>
        <w:rPr>
          <w:rFonts w:ascii="Calibri" w:hAnsi="Calibri"/>
          <w:b/>
          <w:bCs/>
          <w:sz w:val="24"/>
          <w:szCs w:val="24"/>
        </w:rPr>
      </w:r>
    </w:p>
    <w:p>
      <w:pPr>
        <w:pStyle w:val="Normal"/>
        <w:ind w:firstLine="851"/>
        <w:jc w:val="center"/>
        <w:rPr>
          <w:rFonts w:ascii="Calibri" w:hAnsi="Calibri"/>
          <w:sz w:val="24"/>
          <w:szCs w:val="24"/>
        </w:rPr>
      </w:pPr>
      <w:r>
        <w:rPr>
          <w:rFonts w:cs="Times New Roman" w:ascii="Calibri" w:hAnsi="Calibri"/>
          <w:b/>
          <w:bCs/>
          <w:sz w:val="24"/>
          <w:szCs w:val="24"/>
        </w:rPr>
        <w:t>KENJI ALEXANDRE NAKAMURA – Cel</w:t>
      </w:r>
    </w:p>
    <w:p>
      <w:pPr>
        <w:pStyle w:val="Normal"/>
        <w:ind w:firstLine="851"/>
        <w:jc w:val="center"/>
        <w:rPr>
          <w:rFonts w:ascii="Calibri" w:hAnsi="Calibri"/>
          <w:sz w:val="24"/>
          <w:szCs w:val="24"/>
        </w:rPr>
      </w:pPr>
      <w:bookmarkStart w:id="6" w:name="__DdeLink__2225_1765120807"/>
      <w:bookmarkEnd w:id="6"/>
      <w:r>
        <w:rPr>
          <w:rFonts w:cs="Times New Roman" w:ascii="Calibri" w:hAnsi="Calibri"/>
          <w:bCs/>
          <w:sz w:val="24"/>
          <w:szCs w:val="24"/>
        </w:rPr>
        <w:t>Ordenador de Despesas</w:t>
      </w:r>
    </w:p>
    <w:sectPr>
      <w:footerReference w:type="default" r:id="rId16"/>
      <w:type w:val="nextPage"/>
      <w:pgSz w:w="11906" w:h="16838"/>
      <w:pgMar w:left="1701" w:right="1701" w:gutter="0" w:header="0" w:top="1417" w:footer="708" w:bottom="1417"/>
      <w:pgNumType w:fmt="decimal"/>
      <w:formProt w:val="false"/>
      <w:textDirection w:val="lrTb"/>
      <w:docGrid w:type="default" w:linePitch="360" w:charSpace="1802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1"/>
      <w:rPr>
        <w:sz w:val="12"/>
        <w:szCs w:val="12"/>
      </w:rPr>
    </w:pPr>
    <w:r>
      <w:rPr>
        <w:sz w:val="12"/>
        <w:szCs w:val="12"/>
      </w:rPr>
      <w:t>Câmara Nacional de Modelos de Licitações e Contratos – CNMLC/CGU/AGU</w:t>
    </w:r>
  </w:p>
  <w:p>
    <w:pPr>
      <w:pStyle w:val="Rodap1"/>
      <w:rPr>
        <w:sz w:val="12"/>
        <w:szCs w:val="12"/>
      </w:rPr>
    </w:pPr>
    <w:r>
      <w:rPr>
        <w:sz w:val="12"/>
        <w:szCs w:val="12"/>
      </w:rPr>
      <w:t>Aviso de Dispensa Eletrônica – Lei nº 14.133/21 e IN SEGES/ME nº 67/2021</w:t>
    </w:r>
  </w:p>
  <w:p>
    <w:pPr>
      <w:pStyle w:val="Rodap1"/>
      <w:rPr>
        <w:sz w:val="12"/>
        <w:szCs w:val="12"/>
      </w:rPr>
    </w:pPr>
    <w:r>
      <w:rPr>
        <w:sz w:val="12"/>
        <w:szCs w:val="12"/>
      </w:rPr>
      <w:t>Versão: Agosto/2023</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Fonts w:ascii="Arial" w:hAnsi="Arial"/>
      </w:rPr>
    </w:lvl>
    <w:lvl w:ilvl="1">
      <w:start w:val="1"/>
      <w:numFmt w:val="decimal"/>
      <w:lvlText w:val="%1.%2."/>
      <w:lvlJc w:val="left"/>
      <w:pPr>
        <w:tabs>
          <w:tab w:val="num" w:pos="0"/>
        </w:tabs>
        <w:ind w:left="792" w:hanging="432"/>
      </w:pPr>
      <w:rPr>
        <w:i w:val="false"/>
        <w:b/>
        <w:iCs/>
      </w:rPr>
    </w:lvl>
    <w:lvl w:ilvl="2">
      <w:start w:val="1"/>
      <w:numFmt w:val="decimal"/>
      <w:lvlText w:val="%1.%2.%3."/>
      <w:lvlJc w:val="left"/>
      <w:pPr>
        <w:tabs>
          <w:tab w:val="num" w:pos="0"/>
        </w:tabs>
        <w:ind w:left="930" w:hanging="504"/>
      </w:pPr>
      <w:rPr>
        <w:i w:val="false"/>
        <w:b/>
        <w:iCs/>
        <w:rFonts w:ascii="Arial" w:hAnsi="Arial" w:cs="Arial"/>
        <w:color w:val="00000A"/>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4"/>
      <w:numFmt w:val="decimal"/>
      <w:lvlText w:val="%1"/>
      <w:lvlJc w:val="left"/>
      <w:pPr>
        <w:tabs>
          <w:tab w:val="num" w:pos="0"/>
        </w:tabs>
        <w:ind w:left="435" w:hanging="435"/>
      </w:pPr>
      <w:rPr/>
    </w:lvl>
    <w:lvl w:ilvl="1">
      <w:start w:val="4"/>
      <w:numFmt w:val="decimal"/>
      <w:lvlText w:val="%1.%2"/>
      <w:lvlJc w:val="left"/>
      <w:pPr>
        <w:tabs>
          <w:tab w:val="num" w:pos="0"/>
        </w:tabs>
        <w:ind w:left="1002" w:hanging="435"/>
      </w:pPr>
      <w:rPr/>
    </w:lvl>
    <w:lvl w:ilvl="2">
      <w:start w:val="1"/>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3">
    <w:lvl w:ilvl="0">
      <w:start w:val="1"/>
      <w:numFmt w:val="decimal"/>
      <w:lvlText w:val="%1"/>
      <w:lvlJc w:val="left"/>
      <w:pPr>
        <w:tabs>
          <w:tab w:val="num" w:pos="0"/>
        </w:tabs>
        <w:ind w:left="360" w:hanging="360"/>
      </w:pPr>
      <w:rPr/>
    </w:lvl>
    <w:lvl w:ilvl="1">
      <w:start w:val="1"/>
      <w:numFmt w:val="decimal"/>
      <w:lvlText w:val="%1.%2"/>
      <w:lvlJc w:val="left"/>
      <w:pPr>
        <w:tabs>
          <w:tab w:val="num" w:pos="0"/>
        </w:tabs>
        <w:ind w:left="927" w:hanging="360"/>
      </w:pPr>
      <w:rPr>
        <w:b/>
      </w:rPr>
    </w:lvl>
    <w:lvl w:ilvl="2">
      <w:start w:val="1"/>
      <w:numFmt w:val="decimal"/>
      <w:lvlText w:val="%1.%2.%3"/>
      <w:lvlJc w:val="left"/>
      <w:pPr>
        <w:tabs>
          <w:tab w:val="num" w:pos="0"/>
        </w:tabs>
        <w:ind w:left="1854" w:hanging="720"/>
      </w:pPr>
      <w:rPr>
        <w:b/>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00000A"/>
      </w:rPr>
    </w:lvl>
    <w:lvl w:ilvl="3">
      <w:start w:val="1"/>
      <w:numFmt w:val="lowerLetter"/>
      <w:lvlText w:val="%4)"/>
      <w:lvlJc w:val="left"/>
      <w:pPr>
        <w:tabs>
          <w:tab w:val="num" w:pos="0"/>
        </w:tabs>
        <w:ind w:left="164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00000A"/>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20"/>
  <w:defaultTabStop w:val="708"/>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DejaVu Sans"/>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7407a"/>
    <w:pPr>
      <w:widowControl/>
      <w:suppressAutoHyphens w:val="true"/>
      <w:bidi w:val="0"/>
      <w:spacing w:before="0" w:after="0"/>
      <w:jc w:val="left"/>
    </w:pPr>
    <w:rPr>
      <w:rFonts w:ascii="Arial" w:hAnsi="Arial" w:eastAsia="Times New Roman" w:cs="Tahoma"/>
      <w:color w:val="00000A"/>
      <w:kern w:val="0"/>
      <w:sz w:val="20"/>
      <w:szCs w:val="24"/>
      <w:lang w:eastAsia="pt-BR" w:val="pt-BR" w:bidi="ar-SA"/>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qFormat/>
    <w:rsid w:val="0077407a"/>
    <w:rPr>
      <w:rFonts w:ascii="Arial" w:hAnsi="Arial" w:eastAsia="Calibri" w:cs="Tahoma"/>
      <w:i/>
      <w:iCs/>
      <w:color w:val="000000"/>
      <w:sz w:val="20"/>
      <w:szCs w:val="24"/>
    </w:rPr>
  </w:style>
  <w:style w:type="character" w:styleId="Nivel01Char" w:customStyle="1">
    <w:name w:val="Nivel 01 Char"/>
    <w:qFormat/>
    <w:rsid w:val="0077407a"/>
    <w:rPr>
      <w:rFonts w:ascii="Arial" w:hAnsi="Arial" w:eastAsia="Calibri" w:cs="Times New Roman"/>
      <w:b/>
      <w:bCs/>
      <w:color w:val="000000"/>
      <w:sz w:val="20"/>
      <w:szCs w:val="20"/>
      <w:lang w:eastAsia="pt-BR"/>
    </w:rPr>
  </w:style>
  <w:style w:type="character" w:styleId="Ttulo1Char" w:customStyle="1">
    <w:name w:val="Título 1 Char"/>
    <w:basedOn w:val="DefaultParagraphFont"/>
    <w:qFormat/>
    <w:rsid w:val="0077407a"/>
    <w:rPr>
      <w:rFonts w:ascii="Calibri Light" w:hAnsi="Calibri Light" w:eastAsia="Calibri" w:cs="DejaVu Sans"/>
      <w:color w:val="2F5496"/>
      <w:sz w:val="32"/>
      <w:szCs w:val="32"/>
      <w:lang w:eastAsia="pt-BR"/>
    </w:rPr>
  </w:style>
  <w:style w:type="character" w:styleId="Citao2Char" w:customStyle="1">
    <w:name w:val="citação 2 Char"/>
    <w:basedOn w:val="CitaoChar"/>
    <w:qFormat/>
    <w:rsid w:val="0077407a"/>
    <w:rPr>
      <w:rFonts w:ascii="Arial" w:hAnsi="Arial" w:eastAsia="Calibri" w:cs="Tahoma"/>
      <w:i/>
      <w:iCs/>
      <w:color w:val="000000"/>
      <w:sz w:val="20"/>
      <w:szCs w:val="20"/>
    </w:rPr>
  </w:style>
  <w:style w:type="character" w:styleId="QuoteChar" w:customStyle="1">
    <w:name w:val="Quote Char"/>
    <w:basedOn w:val="DefaultParagraphFont"/>
    <w:qFormat/>
    <w:rsid w:val="0077407a"/>
    <w:rPr>
      <w:rFonts w:ascii="Ecofont_Spranq_eco_Sans" w:hAnsi="Ecofont_Spranq_eco_Sans" w:eastAsia="Calibri" w:cs="Tahoma"/>
      <w:i/>
      <w:iCs/>
      <w:color w:val="000000"/>
    </w:rPr>
  </w:style>
  <w:style w:type="character" w:styleId="Annotationreference">
    <w:name w:val="annotation reference"/>
    <w:basedOn w:val="DefaultParagraphFont"/>
    <w:qFormat/>
    <w:rsid w:val="0077407a"/>
    <w:rPr>
      <w:sz w:val="16"/>
      <w:szCs w:val="16"/>
    </w:rPr>
  </w:style>
  <w:style w:type="character" w:styleId="TextodecomentrioChar" w:customStyle="1">
    <w:name w:val="Texto de comentário Char"/>
    <w:basedOn w:val="DefaultParagraphFont"/>
    <w:qFormat/>
    <w:rsid w:val="0077407a"/>
    <w:rPr>
      <w:rFonts w:ascii="Arial" w:hAnsi="Arial" w:eastAsia="Times New Roman" w:cs="Tahoma"/>
      <w:sz w:val="20"/>
      <w:szCs w:val="20"/>
      <w:lang w:eastAsia="pt-BR"/>
    </w:rPr>
  </w:style>
  <w:style w:type="character" w:styleId="AssuntodocomentrioChar" w:customStyle="1">
    <w:name w:val="Assunto do comentário Char"/>
    <w:basedOn w:val="TextodecomentrioChar"/>
    <w:qFormat/>
    <w:rsid w:val="0077407a"/>
    <w:rPr>
      <w:rFonts w:ascii="Arial" w:hAnsi="Arial" w:eastAsia="Times New Roman" w:cs="Tahoma"/>
      <w:b/>
      <w:bCs/>
      <w:sz w:val="20"/>
      <w:szCs w:val="20"/>
      <w:lang w:eastAsia="pt-BR"/>
    </w:rPr>
  </w:style>
  <w:style w:type="character" w:styleId="Hyperlink1" w:customStyle="1">
    <w:name w:val="Hyperlink1"/>
    <w:qFormat/>
    <w:rsid w:val="0077407a"/>
    <w:rPr>
      <w:color w:val="000080"/>
      <w:u w:val="single"/>
    </w:rPr>
  </w:style>
  <w:style w:type="character" w:styleId="Nivel4Char" w:customStyle="1">
    <w:name w:val="Nivel 4 Char"/>
    <w:basedOn w:val="DefaultParagraphFont"/>
    <w:qFormat/>
    <w:rsid w:val="0077407a"/>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qFormat/>
    <w:rsid w:val="0077407a"/>
    <w:rPr>
      <w:rFonts w:ascii="Segoe UI" w:hAnsi="Segoe UI" w:eastAsia="Times New Roman" w:cs="Segoe UI"/>
      <w:sz w:val="18"/>
      <w:szCs w:val="18"/>
      <w:lang w:eastAsia="pt-BR"/>
    </w:rPr>
  </w:style>
  <w:style w:type="character" w:styleId="CabealhoChar" w:customStyle="1">
    <w:name w:val="Cabeçalho Char"/>
    <w:basedOn w:val="DefaultParagraphFont"/>
    <w:qFormat/>
    <w:rsid w:val="0077407a"/>
    <w:rPr>
      <w:rFonts w:ascii="Arial" w:hAnsi="Arial" w:eastAsia="Times New Roman" w:cs="Tahoma"/>
      <w:sz w:val="20"/>
      <w:szCs w:val="24"/>
      <w:lang w:eastAsia="pt-BR"/>
    </w:rPr>
  </w:style>
  <w:style w:type="character" w:styleId="RodapChar" w:customStyle="1">
    <w:name w:val="Rodapé Char"/>
    <w:basedOn w:val="DefaultParagraphFont"/>
    <w:qFormat/>
    <w:rsid w:val="0077407a"/>
    <w:rPr>
      <w:rFonts w:ascii="Arial" w:hAnsi="Arial" w:eastAsia="Times New Roman" w:cs="Tahoma"/>
      <w:sz w:val="20"/>
      <w:szCs w:val="24"/>
      <w:lang w:eastAsia="pt-BR"/>
    </w:rPr>
  </w:style>
  <w:style w:type="character" w:styleId="InternetLink" w:customStyle="1">
    <w:name w:val="Internet Link"/>
    <w:qFormat/>
    <w:rsid w:val="0077407a"/>
    <w:rPr>
      <w:color w:val="000080"/>
      <w:u w:val="single"/>
    </w:rPr>
  </w:style>
  <w:style w:type="character" w:styleId="CabealhoChar1" w:customStyle="1">
    <w:name w:val="Cabeçalho Char1"/>
    <w:basedOn w:val="DefaultParagraphFont"/>
    <w:uiPriority w:val="99"/>
    <w:qFormat/>
    <w:rsid w:val="001a6105"/>
    <w:rPr>
      <w:rFonts w:ascii="Arial" w:hAnsi="Arial" w:eastAsia="Times New Roman" w:cs="Tahoma"/>
      <w:color w:val="00000A"/>
      <w:szCs w:val="24"/>
      <w:lang w:eastAsia="pt-BR"/>
    </w:rPr>
  </w:style>
  <w:style w:type="character" w:styleId="RodapChar1" w:customStyle="1">
    <w:name w:val="Rodapé Char1"/>
    <w:basedOn w:val="DefaultParagraphFont"/>
    <w:uiPriority w:val="99"/>
    <w:qFormat/>
    <w:rsid w:val="001a6105"/>
    <w:rPr>
      <w:rFonts w:ascii="Arial" w:hAnsi="Arial" w:eastAsia="Times New Roman" w:cs="Tahoma"/>
      <w:color w:val="00000A"/>
      <w:szCs w:val="24"/>
      <w:lang w:eastAsia="pt-BR"/>
    </w:rPr>
  </w:style>
  <w:style w:type="character" w:styleId="LinkdaInternet">
    <w:name w:val="Hyperlink"/>
    <w:rPr>
      <w:color w:val="000080"/>
      <w:u w:val="singl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rsid w:val="0077407a"/>
    <w:pPr>
      <w:spacing w:lineRule="auto" w:line="288" w:before="0" w:after="140"/>
    </w:pPr>
    <w:rPr/>
  </w:style>
  <w:style w:type="paragraph" w:styleId="Lista">
    <w:name w:val="List"/>
    <w:basedOn w:val="Corpodotexto"/>
    <w:rsid w:val="0077407a"/>
    <w:pPr/>
    <w:rPr>
      <w:rFonts w:cs="Arial"/>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rsid w:val="0077407a"/>
    <w:pPr>
      <w:suppressLineNumbers/>
    </w:pPr>
    <w:rPr>
      <w:rFonts w:cs="Arial"/>
    </w:rPr>
  </w:style>
  <w:style w:type="paragraph" w:styleId="Ttulododocumento">
    <w:name w:val="Title"/>
    <w:basedOn w:val="Normal"/>
    <w:next w:val="Corpodotexto"/>
    <w:qFormat/>
    <w:rsid w:val="0077407a"/>
    <w:pPr>
      <w:keepNext w:val="true"/>
      <w:spacing w:before="240" w:after="120"/>
    </w:pPr>
    <w:rPr>
      <w:rFonts w:ascii="Liberation Sans" w:hAnsi="Liberation Sans" w:eastAsia="Microsoft YaHei" w:cs="Arial"/>
      <w:sz w:val="28"/>
      <w:szCs w:val="28"/>
    </w:rPr>
  </w:style>
  <w:style w:type="paragraph" w:styleId="Caption">
    <w:name w:val="caption"/>
    <w:basedOn w:val="Normal"/>
    <w:qFormat/>
    <w:rsid w:val="0077407a"/>
    <w:pPr>
      <w:suppressLineNumbers/>
      <w:spacing w:before="120" w:after="120"/>
    </w:pPr>
    <w:rPr>
      <w:rFonts w:cs="Arial"/>
      <w:i/>
      <w:iCs/>
      <w:sz w:val="24"/>
    </w:rPr>
  </w:style>
  <w:style w:type="paragraph" w:styleId="Ttulo1" w:customStyle="1">
    <w:name w:val="Título1"/>
    <w:basedOn w:val="Normal"/>
    <w:next w:val="Corpodotexto"/>
    <w:qFormat/>
    <w:rsid w:val="0077407a"/>
    <w:pPr>
      <w:keepNext w:val="true"/>
      <w:spacing w:before="240" w:after="120"/>
    </w:pPr>
    <w:rPr>
      <w:rFonts w:ascii="Liberation Sans" w:hAnsi="Liberation Sans" w:eastAsia="WenQuanYi Micro Hei" w:cs="Lohit Devanagari"/>
      <w:sz w:val="28"/>
      <w:szCs w:val="28"/>
    </w:rPr>
  </w:style>
  <w:style w:type="paragraph" w:styleId="Legenda1" w:customStyle="1">
    <w:name w:val="Legenda1"/>
    <w:basedOn w:val="Normal"/>
    <w:qFormat/>
    <w:rsid w:val="0077407a"/>
    <w:pPr>
      <w:suppressLineNumbers/>
      <w:spacing w:before="120" w:after="120"/>
    </w:pPr>
    <w:rPr>
      <w:rFonts w:cs="Arial"/>
      <w:i/>
      <w:iCs/>
      <w:sz w:val="24"/>
    </w:rPr>
  </w:style>
  <w:style w:type="paragraph" w:styleId="Ttulo11" w:customStyle="1">
    <w:name w:val="Título 11"/>
    <w:basedOn w:val="Normal"/>
    <w:next w:val="Normal"/>
    <w:qFormat/>
    <w:rsid w:val="0077407a"/>
    <w:pPr>
      <w:keepNext w:val="true"/>
      <w:keepLines/>
      <w:spacing w:before="240" w:after="0"/>
      <w:outlineLvl w:val="0"/>
    </w:pPr>
    <w:rPr>
      <w:rFonts w:ascii="Calibri Light" w:hAnsi="Calibri Light" w:eastAsia="Calibri" w:cs="DejaVu Sans"/>
      <w:color w:val="2F5496"/>
      <w:sz w:val="32"/>
      <w:szCs w:val="32"/>
    </w:rPr>
  </w:style>
  <w:style w:type="paragraph" w:styleId="Quote">
    <w:name w:val="Quote"/>
    <w:basedOn w:val="Normal"/>
    <w:next w:val="Normal"/>
    <w:qFormat/>
    <w:rsid w:val="0077407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1"/>
    <w:next w:val="Normal"/>
    <w:qFormat/>
    <w:rsid w:val="0077407a"/>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77407a"/>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00000A"/>
      <w:kern w:val="0"/>
      <w:sz w:val="20"/>
      <w:szCs w:val="24"/>
      <w:lang w:eastAsia="zh-CN" w:bidi="hi-IN" w:val="pt-BR"/>
    </w:rPr>
  </w:style>
  <w:style w:type="paragraph" w:styleId="ListParagraph">
    <w:name w:val="List Paragraph"/>
    <w:basedOn w:val="Normal"/>
    <w:qFormat/>
    <w:rsid w:val="0077407a"/>
    <w:pPr>
      <w:spacing w:before="0" w:after="0"/>
      <w:ind w:left="720" w:hanging="0"/>
      <w:contextualSpacing/>
    </w:pPr>
    <w:rPr/>
  </w:style>
  <w:style w:type="paragraph" w:styleId="Citao2" w:customStyle="1">
    <w:name w:val="citação 2"/>
    <w:basedOn w:val="Quote"/>
    <w:qFormat/>
    <w:rsid w:val="0077407a"/>
    <w:pPr/>
    <w:rPr>
      <w:szCs w:val="20"/>
    </w:rPr>
  </w:style>
  <w:style w:type="paragraph" w:styleId="Citao1" w:customStyle="1">
    <w:name w:val="Citação1"/>
    <w:basedOn w:val="Normal"/>
    <w:next w:val="Normal"/>
    <w:qFormat/>
    <w:rsid w:val="0077407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qFormat/>
    <w:rsid w:val="0077407a"/>
    <w:pPr/>
    <w:rPr>
      <w:szCs w:val="20"/>
    </w:rPr>
  </w:style>
  <w:style w:type="paragraph" w:styleId="Annotationsubject">
    <w:name w:val="annotation subject"/>
    <w:basedOn w:val="Annotationtext"/>
    <w:qFormat/>
    <w:rsid w:val="0077407a"/>
    <w:pPr/>
    <w:rPr>
      <w:b/>
      <w:bCs/>
    </w:rPr>
  </w:style>
  <w:style w:type="paragraph" w:styleId="Nivel1" w:customStyle="1">
    <w:name w:val="Nivel1"/>
    <w:basedOn w:val="Ttulo11"/>
    <w:qFormat/>
    <w:rsid w:val="0077407a"/>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77407a"/>
    <w:pPr>
      <w:widowControl/>
      <w:suppressAutoHyphens w:val="true"/>
      <w:bidi w:val="0"/>
      <w:spacing w:lineRule="auto" w:line="276" w:before="120" w:after="120"/>
      <w:jc w:val="both"/>
    </w:pPr>
    <w:rPr>
      <w:rFonts w:ascii="Ecofont_Spranq_eco_Sans" w:hAnsi="Ecofont_Spranq_eco_Sans" w:eastAsia="Arial Unicode MS" w:cs="Times New Roman"/>
      <w:color w:val="00000A"/>
      <w:kern w:val="0"/>
      <w:sz w:val="20"/>
      <w:szCs w:val="20"/>
      <w:lang w:eastAsia="pt-BR" w:val="pt-BR" w:bidi="ar-SA"/>
    </w:rPr>
  </w:style>
  <w:style w:type="paragraph" w:styleId="Nivel11" w:customStyle="1">
    <w:name w:val="Nivel 1"/>
    <w:basedOn w:val="Nivel2"/>
    <w:qFormat/>
    <w:rsid w:val="0077407a"/>
    <w:pPr/>
    <w:rPr>
      <w:rFonts w:cs="Arial"/>
      <w:b/>
    </w:rPr>
  </w:style>
  <w:style w:type="paragraph" w:styleId="Nivel3" w:customStyle="1">
    <w:name w:val="Nivel 3"/>
    <w:basedOn w:val="Nivel2"/>
    <w:qFormat/>
    <w:rsid w:val="0077407a"/>
    <w:pPr/>
    <w:rPr>
      <w:rFonts w:cs="Arial"/>
      <w:color w:val="000000"/>
    </w:rPr>
  </w:style>
  <w:style w:type="paragraph" w:styleId="Nivel4" w:customStyle="1">
    <w:name w:val="Nivel 4"/>
    <w:basedOn w:val="Nivel3"/>
    <w:qFormat/>
    <w:rsid w:val="0077407a"/>
    <w:pPr/>
    <w:rPr>
      <w:color w:val="00000A"/>
    </w:rPr>
  </w:style>
  <w:style w:type="paragraph" w:styleId="Nivel5" w:customStyle="1">
    <w:name w:val="Nivel 5"/>
    <w:basedOn w:val="Nivel4"/>
    <w:qFormat/>
    <w:rsid w:val="0077407a"/>
    <w:pPr>
      <w:tabs>
        <w:tab w:val="clear" w:pos="708"/>
        <w:tab w:val="left" w:pos="360" w:leader="none"/>
      </w:tabs>
    </w:pPr>
    <w:rPr/>
  </w:style>
  <w:style w:type="paragraph" w:styleId="BalloonText">
    <w:name w:val="Balloon Text"/>
    <w:basedOn w:val="Normal"/>
    <w:qFormat/>
    <w:rsid w:val="0077407a"/>
    <w:pPr/>
    <w:rPr>
      <w:rFonts w:ascii="Segoe UI" w:hAnsi="Segoe UI" w:cs="Segoe UI"/>
      <w:sz w:val="18"/>
      <w:szCs w:val="18"/>
    </w:rPr>
  </w:style>
  <w:style w:type="paragraph" w:styleId="CabealhoeRodap" w:customStyle="1">
    <w:name w:val="Cabeçalho e Rodapé"/>
    <w:basedOn w:val="Normal"/>
    <w:qFormat/>
    <w:rsid w:val="0077407a"/>
    <w:pPr/>
    <w:rPr/>
  </w:style>
  <w:style w:type="paragraph" w:styleId="Cabealho1" w:customStyle="1">
    <w:name w:val="Cabeçalho1"/>
    <w:basedOn w:val="Normal"/>
    <w:qFormat/>
    <w:rsid w:val="0077407a"/>
    <w:pPr>
      <w:tabs>
        <w:tab w:val="clear" w:pos="708"/>
        <w:tab w:val="center" w:pos="4252" w:leader="none"/>
        <w:tab w:val="right" w:pos="8504" w:leader="none"/>
      </w:tabs>
    </w:pPr>
    <w:rPr/>
  </w:style>
  <w:style w:type="paragraph" w:styleId="Rodap1" w:customStyle="1">
    <w:name w:val="Rodapé1"/>
    <w:basedOn w:val="Normal"/>
    <w:qFormat/>
    <w:rsid w:val="0077407a"/>
    <w:pPr>
      <w:tabs>
        <w:tab w:val="clear" w:pos="708"/>
        <w:tab w:val="center" w:pos="4252" w:leader="none"/>
        <w:tab w:val="right" w:pos="8504" w:leader="none"/>
      </w:tabs>
    </w:pPr>
    <w:rPr/>
  </w:style>
  <w:style w:type="paragraph" w:styleId="Contedodatabela" w:customStyle="1">
    <w:name w:val="Conteúdo da tabela"/>
    <w:basedOn w:val="Normal"/>
    <w:qFormat/>
    <w:rsid w:val="0077407a"/>
    <w:pPr/>
    <w:rPr/>
  </w:style>
  <w:style w:type="paragraph" w:styleId="Rodap2" w:customStyle="1">
    <w:name w:val="Rodapé2"/>
    <w:basedOn w:val="Normal"/>
    <w:qFormat/>
    <w:rsid w:val="00032e7c"/>
    <w:pPr/>
    <w:rPr/>
  </w:style>
  <w:style w:type="paragraph" w:styleId="Cabealho">
    <w:name w:val="Header"/>
    <w:basedOn w:val="Normal"/>
    <w:link w:val="CabealhoChar1"/>
    <w:uiPriority w:val="99"/>
    <w:unhideWhenUsed/>
    <w:rsid w:val="001a6105"/>
    <w:pPr>
      <w:tabs>
        <w:tab w:val="clear" w:pos="708"/>
        <w:tab w:val="center" w:pos="4252" w:leader="none"/>
        <w:tab w:val="right" w:pos="8504" w:leader="none"/>
      </w:tabs>
    </w:pPr>
    <w:rPr/>
  </w:style>
  <w:style w:type="paragraph" w:styleId="Rodap">
    <w:name w:val="Footer"/>
    <w:basedOn w:val="Normal"/>
    <w:link w:val="RodapChar1"/>
    <w:uiPriority w:val="99"/>
    <w:unhideWhenUsed/>
    <w:rsid w:val="001a6105"/>
    <w:pPr>
      <w:tabs>
        <w:tab w:val="clear" w:pos="708"/>
        <w:tab w:val="center" w:pos="4252" w:leader="none"/>
        <w:tab w:val="right" w:pos="8504" w:leader="none"/>
      </w:tabs>
    </w:pPr>
    <w:rPr/>
  </w:style>
  <w:style w:type="paragraph" w:styleId="Ttulodetabela" w:customStyle="1">
    <w:name w:val="Título de tabela"/>
    <w:basedOn w:val="Contedodatabela"/>
    <w:qFormat/>
    <w:pPr>
      <w:suppressLineNumbers/>
      <w:jc w:val="center"/>
    </w:pPr>
    <w:rPr>
      <w:b/>
      <w:bCs/>
    </w:rPr>
  </w:style>
  <w:style w:type="paragraph" w:styleId="BodyText2">
    <w:name w:val="Body Text 2"/>
    <w:basedOn w:val="Normal"/>
    <w:qFormat/>
    <w:pPr/>
    <w:rPr>
      <w:rFonts w:cs="Times New Roman"/>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hyperlink" Target="https://www.literaturabrasileira.ufsc.br/documentos/?action=download&amp;id=83415" TargetMode="External"/><Relationship Id="rId9" Type="http://schemas.openxmlformats.org/officeDocument/2006/relationships/hyperlink" Target="" TargetMode="External"/><Relationship Id="rId10" Type="http://schemas.openxmlformats.org/officeDocument/2006/relationships/hyperlink" Target="http://www.planalto.gov.br/ccivil_03/LEIS/L6404consol.htm" TargetMode="External"/><Relationship Id="rId11" Type="http://schemas.openxmlformats.org/officeDocument/2006/relationships/hyperlink" Target="http://www.portaldatransparencia.gov.br/ceis" TargetMode="External"/><Relationship Id="rId12" Type="http://schemas.openxmlformats.org/officeDocument/2006/relationships/hyperlink" Target="http://www.cnj.jus.br/improbidade_adm/consultar_requerido.php" TargetMode="External"/><Relationship Id="rId13" Type="http://schemas.openxmlformats.org/officeDocument/2006/relationships/hyperlink" Target="mailto:salc.raj@hotmai.com" TargetMode="External"/><Relationship Id="rId14" Type="http://schemas.openxmlformats.org/officeDocument/2006/relationships/hyperlink" Target="mailto:salc.raj@hotmail.com" TargetMode="External"/><Relationship Id="rId15" Type="http://schemas.openxmlformats.org/officeDocument/2006/relationships/hyperlink" Target="mailto:salc.raj@hotmai.com" TargetMode="External"/><Relationship Id="rId16" Type="http://schemas.openxmlformats.org/officeDocument/2006/relationships/footer" Target="footer1.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810</TotalTime>
  <Application>LibreOffice/7.4.6.2$Windows_X86_64 LibreOffice_project/5b1f5509c2decdade7fda905e3e1429a67acd63d</Application>
  <AppVersion>15.0000</AppVersion>
  <Pages>17</Pages>
  <Words>5135</Words>
  <Characters>29528</Characters>
  <CharactersWithSpaces>34308</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User</dc:creator>
  <dc:description/>
  <dc:language>pt-BR</dc:language>
  <cp:lastModifiedBy/>
  <cp:lastPrinted>2023-08-07T13:27:00Z</cp:lastPrinted>
  <dcterms:modified xsi:type="dcterms:W3CDTF">2023-08-08T15:16:08Z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