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commentRangeStart w:id="0"/>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commentRangeEnd w:id="0"/>
      <w:r w:rsidRPr="004827F2">
        <w:rPr>
          <w:rStyle w:val="Refdecomentrio"/>
          <w:rFonts w:ascii="Arial" w:hAnsi="Arial" w:cs="Arial"/>
          <w:sz w:val="20"/>
          <w:szCs w:val="20"/>
        </w:rPr>
        <w:commentReference w:id="0"/>
      </w:r>
    </w:p>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4E3D0509" w14:textId="77777777" w:rsidR="00867FD8" w:rsidRPr="00C76895" w:rsidRDefault="00867FD8" w:rsidP="00867FD8">
      <w:pPr>
        <w:keepNext/>
        <w:jc w:val="center"/>
        <w:rPr>
          <w:rFonts w:ascii="Times New Roman" w:eastAsia="DejaVu Sans" w:hAnsi="Times New Roman" w:cs="Times New Roman"/>
          <w:b/>
          <w:lang w:eastAsia="zh-CN"/>
        </w:rPr>
      </w:pPr>
      <w:r w:rsidRPr="00C76895">
        <w:rPr>
          <w:rFonts w:ascii="Times New Roman" w:eastAsia="DejaVu Sans" w:hAnsi="Times New Roman" w:cs="Times New Roman"/>
          <w:b/>
          <w:lang w:eastAsia="zh-CN"/>
        </w:rPr>
        <w:t>MINISTÉRIO DA DEFESA</w:t>
      </w:r>
    </w:p>
    <w:p w14:paraId="15F71AF7" w14:textId="77777777" w:rsidR="00867FD8" w:rsidRPr="00C76895" w:rsidRDefault="00867FD8" w:rsidP="00867FD8">
      <w:pPr>
        <w:jc w:val="center"/>
        <w:rPr>
          <w:rFonts w:ascii="Times New Roman" w:hAnsi="Times New Roman" w:cs="Times New Roman"/>
          <w:b/>
          <w:lang w:eastAsia="zh-CN"/>
        </w:rPr>
      </w:pPr>
      <w:r w:rsidRPr="00C76895">
        <w:rPr>
          <w:rFonts w:ascii="Times New Roman" w:hAnsi="Times New Roman" w:cs="Times New Roman"/>
          <w:b/>
          <w:lang w:eastAsia="zh-CN"/>
        </w:rPr>
        <w:t>EXÉRCITO BRASILEIRO</w:t>
      </w:r>
    </w:p>
    <w:p w14:paraId="43D23066" w14:textId="77777777" w:rsidR="00867FD8" w:rsidRPr="00C76895" w:rsidRDefault="00867FD8" w:rsidP="00867FD8">
      <w:pPr>
        <w:jc w:val="center"/>
        <w:rPr>
          <w:rFonts w:ascii="Times New Roman" w:hAnsi="Times New Roman" w:cs="Times New Roman"/>
          <w:b/>
          <w:lang w:eastAsia="zh-CN"/>
        </w:rPr>
      </w:pPr>
      <w:r w:rsidRPr="00C76895">
        <w:rPr>
          <w:rFonts w:ascii="Times New Roman" w:hAnsi="Times New Roman" w:cs="Times New Roman"/>
          <w:b/>
          <w:lang w:eastAsia="zh-CN"/>
        </w:rPr>
        <w:t>DEPÓSITO CENTRAL DE MUNIÇÃO</w:t>
      </w:r>
    </w:p>
    <w:p w14:paraId="71979B82" w14:textId="77777777" w:rsidR="00867FD8" w:rsidRPr="00C76895" w:rsidRDefault="00867FD8" w:rsidP="00867FD8">
      <w:pPr>
        <w:jc w:val="center"/>
        <w:rPr>
          <w:rFonts w:ascii="Times New Roman" w:hAnsi="Times New Roman" w:cs="Times New Roman"/>
          <w:lang w:eastAsia="zh-CN"/>
        </w:rPr>
      </w:pPr>
      <w:r w:rsidRPr="00C76895">
        <w:rPr>
          <w:rFonts w:ascii="Times New Roman" w:hAnsi="Times New Roman" w:cs="Times New Roman"/>
          <w:b/>
          <w:lang w:eastAsia="zh-CN"/>
        </w:rPr>
        <w:t xml:space="preserve"> </w:t>
      </w:r>
      <w:r w:rsidRPr="00C76895">
        <w:rPr>
          <w:rFonts w:ascii="Times New Roman" w:hAnsi="Times New Roman" w:cs="Times New Roman"/>
          <w:b/>
          <w:bCs/>
          <w:lang w:eastAsia="zh-CN"/>
        </w:rPr>
        <w:t>(D C M B / 1918)</w:t>
      </w:r>
    </w:p>
    <w:p w14:paraId="727AFE01" w14:textId="77777777" w:rsidR="00867FD8" w:rsidRPr="00C76895" w:rsidRDefault="00867FD8" w:rsidP="00867FD8">
      <w:pPr>
        <w:spacing w:before="120" w:afterLines="120" w:after="288" w:line="312" w:lineRule="auto"/>
        <w:jc w:val="center"/>
        <w:rPr>
          <w:rFonts w:ascii="Times New Roman" w:hAnsi="Times New Roman" w:cs="Times New Roman"/>
          <w:color w:val="000000"/>
        </w:rPr>
      </w:pPr>
      <w:r w:rsidRPr="00C76895">
        <w:rPr>
          <w:rFonts w:ascii="Times New Roman" w:hAnsi="Times New Roman" w:cs="Times New Roman"/>
          <w:color w:val="000000"/>
        </w:rPr>
        <w:t xml:space="preserve">(Processo Administrativo n° </w:t>
      </w:r>
      <w:bookmarkStart w:id="1" w:name="_Hlk95399244"/>
      <w:r w:rsidRPr="00C76895">
        <w:rPr>
          <w:rFonts w:ascii="Times New Roman" w:hAnsi="Times New Roman" w:cs="Times New Roman"/>
        </w:rPr>
        <w:t>64449.002141/2023-</w:t>
      </w:r>
      <w:bookmarkEnd w:id="1"/>
      <w:r w:rsidRPr="00C76895">
        <w:rPr>
          <w:rFonts w:ascii="Times New Roman" w:hAnsi="Times New Roman" w:cs="Times New Roman"/>
        </w:rPr>
        <w:t>85</w:t>
      </w:r>
      <w:r w:rsidRPr="00C76895">
        <w:rPr>
          <w:rFonts w:ascii="Times New Roman" w:hAnsi="Times New Roman" w:cs="Times New Roman"/>
          <w:color w:val="000000"/>
        </w:rPr>
        <w:t>)</w:t>
      </w:r>
    </w:p>
    <w:p w14:paraId="736F6F69" w14:textId="44B4AA44" w:rsidR="00867FD8" w:rsidRPr="00C76895" w:rsidRDefault="00867FD8" w:rsidP="00867FD8">
      <w:pPr>
        <w:pStyle w:val="Prembulo"/>
        <w:spacing w:before="120" w:afterLines="120" w:after="288" w:line="312" w:lineRule="auto"/>
        <w:rPr>
          <w:rFonts w:ascii="Times New Roman" w:hAnsi="Times New Roman" w:cs="Times New Roman"/>
          <w:bCs w:val="0"/>
          <w:sz w:val="24"/>
          <w:szCs w:val="24"/>
        </w:rPr>
      </w:pPr>
      <w:r w:rsidRPr="00C76895">
        <w:rPr>
          <w:rFonts w:ascii="Times New Roman" w:hAnsi="Times New Roman" w:cs="Times New Roman"/>
          <w:bCs w:val="0"/>
          <w:sz w:val="24"/>
          <w:szCs w:val="24"/>
        </w:rPr>
        <w:t xml:space="preserve">CONTRATO ADMINISTRATIVO Nº ......../...., QUE FAZEM ENTRE SI A UNIÃO, POR INTERMÉDIO DO </w:t>
      </w:r>
      <w:r w:rsidR="00902EA0">
        <w:rPr>
          <w:rFonts w:ascii="Times New Roman" w:hAnsi="Times New Roman" w:cs="Times New Roman"/>
          <w:bCs w:val="0"/>
          <w:sz w:val="24"/>
          <w:szCs w:val="24"/>
        </w:rPr>
        <w:t xml:space="preserve">DEPÓSITO CENTRAL DE MUNIÇÃO </w:t>
      </w:r>
      <w:r w:rsidRPr="00C76895">
        <w:rPr>
          <w:rFonts w:ascii="Times New Roman" w:hAnsi="Times New Roman" w:cs="Times New Roman"/>
          <w:bCs w:val="0"/>
          <w:sz w:val="24"/>
          <w:szCs w:val="24"/>
        </w:rPr>
        <w:t xml:space="preserve">E .............................................................  </w:t>
      </w:r>
    </w:p>
    <w:p w14:paraId="15120383" w14:textId="28F6A651" w:rsidR="00867FD8" w:rsidRDefault="00867FD8" w:rsidP="00867FD8">
      <w:pPr>
        <w:pStyle w:val="Nivel01"/>
        <w:numPr>
          <w:ilvl w:val="0"/>
          <w:numId w:val="0"/>
        </w:numPr>
        <w:ind w:left="360"/>
        <w:rPr>
          <w:rFonts w:ascii="Times New Roman" w:hAnsi="Times New Roman"/>
          <w:b w:val="0"/>
          <w:bCs w:val="0"/>
          <w:sz w:val="24"/>
          <w:szCs w:val="24"/>
        </w:rPr>
      </w:pPr>
      <w:r w:rsidRPr="00C81166">
        <w:rPr>
          <w:rFonts w:ascii="Times New Roman" w:hAnsi="Times New Roman"/>
          <w:b w:val="0"/>
          <w:bCs w:val="0"/>
          <w:sz w:val="24"/>
          <w:szCs w:val="24"/>
        </w:rPr>
        <w:t>O Depósito Central de Munição, órgão do EXÉRCITO BRASILEIRO, com sede na Estrada RJ-127, km 6</w:t>
      </w:r>
      <w:r w:rsidRPr="00C81166">
        <w:rPr>
          <w:rFonts w:ascii="Times New Roman" w:hAnsi="Times New Roman"/>
          <w:b w:val="0"/>
          <w:bCs w:val="0"/>
          <w:spacing w:val="-47"/>
          <w:sz w:val="24"/>
          <w:szCs w:val="24"/>
        </w:rPr>
        <w:t xml:space="preserve"> </w:t>
      </w:r>
      <w:r w:rsidRPr="00C81166">
        <w:rPr>
          <w:rFonts w:ascii="Times New Roman" w:hAnsi="Times New Roman"/>
          <w:b w:val="0"/>
          <w:bCs w:val="0"/>
          <w:sz w:val="24"/>
          <w:szCs w:val="24"/>
        </w:rPr>
        <w:t>s/n</w:t>
      </w:r>
      <w:r w:rsidRPr="00C81166">
        <w:rPr>
          <w:rFonts w:ascii="Times New Roman" w:hAnsi="Times New Roman"/>
          <w:b w:val="0"/>
          <w:bCs w:val="0"/>
          <w:spacing w:val="12"/>
          <w:sz w:val="24"/>
          <w:szCs w:val="24"/>
        </w:rPr>
        <w:t xml:space="preserve"> </w:t>
      </w:r>
      <w:r w:rsidRPr="00C81166">
        <w:rPr>
          <w:rFonts w:ascii="Times New Roman" w:hAnsi="Times New Roman"/>
          <w:b w:val="0"/>
          <w:bCs w:val="0"/>
          <w:sz w:val="24"/>
          <w:szCs w:val="24"/>
        </w:rPr>
        <w:t>-</w:t>
      </w:r>
      <w:r w:rsidRPr="00C81166">
        <w:rPr>
          <w:rFonts w:ascii="Times New Roman" w:hAnsi="Times New Roman"/>
          <w:b w:val="0"/>
          <w:bCs w:val="0"/>
          <w:spacing w:val="12"/>
          <w:sz w:val="24"/>
          <w:szCs w:val="24"/>
        </w:rPr>
        <w:t xml:space="preserve"> </w:t>
      </w:r>
      <w:r w:rsidRPr="00C81166">
        <w:rPr>
          <w:rFonts w:ascii="Times New Roman" w:hAnsi="Times New Roman"/>
          <w:b w:val="0"/>
          <w:bCs w:val="0"/>
          <w:sz w:val="24"/>
          <w:szCs w:val="24"/>
        </w:rPr>
        <w:t>Cabral,</w:t>
      </w:r>
      <w:r w:rsidRPr="00C81166">
        <w:rPr>
          <w:rFonts w:ascii="Times New Roman" w:hAnsi="Times New Roman"/>
          <w:b w:val="0"/>
          <w:bCs w:val="0"/>
          <w:spacing w:val="12"/>
          <w:sz w:val="24"/>
          <w:szCs w:val="24"/>
        </w:rPr>
        <w:t xml:space="preserve"> </w:t>
      </w:r>
      <w:r w:rsidRPr="00C81166">
        <w:rPr>
          <w:rFonts w:ascii="Times New Roman" w:hAnsi="Times New Roman"/>
          <w:b w:val="0"/>
          <w:bCs w:val="0"/>
          <w:sz w:val="24"/>
          <w:szCs w:val="24"/>
        </w:rPr>
        <w:t>Paracambi</w:t>
      </w:r>
      <w:r w:rsidRPr="00C81166">
        <w:rPr>
          <w:rFonts w:ascii="Times New Roman" w:hAnsi="Times New Roman"/>
          <w:b w:val="0"/>
          <w:bCs w:val="0"/>
          <w:spacing w:val="10"/>
          <w:sz w:val="24"/>
          <w:szCs w:val="24"/>
        </w:rPr>
        <w:t xml:space="preserve"> </w:t>
      </w:r>
      <w:r w:rsidRPr="00C81166">
        <w:rPr>
          <w:rFonts w:ascii="Times New Roman" w:hAnsi="Times New Roman"/>
          <w:b w:val="0"/>
          <w:bCs w:val="0"/>
          <w:sz w:val="24"/>
          <w:szCs w:val="24"/>
        </w:rPr>
        <w:t>-</w:t>
      </w:r>
      <w:r w:rsidRPr="00C81166">
        <w:rPr>
          <w:rFonts w:ascii="Times New Roman" w:hAnsi="Times New Roman"/>
          <w:b w:val="0"/>
          <w:bCs w:val="0"/>
          <w:spacing w:val="12"/>
          <w:sz w:val="24"/>
          <w:szCs w:val="24"/>
        </w:rPr>
        <w:t xml:space="preserve"> </w:t>
      </w:r>
      <w:r w:rsidRPr="00C81166">
        <w:rPr>
          <w:rFonts w:ascii="Times New Roman" w:hAnsi="Times New Roman"/>
          <w:b w:val="0"/>
          <w:bCs w:val="0"/>
          <w:sz w:val="24"/>
          <w:szCs w:val="24"/>
        </w:rPr>
        <w:t>RJ,</w:t>
      </w:r>
      <w:r w:rsidRPr="00C81166">
        <w:rPr>
          <w:rFonts w:ascii="Times New Roman" w:hAnsi="Times New Roman"/>
          <w:b w:val="0"/>
          <w:bCs w:val="0"/>
          <w:spacing w:val="14"/>
          <w:sz w:val="24"/>
          <w:szCs w:val="24"/>
        </w:rPr>
        <w:t xml:space="preserve"> </w:t>
      </w:r>
      <w:r w:rsidRPr="00C81166">
        <w:rPr>
          <w:rFonts w:ascii="Times New Roman" w:hAnsi="Times New Roman"/>
          <w:b w:val="0"/>
          <w:bCs w:val="0"/>
          <w:sz w:val="24"/>
          <w:szCs w:val="24"/>
        </w:rPr>
        <w:t>26600-000,</w:t>
      </w:r>
      <w:r w:rsidRPr="00C81166">
        <w:rPr>
          <w:rFonts w:ascii="Times New Roman" w:hAnsi="Times New Roman"/>
          <w:b w:val="0"/>
          <w:bCs w:val="0"/>
          <w:spacing w:val="12"/>
          <w:sz w:val="24"/>
          <w:szCs w:val="24"/>
        </w:rPr>
        <w:t xml:space="preserve"> </w:t>
      </w:r>
      <w:r w:rsidRPr="00C81166">
        <w:rPr>
          <w:rFonts w:ascii="Times New Roman" w:hAnsi="Times New Roman"/>
          <w:b w:val="0"/>
          <w:bCs w:val="0"/>
          <w:sz w:val="24"/>
          <w:szCs w:val="24"/>
        </w:rPr>
        <w:t>inscrito</w:t>
      </w:r>
      <w:r w:rsidRPr="00C81166">
        <w:rPr>
          <w:rFonts w:ascii="Times New Roman" w:hAnsi="Times New Roman"/>
          <w:b w:val="0"/>
          <w:bCs w:val="0"/>
          <w:spacing w:val="12"/>
          <w:sz w:val="24"/>
          <w:szCs w:val="24"/>
        </w:rPr>
        <w:t xml:space="preserve"> </w:t>
      </w:r>
      <w:r w:rsidRPr="00C81166">
        <w:rPr>
          <w:rFonts w:ascii="Times New Roman" w:hAnsi="Times New Roman"/>
          <w:b w:val="0"/>
          <w:bCs w:val="0"/>
          <w:sz w:val="24"/>
          <w:szCs w:val="24"/>
        </w:rPr>
        <w:t>no</w:t>
      </w:r>
      <w:r w:rsidRPr="00C81166">
        <w:rPr>
          <w:rFonts w:ascii="Times New Roman" w:hAnsi="Times New Roman"/>
          <w:b w:val="0"/>
          <w:bCs w:val="0"/>
          <w:spacing w:val="12"/>
          <w:sz w:val="24"/>
          <w:szCs w:val="24"/>
        </w:rPr>
        <w:t xml:space="preserve"> </w:t>
      </w:r>
      <w:r w:rsidRPr="00C81166">
        <w:rPr>
          <w:rFonts w:ascii="Times New Roman" w:hAnsi="Times New Roman"/>
          <w:b w:val="0"/>
          <w:bCs w:val="0"/>
          <w:sz w:val="24"/>
          <w:szCs w:val="24"/>
        </w:rPr>
        <w:t>CNPJ/MF</w:t>
      </w:r>
      <w:r w:rsidRPr="00C81166">
        <w:rPr>
          <w:rFonts w:ascii="Times New Roman" w:hAnsi="Times New Roman"/>
          <w:b w:val="0"/>
          <w:bCs w:val="0"/>
          <w:spacing w:val="11"/>
          <w:sz w:val="24"/>
          <w:szCs w:val="24"/>
        </w:rPr>
        <w:t xml:space="preserve"> </w:t>
      </w:r>
      <w:r w:rsidRPr="00C81166">
        <w:rPr>
          <w:rFonts w:ascii="Times New Roman" w:hAnsi="Times New Roman"/>
          <w:b w:val="0"/>
          <w:bCs w:val="0"/>
          <w:sz w:val="24"/>
          <w:szCs w:val="24"/>
        </w:rPr>
        <w:t>sob</w:t>
      </w:r>
      <w:r w:rsidRPr="00C81166">
        <w:rPr>
          <w:rFonts w:ascii="Times New Roman" w:hAnsi="Times New Roman"/>
          <w:b w:val="0"/>
          <w:bCs w:val="0"/>
          <w:spacing w:val="12"/>
          <w:sz w:val="24"/>
          <w:szCs w:val="24"/>
        </w:rPr>
        <w:t xml:space="preserve"> </w:t>
      </w:r>
      <w:r w:rsidRPr="00C81166">
        <w:rPr>
          <w:rFonts w:ascii="Times New Roman" w:hAnsi="Times New Roman"/>
          <w:b w:val="0"/>
          <w:bCs w:val="0"/>
          <w:sz w:val="24"/>
          <w:szCs w:val="24"/>
        </w:rPr>
        <w:t>o</w:t>
      </w:r>
      <w:r w:rsidRPr="00C81166">
        <w:rPr>
          <w:rFonts w:ascii="Times New Roman" w:hAnsi="Times New Roman"/>
          <w:b w:val="0"/>
          <w:bCs w:val="0"/>
          <w:spacing w:val="12"/>
          <w:sz w:val="24"/>
          <w:szCs w:val="24"/>
        </w:rPr>
        <w:t xml:space="preserve"> </w:t>
      </w:r>
      <w:r w:rsidRPr="00C81166">
        <w:rPr>
          <w:rFonts w:ascii="Times New Roman" w:hAnsi="Times New Roman"/>
          <w:b w:val="0"/>
          <w:bCs w:val="0"/>
          <w:sz w:val="24"/>
          <w:szCs w:val="24"/>
        </w:rPr>
        <w:t>nº</w:t>
      </w:r>
      <w:r w:rsidRPr="00C81166">
        <w:rPr>
          <w:rFonts w:ascii="Times New Roman" w:eastAsia="Times New Roman" w:hAnsi="Times New Roman"/>
          <w:b w:val="0"/>
          <w:bCs w:val="0"/>
          <w:color w:val="000000"/>
          <w:sz w:val="24"/>
          <w:szCs w:val="24"/>
        </w:rPr>
        <w:t xml:space="preserve"> 09.586.924/0001-96</w:t>
      </w:r>
      <w:r w:rsidRPr="00C81166">
        <w:rPr>
          <w:rFonts w:ascii="Times New Roman" w:hAnsi="Times New Roman"/>
          <w:b w:val="0"/>
          <w:bCs w:val="0"/>
          <w:sz w:val="24"/>
          <w:szCs w:val="24"/>
        </w:rPr>
        <w:t>,</w:t>
      </w:r>
      <w:r w:rsidRPr="00C81166">
        <w:rPr>
          <w:rFonts w:ascii="Times New Roman" w:hAnsi="Times New Roman"/>
          <w:b w:val="0"/>
          <w:bCs w:val="0"/>
          <w:spacing w:val="11"/>
          <w:sz w:val="24"/>
          <w:szCs w:val="24"/>
        </w:rPr>
        <w:t xml:space="preserve"> </w:t>
      </w:r>
      <w:r w:rsidRPr="00C81166">
        <w:rPr>
          <w:rFonts w:ascii="Times New Roman" w:hAnsi="Times New Roman"/>
          <w:b w:val="0"/>
          <w:bCs w:val="0"/>
          <w:sz w:val="24"/>
          <w:szCs w:val="24"/>
        </w:rPr>
        <w:t>neste</w:t>
      </w:r>
      <w:r w:rsidRPr="00C81166">
        <w:rPr>
          <w:rFonts w:ascii="Times New Roman" w:hAnsi="Times New Roman"/>
          <w:b w:val="0"/>
          <w:bCs w:val="0"/>
          <w:spacing w:val="10"/>
          <w:sz w:val="24"/>
          <w:szCs w:val="24"/>
        </w:rPr>
        <w:t xml:space="preserve"> </w:t>
      </w:r>
      <w:r w:rsidRPr="00C81166">
        <w:rPr>
          <w:rFonts w:ascii="Times New Roman" w:hAnsi="Times New Roman"/>
          <w:b w:val="0"/>
          <w:bCs w:val="0"/>
          <w:sz w:val="24"/>
          <w:szCs w:val="24"/>
        </w:rPr>
        <w:t>ato</w:t>
      </w:r>
      <w:r w:rsidRPr="00C81166">
        <w:rPr>
          <w:rFonts w:ascii="Times New Roman" w:hAnsi="Times New Roman"/>
          <w:b w:val="0"/>
          <w:bCs w:val="0"/>
          <w:spacing w:val="11"/>
          <w:sz w:val="24"/>
          <w:szCs w:val="24"/>
        </w:rPr>
        <w:t xml:space="preserve"> </w:t>
      </w:r>
      <w:r w:rsidRPr="00C81166">
        <w:rPr>
          <w:rFonts w:ascii="Times New Roman" w:hAnsi="Times New Roman"/>
          <w:b w:val="0"/>
          <w:bCs w:val="0"/>
          <w:sz w:val="24"/>
          <w:szCs w:val="24"/>
        </w:rPr>
        <w:t>representado</w:t>
      </w:r>
      <w:r w:rsidRPr="00C81166">
        <w:rPr>
          <w:rFonts w:ascii="Times New Roman" w:hAnsi="Times New Roman"/>
          <w:b w:val="0"/>
          <w:bCs w:val="0"/>
          <w:spacing w:val="12"/>
          <w:sz w:val="24"/>
          <w:szCs w:val="24"/>
        </w:rPr>
        <w:t xml:space="preserve"> </w:t>
      </w:r>
      <w:r w:rsidRPr="00C81166">
        <w:rPr>
          <w:rFonts w:ascii="Times New Roman" w:hAnsi="Times New Roman"/>
          <w:b w:val="0"/>
          <w:bCs w:val="0"/>
          <w:sz w:val="24"/>
          <w:szCs w:val="24"/>
        </w:rPr>
        <w:t>neste</w:t>
      </w:r>
      <w:r w:rsidRPr="00C81166">
        <w:rPr>
          <w:rFonts w:ascii="Times New Roman" w:hAnsi="Times New Roman"/>
          <w:b w:val="0"/>
          <w:bCs w:val="0"/>
          <w:spacing w:val="10"/>
          <w:sz w:val="24"/>
          <w:szCs w:val="24"/>
        </w:rPr>
        <w:t xml:space="preserve"> </w:t>
      </w:r>
      <w:r w:rsidRPr="00C81166">
        <w:rPr>
          <w:rFonts w:ascii="Times New Roman" w:hAnsi="Times New Roman"/>
          <w:b w:val="0"/>
          <w:bCs w:val="0"/>
          <w:sz w:val="24"/>
          <w:szCs w:val="24"/>
        </w:rPr>
        <w:t xml:space="preserve">ato </w:t>
      </w:r>
      <w:r w:rsidRPr="00C81166">
        <w:rPr>
          <w:rFonts w:ascii="Times New Roman" w:hAnsi="Times New Roman"/>
          <w:b w:val="0"/>
          <w:bCs w:val="0"/>
          <w:spacing w:val="-48"/>
          <w:sz w:val="24"/>
          <w:szCs w:val="24"/>
        </w:rPr>
        <w:t xml:space="preserve"> </w:t>
      </w:r>
      <w:r w:rsidRPr="00C81166">
        <w:rPr>
          <w:rFonts w:ascii="Times New Roman" w:hAnsi="Times New Roman"/>
          <w:b w:val="0"/>
          <w:bCs w:val="0"/>
          <w:sz w:val="24"/>
          <w:szCs w:val="24"/>
        </w:rPr>
        <w:t>pelo T</w:t>
      </w:r>
      <w:r w:rsidRPr="00C81166">
        <w:rPr>
          <w:rFonts w:ascii="Times New Roman" w:hAnsi="Times New Roman"/>
          <w:b w:val="0"/>
          <w:bCs w:val="0"/>
          <w:spacing w:val="-10"/>
          <w:sz w:val="24"/>
          <w:szCs w:val="24"/>
        </w:rPr>
        <w:t xml:space="preserve"> </w:t>
      </w:r>
      <w:proofErr w:type="spellStart"/>
      <w:r w:rsidRPr="00C81166">
        <w:rPr>
          <w:rFonts w:ascii="Times New Roman" w:hAnsi="Times New Roman"/>
          <w:b w:val="0"/>
          <w:bCs w:val="0"/>
          <w:sz w:val="24"/>
          <w:szCs w:val="24"/>
        </w:rPr>
        <w:t>Cel</w:t>
      </w:r>
      <w:proofErr w:type="spellEnd"/>
      <w:r w:rsidRPr="00C81166">
        <w:rPr>
          <w:rFonts w:ascii="Times New Roman" w:hAnsi="Times New Roman"/>
          <w:b w:val="0"/>
          <w:bCs w:val="0"/>
          <w:sz w:val="24"/>
          <w:szCs w:val="24"/>
          <w:u w:val="single"/>
        </w:rPr>
        <w:t xml:space="preserve"> </w:t>
      </w:r>
      <w:r w:rsidRPr="00C81166">
        <w:rPr>
          <w:rFonts w:ascii="Times New Roman" w:hAnsi="Times New Roman"/>
          <w:b w:val="0"/>
          <w:bCs w:val="0"/>
          <w:sz w:val="24"/>
          <w:szCs w:val="24"/>
        </w:rPr>
        <w:t>ANDERSON MENDES DIA</w:t>
      </w:r>
      <w:r w:rsidRPr="00C81166">
        <w:rPr>
          <w:rFonts w:ascii="Times New Roman" w:hAnsi="Times New Roman"/>
          <w:b w:val="0"/>
          <w:bCs w:val="0"/>
          <w:sz w:val="24"/>
          <w:szCs w:val="24"/>
          <w:u w:val="single"/>
        </w:rPr>
        <w:t>S</w:t>
      </w:r>
      <w:r w:rsidRPr="00C81166">
        <w:rPr>
          <w:rFonts w:ascii="Times New Roman" w:hAnsi="Times New Roman"/>
          <w:b w:val="0"/>
          <w:bCs w:val="0"/>
          <w:sz w:val="24"/>
          <w:szCs w:val="24"/>
        </w:rPr>
        <w:t>,</w:t>
      </w:r>
      <w:r w:rsidRPr="00C81166">
        <w:rPr>
          <w:rFonts w:ascii="Times New Roman" w:hAnsi="Times New Roman"/>
          <w:b w:val="0"/>
          <w:bCs w:val="0"/>
          <w:spacing w:val="-1"/>
          <w:sz w:val="24"/>
          <w:szCs w:val="24"/>
        </w:rPr>
        <w:t xml:space="preserve"> </w:t>
      </w:r>
      <w:r w:rsidRPr="00C81166">
        <w:rPr>
          <w:rFonts w:ascii="Times New Roman" w:hAnsi="Times New Roman"/>
          <w:b w:val="0"/>
          <w:bCs w:val="0"/>
          <w:sz w:val="24"/>
          <w:szCs w:val="24"/>
        </w:rPr>
        <w:t>nomeado pela</w:t>
      </w:r>
      <w:r w:rsidRPr="00C81166">
        <w:rPr>
          <w:rFonts w:ascii="Times New Roman" w:hAnsi="Times New Roman"/>
          <w:b w:val="0"/>
          <w:bCs w:val="0"/>
          <w:spacing w:val="6"/>
          <w:sz w:val="24"/>
          <w:szCs w:val="24"/>
        </w:rPr>
        <w:t xml:space="preserve"> </w:t>
      </w:r>
      <w:r w:rsidRPr="00C81166">
        <w:rPr>
          <w:rFonts w:ascii="Times New Roman" w:hAnsi="Times New Roman"/>
          <w:b w:val="0"/>
          <w:bCs w:val="0"/>
          <w:sz w:val="24"/>
          <w:szCs w:val="24"/>
        </w:rPr>
        <w:t>Portaria</w:t>
      </w:r>
      <w:r w:rsidRPr="00C81166">
        <w:rPr>
          <w:rFonts w:ascii="Times New Roman" w:hAnsi="Times New Roman"/>
          <w:b w:val="0"/>
          <w:bCs w:val="0"/>
          <w:spacing w:val="1"/>
          <w:sz w:val="24"/>
          <w:szCs w:val="24"/>
        </w:rPr>
        <w:t xml:space="preserve"> </w:t>
      </w:r>
      <w:r w:rsidRPr="00C81166">
        <w:rPr>
          <w:rFonts w:ascii="Times New Roman" w:hAnsi="Times New Roman"/>
          <w:b w:val="0"/>
          <w:bCs w:val="0"/>
          <w:sz w:val="24"/>
          <w:szCs w:val="24"/>
        </w:rPr>
        <w:t xml:space="preserve">nº </w:t>
      </w:r>
      <w:r w:rsidRPr="00C81166">
        <w:rPr>
          <w:rFonts w:ascii="Times New Roman" w:eastAsia="Times New Roman" w:hAnsi="Times New Roman"/>
          <w:b w:val="0"/>
          <w:bCs w:val="0"/>
          <w:sz w:val="24"/>
          <w:szCs w:val="24"/>
        </w:rPr>
        <w:t>485, de 12 de maio de 2022</w:t>
      </w:r>
      <w:r w:rsidRPr="00C81166">
        <w:rPr>
          <w:rFonts w:ascii="Times New Roman" w:hAnsi="Times New Roman"/>
          <w:b w:val="0"/>
          <w:bCs w:val="0"/>
          <w:sz w:val="24"/>
          <w:szCs w:val="24"/>
        </w:rPr>
        <w:t>,</w:t>
      </w:r>
      <w:r w:rsidRPr="00C81166">
        <w:rPr>
          <w:rFonts w:ascii="Times New Roman" w:hAnsi="Times New Roman"/>
          <w:b w:val="0"/>
          <w:bCs w:val="0"/>
          <w:spacing w:val="-2"/>
          <w:sz w:val="24"/>
          <w:szCs w:val="24"/>
        </w:rPr>
        <w:t xml:space="preserve"> </w:t>
      </w:r>
      <w:r w:rsidRPr="00C81166">
        <w:rPr>
          <w:rFonts w:ascii="Times New Roman" w:hAnsi="Times New Roman"/>
          <w:b w:val="0"/>
          <w:bCs w:val="0"/>
          <w:sz w:val="24"/>
          <w:szCs w:val="24"/>
        </w:rPr>
        <w:t>publicada</w:t>
      </w:r>
      <w:r w:rsidRPr="00C81166">
        <w:rPr>
          <w:rFonts w:ascii="Times New Roman" w:hAnsi="Times New Roman"/>
          <w:b w:val="0"/>
          <w:bCs w:val="0"/>
          <w:spacing w:val="4"/>
          <w:sz w:val="24"/>
          <w:szCs w:val="24"/>
        </w:rPr>
        <w:t xml:space="preserve"> </w:t>
      </w:r>
      <w:r w:rsidRPr="00C81166">
        <w:rPr>
          <w:rFonts w:ascii="Times New Roman" w:hAnsi="Times New Roman"/>
          <w:b w:val="0"/>
          <w:bCs w:val="0"/>
          <w:sz w:val="24"/>
          <w:szCs w:val="24"/>
        </w:rPr>
        <w:t>no</w:t>
      </w:r>
      <w:r w:rsidRPr="00C81166">
        <w:rPr>
          <w:rFonts w:ascii="Times New Roman" w:hAnsi="Times New Roman"/>
          <w:b w:val="0"/>
          <w:bCs w:val="0"/>
          <w:spacing w:val="3"/>
          <w:sz w:val="24"/>
          <w:szCs w:val="24"/>
        </w:rPr>
        <w:t xml:space="preserve"> </w:t>
      </w:r>
      <w:r w:rsidRPr="00C81166">
        <w:rPr>
          <w:rFonts w:ascii="Times New Roman" w:hAnsi="Times New Roman"/>
          <w:b w:val="0"/>
          <w:bCs w:val="0"/>
          <w:sz w:val="24"/>
          <w:szCs w:val="24"/>
        </w:rPr>
        <w:t>Diário</w:t>
      </w:r>
      <w:r w:rsidRPr="00C81166">
        <w:rPr>
          <w:rFonts w:ascii="Times New Roman" w:hAnsi="Times New Roman"/>
          <w:b w:val="0"/>
          <w:bCs w:val="0"/>
          <w:spacing w:val="4"/>
          <w:sz w:val="24"/>
          <w:szCs w:val="24"/>
        </w:rPr>
        <w:t xml:space="preserve"> </w:t>
      </w:r>
      <w:r w:rsidRPr="00C81166">
        <w:rPr>
          <w:rFonts w:ascii="Times New Roman" w:hAnsi="Times New Roman"/>
          <w:b w:val="0"/>
          <w:bCs w:val="0"/>
          <w:sz w:val="24"/>
          <w:szCs w:val="24"/>
        </w:rPr>
        <w:t>Oficial</w:t>
      </w:r>
      <w:r w:rsidRPr="00C81166">
        <w:rPr>
          <w:rFonts w:ascii="Times New Roman" w:hAnsi="Times New Roman"/>
          <w:b w:val="0"/>
          <w:bCs w:val="0"/>
          <w:spacing w:val="2"/>
          <w:sz w:val="24"/>
          <w:szCs w:val="24"/>
        </w:rPr>
        <w:t xml:space="preserve"> </w:t>
      </w:r>
      <w:r w:rsidRPr="00C81166">
        <w:rPr>
          <w:rFonts w:ascii="Times New Roman" w:hAnsi="Times New Roman"/>
          <w:b w:val="0"/>
          <w:bCs w:val="0"/>
          <w:sz w:val="24"/>
          <w:szCs w:val="24"/>
        </w:rPr>
        <w:t>da</w:t>
      </w:r>
      <w:r w:rsidRPr="00C81166">
        <w:rPr>
          <w:rFonts w:ascii="Times New Roman" w:hAnsi="Times New Roman"/>
          <w:b w:val="0"/>
          <w:bCs w:val="0"/>
          <w:spacing w:val="3"/>
          <w:sz w:val="24"/>
          <w:szCs w:val="24"/>
        </w:rPr>
        <w:t xml:space="preserve"> </w:t>
      </w:r>
      <w:r w:rsidRPr="00C81166">
        <w:rPr>
          <w:rFonts w:ascii="Times New Roman" w:hAnsi="Times New Roman"/>
          <w:b w:val="0"/>
          <w:bCs w:val="0"/>
          <w:sz w:val="24"/>
          <w:szCs w:val="24"/>
        </w:rPr>
        <w:t>União</w:t>
      </w:r>
      <w:r w:rsidRPr="00C81166">
        <w:rPr>
          <w:rFonts w:ascii="Times New Roman" w:hAnsi="Times New Roman"/>
          <w:b w:val="0"/>
          <w:bCs w:val="0"/>
          <w:spacing w:val="-46"/>
          <w:sz w:val="24"/>
          <w:szCs w:val="24"/>
        </w:rPr>
        <w:t xml:space="preserve"> </w:t>
      </w:r>
      <w:r w:rsidRPr="00C81166">
        <w:rPr>
          <w:rFonts w:ascii="Times New Roman" w:hAnsi="Times New Roman"/>
          <w:b w:val="0"/>
          <w:bCs w:val="0"/>
          <w:sz w:val="24"/>
          <w:szCs w:val="24"/>
        </w:rPr>
        <w:t xml:space="preserve"> nº</w:t>
      </w:r>
      <w:r w:rsidRPr="00C81166">
        <w:rPr>
          <w:rFonts w:ascii="Times New Roman" w:eastAsia="Times New Roman" w:hAnsi="Times New Roman"/>
          <w:b w:val="0"/>
          <w:bCs w:val="0"/>
          <w:color w:val="000000"/>
          <w:sz w:val="24"/>
          <w:szCs w:val="24"/>
        </w:rPr>
        <w:t xml:space="preserve"> 91</w:t>
      </w:r>
      <w:r w:rsidRPr="00C81166">
        <w:rPr>
          <w:rFonts w:ascii="Times New Roman" w:hAnsi="Times New Roman"/>
          <w:b w:val="0"/>
          <w:bCs w:val="0"/>
          <w:sz w:val="24"/>
          <w:szCs w:val="24"/>
        </w:rPr>
        <w:t xml:space="preserve"> de </w:t>
      </w:r>
      <w:r w:rsidRPr="00C81166">
        <w:rPr>
          <w:rFonts w:ascii="Times New Roman" w:eastAsia="Times New Roman" w:hAnsi="Times New Roman"/>
          <w:b w:val="0"/>
          <w:bCs w:val="0"/>
          <w:color w:val="000000"/>
          <w:sz w:val="24"/>
          <w:szCs w:val="24"/>
        </w:rPr>
        <w:t xml:space="preserve">16 de Maio de 2022 </w:t>
      </w:r>
      <w:r w:rsidRPr="00C81166">
        <w:rPr>
          <w:rFonts w:ascii="Times New Roman" w:hAnsi="Times New Roman"/>
          <w:b w:val="0"/>
          <w:bCs w:val="0"/>
          <w:sz w:val="24"/>
          <w:szCs w:val="24"/>
        </w:rPr>
        <w:t>,</w:t>
      </w:r>
      <w:r w:rsidRPr="00C81166">
        <w:rPr>
          <w:rFonts w:ascii="Times New Roman" w:hAnsi="Times New Roman"/>
          <w:b w:val="0"/>
          <w:bCs w:val="0"/>
          <w:spacing w:val="12"/>
          <w:sz w:val="24"/>
          <w:szCs w:val="24"/>
        </w:rPr>
        <w:t xml:space="preserve"> </w:t>
      </w:r>
      <w:r w:rsidRPr="00C81166">
        <w:rPr>
          <w:rFonts w:ascii="Times New Roman" w:hAnsi="Times New Roman"/>
          <w:b w:val="0"/>
          <w:bCs w:val="0"/>
          <w:sz w:val="24"/>
          <w:szCs w:val="24"/>
        </w:rPr>
        <w:t>inscrito</w:t>
      </w:r>
      <w:r w:rsidRPr="00C81166">
        <w:rPr>
          <w:rFonts w:ascii="Times New Roman" w:hAnsi="Times New Roman"/>
          <w:b w:val="0"/>
          <w:bCs w:val="0"/>
          <w:spacing w:val="10"/>
          <w:sz w:val="24"/>
          <w:szCs w:val="24"/>
        </w:rPr>
        <w:t xml:space="preserve"> </w:t>
      </w:r>
      <w:r w:rsidRPr="00C81166">
        <w:rPr>
          <w:rFonts w:ascii="Times New Roman" w:hAnsi="Times New Roman"/>
          <w:b w:val="0"/>
          <w:bCs w:val="0"/>
          <w:sz w:val="24"/>
          <w:szCs w:val="24"/>
        </w:rPr>
        <w:t>no</w:t>
      </w:r>
      <w:r w:rsidRPr="00C81166">
        <w:rPr>
          <w:rFonts w:ascii="Times New Roman" w:hAnsi="Times New Roman"/>
          <w:b w:val="0"/>
          <w:bCs w:val="0"/>
          <w:spacing w:val="10"/>
          <w:sz w:val="24"/>
          <w:szCs w:val="24"/>
        </w:rPr>
        <w:t xml:space="preserve"> </w:t>
      </w:r>
      <w:r w:rsidRPr="00C81166">
        <w:rPr>
          <w:rFonts w:ascii="Times New Roman" w:hAnsi="Times New Roman"/>
          <w:b w:val="0"/>
          <w:bCs w:val="0"/>
          <w:sz w:val="24"/>
          <w:szCs w:val="24"/>
        </w:rPr>
        <w:t>CPF</w:t>
      </w:r>
      <w:r w:rsidRPr="00C81166">
        <w:rPr>
          <w:rFonts w:ascii="Times New Roman" w:hAnsi="Times New Roman"/>
          <w:b w:val="0"/>
          <w:bCs w:val="0"/>
          <w:spacing w:val="11"/>
          <w:sz w:val="24"/>
          <w:szCs w:val="24"/>
        </w:rPr>
        <w:t xml:space="preserve"> </w:t>
      </w:r>
      <w:r w:rsidRPr="00C81166">
        <w:rPr>
          <w:rFonts w:ascii="Times New Roman" w:hAnsi="Times New Roman"/>
          <w:b w:val="0"/>
          <w:bCs w:val="0"/>
          <w:sz w:val="24"/>
          <w:szCs w:val="24"/>
        </w:rPr>
        <w:t>sob</w:t>
      </w:r>
      <w:r w:rsidRPr="00C81166">
        <w:rPr>
          <w:rFonts w:ascii="Times New Roman" w:hAnsi="Times New Roman"/>
          <w:b w:val="0"/>
          <w:bCs w:val="0"/>
          <w:spacing w:val="12"/>
          <w:sz w:val="24"/>
          <w:szCs w:val="24"/>
        </w:rPr>
        <w:t xml:space="preserve"> </w:t>
      </w:r>
      <w:r w:rsidRPr="00C81166">
        <w:rPr>
          <w:rFonts w:ascii="Times New Roman" w:hAnsi="Times New Roman"/>
          <w:b w:val="0"/>
          <w:bCs w:val="0"/>
          <w:sz w:val="24"/>
          <w:szCs w:val="24"/>
        </w:rPr>
        <w:t>o</w:t>
      </w:r>
      <w:r w:rsidRPr="00C81166">
        <w:rPr>
          <w:rFonts w:ascii="Times New Roman" w:hAnsi="Times New Roman"/>
          <w:b w:val="0"/>
          <w:bCs w:val="0"/>
          <w:spacing w:val="10"/>
          <w:sz w:val="24"/>
          <w:szCs w:val="24"/>
        </w:rPr>
        <w:t xml:space="preserve"> </w:t>
      </w:r>
      <w:r w:rsidRPr="00C81166">
        <w:rPr>
          <w:rFonts w:ascii="Times New Roman" w:hAnsi="Times New Roman"/>
          <w:b w:val="0"/>
          <w:bCs w:val="0"/>
          <w:sz w:val="24"/>
          <w:szCs w:val="24"/>
        </w:rPr>
        <w:t>nº ________,</w:t>
      </w:r>
      <w:r w:rsidRPr="00C81166">
        <w:rPr>
          <w:rFonts w:ascii="Times New Roman" w:hAnsi="Times New Roman"/>
          <w:b w:val="0"/>
          <w:bCs w:val="0"/>
          <w:spacing w:val="8"/>
          <w:sz w:val="24"/>
          <w:szCs w:val="24"/>
        </w:rPr>
        <w:t xml:space="preserve"> </w:t>
      </w:r>
      <w:r w:rsidRPr="00C81166">
        <w:rPr>
          <w:rFonts w:ascii="Times New Roman" w:hAnsi="Times New Roman"/>
          <w:b w:val="0"/>
          <w:bCs w:val="0"/>
          <w:sz w:val="24"/>
          <w:szCs w:val="24"/>
        </w:rPr>
        <w:t>portador</w:t>
      </w:r>
      <w:r w:rsidRPr="00C81166">
        <w:rPr>
          <w:rFonts w:ascii="Times New Roman" w:hAnsi="Times New Roman"/>
          <w:b w:val="0"/>
          <w:bCs w:val="0"/>
          <w:spacing w:val="11"/>
          <w:sz w:val="24"/>
          <w:szCs w:val="24"/>
        </w:rPr>
        <w:t xml:space="preserve"> </w:t>
      </w:r>
      <w:r w:rsidRPr="00C81166">
        <w:rPr>
          <w:rFonts w:ascii="Times New Roman" w:hAnsi="Times New Roman"/>
          <w:b w:val="0"/>
          <w:bCs w:val="0"/>
          <w:sz w:val="24"/>
          <w:szCs w:val="24"/>
        </w:rPr>
        <w:t>da</w:t>
      </w:r>
      <w:r w:rsidRPr="00C81166">
        <w:rPr>
          <w:rFonts w:ascii="Times New Roman" w:hAnsi="Times New Roman"/>
          <w:b w:val="0"/>
          <w:bCs w:val="0"/>
          <w:spacing w:val="11"/>
          <w:sz w:val="24"/>
          <w:szCs w:val="24"/>
        </w:rPr>
        <w:t xml:space="preserve"> </w:t>
      </w:r>
      <w:r w:rsidRPr="00C81166">
        <w:rPr>
          <w:rFonts w:ascii="Times New Roman" w:hAnsi="Times New Roman"/>
          <w:b w:val="0"/>
          <w:bCs w:val="0"/>
          <w:sz w:val="24"/>
          <w:szCs w:val="24"/>
        </w:rPr>
        <w:t>Carteira</w:t>
      </w:r>
      <w:r w:rsidRPr="00C81166">
        <w:rPr>
          <w:rFonts w:ascii="Times New Roman" w:hAnsi="Times New Roman"/>
          <w:b w:val="0"/>
          <w:bCs w:val="0"/>
          <w:spacing w:val="10"/>
          <w:sz w:val="24"/>
          <w:szCs w:val="24"/>
        </w:rPr>
        <w:t xml:space="preserve"> </w:t>
      </w:r>
      <w:r w:rsidRPr="00C81166">
        <w:rPr>
          <w:rFonts w:ascii="Times New Roman" w:hAnsi="Times New Roman"/>
          <w:b w:val="0"/>
          <w:bCs w:val="0"/>
          <w:sz w:val="24"/>
          <w:szCs w:val="24"/>
        </w:rPr>
        <w:t>de</w:t>
      </w:r>
      <w:r w:rsidRPr="00C81166">
        <w:rPr>
          <w:rFonts w:ascii="Times New Roman" w:hAnsi="Times New Roman"/>
          <w:b w:val="0"/>
          <w:bCs w:val="0"/>
          <w:spacing w:val="10"/>
          <w:sz w:val="24"/>
          <w:szCs w:val="24"/>
        </w:rPr>
        <w:t xml:space="preserve"> </w:t>
      </w:r>
      <w:r w:rsidRPr="00C81166">
        <w:rPr>
          <w:rFonts w:ascii="Times New Roman" w:hAnsi="Times New Roman"/>
          <w:b w:val="0"/>
          <w:bCs w:val="0"/>
          <w:sz w:val="24"/>
          <w:szCs w:val="24"/>
        </w:rPr>
        <w:t>Identidade</w:t>
      </w:r>
      <w:r>
        <w:rPr>
          <w:rFonts w:ascii="Times New Roman" w:hAnsi="Times New Roman"/>
          <w:b w:val="0"/>
          <w:bCs w:val="0"/>
          <w:sz w:val="24"/>
          <w:szCs w:val="24"/>
        </w:rPr>
        <w:t xml:space="preserve"> </w:t>
      </w:r>
      <w:r w:rsidRPr="00C81166">
        <w:rPr>
          <w:rFonts w:ascii="Times New Roman" w:hAnsi="Times New Roman"/>
          <w:b w:val="0"/>
          <w:bCs w:val="0"/>
          <w:sz w:val="24"/>
          <w:szCs w:val="24"/>
        </w:rPr>
        <w:t>de Nº  ______,</w:t>
      </w:r>
      <w:r w:rsidRPr="00C81166">
        <w:rPr>
          <w:rFonts w:ascii="Times New Roman" w:hAnsi="Times New Roman"/>
          <w:b w:val="0"/>
          <w:bCs w:val="0"/>
          <w:spacing w:val="9"/>
          <w:sz w:val="24"/>
          <w:szCs w:val="24"/>
        </w:rPr>
        <w:t xml:space="preserve"> </w:t>
      </w:r>
      <w:r w:rsidRPr="00C81166">
        <w:rPr>
          <w:rFonts w:ascii="Times New Roman" w:hAnsi="Times New Roman"/>
          <w:b w:val="0"/>
          <w:bCs w:val="0"/>
          <w:sz w:val="24"/>
          <w:szCs w:val="24"/>
        </w:rPr>
        <w:t>expedida</w:t>
      </w:r>
      <w:r w:rsidRPr="00C81166">
        <w:rPr>
          <w:rFonts w:ascii="Times New Roman" w:hAnsi="Times New Roman"/>
          <w:b w:val="0"/>
          <w:bCs w:val="0"/>
          <w:spacing w:val="9"/>
          <w:sz w:val="24"/>
          <w:szCs w:val="24"/>
        </w:rPr>
        <w:t xml:space="preserve"> </w:t>
      </w:r>
      <w:r w:rsidRPr="00C81166">
        <w:rPr>
          <w:rFonts w:ascii="Times New Roman" w:hAnsi="Times New Roman"/>
          <w:b w:val="0"/>
          <w:bCs w:val="0"/>
          <w:sz w:val="24"/>
          <w:szCs w:val="24"/>
        </w:rPr>
        <w:t>pelo Ministério da Defesa</w:t>
      </w:r>
      <w:r w:rsidRPr="00C81166">
        <w:rPr>
          <w:rFonts w:ascii="Times New Roman" w:hAnsi="Times New Roman"/>
          <w:b w:val="0"/>
          <w:bCs w:val="0"/>
          <w:spacing w:val="-1"/>
          <w:sz w:val="24"/>
          <w:szCs w:val="24"/>
        </w:rPr>
        <w:t>,</w:t>
      </w:r>
      <w:r w:rsidRPr="00C81166">
        <w:rPr>
          <w:rFonts w:ascii="Times New Roman" w:hAnsi="Times New Roman"/>
          <w:b w:val="0"/>
          <w:bCs w:val="0"/>
          <w:spacing w:val="-48"/>
          <w:sz w:val="24"/>
          <w:szCs w:val="24"/>
        </w:rPr>
        <w:t xml:space="preserve">  </w:t>
      </w:r>
      <w:r w:rsidRPr="00C81166">
        <w:rPr>
          <w:rFonts w:ascii="Times New Roman" w:hAnsi="Times New Roman"/>
          <w:b w:val="0"/>
          <w:bCs w:val="0"/>
          <w:sz w:val="24"/>
          <w:szCs w:val="24"/>
        </w:rPr>
        <w:t>considerando</w:t>
      </w:r>
      <w:r w:rsidRPr="00C81166">
        <w:rPr>
          <w:rFonts w:ascii="Times New Roman" w:hAnsi="Times New Roman"/>
          <w:b w:val="0"/>
          <w:bCs w:val="0"/>
          <w:spacing w:val="-9"/>
          <w:sz w:val="24"/>
          <w:szCs w:val="24"/>
        </w:rPr>
        <w:t xml:space="preserve"> </w:t>
      </w:r>
      <w:r w:rsidRPr="00C81166">
        <w:rPr>
          <w:rFonts w:ascii="Times New Roman" w:hAnsi="Times New Roman"/>
          <w:b w:val="0"/>
          <w:bCs w:val="0"/>
          <w:sz w:val="24"/>
          <w:szCs w:val="24"/>
        </w:rPr>
        <w:t>o</w:t>
      </w:r>
      <w:r w:rsidRPr="00C81166">
        <w:rPr>
          <w:rFonts w:ascii="Times New Roman" w:hAnsi="Times New Roman"/>
          <w:b w:val="0"/>
          <w:bCs w:val="0"/>
          <w:spacing w:val="-6"/>
          <w:sz w:val="24"/>
          <w:szCs w:val="24"/>
        </w:rPr>
        <w:t xml:space="preserve"> </w:t>
      </w:r>
      <w:r w:rsidRPr="00C81166">
        <w:rPr>
          <w:rFonts w:ascii="Times New Roman" w:hAnsi="Times New Roman"/>
          <w:b w:val="0"/>
          <w:bCs w:val="0"/>
          <w:sz w:val="24"/>
          <w:szCs w:val="24"/>
        </w:rPr>
        <w:t>julgamento</w:t>
      </w:r>
      <w:r w:rsidRPr="00C81166">
        <w:rPr>
          <w:rFonts w:ascii="Times New Roman" w:hAnsi="Times New Roman"/>
          <w:b w:val="0"/>
          <w:bCs w:val="0"/>
          <w:spacing w:val="-10"/>
          <w:sz w:val="24"/>
          <w:szCs w:val="24"/>
        </w:rPr>
        <w:t xml:space="preserve"> </w:t>
      </w:r>
      <w:r w:rsidRPr="00C81166">
        <w:rPr>
          <w:rFonts w:ascii="Times New Roman" w:hAnsi="Times New Roman"/>
          <w:b w:val="0"/>
          <w:bCs w:val="0"/>
          <w:sz w:val="24"/>
          <w:szCs w:val="24"/>
        </w:rPr>
        <w:t>da</w:t>
      </w:r>
      <w:r w:rsidRPr="00C81166">
        <w:rPr>
          <w:rFonts w:ascii="Times New Roman" w:hAnsi="Times New Roman"/>
          <w:b w:val="0"/>
          <w:bCs w:val="0"/>
          <w:spacing w:val="-10"/>
          <w:sz w:val="24"/>
          <w:szCs w:val="24"/>
        </w:rPr>
        <w:t xml:space="preserve"> </w:t>
      </w:r>
      <w:r w:rsidRPr="00C81166">
        <w:rPr>
          <w:rFonts w:ascii="Times New Roman" w:hAnsi="Times New Roman"/>
          <w:b w:val="0"/>
          <w:bCs w:val="0"/>
          <w:sz w:val="24"/>
          <w:szCs w:val="24"/>
        </w:rPr>
        <w:t>licitação</w:t>
      </w:r>
      <w:r w:rsidRPr="00C81166">
        <w:rPr>
          <w:rFonts w:ascii="Times New Roman" w:hAnsi="Times New Roman"/>
          <w:b w:val="0"/>
          <w:bCs w:val="0"/>
          <w:spacing w:val="-9"/>
          <w:sz w:val="24"/>
          <w:szCs w:val="24"/>
        </w:rPr>
        <w:t xml:space="preserve"> </w:t>
      </w:r>
      <w:r w:rsidRPr="00C81166">
        <w:rPr>
          <w:rFonts w:ascii="Times New Roman" w:hAnsi="Times New Roman"/>
          <w:b w:val="0"/>
          <w:bCs w:val="0"/>
          <w:sz w:val="24"/>
          <w:szCs w:val="24"/>
        </w:rPr>
        <w:t>na</w:t>
      </w:r>
      <w:r w:rsidRPr="00C81166">
        <w:rPr>
          <w:rFonts w:ascii="Times New Roman" w:hAnsi="Times New Roman"/>
          <w:b w:val="0"/>
          <w:bCs w:val="0"/>
          <w:spacing w:val="-6"/>
          <w:sz w:val="24"/>
          <w:szCs w:val="24"/>
        </w:rPr>
        <w:t xml:space="preserve"> </w:t>
      </w:r>
      <w:r w:rsidRPr="00C81166">
        <w:rPr>
          <w:rFonts w:ascii="Times New Roman" w:hAnsi="Times New Roman"/>
          <w:b w:val="0"/>
          <w:bCs w:val="0"/>
          <w:sz w:val="24"/>
          <w:szCs w:val="24"/>
        </w:rPr>
        <w:t>modalidade</w:t>
      </w:r>
      <w:r w:rsidRPr="00C81166">
        <w:rPr>
          <w:rFonts w:ascii="Times New Roman" w:hAnsi="Times New Roman"/>
          <w:b w:val="0"/>
          <w:bCs w:val="0"/>
          <w:spacing w:val="-12"/>
          <w:sz w:val="24"/>
          <w:szCs w:val="24"/>
        </w:rPr>
        <w:t xml:space="preserve"> </w:t>
      </w:r>
      <w:r w:rsidRPr="00C81166">
        <w:rPr>
          <w:rFonts w:ascii="Times New Roman" w:hAnsi="Times New Roman"/>
          <w:b w:val="0"/>
          <w:bCs w:val="0"/>
          <w:sz w:val="24"/>
          <w:szCs w:val="24"/>
        </w:rPr>
        <w:t>de</w:t>
      </w:r>
      <w:r w:rsidRPr="00C81166">
        <w:rPr>
          <w:rFonts w:ascii="Times New Roman" w:hAnsi="Times New Roman"/>
          <w:b w:val="0"/>
          <w:bCs w:val="0"/>
          <w:spacing w:val="-8"/>
          <w:sz w:val="24"/>
          <w:szCs w:val="24"/>
        </w:rPr>
        <w:t xml:space="preserve"> </w:t>
      </w:r>
      <w:r w:rsidRPr="00C81166">
        <w:rPr>
          <w:rFonts w:ascii="Times New Roman" w:hAnsi="Times New Roman"/>
          <w:b w:val="0"/>
          <w:bCs w:val="0"/>
          <w:sz w:val="24"/>
          <w:szCs w:val="24"/>
        </w:rPr>
        <w:t>PREGÃO,</w:t>
      </w:r>
      <w:r w:rsidRPr="00C81166">
        <w:rPr>
          <w:rFonts w:ascii="Times New Roman" w:hAnsi="Times New Roman"/>
          <w:b w:val="0"/>
          <w:bCs w:val="0"/>
          <w:spacing w:val="-9"/>
          <w:sz w:val="24"/>
          <w:szCs w:val="24"/>
        </w:rPr>
        <w:t xml:space="preserve"> </w:t>
      </w:r>
      <w:r w:rsidRPr="00C81166">
        <w:rPr>
          <w:rFonts w:ascii="Times New Roman" w:hAnsi="Times New Roman"/>
          <w:b w:val="0"/>
          <w:bCs w:val="0"/>
          <w:sz w:val="24"/>
          <w:szCs w:val="24"/>
        </w:rPr>
        <w:t>na</w:t>
      </w:r>
      <w:r w:rsidRPr="00C81166">
        <w:rPr>
          <w:rFonts w:ascii="Times New Roman" w:hAnsi="Times New Roman"/>
          <w:b w:val="0"/>
          <w:bCs w:val="0"/>
          <w:spacing w:val="-10"/>
          <w:sz w:val="24"/>
          <w:szCs w:val="24"/>
        </w:rPr>
        <w:t xml:space="preserve"> </w:t>
      </w:r>
      <w:r w:rsidRPr="00C81166">
        <w:rPr>
          <w:rFonts w:ascii="Times New Roman" w:hAnsi="Times New Roman"/>
          <w:b w:val="0"/>
          <w:bCs w:val="0"/>
          <w:sz w:val="24"/>
          <w:szCs w:val="24"/>
        </w:rPr>
        <w:t>forma</w:t>
      </w:r>
      <w:r w:rsidRPr="00C81166">
        <w:rPr>
          <w:rFonts w:ascii="Times New Roman" w:hAnsi="Times New Roman"/>
          <w:b w:val="0"/>
          <w:bCs w:val="0"/>
          <w:spacing w:val="-6"/>
          <w:sz w:val="24"/>
          <w:szCs w:val="24"/>
        </w:rPr>
        <w:t xml:space="preserve"> </w:t>
      </w:r>
      <w:r w:rsidRPr="00C81166">
        <w:rPr>
          <w:rFonts w:ascii="Times New Roman" w:hAnsi="Times New Roman"/>
          <w:b w:val="0"/>
          <w:bCs w:val="0"/>
          <w:sz w:val="24"/>
          <w:szCs w:val="24"/>
        </w:rPr>
        <w:t>eletr</w:t>
      </w:r>
      <w:r>
        <w:rPr>
          <w:rFonts w:ascii="Times New Roman" w:hAnsi="Times New Roman"/>
          <w:b w:val="0"/>
          <w:bCs w:val="0"/>
          <w:sz w:val="24"/>
          <w:szCs w:val="24"/>
        </w:rPr>
        <w:t>ô</w:t>
      </w:r>
      <w:r w:rsidRPr="00C81166">
        <w:rPr>
          <w:rFonts w:ascii="Times New Roman" w:hAnsi="Times New Roman"/>
          <w:b w:val="0"/>
          <w:bCs w:val="0"/>
          <w:sz w:val="24"/>
          <w:szCs w:val="24"/>
        </w:rPr>
        <w:t>nica,</w:t>
      </w:r>
      <w:r w:rsidRPr="00C81166">
        <w:rPr>
          <w:rFonts w:ascii="Times New Roman" w:hAnsi="Times New Roman"/>
          <w:b w:val="0"/>
          <w:bCs w:val="0"/>
          <w:spacing w:val="-8"/>
          <w:sz w:val="24"/>
          <w:szCs w:val="24"/>
        </w:rPr>
        <w:t xml:space="preserve"> </w:t>
      </w:r>
      <w:r w:rsidRPr="00C81166">
        <w:rPr>
          <w:rFonts w:ascii="Times New Roman" w:hAnsi="Times New Roman"/>
          <w:b w:val="0"/>
          <w:bCs w:val="0"/>
          <w:spacing w:val="-48"/>
          <w:sz w:val="24"/>
          <w:szCs w:val="24"/>
        </w:rPr>
        <w:t xml:space="preserve"> </w:t>
      </w:r>
      <w:r w:rsidRPr="00C81166">
        <w:rPr>
          <w:rFonts w:ascii="Times New Roman" w:hAnsi="Times New Roman"/>
          <w:b w:val="0"/>
          <w:bCs w:val="0"/>
          <w:sz w:val="24"/>
          <w:szCs w:val="24"/>
        </w:rPr>
        <w:t>nº</w:t>
      </w:r>
      <w:r w:rsidRPr="00C81166">
        <w:rPr>
          <w:rFonts w:ascii="Times New Roman" w:hAnsi="Times New Roman"/>
          <w:b w:val="0"/>
          <w:bCs w:val="0"/>
          <w:spacing w:val="24"/>
          <w:sz w:val="24"/>
          <w:szCs w:val="24"/>
        </w:rPr>
        <w:t xml:space="preserve"> 0</w:t>
      </w:r>
      <w:r>
        <w:rPr>
          <w:rFonts w:ascii="Times New Roman" w:hAnsi="Times New Roman"/>
          <w:b w:val="0"/>
          <w:bCs w:val="0"/>
          <w:spacing w:val="24"/>
          <w:sz w:val="24"/>
          <w:szCs w:val="24"/>
        </w:rPr>
        <w:t>9</w:t>
      </w:r>
      <w:r w:rsidRPr="00C81166">
        <w:rPr>
          <w:rFonts w:ascii="Times New Roman" w:hAnsi="Times New Roman"/>
          <w:b w:val="0"/>
          <w:bCs w:val="0"/>
          <w:sz w:val="24"/>
          <w:szCs w:val="24"/>
        </w:rPr>
        <w:t>/2023,</w:t>
      </w:r>
      <w:r w:rsidRPr="00C81166">
        <w:rPr>
          <w:rFonts w:ascii="Times New Roman" w:hAnsi="Times New Roman"/>
          <w:b w:val="0"/>
          <w:bCs w:val="0"/>
          <w:spacing w:val="20"/>
          <w:sz w:val="24"/>
          <w:szCs w:val="24"/>
        </w:rPr>
        <w:t xml:space="preserve"> </w:t>
      </w:r>
      <w:commentRangeStart w:id="2"/>
      <w:r w:rsidRPr="00C81166">
        <w:rPr>
          <w:rFonts w:ascii="Times New Roman" w:hAnsi="Times New Roman"/>
          <w:b w:val="0"/>
          <w:bCs w:val="0"/>
          <w:sz w:val="24"/>
          <w:szCs w:val="24"/>
        </w:rPr>
        <w:t xml:space="preserve">e o(a) .............................., inscrito(a) no CNPJ/MF sob o nº ............................, sediado(a) na ..................................., </w:t>
      </w:r>
      <w:proofErr w:type="spellStart"/>
      <w:r w:rsidRPr="00C81166">
        <w:rPr>
          <w:rFonts w:ascii="Times New Roman" w:hAnsi="Times New Roman"/>
          <w:b w:val="0"/>
          <w:bCs w:val="0"/>
          <w:sz w:val="24"/>
          <w:szCs w:val="24"/>
        </w:rPr>
        <w:t>em</w:t>
      </w:r>
      <w:proofErr w:type="spellEnd"/>
      <w:r w:rsidRPr="00C81166">
        <w:rPr>
          <w:rFonts w:ascii="Times New Roman" w:hAnsi="Times New Roman"/>
          <w:b w:val="0"/>
          <w:bCs w:val="0"/>
          <w:sz w:val="24"/>
          <w:szCs w:val="24"/>
        </w:rPr>
        <w:t xml:space="preserve"> ............................. doravante designado CONTRATADO, neste ato representado(a) por .................................. (nome e função no contratado), conforme atos constitutivos da empresa OU procuração apresentada nos autos, tendo em vista o que consta no Processo nº .............................. e em observância às disposições da </w:t>
      </w:r>
      <w:hyperlink r:id="rId15" w:history="1">
        <w:r w:rsidRPr="00C81166">
          <w:rPr>
            <w:rStyle w:val="Hyperlink"/>
            <w:rFonts w:ascii="Times New Roman" w:eastAsia="Arial" w:hAnsi="Times New Roman"/>
            <w:b w:val="0"/>
            <w:bCs w:val="0"/>
            <w:sz w:val="24"/>
            <w:szCs w:val="24"/>
          </w:rPr>
          <w:t>Lei nº 14.133, de 1º de abril de 2021</w:t>
        </w:r>
      </w:hyperlink>
      <w:r w:rsidRPr="00C81166">
        <w:rPr>
          <w:rFonts w:ascii="Times New Roman" w:hAnsi="Times New Roman"/>
          <w:b w:val="0"/>
          <w:bCs w:val="0"/>
          <w:sz w:val="24"/>
          <w:szCs w:val="24"/>
        </w:rPr>
        <w:t>, e demais legislação aplicável, resolvem celebrar o presente Termo de Contrato, decorrente do Pregão Eletrônico n. .../..., mediante as cláusulas e condições a seguir enunciadas.</w:t>
      </w:r>
      <w:commentRangeEnd w:id="2"/>
      <w:r w:rsidRPr="00F5542B">
        <w:rPr>
          <w:rStyle w:val="Refdecomentrio"/>
          <w:rFonts w:ascii="Times New Roman" w:hAnsi="Times New Roman"/>
          <w:b w:val="0"/>
          <w:bCs w:val="0"/>
          <w:sz w:val="24"/>
          <w:szCs w:val="24"/>
        </w:rPr>
        <w:commentReference w:id="2"/>
      </w:r>
    </w:p>
    <w:p w14:paraId="2C937491" w14:textId="2D821561" w:rsidR="00DC41DD" w:rsidRPr="004827F2" w:rsidRDefault="00DC41DD" w:rsidP="00633470">
      <w:pPr>
        <w:spacing w:before="120" w:after="120" w:line="276" w:lineRule="auto"/>
        <w:ind w:firstLine="1418"/>
        <w:jc w:val="both"/>
        <w:rPr>
          <w:rFonts w:ascii="Arial" w:eastAsia="Arial" w:hAnsi="Arial" w:cs="Arial"/>
          <w:sz w:val="20"/>
          <w:szCs w:val="20"/>
        </w:rPr>
      </w:pPr>
      <w:r w:rsidRPr="004827F2">
        <w:rPr>
          <w:rFonts w:ascii="Arial" w:eastAsia="Arial" w:hAnsi="Arial" w:cs="Arial"/>
          <w:sz w:val="20"/>
          <w:szCs w:val="20"/>
        </w:rPr>
        <w:t>.</w:t>
      </w: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6" w:anchor="art92" w:history="1">
        <w:r w:rsidRPr="004827F2">
          <w:rPr>
            <w:rStyle w:val="Hyperlink"/>
          </w:rPr>
          <w:t>art. 92, I e II</w:t>
        </w:r>
      </w:hyperlink>
      <w:r w:rsidRPr="004827F2">
        <w:t>)</w:t>
      </w:r>
    </w:p>
    <w:p w14:paraId="2D8DFE54" w14:textId="43434BEC" w:rsidR="00DC41DD" w:rsidRPr="004827F2" w:rsidRDefault="00DC41DD" w:rsidP="004E64AA">
      <w:pPr>
        <w:pStyle w:val="Nivel2"/>
      </w:pPr>
      <w:r w:rsidRPr="004827F2">
        <w:t xml:space="preserve">O objeto </w:t>
      </w:r>
      <w:r w:rsidRPr="004E64AA">
        <w:t>do</w:t>
      </w:r>
      <w:r w:rsidRPr="004827F2">
        <w:t xml:space="preserve"> presente instrumento é a </w:t>
      </w:r>
      <w:r w:rsidR="00902EA0">
        <w:t>aquisição de equipamentos de inspeção (scanner) de radiação ionizante para atender as necessidades relacionadas à segurança do Depósito Central de Munição</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commentRangeStart w:id="3"/>
            <w:r w:rsidRPr="004827F2">
              <w:rPr>
                <w:rFonts w:ascii="Arial" w:eastAsia="Arial" w:hAnsi="Arial" w:cs="Arial"/>
                <w:b/>
                <w:bCs/>
                <w:color w:val="000000" w:themeColor="text1"/>
                <w:sz w:val="20"/>
                <w:szCs w:val="20"/>
              </w:rPr>
              <w:lastRenderedPageBreak/>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commentRangeEnd w:id="3"/>
            <w:r w:rsidR="00653C85" w:rsidRPr="004827F2">
              <w:rPr>
                <w:rStyle w:val="Refdecomentrio"/>
                <w:rFonts w:ascii="Arial" w:hAnsi="Arial" w:cs="Arial"/>
                <w:sz w:val="20"/>
                <w:szCs w:val="20"/>
              </w:rPr>
              <w:commentReference w:id="3"/>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EFDF0C7" w14:textId="75AFF065" w:rsidR="00DC41DD" w:rsidRPr="00902EA0" w:rsidRDefault="00DC41DD" w:rsidP="004E64AA">
      <w:pPr>
        <w:pStyle w:val="Nvel2-Red"/>
        <w:rPr>
          <w:i w:val="0"/>
          <w:iCs w:val="0"/>
          <w:color w:val="auto"/>
        </w:rPr>
      </w:pPr>
      <w:commentRangeStart w:id="4"/>
      <w:r w:rsidRPr="00902EA0">
        <w:rPr>
          <w:i w:val="0"/>
          <w:iCs w:val="0"/>
          <w:color w:val="auto"/>
        </w:rPr>
        <w:t>O prazo de vigência da contratação é de</w:t>
      </w:r>
      <w:r w:rsidR="00902EA0" w:rsidRPr="00902EA0">
        <w:rPr>
          <w:i w:val="0"/>
          <w:iCs w:val="0"/>
          <w:color w:val="auto"/>
        </w:rPr>
        <w:t xml:space="preserve"> 12 meses, </w:t>
      </w:r>
      <w:r w:rsidRPr="00902EA0">
        <w:rPr>
          <w:i w:val="0"/>
          <w:iCs w:val="0"/>
          <w:color w:val="auto"/>
        </w:rPr>
        <w:t>contados da</w:t>
      </w:r>
      <w:r w:rsidR="00902EA0" w:rsidRPr="00902EA0">
        <w:rPr>
          <w:i w:val="0"/>
          <w:iCs w:val="0"/>
          <w:color w:val="auto"/>
        </w:rPr>
        <w:t xml:space="preserve"> assinatura da Ata</w:t>
      </w:r>
      <w:r w:rsidRPr="00902EA0">
        <w:rPr>
          <w:i w:val="0"/>
          <w:iCs w:val="0"/>
          <w:color w:val="auto"/>
        </w:rPr>
        <w:t xml:space="preserve">, na forma do </w:t>
      </w:r>
      <w:hyperlink r:id="rId17" w:anchor="art105" w:history="1">
        <w:r w:rsidRPr="00902EA0">
          <w:rPr>
            <w:rStyle w:val="Hyperlink"/>
            <w:i w:val="0"/>
            <w:iCs w:val="0"/>
            <w:color w:val="auto"/>
          </w:rPr>
          <w:t>artigo 105 da Lei n° 14.133, de 2021</w:t>
        </w:r>
      </w:hyperlink>
      <w:r w:rsidRPr="00902EA0">
        <w:rPr>
          <w:i w:val="0"/>
          <w:iCs w:val="0"/>
          <w:color w:val="auto"/>
        </w:rPr>
        <w:t>.</w:t>
      </w:r>
    </w:p>
    <w:p w14:paraId="3E410BCE" w14:textId="77777777" w:rsidR="00D065C2" w:rsidRPr="00902EA0" w:rsidRDefault="00DC41DD" w:rsidP="004E64AA">
      <w:pPr>
        <w:pStyle w:val="Nvel3-R"/>
        <w:rPr>
          <w:i w:val="0"/>
          <w:iCs w:val="0"/>
          <w:color w:val="auto"/>
        </w:rPr>
      </w:pPr>
      <w:r w:rsidRPr="00902EA0">
        <w:rPr>
          <w:i w:val="0"/>
          <w:iCs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4"/>
      <w:r w:rsidR="00653C85" w:rsidRPr="00902EA0">
        <w:rPr>
          <w:i w:val="0"/>
          <w:iCs w:val="0"/>
          <w:color w:val="auto"/>
        </w:rPr>
        <w:commentReference w:id="4"/>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8"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902EA0" w:rsidRDefault="00DC41DD" w:rsidP="004E64AA">
      <w:pPr>
        <w:pStyle w:val="Nvel2-Red"/>
        <w:rPr>
          <w:i w:val="0"/>
          <w:iCs w:val="0"/>
          <w:color w:val="auto"/>
        </w:rPr>
      </w:pPr>
      <w:r w:rsidRPr="00902EA0">
        <w:rPr>
          <w:i w:val="0"/>
          <w:iCs w:val="0"/>
          <w:color w:val="auto"/>
        </w:rPr>
        <w:t>Não será admitida a subcontratação do objeto contratual.</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9" w:anchor="art92" w:history="1">
        <w:r w:rsidR="00362E67" w:rsidRPr="004827F2">
          <w:rPr>
            <w:rStyle w:val="Hyperlink"/>
          </w:rPr>
          <w:t>art. 92, V)</w:t>
        </w:r>
        <w:commentRangeStart w:id="5"/>
        <w:commentRangeEnd w:id="5"/>
        <w:r w:rsidR="00362E67" w:rsidRPr="004827F2">
          <w:rPr>
            <w:rStyle w:val="Hyperlink"/>
            <w:rFonts w:eastAsiaTheme="minorEastAsia"/>
            <w:b w:val="0"/>
            <w:bCs w:val="0"/>
          </w:rPr>
          <w:commentReference w:id="5"/>
        </w:r>
      </w:hyperlink>
    </w:p>
    <w:p w14:paraId="504BF298" w14:textId="77777777" w:rsidR="00DC41DD" w:rsidRPr="00902EA0" w:rsidRDefault="00DC41DD" w:rsidP="004E64AA">
      <w:pPr>
        <w:pStyle w:val="Nvel2-Red"/>
        <w:rPr>
          <w:i w:val="0"/>
          <w:iCs w:val="0"/>
          <w:color w:val="auto"/>
        </w:rPr>
      </w:pPr>
      <w:commentRangeStart w:id="6"/>
      <w:r w:rsidRPr="00902EA0">
        <w:rPr>
          <w:i w:val="0"/>
          <w:iCs w:val="0"/>
          <w:color w:val="auto"/>
        </w:rPr>
        <w:t>O valor total da contratação é de R$.......... (.....)</w:t>
      </w:r>
      <w:commentRangeEnd w:id="6"/>
      <w:r w:rsidR="00930B95" w:rsidRPr="00902EA0">
        <w:rPr>
          <w:rStyle w:val="Refdecomentrio"/>
          <w:i w:val="0"/>
          <w:iCs w:val="0"/>
          <w:color w:val="auto"/>
          <w:sz w:val="20"/>
          <w:szCs w:val="20"/>
        </w:rPr>
        <w:commentReference w:id="6"/>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60F9E71" w14:textId="70BC884D" w:rsidR="00DC41DD" w:rsidRPr="004827F2" w:rsidRDefault="00DC41DD" w:rsidP="00F8329F">
      <w:pPr>
        <w:pStyle w:val="Nivel01"/>
        <w:rPr>
          <w:color w:val="FFFFFF" w:themeColor="background1"/>
        </w:rPr>
      </w:pPr>
      <w:r w:rsidRPr="004827F2">
        <w:lastRenderedPageBreak/>
        <w:t>CLÁUSULA SEXTA - PAGAMENTO (</w:t>
      </w:r>
      <w:hyperlink r:id="rId20"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commentRangeStart w:id="7"/>
      <w:r w:rsidRPr="004827F2">
        <w:t>CLÁUSULA SÉTIMA - REAJUSTE (</w:t>
      </w:r>
      <w:hyperlink r:id="rId21" w:anchor="art92" w:history="1">
        <w:r w:rsidRPr="004827F2">
          <w:rPr>
            <w:rStyle w:val="Hyperlink"/>
          </w:rPr>
          <w:t>art. 92, V)</w:t>
        </w:r>
        <w:commentRangeEnd w:id="7"/>
        <w:r w:rsidR="00962AFE" w:rsidRPr="004827F2">
          <w:rPr>
            <w:rStyle w:val="Hyperlink"/>
            <w:rFonts w:eastAsiaTheme="minorEastAsia"/>
            <w:b w:val="0"/>
            <w:bCs w:val="0"/>
          </w:rPr>
          <w:commentReference w:id="7"/>
        </w:r>
      </w:hyperlink>
    </w:p>
    <w:p w14:paraId="47CF2220" w14:textId="1AE04214" w:rsidR="00DC41DD" w:rsidRPr="004827F2" w:rsidRDefault="00DC41DD" w:rsidP="004E64AA">
      <w:pPr>
        <w:pStyle w:val="Nivel2"/>
      </w:pPr>
      <w:r w:rsidRPr="004827F2">
        <w:t xml:space="preserve">Os preços inicialmente contratados são fixos e irreajustáveis no prazo de um ano contado da data do orçamento estimado, </w:t>
      </w:r>
      <w:r w:rsidRPr="009A2C4C">
        <w:rPr>
          <w:color w:val="auto"/>
        </w:rPr>
        <w:t>em</w:t>
      </w:r>
      <w:r w:rsidR="009A2C4C" w:rsidRPr="009A2C4C">
        <w:rPr>
          <w:color w:val="auto"/>
        </w:rPr>
        <w:t xml:space="preserve"> 01 </w:t>
      </w:r>
      <w:r w:rsidRPr="009A2C4C">
        <w:rPr>
          <w:color w:val="auto"/>
        </w:rPr>
        <w:t>/</w:t>
      </w:r>
      <w:r w:rsidR="009A2C4C" w:rsidRPr="009A2C4C">
        <w:rPr>
          <w:color w:val="auto"/>
        </w:rPr>
        <w:t>06</w:t>
      </w:r>
      <w:r w:rsidRPr="009A2C4C">
        <w:rPr>
          <w:color w:val="auto"/>
        </w:rPr>
        <w:t>/</w:t>
      </w:r>
      <w:r w:rsidR="009A2C4C" w:rsidRPr="009A2C4C">
        <w:rPr>
          <w:color w:val="auto"/>
        </w:rPr>
        <w:t>2023</w:t>
      </w:r>
      <w:r w:rsidRPr="009A2C4C">
        <w:rPr>
          <w:color w:val="auto"/>
        </w:rPr>
        <w:t>.</w:t>
      </w:r>
    </w:p>
    <w:p w14:paraId="705D0D2C" w14:textId="1B1E5850" w:rsidR="00DC41DD" w:rsidRPr="004827F2" w:rsidRDefault="00DC41DD" w:rsidP="004E64AA">
      <w:pPr>
        <w:pStyle w:val="Nivel2"/>
      </w:pPr>
      <w:commentRangeStart w:id="8"/>
      <w:r w:rsidRPr="004827F2">
        <w:t xml:space="preserve">Após o interregno de um ano, e </w:t>
      </w:r>
      <w:r w:rsidR="00DF5501" w:rsidRPr="00DF5501">
        <w:t xml:space="preserve">independentemente de pedido do </w:t>
      </w:r>
      <w:commentRangeStart w:id="9"/>
      <w:r w:rsidR="00DF5501" w:rsidRPr="00DF5501">
        <w:t>contratado</w:t>
      </w:r>
      <w:commentRangeEnd w:id="9"/>
      <w:r w:rsidR="00DF5501" w:rsidRPr="00DF5501">
        <w:rPr>
          <w:rStyle w:val="Refdecomentrio"/>
          <w:rFonts w:ascii="Ecofont_Spranq_eco_Sans" w:hAnsi="Ecofont_Spranq_eco_Sans" w:cs="Tahoma"/>
          <w:color w:val="auto"/>
        </w:rPr>
        <w:commentReference w:id="9"/>
      </w:r>
      <w:r w:rsidR="00DF5501" w:rsidRPr="00DF5501">
        <w:t>,</w:t>
      </w:r>
      <w:r w:rsidRPr="004827F2">
        <w:t xml:space="preserve"> os preços iniciais serão reajustados, mediante a aplicação, pelo contratante, do índice </w:t>
      </w:r>
      <w:r w:rsidR="009A2C4C">
        <w:t>IPCA</w:t>
      </w:r>
      <w:r w:rsidRPr="004827F2">
        <w:rPr>
          <w:i/>
          <w:iCs/>
        </w:rPr>
        <w:t>,</w:t>
      </w:r>
      <w:r w:rsidRPr="004827F2">
        <w:t xml:space="preserve"> exclusivamente para as obrigações iniciadas e concluídas após a ocorrência da anualidade</w:t>
      </w:r>
      <w:commentRangeEnd w:id="8"/>
      <w:r w:rsidR="00A658A4" w:rsidRPr="004827F2">
        <w:rPr>
          <w:rStyle w:val="Refdecomentrio"/>
          <w:color w:val="auto"/>
          <w:sz w:val="20"/>
          <w:szCs w:val="20"/>
        </w:rPr>
        <w:commentReference w:id="8"/>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22"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9A2C4C">
        <w:t>e no Termo de Referência.</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261E6BFF" w:rsidR="00DC41DD" w:rsidRPr="004827F2" w:rsidRDefault="00DC41DD" w:rsidP="004E64AA">
      <w:pPr>
        <w:pStyle w:val="Nivel2"/>
        <w:rPr>
          <w:b/>
          <w:bCs/>
        </w:rPr>
      </w:pPr>
      <w:r w:rsidRPr="004827F2">
        <w:t xml:space="preserve"> </w:t>
      </w:r>
      <w:commentRangeStart w:id="10"/>
      <w:r w:rsidRPr="004827F2">
        <w:t>A Administração terá o prazo de</w:t>
      </w:r>
      <w:r w:rsidRPr="004827F2">
        <w:rPr>
          <w:i/>
          <w:iCs/>
          <w:color w:val="FF0000"/>
        </w:rPr>
        <w:t xml:space="preserve"> </w:t>
      </w:r>
      <w:r w:rsidR="00975B79" w:rsidRPr="00975B79">
        <w:rPr>
          <w:color w:val="auto"/>
        </w:rPr>
        <w:t>30 (trinta) dias</w:t>
      </w:r>
      <w:r w:rsidRPr="00975B79">
        <w:rPr>
          <w:color w:val="auto"/>
        </w:rPr>
        <w:t xml:space="preserve">, </w:t>
      </w:r>
      <w:r w:rsidRPr="004827F2">
        <w:t xml:space="preserve">a contar da data do protocolo do requerimento para decidir, admitida a prorrogação motivada, por igual período. </w:t>
      </w:r>
      <w:commentRangeEnd w:id="10"/>
      <w:r w:rsidR="00A14C15" w:rsidRPr="004827F2">
        <w:rPr>
          <w:rStyle w:val="Refdecomentrio"/>
          <w:color w:val="auto"/>
          <w:sz w:val="20"/>
          <w:szCs w:val="20"/>
        </w:rPr>
        <w:commentReference w:id="10"/>
      </w:r>
    </w:p>
    <w:p w14:paraId="0A9AC408" w14:textId="7504D6C9" w:rsidR="00DC41DD" w:rsidRPr="004827F2" w:rsidRDefault="00DC41DD" w:rsidP="004E64AA">
      <w:pPr>
        <w:pStyle w:val="Nivel2"/>
        <w:rPr>
          <w:color w:val="FF0000"/>
        </w:rPr>
      </w:pPr>
      <w:commentRangeStart w:id="11"/>
      <w:r w:rsidRPr="004E64AA">
        <w:lastRenderedPageBreak/>
        <w:t>Responder</w:t>
      </w:r>
      <w:r w:rsidRPr="004827F2">
        <w:t xml:space="preserve"> eventuais pedidos de reestabelecimento do equilíbrio econômico-financeiro feitos pelo contratado no prazo máximo de</w:t>
      </w:r>
      <w:r w:rsidR="00975B79">
        <w:t xml:space="preserve"> 30 (trinta) dias</w:t>
      </w:r>
      <w:r w:rsidRPr="004827F2">
        <w:rPr>
          <w:color w:val="FF0000"/>
        </w:rPr>
        <w:t>.</w:t>
      </w:r>
      <w:commentRangeEnd w:id="11"/>
      <w:r w:rsidR="00B26930" w:rsidRPr="004827F2">
        <w:rPr>
          <w:rStyle w:val="Refdecomentrio"/>
          <w:color w:val="auto"/>
          <w:sz w:val="20"/>
          <w:szCs w:val="20"/>
        </w:rPr>
        <w:commentReference w:id="11"/>
      </w:r>
    </w:p>
    <w:p w14:paraId="4F3C6D87" w14:textId="77777777" w:rsidR="00DC41DD" w:rsidRPr="00975B79" w:rsidRDefault="00DC41DD" w:rsidP="004E64AA">
      <w:pPr>
        <w:pStyle w:val="Nvel2-Red"/>
        <w:rPr>
          <w:i w:val="0"/>
          <w:iCs w:val="0"/>
          <w:color w:val="auto"/>
        </w:rPr>
      </w:pPr>
      <w:commentRangeStart w:id="12"/>
      <w:r w:rsidRPr="00975B79">
        <w:rPr>
          <w:i w:val="0"/>
          <w:iCs w:val="0"/>
          <w:color w:val="auto"/>
        </w:rPr>
        <w:t>Notificar os emitentes das garantias quanto ao início de processo administrativo para apuração de descumprimento de cláusulas contratuais.</w:t>
      </w:r>
      <w:commentRangeEnd w:id="12"/>
      <w:r w:rsidR="0021162B" w:rsidRPr="00975B79">
        <w:rPr>
          <w:rStyle w:val="Refdecomentrio"/>
          <w:i w:val="0"/>
          <w:iCs w:val="0"/>
          <w:color w:val="auto"/>
          <w:sz w:val="20"/>
          <w:szCs w:val="20"/>
        </w:rPr>
        <w:commentReference w:id="12"/>
      </w:r>
    </w:p>
    <w:p w14:paraId="03EA963A" w14:textId="7777777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commentRangeStart w:id="13"/>
      <w:r w:rsidRPr="004827F2">
        <w:t xml:space="preserve">CLÁUSULA NONA - </w:t>
      </w:r>
      <w:r w:rsidRPr="00F8329F">
        <w:t>OBRIGAÇÕES</w:t>
      </w:r>
      <w:r w:rsidRPr="004827F2">
        <w:t xml:space="preserve"> DO CONTRATADO (</w:t>
      </w:r>
      <w:hyperlink r:id="rId23" w:anchor="art92" w:history="1">
        <w:r w:rsidRPr="004827F2">
          <w:rPr>
            <w:rStyle w:val="Hyperlink"/>
          </w:rPr>
          <w:t>art. 92, XIV, XVI e XVII)</w:t>
        </w:r>
        <w:commentRangeEnd w:id="13"/>
        <w:r w:rsidR="002C6278" w:rsidRPr="004827F2">
          <w:rPr>
            <w:rStyle w:val="Hyperlink"/>
            <w:rFonts w:eastAsiaTheme="minorEastAsia"/>
            <w:b w:val="0"/>
            <w:bCs w:val="0"/>
          </w:rPr>
          <w:commentReference w:id="13"/>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332CB0" w:rsidRDefault="00DC41DD" w:rsidP="004E64AA">
      <w:pPr>
        <w:pStyle w:val="Nvel2-Red"/>
        <w:rPr>
          <w:i w:val="0"/>
          <w:iCs w:val="0"/>
          <w:color w:val="auto"/>
        </w:rPr>
      </w:pPr>
      <w:r w:rsidRPr="00332CB0">
        <w:rPr>
          <w:i w:val="0"/>
          <w:iCs w:val="0"/>
          <w:color w:val="auto"/>
        </w:rPr>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4"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5"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commentRangeStart w:id="14"/>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commentRangeEnd w:id="14"/>
      <w:r w:rsidR="00A81C19" w:rsidRPr="004827F2">
        <w:rPr>
          <w:rStyle w:val="Refdecomentrio"/>
          <w:color w:val="auto"/>
          <w:sz w:val="20"/>
          <w:szCs w:val="20"/>
        </w:rPr>
        <w:commentReference w:id="14"/>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lastRenderedPageBreak/>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6"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27"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8"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0071B7" w:rsidRDefault="00DC41DD" w:rsidP="00F8329F">
      <w:pPr>
        <w:pStyle w:val="Nvel2-Red"/>
        <w:rPr>
          <w:i w:val="0"/>
          <w:iCs w:val="0"/>
          <w:color w:val="auto"/>
        </w:rPr>
      </w:pPr>
      <w:bookmarkStart w:id="15" w:name="_Ref118293001"/>
      <w:commentRangeStart w:id="16"/>
      <w:r w:rsidRPr="000071B7">
        <w:rPr>
          <w:i w:val="0"/>
          <w:iCs w:val="0"/>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5"/>
    </w:p>
    <w:p w14:paraId="7F236BB9" w14:textId="77777777" w:rsidR="00DC41DD" w:rsidRPr="000071B7" w:rsidRDefault="00DC41DD" w:rsidP="00F8329F">
      <w:pPr>
        <w:pStyle w:val="Nvel2-Red"/>
        <w:rPr>
          <w:i w:val="0"/>
          <w:iCs w:val="0"/>
          <w:color w:val="auto"/>
        </w:rPr>
      </w:pPr>
      <w:r w:rsidRPr="000071B7">
        <w:rPr>
          <w:i w:val="0"/>
          <w:iCs w:val="0"/>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0071B7" w:rsidRDefault="00DC41DD" w:rsidP="00F8329F">
      <w:pPr>
        <w:pStyle w:val="Nvel2-Red"/>
        <w:rPr>
          <w:i w:val="0"/>
          <w:iCs w:val="0"/>
          <w:color w:val="auto"/>
        </w:rPr>
      </w:pPr>
      <w:r w:rsidRPr="000071B7">
        <w:rPr>
          <w:i w:val="0"/>
          <w:iCs w:val="0"/>
          <w:color w:val="auto"/>
        </w:rPr>
        <w:t>Conduzir os trabalhos com estrita observância às normas da legislação pertinente, cumprindo as determinações dos Poderes Públicos, mantendo sempre limpo o local d</w:t>
      </w:r>
      <w:r w:rsidRPr="000071B7">
        <w:rPr>
          <w:i w:val="0"/>
          <w:iCs w:val="0"/>
          <w:color w:val="auto"/>
          <w:lang w:eastAsia="en-US"/>
        </w:rPr>
        <w:t>e execução do objeto</w:t>
      </w:r>
      <w:r w:rsidRPr="000071B7">
        <w:rPr>
          <w:i w:val="0"/>
          <w:iCs w:val="0"/>
          <w:color w:val="auto"/>
        </w:rPr>
        <w:t xml:space="preserve"> e nas melhores condições de segurança, higiene e disciplina.</w:t>
      </w:r>
    </w:p>
    <w:p w14:paraId="527F2211" w14:textId="77777777" w:rsidR="00DC41DD" w:rsidRPr="000071B7" w:rsidRDefault="00DC41DD" w:rsidP="00F8329F">
      <w:pPr>
        <w:pStyle w:val="Nvel2-Red"/>
        <w:rPr>
          <w:i w:val="0"/>
          <w:iCs w:val="0"/>
          <w:color w:val="auto"/>
        </w:rPr>
      </w:pPr>
      <w:r w:rsidRPr="000071B7">
        <w:rPr>
          <w:i w:val="0"/>
          <w:iCs w:val="0"/>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0071B7" w:rsidRDefault="00DC41DD" w:rsidP="00F8329F">
      <w:pPr>
        <w:pStyle w:val="Nvel2-Red"/>
        <w:rPr>
          <w:i w:val="0"/>
          <w:iCs w:val="0"/>
          <w:color w:val="auto"/>
        </w:rPr>
      </w:pPr>
      <w:bookmarkStart w:id="17" w:name="_Ref118293030"/>
      <w:r w:rsidRPr="000071B7">
        <w:rPr>
          <w:i w:val="0"/>
          <w:iCs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7"/>
      <w:commentRangeEnd w:id="16"/>
      <w:r w:rsidR="008F478E" w:rsidRPr="000071B7">
        <w:rPr>
          <w:rStyle w:val="Refdecomentrio"/>
          <w:i w:val="0"/>
          <w:iCs w:val="0"/>
          <w:color w:val="auto"/>
          <w:sz w:val="20"/>
          <w:szCs w:val="20"/>
        </w:rPr>
        <w:commentReference w:id="16"/>
      </w:r>
    </w:p>
    <w:p w14:paraId="399FFBFE" w14:textId="7C8985EF" w:rsidR="00DC41DD" w:rsidRPr="004827F2" w:rsidRDefault="00DC41DD" w:rsidP="00142122">
      <w:pPr>
        <w:pStyle w:val="Nivel01"/>
        <w:rPr>
          <w:color w:val="FFFFFF" w:themeColor="background1"/>
        </w:rPr>
      </w:pPr>
      <w:r w:rsidRPr="004827F2">
        <w:t xml:space="preserve">CLÁUSULA </w:t>
      </w:r>
      <w:r w:rsidRPr="00142122">
        <w:t>DÉCIMA</w:t>
      </w:r>
      <w:r w:rsidRPr="004827F2">
        <w:t>– GARANTIA DE EXECUÇÃO (</w:t>
      </w:r>
      <w:hyperlink r:id="rId29" w:anchor="art92" w:history="1">
        <w:r w:rsidRPr="004827F2">
          <w:rPr>
            <w:rStyle w:val="Hyperlink"/>
          </w:rPr>
          <w:t>art. 92, XII</w:t>
        </w:r>
      </w:hyperlink>
      <w:r w:rsidRPr="004827F2">
        <w:t>)</w:t>
      </w:r>
    </w:p>
    <w:p w14:paraId="2ABE84A4" w14:textId="77777777" w:rsidR="00DC41DD" w:rsidRPr="000071B7" w:rsidRDefault="00DC41DD" w:rsidP="00142122">
      <w:pPr>
        <w:pStyle w:val="Nvel2-Red"/>
        <w:rPr>
          <w:i w:val="0"/>
          <w:iCs w:val="0"/>
          <w:color w:val="auto"/>
        </w:rPr>
      </w:pPr>
      <w:r w:rsidRPr="000071B7">
        <w:rPr>
          <w:i w:val="0"/>
          <w:iCs w:val="0"/>
          <w:color w:val="auto"/>
        </w:rPr>
        <w:t xml:space="preserve">  </w:t>
      </w:r>
      <w:commentRangeStart w:id="18"/>
      <w:r w:rsidRPr="000071B7">
        <w:rPr>
          <w:i w:val="0"/>
          <w:iCs w:val="0"/>
          <w:color w:val="auto"/>
        </w:rPr>
        <w:t>Não haverá exigência de garantia contratual da execução.</w:t>
      </w:r>
      <w:commentRangeEnd w:id="18"/>
      <w:r w:rsidR="00695BE6" w:rsidRPr="000071B7">
        <w:rPr>
          <w:rStyle w:val="Refdecomentrio"/>
          <w:i w:val="0"/>
          <w:iCs w:val="0"/>
          <w:color w:val="auto"/>
          <w:sz w:val="20"/>
          <w:szCs w:val="20"/>
        </w:rPr>
        <w:commentReference w:id="18"/>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30"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31"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lastRenderedPageBreak/>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2"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3" w:anchor="art156§2" w:history="1">
        <w:r w:rsidRPr="004827F2">
          <w:rPr>
            <w:rStyle w:val="Hyperlink"/>
            <w:rFonts w:ascii="Arial" w:eastAsia="Arial" w:hAnsi="Arial" w:cs="Arial"/>
            <w:sz w:val="20"/>
            <w:szCs w:val="20"/>
          </w:rPr>
          <w:t xml:space="preserve">art. 156, §2º, da </w:t>
        </w:r>
        <w:bookmarkStart w:id="19" w:name="_Hlk114504069"/>
        <w:r w:rsidRPr="004827F2">
          <w:rPr>
            <w:rStyle w:val="Hyperlink"/>
            <w:rFonts w:ascii="Arial" w:eastAsia="Arial" w:hAnsi="Arial" w:cs="Arial"/>
            <w:sz w:val="20"/>
            <w:szCs w:val="20"/>
          </w:rPr>
          <w:t>Lei nº 14.133, de 2021</w:t>
        </w:r>
        <w:bookmarkEnd w:id="19"/>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4"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5"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5C7CBCE8" w:rsidR="00542A36" w:rsidRPr="000071B7"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commentRangeStart w:id="20"/>
      <w:r w:rsidRPr="000071B7">
        <w:rPr>
          <w:rFonts w:ascii="Arial" w:eastAsia="Arial" w:hAnsi="Arial" w:cs="Arial"/>
          <w:sz w:val="20"/>
          <w:szCs w:val="20"/>
        </w:rPr>
        <w:t>Moratória</w:t>
      </w:r>
      <w:r w:rsidR="00DC41DD" w:rsidRPr="000071B7">
        <w:rPr>
          <w:rFonts w:ascii="Arial" w:eastAsia="Arial" w:hAnsi="Arial" w:cs="Arial"/>
          <w:sz w:val="20"/>
          <w:szCs w:val="20"/>
        </w:rPr>
        <w:t xml:space="preserve"> de </w:t>
      </w:r>
      <w:r w:rsidR="000071B7" w:rsidRPr="000071B7">
        <w:rPr>
          <w:rFonts w:ascii="Arial" w:eastAsia="Arial" w:hAnsi="Arial" w:cs="Arial"/>
          <w:sz w:val="20"/>
          <w:szCs w:val="20"/>
        </w:rPr>
        <w:t xml:space="preserve">1 </w:t>
      </w:r>
      <w:r w:rsidR="00DC41DD" w:rsidRPr="000071B7">
        <w:rPr>
          <w:rFonts w:ascii="Arial" w:eastAsia="Arial" w:hAnsi="Arial" w:cs="Arial"/>
          <w:sz w:val="20"/>
          <w:szCs w:val="20"/>
        </w:rPr>
        <w:t>% (</w:t>
      </w:r>
      <w:r w:rsidR="000071B7" w:rsidRPr="000071B7">
        <w:rPr>
          <w:rFonts w:ascii="Arial" w:eastAsia="Arial" w:hAnsi="Arial" w:cs="Arial"/>
          <w:sz w:val="20"/>
          <w:szCs w:val="20"/>
        </w:rPr>
        <w:t>um</w:t>
      </w:r>
      <w:r w:rsidR="00DC41DD" w:rsidRPr="000071B7">
        <w:rPr>
          <w:rFonts w:ascii="Arial" w:eastAsia="Arial" w:hAnsi="Arial" w:cs="Arial"/>
          <w:sz w:val="20"/>
          <w:szCs w:val="20"/>
        </w:rPr>
        <w:t xml:space="preserve"> por cento) por dia de atraso injustificado sobre o valor da</w:t>
      </w:r>
      <w:r w:rsidR="007E2A27" w:rsidRPr="000071B7">
        <w:rPr>
          <w:rFonts w:ascii="Arial" w:eastAsia="Arial" w:hAnsi="Arial" w:cs="Arial"/>
          <w:sz w:val="20"/>
          <w:szCs w:val="20"/>
        </w:rPr>
        <w:t xml:space="preserve"> </w:t>
      </w:r>
      <w:r w:rsidR="00DC41DD" w:rsidRPr="000071B7">
        <w:rPr>
          <w:rFonts w:ascii="Arial" w:eastAsia="Arial" w:hAnsi="Arial" w:cs="Arial"/>
          <w:sz w:val="20"/>
          <w:szCs w:val="20"/>
        </w:rPr>
        <w:t xml:space="preserve">parcela inadimplida, até o limite de </w:t>
      </w:r>
      <w:r w:rsidR="000071B7" w:rsidRPr="000071B7">
        <w:rPr>
          <w:rFonts w:ascii="Arial" w:eastAsia="Arial" w:hAnsi="Arial" w:cs="Arial"/>
          <w:sz w:val="20"/>
          <w:szCs w:val="20"/>
        </w:rPr>
        <w:t>30</w:t>
      </w:r>
      <w:r w:rsidR="00DC41DD" w:rsidRPr="000071B7">
        <w:rPr>
          <w:rFonts w:ascii="Arial" w:eastAsia="Arial" w:hAnsi="Arial" w:cs="Arial"/>
          <w:sz w:val="20"/>
          <w:szCs w:val="20"/>
        </w:rPr>
        <w:t xml:space="preserve"> (</w:t>
      </w:r>
      <w:r w:rsidR="000071B7" w:rsidRPr="000071B7">
        <w:rPr>
          <w:rFonts w:ascii="Arial" w:eastAsia="Arial" w:hAnsi="Arial" w:cs="Arial"/>
          <w:sz w:val="20"/>
          <w:szCs w:val="20"/>
        </w:rPr>
        <w:t>trinta</w:t>
      </w:r>
      <w:r w:rsidR="00DC41DD" w:rsidRPr="000071B7">
        <w:rPr>
          <w:rFonts w:ascii="Arial" w:eastAsia="Arial" w:hAnsi="Arial" w:cs="Arial"/>
          <w:sz w:val="20"/>
          <w:szCs w:val="20"/>
        </w:rPr>
        <w:t>) dias;</w:t>
      </w:r>
    </w:p>
    <w:p w14:paraId="2B67A379" w14:textId="0E7C96FA" w:rsidR="00542A36" w:rsidRPr="000071B7"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0071B7">
        <w:rPr>
          <w:rFonts w:ascii="Arial" w:eastAsia="Arial" w:hAnsi="Arial" w:cs="Arial"/>
          <w:sz w:val="20"/>
          <w:szCs w:val="20"/>
        </w:rPr>
        <w:t>Moratória</w:t>
      </w:r>
      <w:r w:rsidR="00DC41DD" w:rsidRPr="000071B7">
        <w:rPr>
          <w:rFonts w:ascii="Arial" w:eastAsia="Arial" w:hAnsi="Arial" w:cs="Arial"/>
          <w:sz w:val="20"/>
          <w:szCs w:val="20"/>
        </w:rPr>
        <w:t xml:space="preserve"> de </w:t>
      </w:r>
      <w:proofErr w:type="gramStart"/>
      <w:r w:rsidR="000071B7" w:rsidRPr="000071B7">
        <w:rPr>
          <w:rFonts w:ascii="Arial" w:eastAsia="Arial" w:hAnsi="Arial" w:cs="Arial"/>
          <w:sz w:val="20"/>
          <w:szCs w:val="20"/>
        </w:rPr>
        <w:t>1</w:t>
      </w:r>
      <w:r w:rsidR="00DC41DD" w:rsidRPr="000071B7">
        <w:rPr>
          <w:rFonts w:ascii="Arial" w:eastAsia="Arial" w:hAnsi="Arial" w:cs="Arial"/>
          <w:sz w:val="20"/>
          <w:szCs w:val="20"/>
        </w:rPr>
        <w:t>.%</w:t>
      </w:r>
      <w:proofErr w:type="gramEnd"/>
      <w:r w:rsidR="00DC41DD" w:rsidRPr="000071B7">
        <w:rPr>
          <w:rFonts w:ascii="Arial" w:eastAsia="Arial" w:hAnsi="Arial" w:cs="Arial"/>
          <w:sz w:val="20"/>
          <w:szCs w:val="20"/>
        </w:rPr>
        <w:t xml:space="preserve"> (</w:t>
      </w:r>
      <w:r w:rsidR="000071B7" w:rsidRPr="000071B7">
        <w:rPr>
          <w:rFonts w:ascii="Arial" w:eastAsia="Arial" w:hAnsi="Arial" w:cs="Arial"/>
          <w:sz w:val="20"/>
          <w:szCs w:val="20"/>
        </w:rPr>
        <w:t>um</w:t>
      </w:r>
      <w:r w:rsidR="00DC41DD" w:rsidRPr="000071B7">
        <w:rPr>
          <w:rFonts w:ascii="Arial" w:eastAsia="Arial" w:hAnsi="Arial" w:cs="Arial"/>
          <w:sz w:val="20"/>
          <w:szCs w:val="20"/>
        </w:rPr>
        <w:t xml:space="preserve"> por cento) por dia de atraso injustificado sobre o valor total do contrato, até o máximo de </w:t>
      </w:r>
      <w:r w:rsidR="000071B7" w:rsidRPr="000071B7">
        <w:rPr>
          <w:rFonts w:ascii="Arial" w:eastAsia="Arial" w:hAnsi="Arial" w:cs="Arial"/>
          <w:sz w:val="20"/>
          <w:szCs w:val="20"/>
        </w:rPr>
        <w:t>1</w:t>
      </w:r>
      <w:r w:rsidR="00DC41DD" w:rsidRPr="000071B7">
        <w:rPr>
          <w:rFonts w:ascii="Arial" w:eastAsia="Arial" w:hAnsi="Arial" w:cs="Arial"/>
          <w:sz w:val="20"/>
          <w:szCs w:val="20"/>
        </w:rPr>
        <w:t>.% (</w:t>
      </w:r>
      <w:r w:rsidR="000071B7" w:rsidRPr="000071B7">
        <w:rPr>
          <w:rFonts w:ascii="Arial" w:eastAsia="Arial" w:hAnsi="Arial" w:cs="Arial"/>
          <w:sz w:val="20"/>
          <w:szCs w:val="20"/>
        </w:rPr>
        <w:t>trinta</w:t>
      </w:r>
      <w:r w:rsidR="00DC41DD" w:rsidRPr="000071B7">
        <w:rPr>
          <w:rFonts w:ascii="Arial" w:eastAsia="Arial" w:hAnsi="Arial" w:cs="Arial"/>
          <w:sz w:val="20"/>
          <w:szCs w:val="20"/>
        </w:rPr>
        <w:t xml:space="preserve"> por cento), pela inobservância do prazo fixado para apresentação, suplementação ou reposição da garantia.</w:t>
      </w:r>
    </w:p>
    <w:p w14:paraId="11494643" w14:textId="1E9D321B" w:rsidR="00DC41DD" w:rsidRPr="000071B7"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0071B7">
        <w:rPr>
          <w:rFonts w:ascii="Arial" w:eastAsia="Arial" w:hAnsi="Arial" w:cs="Arial"/>
          <w:sz w:val="20"/>
          <w:szCs w:val="20"/>
        </w:rPr>
        <w:t xml:space="preserve">O atraso superior a </w:t>
      </w:r>
      <w:r w:rsidR="000071B7" w:rsidRPr="000071B7">
        <w:rPr>
          <w:rFonts w:ascii="Arial" w:eastAsia="Arial" w:hAnsi="Arial" w:cs="Arial"/>
          <w:sz w:val="20"/>
          <w:szCs w:val="20"/>
        </w:rPr>
        <w:t>30</w:t>
      </w:r>
      <w:r w:rsidRPr="000071B7">
        <w:rPr>
          <w:rFonts w:ascii="Arial" w:eastAsia="Arial" w:hAnsi="Arial" w:cs="Arial"/>
          <w:sz w:val="20"/>
          <w:szCs w:val="20"/>
        </w:rPr>
        <w:t xml:space="preserve"> dias autoriza a Administração a promover a extinção do contrato por descumprimento ou cumprimento irregular de suas cláusulas, conforme dispõe o inciso I do art. 137 da Lei n. 14.133, de 2021. </w:t>
      </w:r>
      <w:commentRangeEnd w:id="20"/>
      <w:r w:rsidR="00DF0830" w:rsidRPr="000071B7">
        <w:rPr>
          <w:rStyle w:val="Refdecomentrio"/>
          <w:rFonts w:ascii="Arial" w:hAnsi="Arial" w:cs="Arial"/>
          <w:sz w:val="20"/>
          <w:szCs w:val="20"/>
        </w:rPr>
        <w:commentReference w:id="20"/>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36"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37"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8"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4827F2">
          <w:rPr>
            <w:rStyle w:val="Hyperlink"/>
          </w:rPr>
          <w:t>art. 156, §8º, da Lei nº 14.133, de 2021</w:t>
        </w:r>
      </w:hyperlink>
      <w:r w:rsidRPr="004827F2">
        <w:t>).</w:t>
      </w:r>
    </w:p>
    <w:p w14:paraId="53AB3C5C" w14:textId="6A6ED45A" w:rsidR="00DC41DD" w:rsidRPr="004827F2" w:rsidRDefault="00DC41DD" w:rsidP="00F61CE2">
      <w:pPr>
        <w:pStyle w:val="Nivel3"/>
      </w:pPr>
      <w:r w:rsidRPr="004827F2">
        <w:t xml:space="preserve">Previamente ao encaminhamento à cobrança judicial, a multa poderá ser recolhida administrativamente no prazo máximo </w:t>
      </w:r>
      <w:r w:rsidRPr="00955BAC">
        <w:rPr>
          <w:color w:val="auto"/>
        </w:rPr>
        <w:t xml:space="preserve">de </w:t>
      </w:r>
      <w:r w:rsidR="00955BAC" w:rsidRPr="00955BAC">
        <w:rPr>
          <w:color w:val="auto"/>
        </w:rPr>
        <w:t>15</w:t>
      </w:r>
      <w:r w:rsidRPr="00955BAC">
        <w:rPr>
          <w:color w:val="auto"/>
        </w:rPr>
        <w:t xml:space="preserve"> (</w:t>
      </w:r>
      <w:r w:rsidR="00955BAC" w:rsidRPr="00955BAC">
        <w:rPr>
          <w:color w:val="auto"/>
        </w:rPr>
        <w:t>quinze</w:t>
      </w:r>
      <w:r w:rsidRPr="00955BAC">
        <w:rPr>
          <w:color w:val="auto"/>
        </w:rPr>
        <w:t xml:space="preserve">) </w:t>
      </w:r>
      <w:r w:rsidRPr="004827F2">
        <w:t>dias, a contar da data do recebimento da comunicação enviada pela autoridade competente.</w:t>
      </w:r>
      <w:bookmarkStart w:id="21" w:name="_Hlk78351618"/>
      <w:bookmarkEnd w:id="21"/>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0"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41"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42"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43" w:history="1">
        <w:r w:rsidRPr="004827F2">
          <w:rPr>
            <w:rStyle w:val="Hyperlink"/>
          </w:rPr>
          <w:t xml:space="preserve">Lei nº </w:t>
        </w:r>
        <w:r w:rsidRPr="004827F2">
          <w:rPr>
            <w:rStyle w:val="Hyperlink"/>
          </w:rPr>
          <w:lastRenderedPageBreak/>
          <w:t>12.846, de 2013</w:t>
        </w:r>
      </w:hyperlink>
      <w:r w:rsidRPr="004827F2">
        <w:t>, serão apurados e julgados conjuntamente, nos mesmos autos, observados o rito procedimental e autoridade competente definidos na referida Lei (</w:t>
      </w:r>
      <w:hyperlink r:id="rId44"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46"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7"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8"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49" w:anchor="art92" w:history="1">
        <w:r w:rsidRPr="004827F2">
          <w:rPr>
            <w:rStyle w:val="Hyperlink"/>
          </w:rPr>
          <w:t>art. 92, XIX</w:t>
        </w:r>
      </w:hyperlink>
      <w:r w:rsidRPr="004827F2">
        <w:t>)</w:t>
      </w:r>
    </w:p>
    <w:p w14:paraId="6D480A11" w14:textId="2F3DA549" w:rsidR="00DC41DD" w:rsidRPr="003D4B89" w:rsidRDefault="00DC41DD" w:rsidP="00F61CE2">
      <w:pPr>
        <w:pStyle w:val="Nvel2-Red"/>
        <w:rPr>
          <w:i w:val="0"/>
          <w:iCs w:val="0"/>
          <w:color w:val="auto"/>
        </w:rPr>
      </w:pPr>
      <w:commentRangeStart w:id="22"/>
      <w:r w:rsidRPr="003D4B89">
        <w:rPr>
          <w:i w:val="0"/>
          <w:iCs w:val="0"/>
          <w:color w:val="auto"/>
        </w:rPr>
        <w:t xml:space="preserve">O contrato </w:t>
      </w:r>
      <w:r w:rsidR="00B53F7A" w:rsidRPr="003D4B89">
        <w:rPr>
          <w:i w:val="0"/>
          <w:iCs w:val="0"/>
          <w:color w:val="auto"/>
        </w:rPr>
        <w:t xml:space="preserve">será extinto </w:t>
      </w:r>
      <w:r w:rsidRPr="003D4B89">
        <w:rPr>
          <w:i w:val="0"/>
          <w:iCs w:val="0"/>
          <w:color w:val="auto"/>
        </w:rPr>
        <w:t>quando cumpridas as obrigações de ambas as partes, ainda que isso ocorra antes do prazo estipulado para tanto.</w:t>
      </w:r>
    </w:p>
    <w:p w14:paraId="7FB71ECA" w14:textId="77777777" w:rsidR="00DC41DD" w:rsidRPr="003D4B89" w:rsidRDefault="00DC41DD" w:rsidP="00F61CE2">
      <w:pPr>
        <w:pStyle w:val="Nvel2-Red"/>
        <w:rPr>
          <w:i w:val="0"/>
          <w:iCs w:val="0"/>
          <w:color w:val="auto"/>
        </w:rPr>
      </w:pPr>
      <w:r w:rsidRPr="003D4B89">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3D4B89" w:rsidRDefault="00DC41DD" w:rsidP="00216690">
      <w:pPr>
        <w:pStyle w:val="Nvel3-R"/>
        <w:rPr>
          <w:i w:val="0"/>
          <w:iCs w:val="0"/>
          <w:color w:val="auto"/>
        </w:rPr>
      </w:pPr>
      <w:r w:rsidRPr="003D4B89">
        <w:rPr>
          <w:i w:val="0"/>
          <w:iCs w:val="0"/>
          <w:color w:val="auto"/>
        </w:rPr>
        <w:t>Quando a não conclusão do contrato referida no item anterior decorrer de culpa do contratado:</w:t>
      </w:r>
    </w:p>
    <w:p w14:paraId="40116AB9" w14:textId="77777777" w:rsidR="00DC41DD" w:rsidRPr="003D4B89"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sz w:val="20"/>
          <w:szCs w:val="20"/>
        </w:rPr>
      </w:pPr>
      <w:r w:rsidRPr="003D4B89">
        <w:rPr>
          <w:rFonts w:ascii="Arial" w:eastAsia="Arial" w:hAnsi="Arial" w:cs="Arial"/>
          <w:sz w:val="20"/>
          <w:szCs w:val="20"/>
        </w:rPr>
        <w:t xml:space="preserve">ficará ele constituído em mora, sendo-lhe aplicáveis as respectivas sanções administrativas; e  </w:t>
      </w:r>
    </w:p>
    <w:p w14:paraId="77380B14" w14:textId="77777777" w:rsidR="00DC41DD" w:rsidRPr="003D4B89"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sz w:val="20"/>
          <w:szCs w:val="20"/>
        </w:rPr>
      </w:pPr>
      <w:r w:rsidRPr="003D4B89">
        <w:rPr>
          <w:rFonts w:ascii="Arial" w:eastAsia="Arial" w:hAnsi="Arial" w:cs="Arial"/>
          <w:sz w:val="20"/>
          <w:szCs w:val="20"/>
        </w:rPr>
        <w:t>poderá a Administração optar pela extinção do contrato e, nesse caso, adotará as medidas admitidas em lei para a continuidade da execução contratual.</w:t>
      </w:r>
      <w:commentRangeEnd w:id="22"/>
      <w:r w:rsidR="000A5E21" w:rsidRPr="003D4B89">
        <w:rPr>
          <w:rStyle w:val="Refdecomentrio"/>
          <w:rFonts w:ascii="Arial" w:hAnsi="Arial" w:cs="Arial"/>
          <w:sz w:val="20"/>
          <w:szCs w:val="20"/>
        </w:rPr>
        <w:commentReference w:id="22"/>
      </w:r>
    </w:p>
    <w:p w14:paraId="02E1B7B5" w14:textId="32D7FEE4" w:rsidR="00DC41DD" w:rsidRPr="004827F2" w:rsidRDefault="00DC41DD" w:rsidP="00216690">
      <w:pPr>
        <w:pStyle w:val="Nivel2"/>
      </w:pPr>
      <w:r w:rsidRPr="004827F2">
        <w:t xml:space="preserve">O contrato </w:t>
      </w:r>
      <w:r w:rsidRPr="003D4B89">
        <w:t>pode</w:t>
      </w:r>
      <w:r w:rsidR="00B53F7A" w:rsidRPr="003D4B89">
        <w:t>rá</w:t>
      </w:r>
      <w:r w:rsidRPr="004827F2">
        <w:t xml:space="preserve"> ser extinto antes de cumpridas as obrigações nele estipuladas, ou antes do prazo nele fixado, por algum dos </w:t>
      </w:r>
      <w:r w:rsidRPr="00216690">
        <w:t>motivos</w:t>
      </w:r>
      <w:r w:rsidRPr="004827F2">
        <w:t xml:space="preserve"> previstos no </w:t>
      </w:r>
      <w:hyperlink r:id="rId50"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4827F2" w:rsidRDefault="00DC41DD" w:rsidP="00216690">
      <w:pPr>
        <w:pStyle w:val="Nivel3"/>
      </w:pPr>
      <w:r w:rsidRPr="004827F2">
        <w:t xml:space="preserve">Nesta </w:t>
      </w:r>
      <w:r w:rsidRPr="00216690">
        <w:t>hipótese</w:t>
      </w:r>
      <w:r w:rsidRPr="004827F2">
        <w:t xml:space="preserve">, aplicam-se também os </w:t>
      </w:r>
      <w:hyperlink r:id="rId51" w:anchor="art138" w:history="1">
        <w:r w:rsidRPr="004827F2">
          <w:rPr>
            <w:rStyle w:val="Hyperlink"/>
          </w:rPr>
          <w:t>artigos 138 e 139 da mesma Lei</w:t>
        </w:r>
      </w:hyperlink>
      <w:r w:rsidRPr="004827F2">
        <w:t>.</w:t>
      </w:r>
    </w:p>
    <w:p w14:paraId="50CE8F25" w14:textId="6B32FE6F" w:rsidR="00DC41DD" w:rsidRPr="004827F2" w:rsidRDefault="00DC41DD" w:rsidP="00216690">
      <w:pPr>
        <w:pStyle w:val="Nivel3"/>
      </w:pPr>
      <w:r w:rsidRPr="004827F2">
        <w:t xml:space="preserve">A alteração social ou a modificação da finalidade ou da estrutura da empresa não ensejará a </w:t>
      </w:r>
      <w:r w:rsidR="009E743C" w:rsidRPr="003D4B89">
        <w:t>extinção</w:t>
      </w:r>
      <w:r w:rsidRPr="004827F2">
        <w:t xml:space="preserve"> se não restringir sua capacidade de concluir o contrato.</w:t>
      </w:r>
    </w:p>
    <w:p w14:paraId="1F5654C3" w14:textId="77777777" w:rsidR="00DC41DD" w:rsidRPr="004827F2" w:rsidRDefault="00DC41DD" w:rsidP="00216690">
      <w:pPr>
        <w:pStyle w:val="Nivel4"/>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4DFE79E8" w14:textId="1E57CADB" w:rsidR="00DC41DD" w:rsidRPr="004827F2" w:rsidRDefault="00DC41DD" w:rsidP="00216690">
      <w:pPr>
        <w:pStyle w:val="Nivel2"/>
      </w:pPr>
      <w:r w:rsidRPr="004827F2">
        <w:t xml:space="preserve">O termo de </w:t>
      </w:r>
      <w:r w:rsidR="00B53F7A" w:rsidRPr="003D4B89">
        <w:t>extinção</w:t>
      </w:r>
      <w:r w:rsidRPr="003D4B89">
        <w:t>,</w:t>
      </w:r>
      <w:r w:rsidRPr="004827F2">
        <w:t xml:space="preserve"> sempre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lastRenderedPageBreak/>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52"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Pr="003D4B89" w:rsidRDefault="534D768A" w:rsidP="00216690">
      <w:pPr>
        <w:pStyle w:val="Nivel2"/>
      </w:pPr>
      <w:r w:rsidRPr="003D4B89">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53"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3D4B89" w:rsidRDefault="00DC41DD" w:rsidP="00216690">
      <w:pPr>
        <w:pStyle w:val="Nvel2-Red"/>
        <w:rPr>
          <w:i w:val="0"/>
          <w:iCs w:val="0"/>
          <w:color w:val="auto"/>
        </w:rPr>
      </w:pPr>
      <w:commentRangeStart w:id="23"/>
      <w:r w:rsidRPr="003D4B89">
        <w:rPr>
          <w:i w:val="0"/>
          <w:iCs w:val="0"/>
          <w:color w:val="auto"/>
        </w:rPr>
        <w:t>A dotação relativa aos exercícios financeiros subsequentes será indicada após aprovação da Lei Orçamentária respectiva e liberação dos créditos correspondentes, mediante apostilamento.</w:t>
      </w:r>
      <w:commentRangeEnd w:id="23"/>
      <w:r w:rsidR="00664458" w:rsidRPr="003D4B89">
        <w:rPr>
          <w:rStyle w:val="Refdecomentrio"/>
          <w:i w:val="0"/>
          <w:iCs w:val="0"/>
          <w:color w:val="auto"/>
          <w:sz w:val="20"/>
          <w:szCs w:val="20"/>
        </w:rPr>
        <w:commentReference w:id="23"/>
      </w:r>
    </w:p>
    <w:p w14:paraId="7FFD19FD" w14:textId="74E2370E" w:rsidR="00DC41DD" w:rsidRPr="004827F2" w:rsidRDefault="00DC41DD" w:rsidP="00142122">
      <w:pPr>
        <w:pStyle w:val="Nivel01"/>
        <w:rPr>
          <w:color w:val="FFFFFF" w:themeColor="background1"/>
        </w:rPr>
      </w:pPr>
      <w:r w:rsidRPr="00142122">
        <w:t>CLÁUSULA</w:t>
      </w:r>
      <w:r w:rsidRPr="004827F2">
        <w:t xml:space="preserve"> DÉCIMA QUARTA – DOS CASOS OMISSOS (</w:t>
      </w:r>
      <w:hyperlink r:id="rId54" w:anchor="art92" w:history="1">
        <w:r w:rsidRPr="004827F2">
          <w:rPr>
            <w:rStyle w:val="Hyperlink"/>
          </w:rPr>
          <w:t>art. 92, III</w:t>
        </w:r>
      </w:hyperlink>
      <w:r w:rsidRPr="004827F2">
        <w:t>)</w:t>
      </w:r>
    </w:p>
    <w:p w14:paraId="2BDB01E3" w14:textId="7FBE5E66" w:rsidR="00DC41DD" w:rsidRPr="004827F2" w:rsidRDefault="00DC41DD" w:rsidP="00216690">
      <w:pPr>
        <w:pStyle w:val="Nivel2"/>
      </w:pPr>
      <w:commentRangeStart w:id="24"/>
      <w:r w:rsidRPr="004827F2">
        <w:t xml:space="preserve">Os </w:t>
      </w:r>
      <w:r w:rsidRPr="00216690">
        <w:t>casos</w:t>
      </w:r>
      <w:r w:rsidRPr="004827F2">
        <w:t xml:space="preserve"> omissos serão decididos pelo contratante, segundo as disposições contidas na Lei </w:t>
      </w:r>
      <w:hyperlink r:id="rId55" w:history="1">
        <w:r w:rsidRPr="004827F2">
          <w:rPr>
            <w:rStyle w:val="Hyperlink"/>
          </w:rPr>
          <w:t>nº 14.133, de 2021</w:t>
        </w:r>
      </w:hyperlink>
      <w:r w:rsidRPr="004827F2">
        <w:t xml:space="preserve">, e demais normas federais aplicáveis e, subsidiariamente, segundo as disposições contidas na </w:t>
      </w:r>
      <w:hyperlink r:id="rId56" w:history="1">
        <w:r w:rsidRPr="004827F2">
          <w:rPr>
            <w:rStyle w:val="Hyperlink"/>
          </w:rPr>
          <w:t>Lei nº 8.078, de 1990 – Código de Defesa do Consumidor</w:t>
        </w:r>
      </w:hyperlink>
      <w:r w:rsidRPr="004827F2">
        <w:t xml:space="preserve"> – e normas e princípios gerais dos contratos.</w:t>
      </w:r>
      <w:commentRangeEnd w:id="24"/>
      <w:r w:rsidR="00314CA9" w:rsidRPr="004827F2">
        <w:rPr>
          <w:rStyle w:val="Refdecomentrio"/>
          <w:color w:val="auto"/>
          <w:sz w:val="20"/>
          <w:szCs w:val="20"/>
        </w:rPr>
        <w:commentReference w:id="24"/>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57"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3D4B89" w:rsidRDefault="00B53F7A" w:rsidP="00216690">
      <w:pPr>
        <w:pStyle w:val="Nivel2"/>
      </w:pPr>
      <w:r w:rsidRPr="003D4B89">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58"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59" w:anchor="art94" w:history="1">
        <w:r w:rsidRPr="004827F2">
          <w:rPr>
            <w:rStyle w:val="Hyperlink"/>
          </w:rPr>
          <w:t>art. 94 da Lei 14.133, de 2021</w:t>
        </w:r>
      </w:hyperlink>
      <w:r w:rsidRPr="004827F2">
        <w:t xml:space="preserve">, bem como no respectivo sítio oficial na Internet, </w:t>
      </w:r>
      <w:r w:rsidRPr="004827F2">
        <w:lastRenderedPageBreak/>
        <w:t xml:space="preserve">em atenção </w:t>
      </w:r>
      <w:r w:rsidR="00C87F98" w:rsidRPr="003D4B89">
        <w:t xml:space="preserve">ao art. 91, </w:t>
      </w:r>
      <w:r w:rsidR="00C87F98" w:rsidRPr="003D4B89">
        <w:rPr>
          <w:i/>
        </w:rPr>
        <w:t>caput,</w:t>
      </w:r>
      <w:r w:rsidR="00C87F98" w:rsidRPr="003D4B89">
        <w:t xml:space="preserve"> da Lei n.º 14.133, de 2021, e </w:t>
      </w:r>
      <w:r w:rsidRPr="003D4B89">
        <w:t>ao</w:t>
      </w:r>
      <w:r w:rsidRPr="004827F2">
        <w:t xml:space="preserve"> </w:t>
      </w:r>
      <w:hyperlink r:id="rId60" w:anchor="art8§2" w:history="1">
        <w:r w:rsidRPr="004827F2">
          <w:rPr>
            <w:rStyle w:val="Hyperlink"/>
          </w:rPr>
          <w:t>art. 8º, §2º, da Lei n. 12.527, de 2011</w:t>
        </w:r>
      </w:hyperlink>
      <w:r w:rsidRPr="004827F2">
        <w:t xml:space="preserve">, c/c </w:t>
      </w:r>
      <w:hyperlink r:id="rId61" w:anchor="art7§3" w:history="1">
        <w:r w:rsidRPr="004827F2">
          <w:rPr>
            <w:rStyle w:val="Hyperlink"/>
          </w:rPr>
          <w:t>art. 7º, §3º, inciso V, do Decreto n. 7.724, de 2012</w:t>
        </w:r>
      </w:hyperlink>
      <w:r w:rsidRPr="004827F2">
        <w:t>.</w:t>
      </w:r>
    </w:p>
    <w:p w14:paraId="0F49AB6E" w14:textId="7578BB2B"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62" w:anchor="art92§1" w:history="1">
        <w:r w:rsidRPr="004827F2">
          <w:rPr>
            <w:rStyle w:val="Hyperlink"/>
          </w:rPr>
          <w:t>art. 92, §1º</w:t>
        </w:r>
      </w:hyperlink>
      <w:r w:rsidRPr="004827F2">
        <w:t>)</w:t>
      </w:r>
    </w:p>
    <w:p w14:paraId="184251F6" w14:textId="33B161A6" w:rsidR="00DC41DD" w:rsidRPr="004827F2" w:rsidRDefault="00DC41DD" w:rsidP="00216690">
      <w:pPr>
        <w:pStyle w:val="Nivel2"/>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3" w:anchor="art92§1" w:history="1">
        <w:r w:rsidRPr="004827F2">
          <w:rPr>
            <w:rStyle w:val="Hyperlink"/>
          </w:rPr>
          <w:t>art. 92, §1º, da Lei nº 14.133/21</w:t>
        </w:r>
      </w:hyperlink>
      <w:r w:rsidRPr="004827F2">
        <w:t>.</w:t>
      </w:r>
    </w:p>
    <w:p w14:paraId="721C1BC9" w14:textId="032DC4A2" w:rsidR="00EA7386" w:rsidRPr="003D4B89" w:rsidRDefault="00090534" w:rsidP="00D01ED2">
      <w:pPr>
        <w:pStyle w:val="Nivel2"/>
        <w:numPr>
          <w:ilvl w:val="0"/>
          <w:numId w:val="0"/>
        </w:numPr>
        <w:spacing w:afterLines="120" w:after="288" w:line="312" w:lineRule="auto"/>
        <w:ind w:firstLine="567"/>
        <w:rPr>
          <w:color w:val="auto"/>
        </w:rPr>
      </w:pPr>
      <w:r w:rsidRPr="003D4B89">
        <w:rPr>
          <w:color w:val="auto"/>
        </w:rPr>
        <w:t>[Local]</w:t>
      </w:r>
      <w:r w:rsidR="00EA7386" w:rsidRPr="003D4B89">
        <w:rPr>
          <w:color w:val="auto"/>
        </w:rPr>
        <w:t xml:space="preserve">, </w:t>
      </w:r>
      <w:r w:rsidRPr="003D4B89">
        <w:rPr>
          <w:color w:val="auto"/>
        </w:rPr>
        <w:t>[dia]</w:t>
      </w:r>
      <w:r w:rsidR="00EA7386" w:rsidRPr="003D4B89">
        <w:rPr>
          <w:color w:val="auto"/>
        </w:rPr>
        <w:t xml:space="preserve"> de </w:t>
      </w:r>
      <w:r w:rsidRPr="003D4B89">
        <w:rPr>
          <w:color w:val="auto"/>
        </w:rPr>
        <w:t xml:space="preserve">[mês] </w:t>
      </w:r>
      <w:r w:rsidR="00EA7386" w:rsidRPr="003D4B89">
        <w:rPr>
          <w:color w:val="auto"/>
        </w:rPr>
        <w:t xml:space="preserve">de </w:t>
      </w:r>
      <w:r w:rsidRPr="003D4B89">
        <w:rPr>
          <w:color w:val="auto"/>
        </w:rPr>
        <w:t>[ano]</w:t>
      </w:r>
      <w:r w:rsidR="00E64DAA" w:rsidRPr="003D4B89">
        <w:rPr>
          <w:color w:val="auto"/>
        </w:rPr>
        <w:t>.</w:t>
      </w:r>
    </w:p>
    <w:p w14:paraId="0F3F1B4C" w14:textId="39F3A2FD" w:rsidR="00DC41DD" w:rsidRPr="004827F2" w:rsidRDefault="00DC41DD" w:rsidP="00D01ED2">
      <w:pPr>
        <w:spacing w:before="120" w:afterLines="120" w:after="288" w:line="312" w:lineRule="auto"/>
        <w:ind w:firstLine="567"/>
        <w:jc w:val="center"/>
        <w:rPr>
          <w:rFonts w:ascii="Arial" w:hAnsi="Arial" w:cs="Arial"/>
          <w:bCs/>
          <w:sz w:val="20"/>
          <w:szCs w:val="20"/>
        </w:rPr>
      </w:pPr>
      <w:commentRangeStart w:id="25"/>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3D4B89" w:rsidRDefault="00DC41DD" w:rsidP="00D01ED2">
      <w:pPr>
        <w:spacing w:before="120" w:afterLines="120" w:after="288" w:line="312" w:lineRule="auto"/>
        <w:ind w:firstLine="567"/>
        <w:jc w:val="both"/>
        <w:rPr>
          <w:rFonts w:ascii="Arial" w:hAnsi="Arial" w:cs="Arial"/>
          <w:i/>
          <w:iCs/>
          <w:sz w:val="20"/>
          <w:szCs w:val="20"/>
        </w:rPr>
      </w:pPr>
      <w:r w:rsidRPr="003D4B89">
        <w:rPr>
          <w:rFonts w:ascii="Arial" w:hAnsi="Arial" w:cs="Arial"/>
          <w:i/>
          <w:iCs/>
          <w:sz w:val="20"/>
          <w:szCs w:val="20"/>
        </w:rPr>
        <w:t>TESTEMUNHAS:</w:t>
      </w:r>
    </w:p>
    <w:p w14:paraId="18A9965D" w14:textId="77777777" w:rsidR="00DC41DD" w:rsidRPr="003D4B89" w:rsidRDefault="00DC41DD" w:rsidP="00D01ED2">
      <w:pPr>
        <w:spacing w:before="120" w:afterLines="120" w:after="288" w:line="312" w:lineRule="auto"/>
        <w:ind w:firstLine="567"/>
        <w:rPr>
          <w:rFonts w:ascii="Arial" w:hAnsi="Arial" w:cs="Arial"/>
          <w:i/>
          <w:iCs/>
          <w:sz w:val="20"/>
          <w:szCs w:val="20"/>
        </w:rPr>
      </w:pPr>
      <w:r w:rsidRPr="003D4B89">
        <w:rPr>
          <w:rFonts w:ascii="Arial" w:hAnsi="Arial" w:cs="Arial"/>
          <w:i/>
          <w:iCs/>
          <w:sz w:val="20"/>
          <w:szCs w:val="20"/>
        </w:rPr>
        <w:t>1-</w:t>
      </w:r>
    </w:p>
    <w:p w14:paraId="633F747C" w14:textId="39F3A2FD" w:rsidR="00DC41DD" w:rsidRPr="003D4B89" w:rsidRDefault="00DC41DD" w:rsidP="00D01ED2">
      <w:pPr>
        <w:spacing w:before="120" w:afterLines="120" w:after="288" w:line="312" w:lineRule="auto"/>
        <w:ind w:firstLine="567"/>
        <w:rPr>
          <w:rFonts w:ascii="Arial" w:hAnsi="Arial" w:cs="Arial"/>
          <w:sz w:val="20"/>
          <w:szCs w:val="20"/>
        </w:rPr>
      </w:pPr>
      <w:r w:rsidRPr="003D4B89">
        <w:rPr>
          <w:rFonts w:ascii="Arial" w:hAnsi="Arial" w:cs="Arial"/>
          <w:i/>
          <w:iCs/>
          <w:sz w:val="20"/>
          <w:szCs w:val="20"/>
        </w:rPr>
        <w:t xml:space="preserve">2- </w:t>
      </w:r>
      <w:commentRangeEnd w:id="25"/>
      <w:r w:rsidR="003310F0" w:rsidRPr="003D4B89">
        <w:rPr>
          <w:rStyle w:val="Refdecomentrio"/>
          <w:rFonts w:ascii="Arial" w:hAnsi="Arial" w:cs="Arial"/>
          <w:sz w:val="20"/>
          <w:szCs w:val="20"/>
        </w:rPr>
        <w:commentReference w:id="25"/>
      </w:r>
    </w:p>
    <w:sectPr w:rsidR="00DC41DD" w:rsidRPr="003D4B89" w:rsidSect="00867FD8">
      <w:headerReference w:type="default" r:id="rId64"/>
      <w:footerReference w:type="default" r:id="rId65"/>
      <w:pgSz w:w="11906" w:h="16838" w:code="9"/>
      <w:pgMar w:top="1276"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initials="A">
    <w:p w14:paraId="79D743EC" w14:textId="77777777" w:rsidR="002F2F20" w:rsidRDefault="002F2F20">
      <w:pPr>
        <w:pStyle w:val="Textodecomentrio"/>
      </w:pPr>
      <w:r>
        <w:rPr>
          <w:rStyle w:val="Refdecomentrio"/>
        </w:rPr>
        <w:annotationRef/>
      </w:r>
      <w:r>
        <w:rPr>
          <w:b/>
          <w:bCs/>
          <w:i/>
          <w:iCs/>
          <w:color w:val="000000"/>
        </w:rPr>
        <w:t xml:space="preserve">ORIENTAÇÕES PARA USO DO MODELO – </w:t>
      </w:r>
      <w:r>
        <w:rPr>
          <w:b/>
          <w:bCs/>
          <w:i/>
          <w:iCs/>
          <w:color w:val="FF0000"/>
        </w:rPr>
        <w:t>LEITURA OBRIGATÓRIA</w:t>
      </w:r>
    </w:p>
    <w:p w14:paraId="5255A19B" w14:textId="77777777" w:rsidR="002F2F20" w:rsidRDefault="002F2F20">
      <w:pPr>
        <w:pStyle w:val="Textodecomentrio"/>
      </w:pPr>
      <w:r>
        <w:rPr>
          <w:b/>
          <w:bCs/>
          <w:i/>
          <w:iCs/>
          <w:color w:val="000000"/>
        </w:rPr>
        <w:t>1)</w:t>
      </w:r>
      <w:r>
        <w:rPr>
          <w:i/>
          <w:iCs/>
          <w:color w:val="000000"/>
        </w:rPr>
        <w:t xml:space="preserve"> O presente modelo de Contrato procura fornecer um ponto de partida para a definição do objeto e condições da contratação. </w:t>
      </w:r>
      <w:r>
        <w:rPr>
          <w:b/>
          <w:bCs/>
          <w:i/>
          <w:iCs/>
          <w:color w:val="000000"/>
        </w:rPr>
        <w:t>As cláusulas contidas nos modelos de minuta contratual, ao contrário do TR, foram feitas para sofrerem poucas alterações. No entanto, havendo a necessidade de modificações, remanesce plenamente possível assim proceder.</w:t>
      </w:r>
    </w:p>
    <w:p w14:paraId="3A258E4D" w14:textId="77777777" w:rsidR="002F2F20" w:rsidRDefault="002F2F20">
      <w:pPr>
        <w:pStyle w:val="Textodecomentrio"/>
      </w:pPr>
      <w:r>
        <w:rPr>
          <w:b/>
          <w:bCs/>
          <w:i/>
          <w:iCs/>
          <w:color w:val="000000"/>
        </w:rPr>
        <w:t>2)</w:t>
      </w:r>
      <w:r>
        <w:rPr>
          <w:i/>
          <w:iCs/>
          <w:color w:val="000000"/>
        </w:rPr>
        <w:t xml:space="preserve"> A redação em preto consiste no que se espera ser invariável. Ela até pode sofrer modificações a depender do caso concreto, mas a diferença é que não são disposições feitas para variar. Por essa razão, </w:t>
      </w:r>
      <w:r>
        <w:rPr>
          <w:b/>
          <w:bCs/>
          <w:i/>
          <w:iCs/>
          <w:color w:val="000000"/>
        </w:rPr>
        <w:t>quaisquer modificações nas partes em preto, sem marcação de itálico, devem necessariamente ser justificadas nos autos,</w:t>
      </w:r>
      <w:r>
        <w:rPr>
          <w:i/>
          <w:iCs/>
          <w:color w:val="000000"/>
        </w:rPr>
        <w:t xml:space="preserve"> sem prejuízo de eventual consulta ao órgão de assessoramento jurídico respectivo, a depender da matéria.</w:t>
      </w:r>
    </w:p>
    <w:p w14:paraId="4DD0F564" w14:textId="77777777" w:rsidR="002F2F20" w:rsidRDefault="002F2F20">
      <w:pPr>
        <w:pStyle w:val="Textodecomentrio"/>
      </w:pPr>
      <w:r>
        <w:rPr>
          <w:b/>
          <w:bCs/>
          <w:i/>
          <w:iCs/>
          <w:color w:val="000000"/>
        </w:rPr>
        <w:t>3)</w:t>
      </w:r>
      <w:r>
        <w:rPr>
          <w:i/>
          <w:iCs/>
          <w:color w:val="000000"/>
        </w:rPr>
        <w:t xml:space="preserve"> </w:t>
      </w:r>
      <w:r>
        <w:rPr>
          <w:i/>
          <w:iCs/>
          <w:color w:val="FF0000"/>
        </w:rPr>
        <w:t>Os itens deste modelo destacados em vermelho itálico devem ser preenchidos ou adotados pelo órgão ou entidade pública contratante segundo critérios de oportunidade e conveniência</w:t>
      </w:r>
      <w:r>
        <w:rPr>
          <w:i/>
          <w:iCs/>
          <w:color w:val="000000"/>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14:paraId="6462D9DD" w14:textId="77777777" w:rsidR="002F2F20" w:rsidRDefault="002F2F20">
      <w:pPr>
        <w:pStyle w:val="Textodecomentrio"/>
      </w:pPr>
      <w:r>
        <w:rPr>
          <w:b/>
          <w:bCs/>
          <w:i/>
          <w:iCs/>
          <w:color w:val="000000"/>
        </w:rPr>
        <w:t>4)</w:t>
      </w:r>
      <w:r>
        <w:rPr>
          <w:i/>
          <w:iCs/>
          <w:color w:val="000000"/>
        </w:rPr>
        <w:t xml:space="preserve"> </w:t>
      </w:r>
      <w:r>
        <w:rPr>
          <w:b/>
          <w:bCs/>
          <w:i/>
          <w:iCs/>
          <w:color w:val="000000"/>
        </w:rPr>
        <w:t>Alguns itens receberam notas explicativas, destacadas para compreensão do agente ou setor responsável pela elaboração da Minuta Contratual</w:t>
      </w:r>
      <w:r>
        <w:rPr>
          <w:i/>
          <w:iCs/>
          <w:color w:val="000000"/>
        </w:rPr>
        <w:t xml:space="preserve">, que deverão ser devidamente suprimidas ao se finalizar o documento na versão original. </w:t>
      </w:r>
    </w:p>
    <w:p w14:paraId="3F4CD9A3" w14:textId="77777777" w:rsidR="002F2F20" w:rsidRDefault="002F2F20">
      <w:pPr>
        <w:pStyle w:val="Textodecomentrio"/>
      </w:pPr>
      <w:r>
        <w:rPr>
          <w:b/>
          <w:bCs/>
          <w:i/>
          <w:iCs/>
          <w:color w:val="000000"/>
        </w:rPr>
        <w:t>5)</w:t>
      </w:r>
      <w:r>
        <w:rPr>
          <w:i/>
          <w:iCs/>
          <w:color w:val="000000"/>
        </w:rPr>
        <w:t xml:space="preserve"> </w:t>
      </w:r>
      <w:r>
        <w:rPr>
          <w:b/>
          <w:bCs/>
          <w:i/>
          <w:iCs/>
          <w:color w:val="000000"/>
        </w:rPr>
        <w:t>Recomenda-se indicar no processo a versão (mês e ano) utilizada para elaboração da minuta</w:t>
      </w:r>
      <w:r>
        <w:rPr>
          <w:i/>
          <w:iCs/>
          <w:color w:val="000000"/>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14:paraId="024620B4" w14:textId="77777777" w:rsidR="002F2F20" w:rsidRDefault="002F2F20">
      <w:pPr>
        <w:pStyle w:val="Textodecomentrio"/>
      </w:pPr>
      <w:r>
        <w:rPr>
          <w:b/>
          <w:bCs/>
          <w:i/>
          <w:iCs/>
          <w:color w:val="000000"/>
        </w:rPr>
        <w:t>6)</w:t>
      </w:r>
      <w:r>
        <w:rPr>
          <w:i/>
          <w:iCs/>
          <w:color w:val="000000"/>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history="1">
        <w:r w:rsidRPr="00A95322">
          <w:rPr>
            <w:rStyle w:val="Hyperlink"/>
            <w:b/>
            <w:bCs/>
            <w:i/>
            <w:iCs/>
          </w:rPr>
          <w:t>cgu.modeloscontratacao@agu.gov.br</w:t>
        </w:r>
      </w:hyperlink>
    </w:p>
    <w:p w14:paraId="143B1C2B" w14:textId="77777777" w:rsidR="002F2F20" w:rsidRDefault="002F2F20" w:rsidP="009E743C">
      <w:pPr>
        <w:pStyle w:val="Textodecomentrio"/>
      </w:pPr>
      <w:r>
        <w:rPr>
          <w:b/>
          <w:bCs/>
          <w:i/>
          <w:iCs/>
          <w:color w:val="000000"/>
        </w:rPr>
        <w:t>7)</w:t>
      </w:r>
      <w:r>
        <w:rPr>
          <w:i/>
          <w:iCs/>
          <w:color w:val="000000"/>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2" w:author="Autor" w:initials="A">
    <w:p w14:paraId="6F1D6F82" w14:textId="77777777" w:rsidR="00867FD8" w:rsidRDefault="00867FD8" w:rsidP="00867FD8">
      <w:pPr>
        <w:pStyle w:val="Textodecomentrio"/>
        <w:rPr>
          <w:rFonts w:hint="eastAsia"/>
          <w:i/>
          <w:iCs/>
          <w:color w:val="000000"/>
        </w:rPr>
      </w:pPr>
      <w:r>
        <w:rPr>
          <w:rStyle w:val="Refdecomentrio"/>
          <w:rFonts w:eastAsiaTheme="majorEastAsia"/>
        </w:rPr>
        <w:annotationRef/>
      </w:r>
      <w:r>
        <w:rPr>
          <w:b/>
          <w:bCs/>
          <w:i/>
          <w:iCs/>
          <w:color w:val="000000"/>
        </w:rPr>
        <w:t>Nota explicativa 1:</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2" w:anchor="art61" w:history="1">
        <w:r w:rsidRPr="002C1F3F">
          <w:rPr>
            <w:rStyle w:val="Hyperlink"/>
            <w:i/>
            <w:iCs/>
          </w:rPr>
          <w:t>art. 61 da Lei nº 8.666, de 1993</w:t>
        </w:r>
      </w:hyperlink>
      <w:r>
        <w:rPr>
          <w:i/>
          <w:iCs/>
          <w:color w:val="000000"/>
        </w:rPr>
        <w:t xml:space="preserve">, e o </w:t>
      </w:r>
      <w:hyperlink r:id="rId3" w:anchor="art89§1" w:history="1">
        <w:r w:rsidRPr="002C1F3F">
          <w:rPr>
            <w:rStyle w:val="Hyperlink"/>
            <w:i/>
            <w:iCs/>
          </w:rPr>
          <w:t>§1º do art. 89 da Lei nº 14.133, de 1º de abril de 2021</w:t>
        </w:r>
      </w:hyperlink>
      <w:r>
        <w:rPr>
          <w:i/>
          <w:iCs/>
          <w:color w:val="000000"/>
        </w:rPr>
        <w:t>, exigem apenas esse dado”.</w:t>
      </w:r>
    </w:p>
    <w:p w14:paraId="574BD3E6" w14:textId="77777777" w:rsidR="00867FD8" w:rsidRPr="005E042F" w:rsidRDefault="00867FD8" w:rsidP="00867FD8">
      <w:pPr>
        <w:pStyle w:val="Textodecomentrio"/>
        <w:rPr>
          <w:rFonts w:hint="eastAsia"/>
        </w:rPr>
      </w:pPr>
      <w:r>
        <w:rPr>
          <w:b/>
          <w:bCs/>
          <w:i/>
          <w:iCs/>
          <w:color w:val="000000"/>
        </w:rPr>
        <w:t>Nota Explicativa 2</w:t>
      </w:r>
      <w:r w:rsidRPr="00F01511">
        <w:rPr>
          <w:i/>
          <w:iCs/>
          <w:color w:val="000000"/>
          <w:highlight w:val="yellow"/>
        </w:rPr>
        <w:t>: Caso seja exigida a garantia na modalidade seguro-garantia com cláusula de retomada, já no preâmbulo do contrato deverá ser acrescentada a menção à seguradora, com a respectiva qualificação, que será doravante designada como INTERVENIENTE ANUENTE.</w:t>
      </w:r>
    </w:p>
  </w:comment>
  <w:comment w:id="3" w:author="Autor" w:initials="A">
    <w:p w14:paraId="5EC89DD4" w14:textId="77777777"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4" w:author="Autor" w:initials="A">
    <w:p w14:paraId="137B59CE" w14:textId="77777777" w:rsidR="00362E67" w:rsidRDefault="002F2F20" w:rsidP="005D1B5F">
      <w:pPr>
        <w:pStyle w:val="Textodecomentrio"/>
      </w:pPr>
      <w:r>
        <w:rPr>
          <w:rStyle w:val="Refdecomentrio"/>
        </w:rPr>
        <w:annotationRef/>
      </w:r>
      <w:r w:rsidR="00362E67">
        <w:rPr>
          <w:b/>
          <w:bCs/>
          <w:i/>
          <w:iCs/>
          <w:color w:val="000000"/>
        </w:rPr>
        <w:t xml:space="preserve">Nota Explicativa: </w:t>
      </w:r>
      <w:r w:rsidR="00362E67">
        <w:rPr>
          <w:i/>
          <w:iCs/>
          <w:color w:val="000000"/>
        </w:rPr>
        <w:t>Utilizar esta redação para contratos de escopo, cuja vigência se fundamenta no art. 105 da Lei n.º 14.133, de 2021.</w:t>
      </w:r>
    </w:p>
  </w:comment>
  <w:comment w:id="5" w:author="Autor" w:initials="A">
    <w:p w14:paraId="21B07299" w14:textId="77777777" w:rsidR="00362E67" w:rsidRDefault="00362E67" w:rsidP="00362E67">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09292AD5" w14:textId="77777777" w:rsidR="00362E67" w:rsidRDefault="00362E67" w:rsidP="00362E67">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B5CD94A" w14:textId="77777777" w:rsidR="00362E67" w:rsidRDefault="00362E67" w:rsidP="00362E67">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408B04C" w14:textId="77777777" w:rsidR="00362E67" w:rsidRDefault="00362E67" w:rsidP="00362E67">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6" w:author="Autor" w:initials="A">
    <w:p w14:paraId="454926AB" w14:textId="7BC4420C" w:rsidR="002F2F20" w:rsidRDefault="002F2F20" w:rsidP="009E743C">
      <w:pPr>
        <w:pStyle w:val="Textodecomentrio"/>
      </w:pPr>
      <w:r>
        <w:rPr>
          <w:rStyle w:val="Refdecomentrio"/>
        </w:rPr>
        <w:annotationRef/>
      </w:r>
      <w:r>
        <w:rPr>
          <w:b/>
          <w:bCs/>
          <w:i/>
          <w:iCs/>
          <w:color w:val="000000"/>
        </w:rPr>
        <w:t>Nota Explicativa</w:t>
      </w:r>
      <w:r>
        <w:rPr>
          <w:i/>
          <w:iCs/>
          <w:color w:val="000000"/>
        </w:rPr>
        <w:t>. O cômputo do valor total do Termo de Contrato levará em conta o período inicial de vigência estabelecido.</w:t>
      </w:r>
    </w:p>
  </w:comment>
  <w:comment w:id="7" w:author="Autor" w:initials="A">
    <w:p w14:paraId="7099F7D0"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5DC4D322" w14:textId="77777777" w:rsidR="002F2F20" w:rsidRDefault="002F2F20">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62E4A0D5" w14:textId="77777777" w:rsidR="002F2F20" w:rsidRDefault="002F2F20">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416CD5C2" w14:textId="77777777" w:rsidR="002F2F20" w:rsidRDefault="002F2F20" w:rsidP="009E743C">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9" w:author="Autor" w:initials="A">
    <w:p w14:paraId="5336F628" w14:textId="77777777" w:rsidR="00DF5501" w:rsidRDefault="00DF5501" w:rsidP="00DF5501">
      <w:pPr>
        <w:pStyle w:val="Textodecomentrio"/>
      </w:pPr>
      <w:r>
        <w:rPr>
          <w:rStyle w:val="Refdecomentrio"/>
        </w:rPr>
        <w:annotationRef/>
      </w:r>
      <w:r>
        <w:rPr>
          <w:b/>
          <w:bCs/>
          <w:i/>
          <w:iCs/>
          <w:highlight w:val="yellow"/>
        </w:rPr>
        <w:t>Nota explicativa</w:t>
      </w:r>
      <w:r>
        <w:rPr>
          <w:i/>
          <w:iCs/>
          <w:highlight w:val="yellow"/>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b/>
          <w:bCs/>
          <w:i/>
          <w:iCs/>
          <w:highlight w:val="yellow"/>
        </w:rPr>
        <w:t xml:space="preserve"> sua concessão </w:t>
      </w:r>
      <w:proofErr w:type="spellStart"/>
      <w:r>
        <w:rPr>
          <w:b/>
          <w:bCs/>
          <w:i/>
          <w:iCs/>
          <w:highlight w:val="yellow"/>
        </w:rPr>
        <w:t>ex</w:t>
      </w:r>
      <w:proofErr w:type="spellEnd"/>
      <w:r>
        <w:rPr>
          <w:b/>
          <w:bCs/>
          <w:i/>
          <w:iCs/>
          <w:highlight w:val="yellow"/>
        </w:rPr>
        <w:t xml:space="preserve"> </w:t>
      </w:r>
      <w:proofErr w:type="spellStart"/>
      <w:r>
        <w:rPr>
          <w:b/>
          <w:bCs/>
          <w:i/>
          <w:iCs/>
          <w:highlight w:val="yellow"/>
        </w:rPr>
        <w:t>officio</w:t>
      </w:r>
      <w:proofErr w:type="spellEnd"/>
      <w:r>
        <w:rPr>
          <w:b/>
          <w:bCs/>
          <w:i/>
          <w:iCs/>
          <w:highlight w:val="yellow"/>
        </w:rPr>
        <w:t xml:space="preserve"> pela Administração deve ser a regra,</w:t>
      </w:r>
      <w:r>
        <w:rPr>
          <w:i/>
          <w:iCs/>
          <w:highlight w:val="yellow"/>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b/>
          <w:bCs/>
          <w:i/>
          <w:iCs/>
          <w:highlight w:val="yellow"/>
        </w:rPr>
        <w:t>desde que cumulativamente:</w:t>
      </w:r>
      <w:r>
        <w:rPr>
          <w:i/>
          <w:iCs/>
          <w:highlight w:val="yellow"/>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b/>
          <w:bCs/>
          <w:i/>
          <w:iCs/>
          <w:highlight w:val="yellow"/>
        </w:rPr>
        <w:t>motivação idônea</w:t>
      </w:r>
      <w:r>
        <w:rPr>
          <w:i/>
          <w:iCs/>
          <w:highlight w:val="yellow"/>
        </w:rPr>
        <w:t xml:space="preserve"> nos autos do processo administrativo, promovendo as respectivas adequações na cláusula sétima da minuta de termo de contrato. </w:t>
      </w:r>
    </w:p>
  </w:comment>
  <w:comment w:id="8" w:author="Autor" w:initials="A">
    <w:p w14:paraId="2B2A9946"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71B0AE3A" w14:textId="77777777" w:rsidR="002F2F20" w:rsidRDefault="002F2F20" w:rsidP="009E743C">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10" w:author="Autor" w:initials="A">
    <w:p w14:paraId="00D17D58" w14:textId="77777777"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1" w:author="Autor" w:initials="A">
    <w:p w14:paraId="16A6BC0B" w14:textId="77777777" w:rsidR="00CC4CC2" w:rsidRDefault="002F2F20" w:rsidP="00375DBD">
      <w:pPr>
        <w:pStyle w:val="Textodecomentrio"/>
      </w:pPr>
      <w:r>
        <w:rPr>
          <w:rStyle w:val="Refdecomentrio"/>
        </w:rPr>
        <w:annotationRef/>
      </w:r>
      <w:r w:rsidR="00CC4CC2">
        <w:rPr>
          <w:b/>
          <w:bCs/>
          <w:i/>
          <w:iCs/>
        </w:rPr>
        <w:t>Nota Explicativa:</w:t>
      </w:r>
      <w:r w:rsidR="00CC4CC2">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2" w:author="Autor" w:initials="A">
    <w:p w14:paraId="3017BD32" w14:textId="77777777" w:rsidR="00CC4CC2" w:rsidRDefault="002F2F20" w:rsidP="009C0865">
      <w:pPr>
        <w:pStyle w:val="Textodecomentrio"/>
      </w:pPr>
      <w:r>
        <w:rPr>
          <w:rStyle w:val="Refdecomentrio"/>
        </w:rPr>
        <w:annotationRef/>
      </w:r>
      <w:r w:rsidR="00CC4CC2">
        <w:rPr>
          <w:b/>
          <w:bCs/>
          <w:i/>
          <w:iCs/>
          <w:color w:val="000000"/>
        </w:rPr>
        <w:t>Nota Explicativa:</w:t>
      </w:r>
      <w:r w:rsidR="00CC4CC2">
        <w:rPr>
          <w:i/>
          <w:iCs/>
          <w:color w:val="000000"/>
        </w:rPr>
        <w:t xml:space="preserve"> A disposição do item 8.11 decorre do §4º, do art. 137, da Lei nº 14.133, de 2021.</w:t>
      </w:r>
    </w:p>
  </w:comment>
  <w:comment w:id="13" w:author="Autor" w:initials="A">
    <w:p w14:paraId="2E071B82" w14:textId="5120C9AF"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4" w:author="Autor" w:initials="A">
    <w:p w14:paraId="0E337874"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6" w:author="Autor" w:initials="A">
    <w:p w14:paraId="39D399C2" w14:textId="77777777" w:rsidR="002F2F20" w:rsidRDefault="002F2F20">
      <w:pPr>
        <w:pStyle w:val="Textodecomentrio"/>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05BE86F0" w14:textId="77777777" w:rsidR="002F2F20" w:rsidRDefault="002F2F20">
      <w:pPr>
        <w:pStyle w:val="Textodecomentrio"/>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550BD0B4" w14:textId="77777777" w:rsidR="002F2F20" w:rsidRDefault="002F2F20" w:rsidP="009E743C">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8" w:author="Autor" w:initials="A">
    <w:p w14:paraId="3E0840D0" w14:textId="4F52DCC1" w:rsidR="002F2F20" w:rsidRDefault="002F2F20" w:rsidP="009E743C">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20" w:author="Autor" w:initials="A">
    <w:p w14:paraId="6E1AE0C5" w14:textId="77777777" w:rsidR="002F2F20" w:rsidRDefault="002F2F20">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5268455B" w14:textId="77777777" w:rsidR="002F2F20" w:rsidRDefault="002F2F20" w:rsidP="009E743C">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22" w:author="Autor" w:initials="A">
    <w:p w14:paraId="51F73BB3" w14:textId="77777777" w:rsidR="003E50AA" w:rsidRDefault="002F2F20" w:rsidP="00F85271">
      <w:pPr>
        <w:pStyle w:val="Textodecomentrio"/>
      </w:pPr>
      <w:r>
        <w:rPr>
          <w:rStyle w:val="Refdecomentrio"/>
        </w:rPr>
        <w:annotationRef/>
      </w:r>
      <w:r w:rsidR="003E50AA">
        <w:rPr>
          <w:b/>
          <w:bCs/>
          <w:i/>
          <w:iCs/>
          <w:color w:val="000000"/>
        </w:rPr>
        <w:t>Nota Explicativa:</w:t>
      </w:r>
      <w:r w:rsidR="003E50AA">
        <w:t xml:space="preserve"> </w:t>
      </w:r>
      <w:r w:rsidR="003E50AA">
        <w:rPr>
          <w:i/>
          <w:iCs/>
          <w:color w:val="000000"/>
        </w:rPr>
        <w:t xml:space="preserve">Use a redação dos itens 12.1, 12.2, 12.2.1 para os contratos por escopo (o objeto é contratado para ser prestado em determinado prazo). Ex. Compra pontual de sofás, aquisição e instalação de servidores. </w:t>
      </w:r>
    </w:p>
  </w:comment>
  <w:comment w:id="23" w:author="Autor" w:initials="A">
    <w:p w14:paraId="5BB62B73" w14:textId="77777777" w:rsidR="003E50AA" w:rsidRDefault="002F2F20" w:rsidP="0018012F">
      <w:pPr>
        <w:pStyle w:val="Textodecomentrio"/>
      </w:pPr>
      <w:r>
        <w:rPr>
          <w:rStyle w:val="Refdecomentrio"/>
        </w:rPr>
        <w:annotationRef/>
      </w:r>
      <w:r w:rsidR="003E50AA">
        <w:rPr>
          <w:b/>
          <w:bCs/>
          <w:i/>
          <w:iCs/>
          <w:color w:val="000000"/>
        </w:rPr>
        <w:t>Nota Explicativa:</w:t>
      </w:r>
      <w:r w:rsidR="003E50AA">
        <w:rPr>
          <w:i/>
          <w:iCs/>
          <w:color w:val="000000"/>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24" w:author="Autor" w:initials="A">
    <w:p w14:paraId="329D0842" w14:textId="22F47C49" w:rsidR="002F2F20" w:rsidRDefault="002F2F20">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w:t>
      </w:r>
      <w:proofErr w:type="gramStart"/>
      <w:r>
        <w:rPr>
          <w:i/>
          <w:iCs/>
          <w:color w:val="000000"/>
        </w:rPr>
        <w:t>“ A</w:t>
      </w:r>
      <w:proofErr w:type="gramEnd"/>
      <w:r>
        <w:rPr>
          <w:i/>
          <w:iCs/>
          <w:color w:val="000000"/>
        </w:rPr>
        <w:t xml:space="preserve">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D52ABCF" w14:textId="77777777" w:rsidR="002F2F20" w:rsidRDefault="002F2F20">
      <w:pPr>
        <w:pStyle w:val="Textodecomentrio"/>
      </w:pPr>
      <w:r>
        <w:rPr>
          <w:i/>
          <w:iCs/>
          <w:color w:val="000000"/>
        </w:rPr>
        <w:t xml:space="preserve">(cf. Boletim de Jurisprudência n.º 244, sessões 6 e 7 de novembro de 2018). Consta do referido Acórdão, nesse sentido, que: </w:t>
      </w:r>
    </w:p>
    <w:p w14:paraId="287ABF6D" w14:textId="77777777" w:rsidR="002F2F20" w:rsidRDefault="002F2F20" w:rsidP="009E743C">
      <w:pPr>
        <w:pStyle w:val="Textodecomentrio"/>
      </w:pPr>
      <w:r>
        <w:rPr>
          <w:i/>
          <w:iCs/>
          <w:color w:val="000000"/>
        </w:rPr>
        <w:t xml:space="preserve">“307.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w:t>
      </w:r>
      <w:proofErr w:type="spellStart"/>
      <w:r>
        <w:rPr>
          <w:i/>
          <w:iCs/>
          <w:color w:val="000000"/>
        </w:rPr>
        <w:t>Fredja</w:t>
      </w:r>
      <w:proofErr w:type="spellEnd"/>
      <w:r>
        <w:rPr>
          <w:i/>
          <w:iCs/>
          <w:color w:val="000000"/>
        </w:rPr>
        <w:t xml:space="preserve">, Celso Bastos e </w:t>
      </w:r>
      <w:proofErr w:type="spellStart"/>
      <w:r>
        <w:rPr>
          <w:i/>
          <w:iCs/>
          <w:color w:val="000000"/>
        </w:rPr>
        <w:t>Toshio</w:t>
      </w:r>
      <w:proofErr w:type="spellEnd"/>
      <w:r>
        <w:rPr>
          <w:i/>
          <w:iCs/>
          <w:color w:val="000000"/>
        </w:rPr>
        <w:t xml:space="preserve"> </w:t>
      </w:r>
      <w:proofErr w:type="spellStart"/>
      <w:r>
        <w:rPr>
          <w:i/>
          <w:iCs/>
          <w:color w:val="000000"/>
        </w:rPr>
        <w:t>Mukai</w:t>
      </w:r>
      <w:proofErr w:type="spellEnd"/>
      <w:r>
        <w:rPr>
          <w:i/>
          <w:iCs/>
          <w:color w:val="000000"/>
        </w:rPr>
        <w:t xml:space="preserve">. Diversas outras deliberações do TCU também vão nesse sentido, como o Acórdão 1.729/2008-TCU-Plenário, de relatoria do Ministro Valmir Campelo, o Acórdão 5.736/2011-TCU-Primeira Câmara, de relatoria do Ministro-Substituto </w:t>
      </w:r>
      <w:proofErr w:type="spellStart"/>
      <w:r>
        <w:rPr>
          <w:i/>
          <w:iCs/>
          <w:color w:val="000000"/>
        </w:rPr>
        <w:t>Weder</w:t>
      </w:r>
      <w:proofErr w:type="spellEnd"/>
      <w:r>
        <w:rPr>
          <w:i/>
          <w:iCs/>
          <w:color w:val="000000"/>
        </w:rPr>
        <w:t xml:space="preserve"> de Oliveira, e as Decisões 634/1996 e 1.045/2000, ambas do Plenário, de relatoria dos ministros Homero Santos e Adylson Motta, respectivamente.”</w:t>
      </w:r>
    </w:p>
  </w:comment>
  <w:comment w:id="25" w:author="Autor" w:initials="A">
    <w:p w14:paraId="02D51FD5"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718E3C5F" w14:textId="77777777" w:rsidR="002F2F20" w:rsidRDefault="002F2F20" w:rsidP="009E743C">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3B1C2B" w15:done="0"/>
  <w15:commentEx w15:paraId="574BD3E6" w15:done="0"/>
  <w15:commentEx w15:paraId="5EC89DD4" w15:done="0"/>
  <w15:commentEx w15:paraId="137B59CE" w15:done="0"/>
  <w15:commentEx w15:paraId="0408B04C" w15:done="0"/>
  <w15:commentEx w15:paraId="454926AB" w15:done="0"/>
  <w15:commentEx w15:paraId="416CD5C2" w15:done="0"/>
  <w15:commentEx w15:paraId="5336F628" w15:done="0"/>
  <w15:commentEx w15:paraId="71B0AE3A" w15:done="0"/>
  <w15:commentEx w15:paraId="00D17D58" w15:done="0"/>
  <w15:commentEx w15:paraId="16A6BC0B" w15:done="0"/>
  <w15:commentEx w15:paraId="3017BD32" w15:done="0"/>
  <w15:commentEx w15:paraId="2E071B82" w15:done="0"/>
  <w15:commentEx w15:paraId="0E337874" w15:done="0"/>
  <w15:commentEx w15:paraId="550BD0B4" w15:done="0"/>
  <w15:commentEx w15:paraId="3E0840D0" w15:done="0"/>
  <w15:commentEx w15:paraId="5268455B" w15:done="0"/>
  <w15:commentEx w15:paraId="51F73BB3" w15:done="0"/>
  <w15:commentEx w15:paraId="5BB62B73" w15:done="0"/>
  <w15:commentEx w15:paraId="287ABF6D"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574BD3E6" w16cid:durableId="274C210D"/>
  <w16cid:commentId w16cid:paraId="5EC89DD4" w16cid:durableId="274AD34E"/>
  <w16cid:commentId w16cid:paraId="137B59CE" w16cid:durableId="274AD378"/>
  <w16cid:commentId w16cid:paraId="0408B04C" w16cid:durableId="27E8FD23"/>
  <w16cid:commentId w16cid:paraId="454926AB" w16cid:durableId="274AD50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5268455B" w16cid:durableId="274B08EB"/>
  <w16cid:commentId w16cid:paraId="51F73BB3" w16cid:durableId="274B0983"/>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8514F" w14:textId="77777777" w:rsidR="00455BA3" w:rsidRDefault="00455BA3">
      <w:r>
        <w:separator/>
      </w:r>
    </w:p>
  </w:endnote>
  <w:endnote w:type="continuationSeparator" w:id="0">
    <w:p w14:paraId="7C6E5E12" w14:textId="77777777" w:rsidR="00455BA3" w:rsidRDefault="00455BA3">
      <w:r>
        <w:continuationSeparator/>
      </w:r>
    </w:p>
  </w:endnote>
  <w:endnote w:type="continuationNotice" w:id="1">
    <w:p w14:paraId="1539D8A2" w14:textId="77777777" w:rsidR="00455BA3" w:rsidRDefault="00455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jaVu Sans">
    <w:altName w:val="Verdana"/>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81980" w14:textId="77777777" w:rsidR="00455BA3" w:rsidRDefault="00455BA3">
      <w:r>
        <w:separator/>
      </w:r>
    </w:p>
  </w:footnote>
  <w:footnote w:type="continuationSeparator" w:id="0">
    <w:p w14:paraId="5FFECF02" w14:textId="77777777" w:rsidR="00455BA3" w:rsidRDefault="00455BA3">
      <w:r>
        <w:continuationSeparator/>
      </w:r>
    </w:p>
  </w:footnote>
  <w:footnote w:type="continuationNotice" w:id="1">
    <w:p w14:paraId="56A3C578" w14:textId="77777777" w:rsidR="00455BA3" w:rsidRDefault="00455B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32BE5B4F"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6"/>
  </w:num>
  <w:num w:numId="2" w16cid:durableId="1990985445">
    <w:abstractNumId w:val="0"/>
  </w:num>
  <w:num w:numId="3" w16cid:durableId="1125544186">
    <w:abstractNumId w:val="20"/>
  </w:num>
  <w:num w:numId="4" w16cid:durableId="300767402">
    <w:abstractNumId w:val="21"/>
  </w:num>
  <w:num w:numId="5" w16cid:durableId="1777289360">
    <w:abstractNumId w:val="12"/>
  </w:num>
  <w:num w:numId="6" w16cid:durableId="2049067172">
    <w:abstractNumId w:val="9"/>
  </w:num>
  <w:num w:numId="7" w16cid:durableId="1862477675">
    <w:abstractNumId w:val="16"/>
  </w:num>
  <w:num w:numId="8" w16cid:durableId="696542643">
    <w:abstractNumId w:val="18"/>
  </w:num>
  <w:num w:numId="9" w16cid:durableId="2085954890">
    <w:abstractNumId w:val="6"/>
    <w:lvlOverride w:ilvl="0"/>
    <w:lvlOverride w:ilvl="1">
      <w:startOverride w:val="2"/>
    </w:lvlOverride>
    <w:lvlOverride w:ilvl="2"/>
    <w:lvlOverride w:ilvl="3"/>
    <w:lvlOverride w:ilvl="4"/>
    <w:lvlOverride w:ilvl="5"/>
    <w:lvlOverride w:ilvl="6"/>
    <w:lvlOverride w:ilvl="7"/>
    <w:lvlOverride w:ilvl="8"/>
  </w:num>
  <w:num w:numId="10" w16cid:durableId="1884170947">
    <w:abstractNumId w:val="6"/>
    <w:lvlOverride w:ilvl="0"/>
    <w:lvlOverride w:ilvl="1">
      <w:startOverride w:val="2"/>
    </w:lvlOverride>
    <w:lvlOverride w:ilvl="2"/>
    <w:lvlOverride w:ilvl="3"/>
    <w:lvlOverride w:ilvl="4"/>
    <w:lvlOverride w:ilvl="5"/>
    <w:lvlOverride w:ilvl="6"/>
    <w:lvlOverride w:ilvl="7"/>
    <w:lvlOverride w:ilvl="8"/>
  </w:num>
  <w:num w:numId="11" w16cid:durableId="1379161116">
    <w:abstractNumId w:val="6"/>
    <w:lvlOverride w:ilvl="0"/>
    <w:lvlOverride w:ilvl="1">
      <w:startOverride w:val="2"/>
    </w:lvlOverride>
    <w:lvlOverride w:ilvl="2"/>
    <w:lvlOverride w:ilvl="3"/>
    <w:lvlOverride w:ilvl="4"/>
    <w:lvlOverride w:ilvl="5"/>
    <w:lvlOverride w:ilvl="6"/>
    <w:lvlOverride w:ilvl="7"/>
    <w:lvlOverride w:ilvl="8"/>
  </w:num>
  <w:num w:numId="12" w16cid:durableId="1443263973">
    <w:abstractNumId w:val="11"/>
  </w:num>
  <w:num w:numId="13" w16cid:durableId="1154100253">
    <w:abstractNumId w:val="8"/>
  </w:num>
  <w:num w:numId="14" w16cid:durableId="119496979">
    <w:abstractNumId w:val="5"/>
  </w:num>
  <w:num w:numId="15" w16cid:durableId="161409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1"/>
  </w:num>
  <w:num w:numId="17" w16cid:durableId="211963729">
    <w:abstractNumId w:val="2"/>
  </w:num>
  <w:num w:numId="18" w16cid:durableId="1419790893">
    <w:abstractNumId w:val="3"/>
  </w:num>
  <w:num w:numId="19" w16cid:durableId="16591064">
    <w:abstractNumId w:val="22"/>
  </w:num>
  <w:num w:numId="20" w16cid:durableId="1657689004">
    <w:abstractNumId w:val="22"/>
  </w:num>
  <w:num w:numId="21" w16cid:durableId="564221337">
    <w:abstractNumId w:val="17"/>
  </w:num>
  <w:num w:numId="22" w16cid:durableId="487943659">
    <w:abstractNumId w:val="17"/>
  </w:num>
  <w:num w:numId="23" w16cid:durableId="10039004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15"/>
  </w:num>
  <w:num w:numId="25" w16cid:durableId="342174254">
    <w:abstractNumId w:val="13"/>
  </w:num>
  <w:num w:numId="26" w16cid:durableId="1811091326">
    <w:abstractNumId w:val="14"/>
  </w:num>
  <w:num w:numId="27" w16cid:durableId="2130196075">
    <w:abstractNumId w:val="19"/>
  </w:num>
  <w:num w:numId="28" w16cid:durableId="1626738587">
    <w:abstractNumId w:val="6"/>
  </w:num>
  <w:num w:numId="29" w16cid:durableId="1358921456">
    <w:abstractNumId w:val="6"/>
  </w:num>
  <w:num w:numId="30" w16cid:durableId="1839540183">
    <w:abstractNumId w:val="6"/>
  </w:num>
  <w:num w:numId="31" w16cid:durableId="725492053">
    <w:abstractNumId w:val="6"/>
  </w:num>
  <w:num w:numId="32" w16cid:durableId="886330868">
    <w:abstractNumId w:val="4"/>
  </w:num>
  <w:num w:numId="33" w16cid:durableId="933705702">
    <w:abstractNumId w:val="6"/>
  </w:num>
  <w:num w:numId="34" w16cid:durableId="12633013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1B7"/>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2CB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B89"/>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FD8"/>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2EA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5BAC"/>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5B79"/>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4C"/>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3" Type="http://schemas.openxmlformats.org/officeDocument/2006/relationships/hyperlink" Target="http://www.planalto.gov.br/ccivil_03/_ato2019-2022/2021/lei/L14133.htm" TargetMode="External"/><Relationship Id="rId2" Type="http://schemas.openxmlformats.org/officeDocument/2006/relationships/hyperlink" Target="https://www.planalto.gov.br/ccivil_03/leis/l8666cons.htm" TargetMode="External"/><Relationship Id="rId1" Type="http://schemas.openxmlformats.org/officeDocument/2006/relationships/hyperlink" Target="mailto:cgu.modeloscontratacao@agu.gov.br" TargetMode="External"/></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www.planalto.gov.br/ccivil_03/leis/l8078compilado.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1-2014/2012/decreto/d7724.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1/lei/l12527.htm"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56" Type="http://schemas.openxmlformats.org/officeDocument/2006/relationships/hyperlink" Target="https://www.planalto.gov.br/ccivil_03/leis/l8078compilado.htm" TargetMode="External"/><Relationship Id="rId64"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microsoft.com/office/2011/relationships/people" Target="peop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4437</Words>
  <Characters>23964</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2023-07-19T19:15:00Z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