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071EA" w:rsidRDefault="00FD3142">
      <w:pPr>
        <w:ind w:left="-68" w:right="-1"/>
        <w:jc w:val="center"/>
        <w:rPr>
          <w:rFonts w:ascii="Times New Roman" w:hAnsi="Times New Roman" w:cs="Times New Roman"/>
          <w:b/>
          <w:sz w:val="24"/>
          <w:u w:val="single"/>
        </w:rPr>
      </w:pPr>
      <w:r>
        <w:rPr>
          <w:rFonts w:ascii="Times New Roman" w:hAnsi="Times New Roman" w:cs="Times New Roman"/>
          <w:noProof/>
          <w:sz w:val="24"/>
        </w:rPr>
        <w:drawing>
          <wp:anchor distT="0" distB="0" distL="114935" distR="114935" simplePos="0" relativeHeight="251659264" behindDoc="0" locked="0" layoutInCell="1" allowOverlap="1">
            <wp:simplePos x="0" y="0"/>
            <wp:positionH relativeFrom="margin">
              <wp:align>center</wp:align>
            </wp:positionH>
            <wp:positionV relativeFrom="paragraph">
              <wp:posOffset>107591</wp:posOffset>
            </wp:positionV>
            <wp:extent cx="659476" cy="694978"/>
            <wp:effectExtent l="19050" t="19050" r="26670" b="10160"/>
            <wp:wrapNone/>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59476" cy="694978"/>
                    </a:xfrm>
                    <a:prstGeom prst="rect">
                      <a:avLst/>
                    </a:prstGeom>
                    <a:solidFill>
                      <a:srgbClr val="FFFFFF"/>
                    </a:solidFill>
                    <a:ln w="6350">
                      <a:solidFill>
                        <a:srgbClr val="808080"/>
                      </a:solidFill>
                      <a:miter lim="800000"/>
                      <a:headEnd/>
                      <a:tailEnd/>
                    </a:ln>
                  </pic:spPr>
                </pic:pic>
              </a:graphicData>
            </a:graphic>
            <wp14:sizeRelH relativeFrom="page">
              <wp14:pctWidth>0</wp14:pctWidth>
            </wp14:sizeRelH>
            <wp14:sizeRelV relativeFrom="page">
              <wp14:pctHeight>0</wp14:pctHeight>
            </wp14:sizeRelV>
          </wp:anchor>
        </w:drawing>
      </w:r>
    </w:p>
    <w:p w:rsidR="00B071EA" w:rsidRDefault="00B071EA">
      <w:pPr>
        <w:ind w:left="-68" w:right="-1"/>
        <w:jc w:val="center"/>
        <w:rPr>
          <w:rFonts w:ascii="Times New Roman" w:hAnsi="Times New Roman" w:cs="Times New Roman"/>
          <w:b/>
          <w:sz w:val="24"/>
          <w:u w:val="single"/>
        </w:rPr>
      </w:pPr>
    </w:p>
    <w:p w:rsidR="00B071EA" w:rsidRDefault="00B071EA">
      <w:pPr>
        <w:jc w:val="center"/>
        <w:rPr>
          <w:rFonts w:ascii="Times New Roman" w:hAnsi="Times New Roman" w:cs="Times New Roman"/>
          <w:b/>
          <w:sz w:val="24"/>
        </w:rPr>
      </w:pPr>
    </w:p>
    <w:p w:rsidR="00B071EA" w:rsidRDefault="00B071EA">
      <w:pPr>
        <w:jc w:val="center"/>
        <w:rPr>
          <w:rFonts w:ascii="Times New Roman" w:hAnsi="Times New Roman" w:cs="Times New Roman"/>
          <w:b/>
          <w:sz w:val="24"/>
        </w:rPr>
      </w:pPr>
    </w:p>
    <w:p w:rsidR="00B071EA" w:rsidRDefault="00B071EA">
      <w:pPr>
        <w:jc w:val="center"/>
        <w:rPr>
          <w:rFonts w:ascii="Times New Roman" w:hAnsi="Times New Roman" w:cs="Times New Roman"/>
          <w:b/>
          <w:sz w:val="24"/>
        </w:rPr>
      </w:pPr>
    </w:p>
    <w:p w:rsidR="00B071EA" w:rsidRDefault="00B071EA">
      <w:pPr>
        <w:pStyle w:val="SemEspaamento"/>
        <w:jc w:val="center"/>
        <w:rPr>
          <w:rFonts w:ascii="Times New Roman" w:hAnsi="Times New Roman" w:cs="Times New Roman"/>
          <w:b/>
          <w:sz w:val="24"/>
        </w:rPr>
      </w:pPr>
    </w:p>
    <w:p w:rsidR="00B071EA" w:rsidRDefault="00FD3142">
      <w:pPr>
        <w:pStyle w:val="SemEspaamento"/>
        <w:jc w:val="center"/>
        <w:rPr>
          <w:rFonts w:ascii="Times New Roman" w:hAnsi="Times New Roman" w:cs="Times New Roman"/>
          <w:b/>
          <w:bCs/>
          <w:sz w:val="24"/>
        </w:rPr>
      </w:pPr>
      <w:r>
        <w:rPr>
          <w:rFonts w:ascii="Times New Roman" w:hAnsi="Times New Roman" w:cs="Times New Roman"/>
          <w:b/>
          <w:bCs/>
          <w:sz w:val="24"/>
        </w:rPr>
        <w:t>MINISTÉRIO</w:t>
      </w:r>
      <w:r>
        <w:rPr>
          <w:rFonts w:ascii="Times New Roman" w:eastAsia="Arial" w:hAnsi="Times New Roman" w:cs="Times New Roman"/>
          <w:b/>
          <w:bCs/>
          <w:sz w:val="24"/>
        </w:rPr>
        <w:t xml:space="preserve"> </w:t>
      </w:r>
      <w:r>
        <w:rPr>
          <w:rFonts w:ascii="Times New Roman" w:hAnsi="Times New Roman" w:cs="Times New Roman"/>
          <w:b/>
          <w:bCs/>
          <w:sz w:val="24"/>
        </w:rPr>
        <w:t>DA</w:t>
      </w:r>
      <w:r>
        <w:rPr>
          <w:rFonts w:ascii="Times New Roman" w:eastAsia="Arial" w:hAnsi="Times New Roman" w:cs="Times New Roman"/>
          <w:b/>
          <w:bCs/>
          <w:sz w:val="24"/>
        </w:rPr>
        <w:t xml:space="preserve"> </w:t>
      </w:r>
      <w:r>
        <w:rPr>
          <w:rFonts w:ascii="Times New Roman" w:hAnsi="Times New Roman" w:cs="Times New Roman"/>
          <w:b/>
          <w:bCs/>
          <w:sz w:val="24"/>
        </w:rPr>
        <w:t>DEFESA</w:t>
      </w:r>
    </w:p>
    <w:p w:rsidR="00B071EA" w:rsidRDefault="00FD3142">
      <w:pPr>
        <w:pStyle w:val="SemEspaamento"/>
        <w:jc w:val="center"/>
        <w:rPr>
          <w:rFonts w:ascii="Times New Roman" w:hAnsi="Times New Roman" w:cs="Times New Roman"/>
          <w:b/>
          <w:bCs/>
          <w:sz w:val="24"/>
        </w:rPr>
      </w:pPr>
      <w:r>
        <w:rPr>
          <w:rFonts w:ascii="Times New Roman" w:hAnsi="Times New Roman" w:cs="Times New Roman"/>
          <w:b/>
          <w:bCs/>
          <w:sz w:val="24"/>
        </w:rPr>
        <w:t>EXÉRCITO</w:t>
      </w:r>
      <w:r>
        <w:rPr>
          <w:rFonts w:ascii="Times New Roman" w:eastAsia="Arial" w:hAnsi="Times New Roman" w:cs="Times New Roman"/>
          <w:b/>
          <w:bCs/>
          <w:sz w:val="24"/>
        </w:rPr>
        <w:t xml:space="preserve"> </w:t>
      </w:r>
      <w:r>
        <w:rPr>
          <w:rFonts w:ascii="Times New Roman" w:hAnsi="Times New Roman" w:cs="Times New Roman"/>
          <w:b/>
          <w:bCs/>
          <w:sz w:val="24"/>
        </w:rPr>
        <w:t>BRASILEIRO</w:t>
      </w:r>
    </w:p>
    <w:p w:rsidR="00B071EA" w:rsidRDefault="00FD3142">
      <w:pPr>
        <w:pStyle w:val="SemEspaamento"/>
        <w:jc w:val="center"/>
        <w:rPr>
          <w:rFonts w:ascii="Times New Roman" w:hAnsi="Times New Roman" w:cs="Times New Roman"/>
          <w:b/>
          <w:bCs/>
          <w:sz w:val="24"/>
        </w:rPr>
      </w:pPr>
      <w:r>
        <w:rPr>
          <w:rFonts w:ascii="Times New Roman" w:hAnsi="Times New Roman" w:cs="Times New Roman"/>
          <w:b/>
          <w:bCs/>
          <w:sz w:val="24"/>
        </w:rPr>
        <w:t>CMP</w:t>
      </w:r>
      <w:r>
        <w:rPr>
          <w:rFonts w:ascii="Times New Roman" w:eastAsia="Arial" w:hAnsi="Times New Roman" w:cs="Times New Roman"/>
          <w:b/>
          <w:bCs/>
          <w:sz w:val="24"/>
        </w:rPr>
        <w:t xml:space="preserve"> </w:t>
      </w:r>
      <w:r>
        <w:rPr>
          <w:rFonts w:ascii="Times New Roman" w:hAnsi="Times New Roman" w:cs="Times New Roman"/>
          <w:b/>
          <w:bCs/>
          <w:sz w:val="24"/>
        </w:rPr>
        <w:t>-</w:t>
      </w:r>
      <w:r>
        <w:rPr>
          <w:rFonts w:ascii="Times New Roman" w:eastAsia="Arial" w:hAnsi="Times New Roman" w:cs="Times New Roman"/>
          <w:b/>
          <w:bCs/>
          <w:sz w:val="24"/>
        </w:rPr>
        <w:t xml:space="preserve"> </w:t>
      </w:r>
      <w:r>
        <w:rPr>
          <w:rFonts w:ascii="Times New Roman" w:hAnsi="Times New Roman" w:cs="Times New Roman"/>
          <w:b/>
          <w:bCs/>
          <w:sz w:val="24"/>
        </w:rPr>
        <w:t>11ª</w:t>
      </w:r>
      <w:r>
        <w:rPr>
          <w:rFonts w:ascii="Times New Roman" w:eastAsia="Arial" w:hAnsi="Times New Roman" w:cs="Times New Roman"/>
          <w:b/>
          <w:bCs/>
          <w:sz w:val="24"/>
        </w:rPr>
        <w:t xml:space="preserve"> </w:t>
      </w:r>
      <w:r>
        <w:rPr>
          <w:rFonts w:ascii="Times New Roman" w:hAnsi="Times New Roman" w:cs="Times New Roman"/>
          <w:b/>
          <w:bCs/>
          <w:sz w:val="24"/>
        </w:rPr>
        <w:t>REGIÃO</w:t>
      </w:r>
      <w:r>
        <w:rPr>
          <w:rFonts w:ascii="Times New Roman" w:eastAsia="Arial" w:hAnsi="Times New Roman" w:cs="Times New Roman"/>
          <w:b/>
          <w:bCs/>
          <w:sz w:val="24"/>
        </w:rPr>
        <w:t xml:space="preserve"> </w:t>
      </w:r>
      <w:r>
        <w:rPr>
          <w:rFonts w:ascii="Times New Roman" w:hAnsi="Times New Roman" w:cs="Times New Roman"/>
          <w:b/>
          <w:bCs/>
          <w:sz w:val="24"/>
        </w:rPr>
        <w:t>MILITAR</w:t>
      </w:r>
    </w:p>
    <w:p w:rsidR="00B071EA" w:rsidRDefault="00FD3142">
      <w:pPr>
        <w:pStyle w:val="SemEspaamento"/>
        <w:jc w:val="center"/>
        <w:rPr>
          <w:rFonts w:ascii="Times New Roman" w:hAnsi="Times New Roman" w:cs="Times New Roman"/>
          <w:b/>
          <w:sz w:val="24"/>
          <w:u w:val="single"/>
        </w:rPr>
      </w:pPr>
      <w:r>
        <w:rPr>
          <w:rFonts w:ascii="Times New Roman" w:hAnsi="Times New Roman" w:cs="Times New Roman"/>
          <w:b/>
          <w:sz w:val="24"/>
          <w:u w:val="single"/>
        </w:rPr>
        <w:t>HOSPITAL</w:t>
      </w:r>
      <w:r>
        <w:rPr>
          <w:rFonts w:ascii="Times New Roman" w:eastAsia="Arial" w:hAnsi="Times New Roman" w:cs="Times New Roman"/>
          <w:b/>
          <w:sz w:val="24"/>
          <w:u w:val="single"/>
        </w:rPr>
        <w:t xml:space="preserve"> </w:t>
      </w:r>
      <w:r>
        <w:rPr>
          <w:rFonts w:ascii="Times New Roman" w:hAnsi="Times New Roman" w:cs="Times New Roman"/>
          <w:b/>
          <w:sz w:val="24"/>
          <w:u w:val="single"/>
        </w:rPr>
        <w:t>MILITAR</w:t>
      </w:r>
      <w:r>
        <w:rPr>
          <w:rFonts w:ascii="Times New Roman" w:eastAsia="Arial" w:hAnsi="Times New Roman" w:cs="Times New Roman"/>
          <w:b/>
          <w:sz w:val="24"/>
          <w:u w:val="single"/>
        </w:rPr>
        <w:t xml:space="preserve"> </w:t>
      </w:r>
      <w:r>
        <w:rPr>
          <w:rFonts w:ascii="Times New Roman" w:hAnsi="Times New Roman" w:cs="Times New Roman"/>
          <w:b/>
          <w:sz w:val="24"/>
          <w:u w:val="single"/>
        </w:rPr>
        <w:t>DE</w:t>
      </w:r>
      <w:r>
        <w:rPr>
          <w:rFonts w:ascii="Times New Roman" w:eastAsia="Arial" w:hAnsi="Times New Roman" w:cs="Times New Roman"/>
          <w:b/>
          <w:sz w:val="24"/>
          <w:u w:val="single"/>
        </w:rPr>
        <w:t xml:space="preserve"> </w:t>
      </w:r>
      <w:r>
        <w:rPr>
          <w:rFonts w:ascii="Times New Roman" w:hAnsi="Times New Roman" w:cs="Times New Roman"/>
          <w:b/>
          <w:sz w:val="24"/>
          <w:u w:val="single"/>
        </w:rPr>
        <w:t>ÀREA</w:t>
      </w:r>
      <w:r>
        <w:rPr>
          <w:rFonts w:ascii="Times New Roman" w:eastAsia="Arial" w:hAnsi="Times New Roman" w:cs="Times New Roman"/>
          <w:b/>
          <w:sz w:val="24"/>
          <w:u w:val="single"/>
        </w:rPr>
        <w:t xml:space="preserve"> </w:t>
      </w:r>
      <w:r>
        <w:rPr>
          <w:rFonts w:ascii="Times New Roman" w:hAnsi="Times New Roman" w:cs="Times New Roman"/>
          <w:b/>
          <w:sz w:val="24"/>
          <w:u w:val="single"/>
        </w:rPr>
        <w:t>DE</w:t>
      </w:r>
      <w:r>
        <w:rPr>
          <w:rFonts w:ascii="Times New Roman" w:eastAsia="Arial" w:hAnsi="Times New Roman" w:cs="Times New Roman"/>
          <w:b/>
          <w:sz w:val="24"/>
          <w:u w:val="single"/>
        </w:rPr>
        <w:t xml:space="preserve"> </w:t>
      </w:r>
      <w:r>
        <w:rPr>
          <w:rFonts w:ascii="Times New Roman" w:hAnsi="Times New Roman" w:cs="Times New Roman"/>
          <w:b/>
          <w:sz w:val="24"/>
          <w:u w:val="single"/>
        </w:rPr>
        <w:t>BRASÍLIA</w:t>
      </w:r>
    </w:p>
    <w:p w:rsidR="00B071EA" w:rsidRDefault="00B071EA">
      <w:pPr>
        <w:spacing w:line="276" w:lineRule="auto"/>
        <w:jc w:val="center"/>
        <w:rPr>
          <w:rFonts w:ascii="Times New Roman" w:hAnsi="Times New Roman" w:cs="Times New Roman"/>
          <w:b/>
          <w:bCs/>
          <w:color w:val="000000" w:themeColor="text1"/>
          <w:sz w:val="24"/>
        </w:rPr>
      </w:pPr>
    </w:p>
    <w:p w:rsidR="00B071EA" w:rsidRDefault="00B071EA">
      <w:pPr>
        <w:spacing w:line="276" w:lineRule="auto"/>
        <w:jc w:val="center"/>
        <w:rPr>
          <w:rFonts w:ascii="Times New Roman" w:hAnsi="Times New Roman" w:cs="Times New Roman"/>
          <w:b/>
          <w:bCs/>
          <w:color w:val="000000" w:themeColor="text1"/>
          <w:sz w:val="24"/>
        </w:rPr>
      </w:pPr>
    </w:p>
    <w:p w:rsidR="00B071EA" w:rsidRDefault="00FD3142">
      <w:pPr>
        <w:spacing w:line="276" w:lineRule="auto"/>
        <w:jc w:val="center"/>
        <w:rPr>
          <w:rFonts w:ascii="Times New Roman" w:hAnsi="Times New Roman" w:cs="Times New Roman"/>
          <w:b/>
          <w:bCs/>
          <w:color w:val="000000" w:themeColor="text1"/>
          <w:sz w:val="24"/>
        </w:rPr>
      </w:pPr>
      <w:r>
        <w:rPr>
          <w:rFonts w:ascii="Times New Roman" w:hAnsi="Times New Roman" w:cs="Times New Roman"/>
          <w:b/>
          <w:bCs/>
          <w:color w:val="000000" w:themeColor="text1"/>
          <w:sz w:val="24"/>
        </w:rPr>
        <w:t>A</w:t>
      </w:r>
      <w:r w:rsidR="00B753C7">
        <w:rPr>
          <w:rFonts w:ascii="Times New Roman" w:hAnsi="Times New Roman" w:cs="Times New Roman"/>
          <w:b/>
          <w:bCs/>
          <w:color w:val="000000" w:themeColor="text1"/>
          <w:sz w:val="24"/>
        </w:rPr>
        <w:t>VISO DE DISPENSA ELETRÔNICA Nº 24</w:t>
      </w:r>
      <w:r w:rsidR="00214B4E">
        <w:rPr>
          <w:rFonts w:ascii="Times New Roman" w:hAnsi="Times New Roman" w:cs="Times New Roman"/>
          <w:b/>
          <w:bCs/>
          <w:color w:val="000000" w:themeColor="text1"/>
          <w:sz w:val="24"/>
        </w:rPr>
        <w:t>/2023</w:t>
      </w:r>
    </w:p>
    <w:p w:rsidR="00B071EA" w:rsidRDefault="00FD3142">
      <w:pPr>
        <w:spacing w:after="120" w:line="276" w:lineRule="auto"/>
        <w:ind w:right="-15"/>
        <w:jc w:val="center"/>
        <w:rPr>
          <w:rFonts w:ascii="Times New Roman" w:hAnsi="Times New Roman" w:cs="Times New Roman"/>
          <w:b/>
          <w:bCs/>
          <w:color w:val="000000"/>
          <w:sz w:val="24"/>
        </w:rPr>
      </w:pPr>
      <w:r>
        <w:rPr>
          <w:rFonts w:ascii="Times New Roman" w:hAnsi="Times New Roman" w:cs="Times New Roman"/>
          <w:b/>
          <w:bCs/>
          <w:color w:val="000000" w:themeColor="text1"/>
          <w:sz w:val="24"/>
        </w:rPr>
        <w:t xml:space="preserve">(Processo Administrativo n.° </w:t>
      </w:r>
      <w:r>
        <w:rPr>
          <w:rFonts w:ascii="Times New Roman" w:hAnsi="Times New Roman" w:cs="Times New Roman"/>
          <w:b/>
          <w:bCs/>
          <w:sz w:val="24"/>
        </w:rPr>
        <w:t>64576.</w:t>
      </w:r>
      <w:r w:rsidR="00214B4E">
        <w:rPr>
          <w:rFonts w:ascii="Times New Roman" w:hAnsi="Times New Roman" w:cs="Times New Roman"/>
          <w:b/>
          <w:bCs/>
          <w:sz w:val="24"/>
        </w:rPr>
        <w:t>011846/2023-38</w:t>
      </w:r>
    </w:p>
    <w:p w:rsidR="00B071EA" w:rsidRDefault="00B071EA">
      <w:pPr>
        <w:rPr>
          <w:rFonts w:ascii="Times New Roman" w:hAnsi="Times New Roman" w:cs="Times New Roman"/>
          <w:sz w:val="24"/>
        </w:rPr>
      </w:pPr>
    </w:p>
    <w:p w:rsidR="00B071EA" w:rsidRDefault="00FD3142">
      <w:pPr>
        <w:snapToGrid w:val="0"/>
        <w:spacing w:after="120" w:line="276" w:lineRule="auto"/>
        <w:ind w:right="-30" w:firstLine="540"/>
        <w:jc w:val="both"/>
        <w:rPr>
          <w:rFonts w:ascii="Times New Roman" w:hAnsi="Times New Roman" w:cs="Times New Roman"/>
          <w:color w:val="000000"/>
          <w:sz w:val="24"/>
        </w:rPr>
      </w:pPr>
      <w:r>
        <w:rPr>
          <w:rFonts w:ascii="Times New Roman" w:hAnsi="Times New Roman" w:cs="Times New Roman"/>
          <w:color w:val="000000" w:themeColor="text1"/>
          <w:sz w:val="24"/>
        </w:rPr>
        <w:t xml:space="preserve">Torna-se público que o Hospital Militar de Área de Brasília, por meio da Seção de Aquisições, Licitações e Contratos realizará Dispensa Eletrônica, </w:t>
      </w:r>
      <w:r>
        <w:rPr>
          <w:rFonts w:ascii="Times New Roman" w:hAnsi="Times New Roman" w:cs="Times New Roman"/>
          <w:bCs/>
          <w:color w:val="000000" w:themeColor="text1"/>
          <w:sz w:val="24"/>
        </w:rPr>
        <w:t>com critério de julgamento</w:t>
      </w:r>
      <w:r>
        <w:rPr>
          <w:rFonts w:ascii="Times New Roman" w:hAnsi="Times New Roman" w:cs="Times New Roman"/>
          <w:b/>
          <w:bCs/>
          <w:color w:val="000000" w:themeColor="text1"/>
          <w:sz w:val="24"/>
        </w:rPr>
        <w:t xml:space="preserve"> </w:t>
      </w:r>
      <w:r>
        <w:rPr>
          <w:rFonts w:ascii="Times New Roman" w:hAnsi="Times New Roman" w:cs="Times New Roman"/>
          <w:sz w:val="24"/>
        </w:rPr>
        <w:t>menor preço</w:t>
      </w:r>
      <w:r>
        <w:rPr>
          <w:rFonts w:ascii="Times New Roman" w:hAnsi="Times New Roman" w:cs="Times New Roman"/>
          <w:bCs/>
          <w:sz w:val="24"/>
        </w:rPr>
        <w:t xml:space="preserve">, </w:t>
      </w:r>
      <w:r>
        <w:rPr>
          <w:rFonts w:ascii="Times New Roman" w:hAnsi="Times New Roman" w:cs="Times New Roman"/>
          <w:sz w:val="24"/>
        </w:rPr>
        <w:t>na hipótese do art. 75</w:t>
      </w:r>
      <w:r>
        <w:rPr>
          <w:rFonts w:ascii="Times New Roman" w:hAnsi="Times New Roman" w:cs="Times New Roman"/>
          <w:iCs/>
          <w:sz w:val="24"/>
        </w:rPr>
        <w:t>, inciso I,</w:t>
      </w:r>
      <w:r>
        <w:rPr>
          <w:rFonts w:ascii="Times New Roman" w:hAnsi="Times New Roman" w:cs="Times New Roman"/>
          <w:sz w:val="24"/>
        </w:rPr>
        <w:t xml:space="preserve"> </w:t>
      </w:r>
      <w:r>
        <w:rPr>
          <w:rFonts w:ascii="Times New Roman" w:hAnsi="Times New Roman" w:cs="Times New Roman"/>
          <w:bCs/>
          <w:sz w:val="24"/>
        </w:rPr>
        <w:t>nos termos da Lei nº 14.133, de 1º de abril de 2021, da Instrução Normativa SEGES/ME nº 67/2021 e demais legislação aplicável</w:t>
      </w:r>
      <w:r>
        <w:rPr>
          <w:rFonts w:ascii="Times New Roman" w:hAnsi="Times New Roman" w:cs="Times New Roman"/>
          <w:color w:val="000000"/>
          <w:sz w:val="24"/>
        </w:rPr>
        <w:t>.</w:t>
      </w:r>
    </w:p>
    <w:p w:rsidR="00B071EA" w:rsidRDefault="00FD3142">
      <w:pPr>
        <w:spacing w:line="276" w:lineRule="auto"/>
        <w:jc w:val="both"/>
        <w:rPr>
          <w:rFonts w:ascii="Times New Roman" w:hAnsi="Times New Roman" w:cs="Times New Roman"/>
          <w:b/>
          <w:sz w:val="24"/>
        </w:rPr>
      </w:pPr>
      <w:r>
        <w:rPr>
          <w:rFonts w:ascii="Times New Roman" w:hAnsi="Times New Roman" w:cs="Times New Roman"/>
          <w:b/>
          <w:color w:val="000000" w:themeColor="text1"/>
          <w:sz w:val="24"/>
        </w:rPr>
        <w:t xml:space="preserve">Data da sessão: </w:t>
      </w:r>
      <w:r w:rsidR="00A71D3F">
        <w:rPr>
          <w:rFonts w:ascii="Times New Roman" w:hAnsi="Times New Roman" w:cs="Times New Roman"/>
          <w:b/>
          <w:sz w:val="24"/>
        </w:rPr>
        <w:t>1</w:t>
      </w:r>
      <w:r w:rsidR="00AB3CBC">
        <w:rPr>
          <w:rFonts w:ascii="Times New Roman" w:hAnsi="Times New Roman" w:cs="Times New Roman"/>
          <w:b/>
          <w:sz w:val="24"/>
        </w:rPr>
        <w:t>3</w:t>
      </w:r>
      <w:r>
        <w:rPr>
          <w:rFonts w:ascii="Times New Roman" w:hAnsi="Times New Roman" w:cs="Times New Roman"/>
          <w:b/>
          <w:sz w:val="24"/>
        </w:rPr>
        <w:t>/0</w:t>
      </w:r>
      <w:r w:rsidR="00AB3CBC">
        <w:rPr>
          <w:rFonts w:ascii="Times New Roman" w:hAnsi="Times New Roman" w:cs="Times New Roman"/>
          <w:b/>
          <w:sz w:val="24"/>
        </w:rPr>
        <w:t>9/2022 à 15</w:t>
      </w:r>
      <w:bookmarkStart w:id="0" w:name="_GoBack"/>
      <w:bookmarkEnd w:id="0"/>
      <w:r>
        <w:rPr>
          <w:rFonts w:ascii="Times New Roman" w:hAnsi="Times New Roman" w:cs="Times New Roman"/>
          <w:b/>
          <w:sz w:val="24"/>
        </w:rPr>
        <w:t>/0</w:t>
      </w:r>
      <w:r w:rsidR="00A71D3F">
        <w:rPr>
          <w:rFonts w:ascii="Times New Roman" w:hAnsi="Times New Roman" w:cs="Times New Roman"/>
          <w:b/>
          <w:sz w:val="24"/>
        </w:rPr>
        <w:t>9</w:t>
      </w:r>
      <w:r>
        <w:rPr>
          <w:rFonts w:ascii="Times New Roman" w:hAnsi="Times New Roman" w:cs="Times New Roman"/>
          <w:b/>
          <w:sz w:val="24"/>
        </w:rPr>
        <w:t>/202</w:t>
      </w:r>
      <w:r w:rsidR="00C15815">
        <w:rPr>
          <w:rFonts w:ascii="Times New Roman" w:hAnsi="Times New Roman" w:cs="Times New Roman"/>
          <w:b/>
          <w:sz w:val="24"/>
        </w:rPr>
        <w:t>3</w:t>
      </w:r>
      <w:r>
        <w:rPr>
          <w:rFonts w:ascii="Times New Roman" w:hAnsi="Times New Roman" w:cs="Times New Roman"/>
          <w:b/>
          <w:sz w:val="24"/>
        </w:rPr>
        <w:t>.</w:t>
      </w:r>
    </w:p>
    <w:p w:rsidR="00B071EA" w:rsidRDefault="00FD3142">
      <w:pPr>
        <w:rPr>
          <w:rFonts w:ascii="Times New Roman" w:hAnsi="Times New Roman" w:cs="Times New Roman"/>
          <w:b/>
          <w:color w:val="000000" w:themeColor="text1"/>
          <w:sz w:val="24"/>
        </w:rPr>
      </w:pPr>
      <w:r>
        <w:rPr>
          <w:rFonts w:ascii="Times New Roman" w:hAnsi="Times New Roman" w:cs="Times New Roman"/>
          <w:b/>
          <w:color w:val="000000" w:themeColor="text1"/>
          <w:sz w:val="24"/>
        </w:rPr>
        <w:t xml:space="preserve">Link: </w:t>
      </w:r>
      <w:hyperlink r:id="rId9" w:history="1">
        <w:r>
          <w:rPr>
            <w:rStyle w:val="Hyperlink"/>
            <w:rFonts w:ascii="Times New Roman" w:hAnsi="Times New Roman" w:cs="Times New Roman"/>
            <w:b/>
            <w:sz w:val="24"/>
          </w:rPr>
          <w:t>http://comprasnet.gov.br/</w:t>
        </w:r>
      </w:hyperlink>
    </w:p>
    <w:p w:rsidR="00B071EA" w:rsidRDefault="00FD3142">
      <w:pPr>
        <w:rPr>
          <w:rFonts w:ascii="Times New Roman" w:hAnsi="Times New Roman" w:cs="Times New Roman"/>
          <w:b/>
          <w:color w:val="000000" w:themeColor="text1"/>
          <w:sz w:val="24"/>
        </w:rPr>
      </w:pPr>
      <w:r>
        <w:rPr>
          <w:rFonts w:ascii="Times New Roman" w:hAnsi="Times New Roman" w:cs="Times New Roman"/>
          <w:b/>
          <w:color w:val="000000" w:themeColor="text1"/>
          <w:sz w:val="24"/>
        </w:rPr>
        <w:t xml:space="preserve">Horário da Fase de Lances: 8:00 às </w:t>
      </w:r>
      <w:r>
        <w:rPr>
          <w:rFonts w:ascii="Times New Roman" w:hAnsi="Times New Roman" w:cs="Times New Roman"/>
          <w:b/>
          <w:sz w:val="24"/>
        </w:rPr>
        <w:t>17:59</w:t>
      </w:r>
    </w:p>
    <w:p w:rsidR="00B071EA" w:rsidRDefault="00B071EA">
      <w:pPr>
        <w:pStyle w:val="PADRO"/>
        <w:keepNext w:val="0"/>
        <w:widowControl/>
        <w:shd w:val="clear" w:color="auto" w:fill="auto"/>
        <w:spacing w:before="120" w:after="120"/>
        <w:ind w:left="360" w:firstLine="0"/>
        <w:rPr>
          <w:rFonts w:ascii="Times New Roman" w:hAnsi="Times New Roman" w:cs="Times New Roman"/>
          <w:b/>
          <w:sz w:val="24"/>
        </w:rPr>
      </w:pPr>
    </w:p>
    <w:p w:rsidR="00B071EA" w:rsidRDefault="00FD3142">
      <w:pPr>
        <w:pStyle w:val="PADRO"/>
        <w:keepNext w:val="0"/>
        <w:widowControl/>
        <w:numPr>
          <w:ilvl w:val="0"/>
          <w:numId w:val="1"/>
        </w:numPr>
        <w:shd w:val="clear" w:color="auto" w:fill="auto"/>
        <w:spacing w:before="120" w:after="120"/>
        <w:rPr>
          <w:rFonts w:ascii="Times New Roman" w:hAnsi="Times New Roman" w:cs="Times New Roman"/>
          <w:b/>
          <w:sz w:val="24"/>
        </w:rPr>
      </w:pPr>
      <w:r>
        <w:rPr>
          <w:rFonts w:ascii="Times New Roman" w:hAnsi="Times New Roman" w:cs="Times New Roman"/>
          <w:b/>
          <w:sz w:val="24"/>
        </w:rPr>
        <w:t>OBJETO DA CONTRATAÇÃO DIRETA</w:t>
      </w:r>
    </w:p>
    <w:p w:rsidR="00B071EA" w:rsidRPr="007F23EB" w:rsidRDefault="00FD3142" w:rsidP="007F23EB">
      <w:pPr>
        <w:pStyle w:val="PADRO"/>
        <w:keepNext w:val="0"/>
        <w:widowControl/>
        <w:numPr>
          <w:ilvl w:val="1"/>
          <w:numId w:val="1"/>
        </w:numPr>
        <w:shd w:val="clear" w:color="auto" w:fill="auto"/>
        <w:spacing w:before="120" w:after="120"/>
        <w:rPr>
          <w:rFonts w:ascii="Times New Roman" w:eastAsia="Times New Roman" w:hAnsi="Times New Roman" w:cs="Times New Roman"/>
          <w:color w:val="000000" w:themeColor="text1"/>
          <w:sz w:val="24"/>
          <w:lang w:eastAsia="pt-BR" w:bidi="ar-SA"/>
        </w:rPr>
      </w:pPr>
      <w:r w:rsidRPr="007F23EB">
        <w:rPr>
          <w:rFonts w:ascii="Times New Roman" w:eastAsia="Times New Roman" w:hAnsi="Times New Roman" w:cs="Times New Roman"/>
          <w:color w:val="000000" w:themeColor="text1"/>
          <w:sz w:val="24"/>
          <w:lang w:eastAsia="pt-BR" w:bidi="ar-SA"/>
        </w:rPr>
        <w:t xml:space="preserve">O objeto da presente dispensa é a escolha da proposta mais vantajosa para </w:t>
      </w:r>
      <w:r w:rsidR="007F23EB" w:rsidRPr="007F23EB">
        <w:rPr>
          <w:rFonts w:ascii="Times New Roman" w:eastAsia="Times New Roman" w:hAnsi="Times New Roman" w:cs="Times New Roman"/>
          <w:color w:val="000000" w:themeColor="text1"/>
          <w:sz w:val="24"/>
          <w:lang w:eastAsia="pt-BR" w:bidi="ar-SA"/>
        </w:rPr>
        <w:t xml:space="preserve">aquisição dos materiais de fisioterapia abaixo especificado, destinado </w:t>
      </w:r>
      <w:r w:rsidR="007F23EB">
        <w:rPr>
          <w:rFonts w:ascii="Times New Roman" w:eastAsia="Times New Roman" w:hAnsi="Times New Roman" w:cs="Times New Roman"/>
          <w:color w:val="000000" w:themeColor="text1"/>
          <w:sz w:val="24"/>
          <w:lang w:eastAsia="pt-BR" w:bidi="ar-SA"/>
        </w:rPr>
        <w:t xml:space="preserve">a Seção </w:t>
      </w:r>
      <w:r w:rsidR="007F23EB">
        <w:rPr>
          <w:rFonts w:ascii="Times New Roman" w:hAnsi="Times New Roman" w:cs="Times New Roman"/>
          <w:sz w:val="24"/>
        </w:rPr>
        <w:t>Clínica de Fisioterapia</w:t>
      </w:r>
      <w:r w:rsidR="007F23EB">
        <w:rPr>
          <w:rFonts w:ascii="Times New Roman" w:eastAsia="Times New Roman" w:hAnsi="Times New Roman" w:cs="Times New Roman"/>
          <w:color w:val="000000" w:themeColor="text1"/>
          <w:sz w:val="24"/>
          <w:lang w:eastAsia="pt-BR" w:bidi="ar-SA"/>
        </w:rPr>
        <w:t xml:space="preserve"> do </w:t>
      </w:r>
      <w:r w:rsidR="007F23EB" w:rsidRPr="007F23EB">
        <w:rPr>
          <w:rFonts w:ascii="Times New Roman" w:eastAsia="Times New Roman" w:hAnsi="Times New Roman" w:cs="Times New Roman"/>
          <w:color w:val="000000" w:themeColor="text1"/>
          <w:sz w:val="24"/>
          <w:lang w:eastAsia="pt-BR" w:bidi="ar-SA"/>
        </w:rPr>
        <w:t>Hospital Militar de Área de Brasília</w:t>
      </w:r>
      <w:r w:rsidR="007F23EB">
        <w:rPr>
          <w:rFonts w:ascii="Times New Roman" w:eastAsia="Times New Roman" w:hAnsi="Times New Roman" w:cs="Times New Roman"/>
          <w:color w:val="000000" w:themeColor="text1"/>
          <w:sz w:val="24"/>
          <w:lang w:eastAsia="pt-BR" w:bidi="ar-SA"/>
        </w:rPr>
        <w:t>.</w:t>
      </w:r>
    </w:p>
    <w:p w:rsidR="00B071EA" w:rsidRDefault="00FD3142">
      <w:pPr>
        <w:pStyle w:val="PADRO"/>
        <w:keepNext w:val="0"/>
        <w:widowControl/>
        <w:numPr>
          <w:ilvl w:val="1"/>
          <w:numId w:val="1"/>
        </w:numPr>
        <w:shd w:val="clear" w:color="auto" w:fill="auto"/>
        <w:spacing w:before="120" w:after="120"/>
        <w:rPr>
          <w:rFonts w:ascii="Times New Roman" w:eastAsia="Times New Roman" w:hAnsi="Times New Roman" w:cs="Times New Roman"/>
          <w:color w:val="000000" w:themeColor="text1"/>
          <w:sz w:val="24"/>
          <w:lang w:eastAsia="pt-BR" w:bidi="ar-SA"/>
        </w:rPr>
      </w:pPr>
      <w:r>
        <w:rPr>
          <w:rFonts w:ascii="Times New Roman" w:eastAsia="Times New Roman" w:hAnsi="Times New Roman" w:cs="Times New Roman"/>
          <w:color w:val="000000" w:themeColor="text1"/>
          <w:sz w:val="24"/>
          <w:lang w:eastAsia="pt-BR" w:bidi="ar-SA"/>
        </w:rPr>
        <w:t>conforme condições, quantidades e exigências estabelecidas neste Aviso de Contratação Direta e seus anexos.</w:t>
      </w:r>
    </w:p>
    <w:tbl>
      <w:tblPr>
        <w:tblW w:w="9920" w:type="dxa"/>
        <w:jc w:val="center"/>
        <w:tblLayout w:type="fixed"/>
        <w:tblCellMar>
          <w:left w:w="10" w:type="dxa"/>
          <w:right w:w="10" w:type="dxa"/>
        </w:tblCellMar>
        <w:tblLook w:val="0000" w:firstRow="0" w:lastRow="0" w:firstColumn="0" w:lastColumn="0" w:noHBand="0" w:noVBand="0"/>
      </w:tblPr>
      <w:tblGrid>
        <w:gridCol w:w="859"/>
        <w:gridCol w:w="839"/>
        <w:gridCol w:w="993"/>
        <w:gridCol w:w="4616"/>
        <w:gridCol w:w="1195"/>
        <w:gridCol w:w="1418"/>
      </w:tblGrid>
      <w:tr w:rsidR="00FD3142" w:rsidTr="00FD3142">
        <w:trPr>
          <w:trHeight w:val="368"/>
          <w:jc w:val="center"/>
        </w:trPr>
        <w:tc>
          <w:tcPr>
            <w:tcW w:w="859" w:type="dxa"/>
            <w:tcBorders>
              <w:top w:val="single" w:sz="2" w:space="0" w:color="000000"/>
              <w:left w:val="single" w:sz="2" w:space="0" w:color="000000"/>
              <w:bottom w:val="single" w:sz="2" w:space="0" w:color="000000"/>
            </w:tcBorders>
            <w:shd w:val="clear" w:color="auto" w:fill="auto"/>
            <w:tcMar>
              <w:top w:w="55" w:type="dxa"/>
              <w:left w:w="55" w:type="dxa"/>
              <w:bottom w:w="55" w:type="dxa"/>
              <w:right w:w="55" w:type="dxa"/>
            </w:tcMar>
          </w:tcPr>
          <w:p w:rsidR="00FD3142" w:rsidRDefault="00FD3142" w:rsidP="00FD3142">
            <w:pPr>
              <w:jc w:val="center"/>
              <w:rPr>
                <w:b/>
              </w:rPr>
            </w:pPr>
            <w:r>
              <w:rPr>
                <w:b/>
              </w:rPr>
              <w:t>ITEM</w:t>
            </w:r>
          </w:p>
        </w:tc>
        <w:tc>
          <w:tcPr>
            <w:tcW w:w="839" w:type="dxa"/>
            <w:tcBorders>
              <w:top w:val="single" w:sz="2" w:space="0" w:color="000000"/>
              <w:left w:val="single" w:sz="2" w:space="0" w:color="000000"/>
              <w:bottom w:val="single" w:sz="2" w:space="0" w:color="000000"/>
            </w:tcBorders>
            <w:shd w:val="clear" w:color="auto" w:fill="auto"/>
            <w:tcMar>
              <w:top w:w="55" w:type="dxa"/>
              <w:left w:w="55" w:type="dxa"/>
              <w:bottom w:w="55" w:type="dxa"/>
              <w:right w:w="55" w:type="dxa"/>
            </w:tcMar>
          </w:tcPr>
          <w:p w:rsidR="00FD3142" w:rsidRDefault="00FD3142" w:rsidP="00FD3142">
            <w:pPr>
              <w:jc w:val="center"/>
              <w:rPr>
                <w:b/>
              </w:rPr>
            </w:pPr>
            <w:r>
              <w:rPr>
                <w:b/>
              </w:rPr>
              <w:t>QTD</w:t>
            </w:r>
          </w:p>
        </w:tc>
        <w:tc>
          <w:tcPr>
            <w:tcW w:w="993" w:type="dxa"/>
            <w:tcBorders>
              <w:top w:val="single" w:sz="2" w:space="0" w:color="000000"/>
              <w:left w:val="single" w:sz="2" w:space="0" w:color="000000"/>
              <w:bottom w:val="single" w:sz="2" w:space="0" w:color="000000"/>
            </w:tcBorders>
            <w:shd w:val="clear" w:color="auto" w:fill="auto"/>
            <w:tcMar>
              <w:top w:w="55" w:type="dxa"/>
              <w:left w:w="55" w:type="dxa"/>
              <w:bottom w:w="55" w:type="dxa"/>
              <w:right w:w="55" w:type="dxa"/>
            </w:tcMar>
          </w:tcPr>
          <w:p w:rsidR="00FD3142" w:rsidRDefault="00FD3142" w:rsidP="00FD3142">
            <w:pPr>
              <w:jc w:val="center"/>
              <w:rPr>
                <w:b/>
              </w:rPr>
            </w:pPr>
            <w:r>
              <w:rPr>
                <w:b/>
              </w:rPr>
              <w:t>UND</w:t>
            </w:r>
          </w:p>
        </w:tc>
        <w:tc>
          <w:tcPr>
            <w:tcW w:w="4616" w:type="dxa"/>
            <w:tcBorders>
              <w:top w:val="single" w:sz="2" w:space="0" w:color="000000"/>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rsidR="00FD3142" w:rsidRDefault="00FD3142" w:rsidP="00FD3142">
            <w:pPr>
              <w:jc w:val="center"/>
              <w:rPr>
                <w:b/>
              </w:rPr>
            </w:pPr>
            <w:r>
              <w:rPr>
                <w:b/>
              </w:rPr>
              <w:t>DESCRIÇÃO</w:t>
            </w:r>
          </w:p>
        </w:tc>
        <w:tc>
          <w:tcPr>
            <w:tcW w:w="1195" w:type="dxa"/>
            <w:tcBorders>
              <w:top w:val="single" w:sz="2" w:space="0" w:color="000000"/>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rsidR="00FD3142" w:rsidRDefault="00FD3142" w:rsidP="00FD3142">
            <w:pPr>
              <w:jc w:val="center"/>
              <w:rPr>
                <w:b/>
              </w:rPr>
            </w:pPr>
            <w:r>
              <w:rPr>
                <w:b/>
              </w:rPr>
              <w:t>CATMAT</w:t>
            </w:r>
          </w:p>
        </w:tc>
        <w:tc>
          <w:tcPr>
            <w:tcW w:w="1418" w:type="dxa"/>
            <w:tcBorders>
              <w:top w:val="single" w:sz="2" w:space="0" w:color="000000"/>
              <w:left w:val="single" w:sz="2" w:space="0" w:color="000000"/>
              <w:bottom w:val="single" w:sz="2" w:space="0" w:color="000000"/>
              <w:right w:val="single" w:sz="2" w:space="0" w:color="000000"/>
            </w:tcBorders>
            <w:shd w:val="clear" w:color="auto" w:fill="auto"/>
            <w:tcMar>
              <w:top w:w="0" w:type="dxa"/>
              <w:left w:w="10" w:type="dxa"/>
              <w:bottom w:w="0" w:type="dxa"/>
              <w:right w:w="10" w:type="dxa"/>
            </w:tcMar>
          </w:tcPr>
          <w:p w:rsidR="00FD3142" w:rsidRDefault="00FD3142" w:rsidP="00FD3142">
            <w:pPr>
              <w:jc w:val="center"/>
              <w:rPr>
                <w:b/>
              </w:rPr>
            </w:pPr>
            <w:r>
              <w:rPr>
                <w:b/>
              </w:rPr>
              <w:t>VALOR REF (R$)</w:t>
            </w:r>
          </w:p>
        </w:tc>
      </w:tr>
      <w:tr w:rsidR="00FD3142" w:rsidTr="00FD3142">
        <w:trPr>
          <w:trHeight w:val="119"/>
          <w:jc w:val="center"/>
        </w:trPr>
        <w:tc>
          <w:tcPr>
            <w:tcW w:w="859" w:type="dxa"/>
            <w:tcBorders>
              <w:top w:val="single" w:sz="2" w:space="0" w:color="000000"/>
              <w:left w:val="single" w:sz="2" w:space="0" w:color="000000"/>
              <w:bottom w:val="single" w:sz="2" w:space="0" w:color="000000"/>
            </w:tcBorders>
            <w:shd w:val="clear" w:color="auto" w:fill="auto"/>
            <w:tcMar>
              <w:top w:w="55" w:type="dxa"/>
              <w:left w:w="55" w:type="dxa"/>
              <w:bottom w:w="55" w:type="dxa"/>
              <w:right w:w="55" w:type="dxa"/>
            </w:tcMar>
          </w:tcPr>
          <w:p w:rsidR="00FD3142" w:rsidRDefault="00B753C7" w:rsidP="00FD3142">
            <w:pPr>
              <w:jc w:val="center"/>
              <w:rPr>
                <w:rFonts w:cs="Times New Roman"/>
              </w:rPr>
            </w:pPr>
            <w:r>
              <w:rPr>
                <w:rFonts w:cs="Times New Roman"/>
              </w:rPr>
              <w:t>1</w:t>
            </w:r>
          </w:p>
        </w:tc>
        <w:tc>
          <w:tcPr>
            <w:tcW w:w="839" w:type="dxa"/>
            <w:tcBorders>
              <w:top w:val="single" w:sz="2" w:space="0" w:color="000000"/>
              <w:left w:val="single" w:sz="2" w:space="0" w:color="000000"/>
              <w:bottom w:val="single" w:sz="2" w:space="0" w:color="000000"/>
            </w:tcBorders>
            <w:shd w:val="clear" w:color="auto" w:fill="auto"/>
            <w:tcMar>
              <w:top w:w="55" w:type="dxa"/>
              <w:left w:w="55" w:type="dxa"/>
              <w:bottom w:w="55" w:type="dxa"/>
              <w:right w:w="55" w:type="dxa"/>
            </w:tcMar>
          </w:tcPr>
          <w:p w:rsidR="00FD3142" w:rsidRDefault="00FD3142" w:rsidP="00B753C7">
            <w:pPr>
              <w:jc w:val="center"/>
              <w:rPr>
                <w:rFonts w:cs="Times New Roman"/>
              </w:rPr>
            </w:pPr>
            <w:r>
              <w:rPr>
                <w:rFonts w:cs="Times New Roman"/>
              </w:rPr>
              <w:t>4</w:t>
            </w:r>
          </w:p>
        </w:tc>
        <w:tc>
          <w:tcPr>
            <w:tcW w:w="993" w:type="dxa"/>
            <w:tcBorders>
              <w:top w:val="single" w:sz="2" w:space="0" w:color="000000"/>
              <w:left w:val="single" w:sz="2" w:space="0" w:color="000000"/>
              <w:bottom w:val="single" w:sz="2" w:space="0" w:color="000000"/>
            </w:tcBorders>
            <w:shd w:val="clear" w:color="auto" w:fill="auto"/>
            <w:tcMar>
              <w:top w:w="55" w:type="dxa"/>
              <w:left w:w="55" w:type="dxa"/>
              <w:bottom w:w="55" w:type="dxa"/>
              <w:right w:w="55" w:type="dxa"/>
            </w:tcMar>
          </w:tcPr>
          <w:p w:rsidR="00FD3142" w:rsidRDefault="00FD3142" w:rsidP="00FD3142">
            <w:pPr>
              <w:jc w:val="center"/>
            </w:pPr>
            <w:r>
              <w:rPr>
                <w:rFonts w:cs="Times New Roman"/>
              </w:rPr>
              <w:t>Unidade</w:t>
            </w:r>
          </w:p>
        </w:tc>
        <w:tc>
          <w:tcPr>
            <w:tcW w:w="4616" w:type="dxa"/>
            <w:tcBorders>
              <w:top w:val="single" w:sz="2" w:space="0" w:color="000000"/>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rsidR="00FD3142" w:rsidRDefault="00FD3142" w:rsidP="00FD3142">
            <w:pPr>
              <w:jc w:val="center"/>
              <w:rPr>
                <w:rFonts w:cs="Times New Roman"/>
                <w:color w:val="000000"/>
                <w:sz w:val="22"/>
                <w:szCs w:val="22"/>
              </w:rPr>
            </w:pPr>
            <w:r>
              <w:rPr>
                <w:rFonts w:cs="Times New Roman"/>
                <w:color w:val="000000"/>
                <w:sz w:val="22"/>
                <w:szCs w:val="22"/>
              </w:rPr>
              <w:t>Step - dimensão: 90cmX30cmX10cm</w:t>
            </w:r>
            <w:r>
              <w:rPr>
                <w:rFonts w:cs="Times New Roman"/>
                <w:color w:val="000000"/>
                <w:sz w:val="22"/>
                <w:szCs w:val="22"/>
              </w:rPr>
              <w:br/>
              <w:t>Plataforma superior e inferior antiderrapante.</w:t>
            </w:r>
            <w:r>
              <w:rPr>
                <w:rFonts w:cs="Times New Roman"/>
                <w:color w:val="000000"/>
                <w:sz w:val="22"/>
                <w:szCs w:val="22"/>
              </w:rPr>
              <w:br/>
              <w:t>Borracha com memória anti-impacto.</w:t>
            </w:r>
            <w:r>
              <w:rPr>
                <w:rFonts w:cs="Times New Roman"/>
                <w:color w:val="000000"/>
                <w:sz w:val="22"/>
                <w:szCs w:val="22"/>
              </w:rPr>
              <w:br/>
              <w:t>Superfície siliconizada.</w:t>
            </w:r>
            <w:r>
              <w:rPr>
                <w:rFonts w:cs="Times New Roman"/>
                <w:color w:val="000000"/>
                <w:sz w:val="22"/>
                <w:szCs w:val="22"/>
              </w:rPr>
              <w:br/>
              <w:t>Composição: Borracha eva,</w:t>
            </w:r>
            <w:r>
              <w:rPr>
                <w:rFonts w:cs="Times New Roman"/>
                <w:color w:val="000000"/>
                <w:sz w:val="22"/>
                <w:szCs w:val="22"/>
              </w:rPr>
              <w:br/>
              <w:t>poliestireno expansível e chapa</w:t>
            </w:r>
            <w:r>
              <w:rPr>
                <w:rFonts w:cs="Times New Roman"/>
                <w:color w:val="000000"/>
                <w:sz w:val="22"/>
                <w:szCs w:val="22"/>
              </w:rPr>
              <w:br/>
              <w:t>eucadur</w:t>
            </w:r>
          </w:p>
          <w:p w:rsidR="00FD3142" w:rsidRDefault="00FD3142" w:rsidP="00FD3142">
            <w:pPr>
              <w:jc w:val="center"/>
              <w:rPr>
                <w:rFonts w:cs="Times New Roman"/>
              </w:rPr>
            </w:pPr>
          </w:p>
        </w:tc>
        <w:tc>
          <w:tcPr>
            <w:tcW w:w="1195" w:type="dxa"/>
            <w:tcBorders>
              <w:top w:val="single" w:sz="2" w:space="0" w:color="000000"/>
              <w:left w:val="single" w:sz="2" w:space="0" w:color="000000"/>
              <w:bottom w:val="single" w:sz="2" w:space="0" w:color="000000"/>
              <w:right w:val="single" w:sz="2" w:space="0" w:color="000000"/>
            </w:tcBorders>
            <w:shd w:val="clear" w:color="auto" w:fill="auto"/>
            <w:tcMar>
              <w:top w:w="55" w:type="dxa"/>
              <w:left w:w="55" w:type="dxa"/>
              <w:bottom w:w="55" w:type="dxa"/>
              <w:right w:w="55" w:type="dxa"/>
            </w:tcMar>
            <w:vAlign w:val="center"/>
          </w:tcPr>
          <w:p w:rsidR="00FD3142" w:rsidRDefault="00FD3142" w:rsidP="00FD3142">
            <w:pPr>
              <w:jc w:val="center"/>
              <w:rPr>
                <w:rFonts w:cs="Times New Roman"/>
                <w:sz w:val="22"/>
                <w:szCs w:val="22"/>
              </w:rPr>
            </w:pPr>
            <w:r>
              <w:rPr>
                <w:rFonts w:cs="Times New Roman"/>
                <w:sz w:val="22"/>
                <w:szCs w:val="22"/>
              </w:rPr>
              <w:t>450362</w:t>
            </w:r>
          </w:p>
          <w:p w:rsidR="00FD3142" w:rsidRDefault="00FD3142" w:rsidP="00FD3142">
            <w:pPr>
              <w:jc w:val="center"/>
              <w:rPr>
                <w:rFonts w:cs="Times New Roman"/>
              </w:rPr>
            </w:pPr>
          </w:p>
        </w:tc>
        <w:tc>
          <w:tcPr>
            <w:tcW w:w="1418" w:type="dxa"/>
            <w:tcBorders>
              <w:top w:val="single" w:sz="2" w:space="0" w:color="000000"/>
              <w:left w:val="single" w:sz="2" w:space="0" w:color="000000"/>
              <w:bottom w:val="single" w:sz="2" w:space="0" w:color="000000"/>
              <w:right w:val="single" w:sz="2" w:space="0" w:color="000000"/>
            </w:tcBorders>
            <w:shd w:val="clear" w:color="auto" w:fill="auto"/>
            <w:tcMar>
              <w:top w:w="0" w:type="dxa"/>
              <w:left w:w="10" w:type="dxa"/>
              <w:bottom w:w="0" w:type="dxa"/>
              <w:right w:w="10" w:type="dxa"/>
            </w:tcMar>
          </w:tcPr>
          <w:p w:rsidR="00FD3142" w:rsidRDefault="00FD3142" w:rsidP="00FD3142">
            <w:pPr>
              <w:spacing w:before="525" w:after="285"/>
              <w:jc w:val="center"/>
              <w:rPr>
                <w:rFonts w:cs="Times New Roman"/>
              </w:rPr>
            </w:pPr>
            <w:r>
              <w:rPr>
                <w:rFonts w:cs="Times New Roman"/>
              </w:rPr>
              <w:t>R$662,60</w:t>
            </w:r>
          </w:p>
        </w:tc>
      </w:tr>
      <w:tr w:rsidR="00FD3142" w:rsidTr="00FD3142">
        <w:trPr>
          <w:trHeight w:val="119"/>
          <w:jc w:val="center"/>
        </w:trPr>
        <w:tc>
          <w:tcPr>
            <w:tcW w:w="859" w:type="dxa"/>
            <w:tcBorders>
              <w:top w:val="single" w:sz="2" w:space="0" w:color="000000"/>
              <w:left w:val="single" w:sz="2" w:space="0" w:color="000000"/>
              <w:bottom w:val="single" w:sz="2" w:space="0" w:color="000000"/>
            </w:tcBorders>
            <w:shd w:val="clear" w:color="auto" w:fill="auto"/>
            <w:tcMar>
              <w:top w:w="55" w:type="dxa"/>
              <w:left w:w="55" w:type="dxa"/>
              <w:bottom w:w="55" w:type="dxa"/>
              <w:right w:w="55" w:type="dxa"/>
            </w:tcMar>
          </w:tcPr>
          <w:p w:rsidR="00FD3142" w:rsidRDefault="00B753C7" w:rsidP="00FD3142">
            <w:pPr>
              <w:jc w:val="center"/>
              <w:rPr>
                <w:rFonts w:cs="Times New Roman"/>
              </w:rPr>
            </w:pPr>
            <w:r>
              <w:rPr>
                <w:rFonts w:cs="Times New Roman"/>
              </w:rPr>
              <w:t>2</w:t>
            </w:r>
          </w:p>
        </w:tc>
        <w:tc>
          <w:tcPr>
            <w:tcW w:w="839" w:type="dxa"/>
            <w:tcBorders>
              <w:top w:val="single" w:sz="2" w:space="0" w:color="000000"/>
              <w:left w:val="single" w:sz="2" w:space="0" w:color="000000"/>
              <w:bottom w:val="single" w:sz="2" w:space="0" w:color="000000"/>
            </w:tcBorders>
            <w:shd w:val="clear" w:color="auto" w:fill="auto"/>
            <w:tcMar>
              <w:top w:w="55" w:type="dxa"/>
              <w:left w:w="55" w:type="dxa"/>
              <w:bottom w:w="55" w:type="dxa"/>
              <w:right w:w="55" w:type="dxa"/>
            </w:tcMar>
          </w:tcPr>
          <w:p w:rsidR="00FD3142" w:rsidRDefault="00FD3142" w:rsidP="00FD3142">
            <w:pPr>
              <w:jc w:val="center"/>
              <w:rPr>
                <w:rFonts w:cs="Times New Roman"/>
              </w:rPr>
            </w:pPr>
            <w:r>
              <w:rPr>
                <w:rFonts w:cs="Times New Roman"/>
              </w:rPr>
              <w:t>5</w:t>
            </w:r>
          </w:p>
        </w:tc>
        <w:tc>
          <w:tcPr>
            <w:tcW w:w="993" w:type="dxa"/>
            <w:tcBorders>
              <w:top w:val="single" w:sz="2" w:space="0" w:color="000000"/>
              <w:left w:val="single" w:sz="2" w:space="0" w:color="000000"/>
              <w:bottom w:val="single" w:sz="2" w:space="0" w:color="000000"/>
            </w:tcBorders>
            <w:shd w:val="clear" w:color="auto" w:fill="auto"/>
            <w:tcMar>
              <w:top w:w="55" w:type="dxa"/>
              <w:left w:w="55" w:type="dxa"/>
              <w:bottom w:w="55" w:type="dxa"/>
              <w:right w:w="55" w:type="dxa"/>
            </w:tcMar>
          </w:tcPr>
          <w:p w:rsidR="00FD3142" w:rsidRDefault="00FD3142" w:rsidP="00FD3142">
            <w:pPr>
              <w:jc w:val="center"/>
              <w:rPr>
                <w:rFonts w:cs="Times New Roman"/>
              </w:rPr>
            </w:pPr>
            <w:r>
              <w:rPr>
                <w:rFonts w:cs="Times New Roman"/>
              </w:rPr>
              <w:t>Rolo</w:t>
            </w:r>
          </w:p>
        </w:tc>
        <w:tc>
          <w:tcPr>
            <w:tcW w:w="4616" w:type="dxa"/>
            <w:tcBorders>
              <w:top w:val="single" w:sz="2" w:space="0" w:color="000000"/>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rsidR="00FD3142" w:rsidRDefault="00FD3142" w:rsidP="00FD3142">
            <w:pPr>
              <w:jc w:val="center"/>
              <w:rPr>
                <w:rFonts w:cs="Times New Roman"/>
                <w:color w:val="000000"/>
                <w:sz w:val="22"/>
                <w:szCs w:val="22"/>
              </w:rPr>
            </w:pPr>
            <w:r>
              <w:rPr>
                <w:rFonts w:cs="Times New Roman"/>
                <w:color w:val="000000"/>
                <w:sz w:val="22"/>
                <w:szCs w:val="22"/>
              </w:rPr>
              <w:t xml:space="preserve">Bandagem elástica (rolo)- </w:t>
            </w:r>
          </w:p>
          <w:p w:rsidR="00FD3142" w:rsidRDefault="00FD3142" w:rsidP="00FD3142">
            <w:pPr>
              <w:jc w:val="center"/>
            </w:pPr>
            <w:r>
              <w:rPr>
                <w:rFonts w:cs="Times New Roman"/>
                <w:color w:val="000000"/>
                <w:sz w:val="22"/>
                <w:szCs w:val="22"/>
              </w:rPr>
              <w:t>Bandagem elastisca 90x45 cm</w:t>
            </w:r>
            <w:r>
              <w:rPr>
                <w:rFonts w:cs="Times New Roman"/>
                <w:color w:val="000000"/>
                <w:sz w:val="32"/>
                <w:szCs w:val="32"/>
              </w:rPr>
              <w:br/>
            </w:r>
            <w:r>
              <w:rPr>
                <w:rFonts w:cs="Times New Roman"/>
                <w:color w:val="000000"/>
                <w:sz w:val="22"/>
                <w:szCs w:val="22"/>
              </w:rPr>
              <w:t>cochere 5 cm x 10 cm</w:t>
            </w:r>
          </w:p>
          <w:p w:rsidR="00FD3142" w:rsidRDefault="00FD3142" w:rsidP="00FD3142">
            <w:pPr>
              <w:jc w:val="center"/>
              <w:rPr>
                <w:rFonts w:cs="Times New Roman"/>
              </w:rPr>
            </w:pPr>
          </w:p>
        </w:tc>
        <w:tc>
          <w:tcPr>
            <w:tcW w:w="1195" w:type="dxa"/>
            <w:tcBorders>
              <w:top w:val="single" w:sz="2" w:space="0" w:color="000000"/>
              <w:left w:val="single" w:sz="2" w:space="0" w:color="000000"/>
              <w:bottom w:val="single" w:sz="2" w:space="0" w:color="000000"/>
              <w:right w:val="single" w:sz="2" w:space="0" w:color="000000"/>
            </w:tcBorders>
            <w:shd w:val="clear" w:color="auto" w:fill="auto"/>
            <w:tcMar>
              <w:top w:w="55" w:type="dxa"/>
              <w:left w:w="55" w:type="dxa"/>
              <w:bottom w:w="55" w:type="dxa"/>
              <w:right w:w="55" w:type="dxa"/>
            </w:tcMar>
            <w:vAlign w:val="center"/>
          </w:tcPr>
          <w:p w:rsidR="00FD3142" w:rsidRDefault="00FD3142" w:rsidP="00FD3142">
            <w:pPr>
              <w:jc w:val="center"/>
              <w:rPr>
                <w:rFonts w:cs="Times New Roman"/>
                <w:sz w:val="22"/>
                <w:szCs w:val="22"/>
              </w:rPr>
            </w:pPr>
            <w:r>
              <w:rPr>
                <w:rFonts w:cs="Times New Roman"/>
                <w:sz w:val="22"/>
                <w:szCs w:val="22"/>
              </w:rPr>
              <w:t>478141</w:t>
            </w:r>
          </w:p>
          <w:p w:rsidR="00FD3142" w:rsidRDefault="00FD3142" w:rsidP="00FD3142">
            <w:pPr>
              <w:jc w:val="center"/>
              <w:rPr>
                <w:rFonts w:cs="Times New Roman"/>
              </w:rPr>
            </w:pPr>
          </w:p>
        </w:tc>
        <w:tc>
          <w:tcPr>
            <w:tcW w:w="1418" w:type="dxa"/>
            <w:tcBorders>
              <w:top w:val="single" w:sz="2" w:space="0" w:color="000000"/>
              <w:left w:val="single" w:sz="2" w:space="0" w:color="000000"/>
              <w:bottom w:val="single" w:sz="2" w:space="0" w:color="000000"/>
              <w:right w:val="single" w:sz="2" w:space="0" w:color="000000"/>
            </w:tcBorders>
            <w:shd w:val="clear" w:color="auto" w:fill="auto"/>
            <w:tcMar>
              <w:top w:w="0" w:type="dxa"/>
              <w:left w:w="10" w:type="dxa"/>
              <w:bottom w:w="0" w:type="dxa"/>
              <w:right w:w="10" w:type="dxa"/>
            </w:tcMar>
          </w:tcPr>
          <w:p w:rsidR="00FD3142" w:rsidRDefault="00FD3142" w:rsidP="00FD3142">
            <w:pPr>
              <w:spacing w:before="525" w:after="285"/>
              <w:jc w:val="center"/>
              <w:rPr>
                <w:rFonts w:cs="Times New Roman"/>
              </w:rPr>
            </w:pPr>
            <w:r>
              <w:rPr>
                <w:rFonts w:cs="Times New Roman"/>
              </w:rPr>
              <w:t>R$57,40</w:t>
            </w:r>
          </w:p>
        </w:tc>
      </w:tr>
      <w:tr w:rsidR="00FD3142" w:rsidTr="00FD3142">
        <w:trPr>
          <w:trHeight w:val="119"/>
          <w:jc w:val="center"/>
        </w:trPr>
        <w:tc>
          <w:tcPr>
            <w:tcW w:w="859" w:type="dxa"/>
            <w:tcBorders>
              <w:top w:val="single" w:sz="2" w:space="0" w:color="000000"/>
              <w:left w:val="single" w:sz="2" w:space="0" w:color="000000"/>
              <w:bottom w:val="single" w:sz="2" w:space="0" w:color="000000"/>
            </w:tcBorders>
            <w:shd w:val="clear" w:color="auto" w:fill="auto"/>
            <w:tcMar>
              <w:top w:w="55" w:type="dxa"/>
              <w:left w:w="55" w:type="dxa"/>
              <w:bottom w:w="55" w:type="dxa"/>
              <w:right w:w="55" w:type="dxa"/>
            </w:tcMar>
          </w:tcPr>
          <w:p w:rsidR="00FD3142" w:rsidRDefault="00B753C7" w:rsidP="00FD3142">
            <w:pPr>
              <w:jc w:val="center"/>
              <w:rPr>
                <w:rFonts w:cs="Times New Roman"/>
              </w:rPr>
            </w:pPr>
            <w:r>
              <w:rPr>
                <w:rFonts w:cs="Times New Roman"/>
              </w:rPr>
              <w:t>3</w:t>
            </w:r>
          </w:p>
        </w:tc>
        <w:tc>
          <w:tcPr>
            <w:tcW w:w="839" w:type="dxa"/>
            <w:tcBorders>
              <w:top w:val="single" w:sz="2" w:space="0" w:color="000000"/>
              <w:left w:val="single" w:sz="2" w:space="0" w:color="000000"/>
              <w:bottom w:val="single" w:sz="2" w:space="0" w:color="000000"/>
            </w:tcBorders>
            <w:shd w:val="clear" w:color="auto" w:fill="auto"/>
            <w:tcMar>
              <w:top w:w="55" w:type="dxa"/>
              <w:left w:w="55" w:type="dxa"/>
              <w:bottom w:w="55" w:type="dxa"/>
              <w:right w:w="55" w:type="dxa"/>
            </w:tcMar>
          </w:tcPr>
          <w:p w:rsidR="00FD3142" w:rsidRDefault="00FD3142" w:rsidP="00FD3142">
            <w:pPr>
              <w:jc w:val="center"/>
              <w:rPr>
                <w:rFonts w:cs="Times New Roman"/>
              </w:rPr>
            </w:pPr>
            <w:r>
              <w:rPr>
                <w:rFonts w:cs="Times New Roman"/>
              </w:rPr>
              <w:t>6</w:t>
            </w:r>
          </w:p>
        </w:tc>
        <w:tc>
          <w:tcPr>
            <w:tcW w:w="993" w:type="dxa"/>
            <w:tcBorders>
              <w:top w:val="single" w:sz="2" w:space="0" w:color="000000"/>
              <w:left w:val="single" w:sz="2" w:space="0" w:color="000000"/>
              <w:bottom w:val="single" w:sz="2" w:space="0" w:color="000000"/>
            </w:tcBorders>
            <w:shd w:val="clear" w:color="auto" w:fill="auto"/>
            <w:tcMar>
              <w:top w:w="55" w:type="dxa"/>
              <w:left w:w="55" w:type="dxa"/>
              <w:bottom w:w="55" w:type="dxa"/>
              <w:right w:w="55" w:type="dxa"/>
            </w:tcMar>
          </w:tcPr>
          <w:p w:rsidR="00FD3142" w:rsidRDefault="00FD3142" w:rsidP="00FD3142">
            <w:pPr>
              <w:jc w:val="center"/>
              <w:rPr>
                <w:rFonts w:cs="Times New Roman"/>
              </w:rPr>
            </w:pPr>
            <w:r>
              <w:rPr>
                <w:rFonts w:cs="Times New Roman"/>
              </w:rPr>
              <w:t>Unidade</w:t>
            </w:r>
          </w:p>
        </w:tc>
        <w:tc>
          <w:tcPr>
            <w:tcW w:w="4616" w:type="dxa"/>
            <w:tcBorders>
              <w:top w:val="single" w:sz="2" w:space="0" w:color="000000"/>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rsidR="00FD3142" w:rsidRDefault="00FD3142" w:rsidP="00FD3142">
            <w:pPr>
              <w:jc w:val="center"/>
              <w:rPr>
                <w:rFonts w:cs="Times New Roman"/>
                <w:color w:val="000000"/>
                <w:sz w:val="22"/>
                <w:szCs w:val="22"/>
              </w:rPr>
            </w:pPr>
            <w:r>
              <w:rPr>
                <w:rFonts w:cs="Times New Roman"/>
                <w:color w:val="000000"/>
                <w:sz w:val="22"/>
                <w:szCs w:val="22"/>
              </w:rPr>
              <w:t>Rolo ortopédico para os pés –</w:t>
            </w:r>
          </w:p>
          <w:p w:rsidR="00FD3142" w:rsidRDefault="00FD3142" w:rsidP="00FD3142">
            <w:pPr>
              <w:jc w:val="center"/>
              <w:rPr>
                <w:rFonts w:cs="Times New Roman"/>
                <w:color w:val="000000"/>
                <w:sz w:val="22"/>
                <w:szCs w:val="22"/>
              </w:rPr>
            </w:pPr>
            <w:r>
              <w:rPr>
                <w:rFonts w:cs="Times New Roman"/>
                <w:color w:val="000000"/>
                <w:sz w:val="22"/>
                <w:szCs w:val="22"/>
              </w:rPr>
              <w:t xml:space="preserve"> Massageador para os pés - material</w:t>
            </w:r>
            <w:r>
              <w:rPr>
                <w:rFonts w:cs="Times New Roman"/>
                <w:color w:val="000000"/>
                <w:sz w:val="22"/>
                <w:szCs w:val="22"/>
              </w:rPr>
              <w:br/>
              <w:t>PS e TPE - Dimensões 6 x 17 x 8 cm</w:t>
            </w:r>
          </w:p>
          <w:p w:rsidR="00FD3142" w:rsidRDefault="00FD3142" w:rsidP="00FD3142">
            <w:pPr>
              <w:jc w:val="center"/>
              <w:rPr>
                <w:rFonts w:cs="Times New Roman"/>
              </w:rPr>
            </w:pPr>
          </w:p>
        </w:tc>
        <w:tc>
          <w:tcPr>
            <w:tcW w:w="1195" w:type="dxa"/>
            <w:tcBorders>
              <w:top w:val="single" w:sz="2" w:space="0" w:color="000000"/>
              <w:left w:val="single" w:sz="2" w:space="0" w:color="000000"/>
              <w:bottom w:val="single" w:sz="2" w:space="0" w:color="000000"/>
              <w:right w:val="single" w:sz="2" w:space="0" w:color="000000"/>
            </w:tcBorders>
            <w:shd w:val="clear" w:color="auto" w:fill="auto"/>
            <w:tcMar>
              <w:top w:w="55" w:type="dxa"/>
              <w:left w:w="55" w:type="dxa"/>
              <w:bottom w:w="55" w:type="dxa"/>
              <w:right w:w="55" w:type="dxa"/>
            </w:tcMar>
            <w:vAlign w:val="center"/>
          </w:tcPr>
          <w:p w:rsidR="00FD3142" w:rsidRDefault="00FD3142" w:rsidP="00FD3142">
            <w:pPr>
              <w:jc w:val="center"/>
              <w:rPr>
                <w:rFonts w:cs="Times New Roman"/>
                <w:sz w:val="22"/>
                <w:szCs w:val="22"/>
              </w:rPr>
            </w:pPr>
            <w:r>
              <w:rPr>
                <w:rFonts w:cs="Times New Roman"/>
                <w:sz w:val="22"/>
                <w:szCs w:val="22"/>
              </w:rPr>
              <w:t>444279</w:t>
            </w:r>
          </w:p>
          <w:p w:rsidR="00FD3142" w:rsidRDefault="00FD3142" w:rsidP="00FD3142">
            <w:pPr>
              <w:jc w:val="center"/>
              <w:rPr>
                <w:rFonts w:cs="Times New Roman"/>
              </w:rPr>
            </w:pPr>
          </w:p>
        </w:tc>
        <w:tc>
          <w:tcPr>
            <w:tcW w:w="1418" w:type="dxa"/>
            <w:tcBorders>
              <w:top w:val="single" w:sz="2" w:space="0" w:color="000000"/>
              <w:left w:val="single" w:sz="2" w:space="0" w:color="000000"/>
              <w:bottom w:val="single" w:sz="2" w:space="0" w:color="000000"/>
              <w:right w:val="single" w:sz="2" w:space="0" w:color="000000"/>
            </w:tcBorders>
            <w:shd w:val="clear" w:color="auto" w:fill="auto"/>
            <w:tcMar>
              <w:top w:w="0" w:type="dxa"/>
              <w:left w:w="10" w:type="dxa"/>
              <w:bottom w:w="0" w:type="dxa"/>
              <w:right w:w="10" w:type="dxa"/>
            </w:tcMar>
          </w:tcPr>
          <w:p w:rsidR="00FD3142" w:rsidRDefault="00FD3142" w:rsidP="00FD3142">
            <w:pPr>
              <w:spacing w:before="525" w:after="285"/>
              <w:jc w:val="center"/>
              <w:rPr>
                <w:rFonts w:cs="Times New Roman"/>
              </w:rPr>
            </w:pPr>
            <w:r>
              <w:rPr>
                <w:rFonts w:cs="Times New Roman"/>
              </w:rPr>
              <w:t>R$364,86</w:t>
            </w:r>
          </w:p>
        </w:tc>
      </w:tr>
      <w:tr w:rsidR="00FD3142" w:rsidTr="00FD3142">
        <w:trPr>
          <w:trHeight w:val="119"/>
          <w:jc w:val="center"/>
        </w:trPr>
        <w:tc>
          <w:tcPr>
            <w:tcW w:w="859" w:type="dxa"/>
            <w:tcBorders>
              <w:top w:val="single" w:sz="2" w:space="0" w:color="000000"/>
              <w:left w:val="single" w:sz="2" w:space="0" w:color="000000"/>
              <w:bottom w:val="single" w:sz="2" w:space="0" w:color="000000"/>
            </w:tcBorders>
            <w:shd w:val="clear" w:color="auto" w:fill="auto"/>
            <w:tcMar>
              <w:top w:w="55" w:type="dxa"/>
              <w:left w:w="55" w:type="dxa"/>
              <w:bottom w:w="55" w:type="dxa"/>
              <w:right w:w="55" w:type="dxa"/>
            </w:tcMar>
          </w:tcPr>
          <w:p w:rsidR="00FD3142" w:rsidRDefault="00B753C7" w:rsidP="00FD3142">
            <w:pPr>
              <w:jc w:val="center"/>
              <w:rPr>
                <w:rFonts w:cs="Times New Roman"/>
              </w:rPr>
            </w:pPr>
            <w:r>
              <w:rPr>
                <w:rFonts w:cs="Times New Roman"/>
              </w:rPr>
              <w:lastRenderedPageBreak/>
              <w:t>4</w:t>
            </w:r>
          </w:p>
        </w:tc>
        <w:tc>
          <w:tcPr>
            <w:tcW w:w="839" w:type="dxa"/>
            <w:tcBorders>
              <w:top w:val="single" w:sz="2" w:space="0" w:color="000000"/>
              <w:left w:val="single" w:sz="2" w:space="0" w:color="000000"/>
              <w:bottom w:val="single" w:sz="2" w:space="0" w:color="000000"/>
            </w:tcBorders>
            <w:shd w:val="clear" w:color="auto" w:fill="auto"/>
            <w:tcMar>
              <w:top w:w="55" w:type="dxa"/>
              <w:left w:w="55" w:type="dxa"/>
              <w:bottom w:w="55" w:type="dxa"/>
              <w:right w:w="55" w:type="dxa"/>
            </w:tcMar>
          </w:tcPr>
          <w:p w:rsidR="00FD3142" w:rsidRDefault="00FD3142" w:rsidP="00FD3142">
            <w:pPr>
              <w:jc w:val="center"/>
              <w:rPr>
                <w:rFonts w:cs="Times New Roman"/>
              </w:rPr>
            </w:pPr>
            <w:r>
              <w:rPr>
                <w:rFonts w:cs="Times New Roman"/>
              </w:rPr>
              <w:t>10</w:t>
            </w:r>
          </w:p>
        </w:tc>
        <w:tc>
          <w:tcPr>
            <w:tcW w:w="993" w:type="dxa"/>
            <w:tcBorders>
              <w:top w:val="single" w:sz="2" w:space="0" w:color="000000"/>
              <w:left w:val="single" w:sz="2" w:space="0" w:color="000000"/>
              <w:bottom w:val="single" w:sz="2" w:space="0" w:color="000000"/>
            </w:tcBorders>
            <w:shd w:val="clear" w:color="auto" w:fill="auto"/>
            <w:tcMar>
              <w:top w:w="55" w:type="dxa"/>
              <w:left w:w="55" w:type="dxa"/>
              <w:bottom w:w="55" w:type="dxa"/>
              <w:right w:w="55" w:type="dxa"/>
            </w:tcMar>
          </w:tcPr>
          <w:p w:rsidR="00FD3142" w:rsidRDefault="00FD3142" w:rsidP="00FD3142">
            <w:pPr>
              <w:jc w:val="center"/>
              <w:rPr>
                <w:rFonts w:cs="Times New Roman"/>
              </w:rPr>
            </w:pPr>
            <w:r>
              <w:rPr>
                <w:rFonts w:cs="Times New Roman"/>
              </w:rPr>
              <w:t>Unidade</w:t>
            </w:r>
          </w:p>
        </w:tc>
        <w:tc>
          <w:tcPr>
            <w:tcW w:w="4616" w:type="dxa"/>
            <w:tcBorders>
              <w:top w:val="single" w:sz="2" w:space="0" w:color="000000"/>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rsidR="00FD3142" w:rsidRDefault="00FD3142" w:rsidP="00FD3142">
            <w:pPr>
              <w:jc w:val="center"/>
              <w:rPr>
                <w:rFonts w:cs="Times New Roman"/>
                <w:color w:val="000000"/>
                <w:sz w:val="22"/>
                <w:szCs w:val="22"/>
              </w:rPr>
            </w:pPr>
            <w:r>
              <w:rPr>
                <w:rFonts w:cs="Times New Roman"/>
                <w:color w:val="000000"/>
                <w:sz w:val="22"/>
                <w:szCs w:val="22"/>
              </w:rPr>
              <w:t>Bola over ball 25 cm –</w:t>
            </w:r>
          </w:p>
          <w:p w:rsidR="00FD3142" w:rsidRDefault="00FD3142" w:rsidP="00FD3142">
            <w:pPr>
              <w:jc w:val="center"/>
              <w:rPr>
                <w:rFonts w:cs="Times New Roman"/>
                <w:color w:val="000000"/>
                <w:sz w:val="22"/>
                <w:szCs w:val="22"/>
              </w:rPr>
            </w:pPr>
            <w:r>
              <w:rPr>
                <w:rFonts w:cs="Times New Roman"/>
                <w:color w:val="000000"/>
                <w:sz w:val="22"/>
                <w:szCs w:val="22"/>
              </w:rPr>
              <w:t xml:space="preserve"> Dimensão: 25cm;</w:t>
            </w:r>
            <w:r>
              <w:rPr>
                <w:rFonts w:cs="Times New Roman"/>
                <w:color w:val="000000"/>
                <w:sz w:val="22"/>
                <w:szCs w:val="22"/>
              </w:rPr>
              <w:br/>
              <w:t>Material: PVC;</w:t>
            </w:r>
            <w:r>
              <w:rPr>
                <w:rFonts w:cs="Times New Roman"/>
                <w:color w:val="000000"/>
                <w:sz w:val="22"/>
                <w:szCs w:val="22"/>
              </w:rPr>
              <w:br/>
              <w:t>Cor: Azul;</w:t>
            </w:r>
            <w:r>
              <w:rPr>
                <w:rFonts w:cs="Times New Roman"/>
                <w:color w:val="000000"/>
                <w:sz w:val="22"/>
                <w:szCs w:val="22"/>
              </w:rPr>
              <w:br/>
              <w:t>Segurança: Sistema Anti-Estouro;</w:t>
            </w:r>
            <w:r>
              <w:rPr>
                <w:rFonts w:cs="Times New Roman"/>
                <w:color w:val="000000"/>
                <w:sz w:val="22"/>
                <w:szCs w:val="22"/>
              </w:rPr>
              <w:br/>
              <w:t>Acompanha: Canudo para inflar.</w:t>
            </w:r>
          </w:p>
          <w:p w:rsidR="00FD3142" w:rsidRDefault="00FD3142" w:rsidP="00FD3142">
            <w:pPr>
              <w:jc w:val="center"/>
              <w:rPr>
                <w:rFonts w:cs="Times New Roman"/>
              </w:rPr>
            </w:pPr>
          </w:p>
        </w:tc>
        <w:tc>
          <w:tcPr>
            <w:tcW w:w="1195" w:type="dxa"/>
            <w:tcBorders>
              <w:top w:val="single" w:sz="2" w:space="0" w:color="000000"/>
              <w:left w:val="single" w:sz="2" w:space="0" w:color="000000"/>
              <w:bottom w:val="single" w:sz="2" w:space="0" w:color="000000"/>
              <w:right w:val="single" w:sz="2" w:space="0" w:color="000000"/>
            </w:tcBorders>
            <w:shd w:val="clear" w:color="auto" w:fill="auto"/>
            <w:tcMar>
              <w:top w:w="55" w:type="dxa"/>
              <w:left w:w="55" w:type="dxa"/>
              <w:bottom w:w="55" w:type="dxa"/>
              <w:right w:w="55" w:type="dxa"/>
            </w:tcMar>
            <w:vAlign w:val="center"/>
          </w:tcPr>
          <w:p w:rsidR="00FD3142" w:rsidRDefault="00FD3142" w:rsidP="00FD3142">
            <w:pPr>
              <w:jc w:val="center"/>
              <w:rPr>
                <w:rFonts w:cs="Times New Roman"/>
                <w:sz w:val="22"/>
                <w:szCs w:val="22"/>
              </w:rPr>
            </w:pPr>
            <w:r>
              <w:rPr>
                <w:rFonts w:cs="Times New Roman"/>
                <w:sz w:val="22"/>
                <w:szCs w:val="22"/>
              </w:rPr>
              <w:t>351702</w:t>
            </w:r>
          </w:p>
          <w:p w:rsidR="00FD3142" w:rsidRDefault="00FD3142" w:rsidP="00FD3142">
            <w:pPr>
              <w:jc w:val="center"/>
              <w:rPr>
                <w:rFonts w:cs="Times New Roman"/>
              </w:rPr>
            </w:pPr>
          </w:p>
        </w:tc>
        <w:tc>
          <w:tcPr>
            <w:tcW w:w="1418" w:type="dxa"/>
            <w:tcBorders>
              <w:top w:val="single" w:sz="2" w:space="0" w:color="000000"/>
              <w:left w:val="single" w:sz="2" w:space="0" w:color="000000"/>
              <w:bottom w:val="single" w:sz="2" w:space="0" w:color="000000"/>
              <w:right w:val="single" w:sz="2" w:space="0" w:color="000000"/>
            </w:tcBorders>
            <w:shd w:val="clear" w:color="auto" w:fill="auto"/>
            <w:tcMar>
              <w:top w:w="0" w:type="dxa"/>
              <w:left w:w="10" w:type="dxa"/>
              <w:bottom w:w="0" w:type="dxa"/>
              <w:right w:w="10" w:type="dxa"/>
            </w:tcMar>
          </w:tcPr>
          <w:p w:rsidR="00FD3142" w:rsidRDefault="00FD3142" w:rsidP="00FD3142">
            <w:pPr>
              <w:spacing w:before="525" w:after="285"/>
              <w:jc w:val="center"/>
              <w:rPr>
                <w:rFonts w:cs="Times New Roman"/>
              </w:rPr>
            </w:pPr>
            <w:r>
              <w:rPr>
                <w:rFonts w:cs="Times New Roman"/>
              </w:rPr>
              <w:t>R$280,00</w:t>
            </w:r>
          </w:p>
        </w:tc>
      </w:tr>
      <w:tr w:rsidR="00FD3142" w:rsidTr="00FD3142">
        <w:trPr>
          <w:trHeight w:val="119"/>
          <w:jc w:val="center"/>
        </w:trPr>
        <w:tc>
          <w:tcPr>
            <w:tcW w:w="859" w:type="dxa"/>
            <w:tcBorders>
              <w:top w:val="single" w:sz="2" w:space="0" w:color="000000"/>
              <w:left w:val="single" w:sz="2" w:space="0" w:color="000000"/>
              <w:bottom w:val="single" w:sz="2" w:space="0" w:color="000000"/>
            </w:tcBorders>
            <w:shd w:val="clear" w:color="auto" w:fill="auto"/>
            <w:tcMar>
              <w:top w:w="55" w:type="dxa"/>
              <w:left w:w="55" w:type="dxa"/>
              <w:bottom w:w="55" w:type="dxa"/>
              <w:right w:w="55" w:type="dxa"/>
            </w:tcMar>
          </w:tcPr>
          <w:p w:rsidR="00FD3142" w:rsidRDefault="00B753C7" w:rsidP="00FD3142">
            <w:pPr>
              <w:jc w:val="center"/>
              <w:rPr>
                <w:rFonts w:cs="Times New Roman"/>
              </w:rPr>
            </w:pPr>
            <w:r>
              <w:rPr>
                <w:rFonts w:cs="Times New Roman"/>
              </w:rPr>
              <w:t>5</w:t>
            </w:r>
          </w:p>
        </w:tc>
        <w:tc>
          <w:tcPr>
            <w:tcW w:w="839" w:type="dxa"/>
            <w:tcBorders>
              <w:top w:val="single" w:sz="2" w:space="0" w:color="000000"/>
              <w:left w:val="single" w:sz="2" w:space="0" w:color="000000"/>
              <w:bottom w:val="single" w:sz="2" w:space="0" w:color="000000"/>
            </w:tcBorders>
            <w:shd w:val="clear" w:color="auto" w:fill="auto"/>
            <w:tcMar>
              <w:top w:w="55" w:type="dxa"/>
              <w:left w:w="55" w:type="dxa"/>
              <w:bottom w:w="55" w:type="dxa"/>
              <w:right w:w="55" w:type="dxa"/>
            </w:tcMar>
          </w:tcPr>
          <w:p w:rsidR="00FD3142" w:rsidRDefault="00FD3142" w:rsidP="00FD3142">
            <w:pPr>
              <w:jc w:val="center"/>
              <w:rPr>
                <w:rFonts w:cs="Times New Roman"/>
              </w:rPr>
            </w:pPr>
            <w:r>
              <w:rPr>
                <w:rFonts w:cs="Times New Roman"/>
              </w:rPr>
              <w:t>4</w:t>
            </w:r>
          </w:p>
        </w:tc>
        <w:tc>
          <w:tcPr>
            <w:tcW w:w="993" w:type="dxa"/>
            <w:tcBorders>
              <w:top w:val="single" w:sz="2" w:space="0" w:color="000000"/>
              <w:left w:val="single" w:sz="2" w:space="0" w:color="000000"/>
              <w:bottom w:val="single" w:sz="2" w:space="0" w:color="000000"/>
            </w:tcBorders>
            <w:shd w:val="clear" w:color="auto" w:fill="auto"/>
            <w:tcMar>
              <w:top w:w="55" w:type="dxa"/>
              <w:left w:w="55" w:type="dxa"/>
              <w:bottom w:w="55" w:type="dxa"/>
              <w:right w:w="55" w:type="dxa"/>
            </w:tcMar>
          </w:tcPr>
          <w:p w:rsidR="00FD3142" w:rsidRDefault="00FD3142" w:rsidP="00FD3142">
            <w:pPr>
              <w:jc w:val="center"/>
              <w:rPr>
                <w:rFonts w:cs="Times New Roman"/>
              </w:rPr>
            </w:pPr>
            <w:r>
              <w:rPr>
                <w:rFonts w:cs="Times New Roman"/>
              </w:rPr>
              <w:t>Unidade</w:t>
            </w:r>
          </w:p>
        </w:tc>
        <w:tc>
          <w:tcPr>
            <w:tcW w:w="4616" w:type="dxa"/>
            <w:tcBorders>
              <w:top w:val="single" w:sz="2" w:space="0" w:color="000000"/>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rsidR="00FD3142" w:rsidRDefault="00FD3142" w:rsidP="00FD3142">
            <w:pPr>
              <w:jc w:val="center"/>
              <w:rPr>
                <w:rFonts w:cs="Times New Roman"/>
                <w:color w:val="000000"/>
                <w:sz w:val="22"/>
                <w:szCs w:val="22"/>
              </w:rPr>
            </w:pPr>
            <w:r>
              <w:rPr>
                <w:rFonts w:cs="Times New Roman"/>
                <w:color w:val="000000"/>
                <w:sz w:val="22"/>
                <w:szCs w:val="22"/>
              </w:rPr>
              <w:t>Relógio digital led de parede –</w:t>
            </w:r>
          </w:p>
          <w:p w:rsidR="00FD3142" w:rsidRDefault="00FD3142" w:rsidP="00FD3142">
            <w:pPr>
              <w:jc w:val="center"/>
              <w:rPr>
                <w:rFonts w:cs="Times New Roman"/>
                <w:color w:val="000000"/>
                <w:sz w:val="22"/>
                <w:szCs w:val="22"/>
              </w:rPr>
            </w:pPr>
            <w:r>
              <w:rPr>
                <w:rFonts w:cs="Times New Roman"/>
                <w:color w:val="000000"/>
                <w:sz w:val="22"/>
                <w:szCs w:val="22"/>
              </w:rPr>
              <w:t xml:space="preserve"> Parede LED Vermelho DIGITAL Alto</w:t>
            </w:r>
            <w:r>
              <w:rPr>
                <w:rFonts w:cs="Times New Roman"/>
                <w:color w:val="000000"/>
                <w:sz w:val="22"/>
                <w:szCs w:val="22"/>
              </w:rPr>
              <w:br/>
              <w:t>Brilho com Termômetro Data e Hora</w:t>
            </w:r>
            <w:r>
              <w:rPr>
                <w:rFonts w:cs="Times New Roman"/>
                <w:color w:val="000000"/>
                <w:sz w:val="22"/>
                <w:szCs w:val="22"/>
              </w:rPr>
              <w:br/>
              <w:t>3x15x36</w:t>
            </w:r>
          </w:p>
          <w:p w:rsidR="00FD3142" w:rsidRDefault="00FD3142" w:rsidP="00FD3142">
            <w:pPr>
              <w:jc w:val="center"/>
              <w:rPr>
                <w:rFonts w:cs="Times New Roman"/>
              </w:rPr>
            </w:pPr>
          </w:p>
        </w:tc>
        <w:tc>
          <w:tcPr>
            <w:tcW w:w="1195" w:type="dxa"/>
            <w:tcBorders>
              <w:top w:val="single" w:sz="2" w:space="0" w:color="000000"/>
              <w:left w:val="single" w:sz="2" w:space="0" w:color="000000"/>
              <w:bottom w:val="single" w:sz="2" w:space="0" w:color="000000"/>
              <w:right w:val="single" w:sz="2" w:space="0" w:color="000000"/>
            </w:tcBorders>
            <w:shd w:val="clear" w:color="auto" w:fill="auto"/>
            <w:tcMar>
              <w:top w:w="55" w:type="dxa"/>
              <w:left w:w="55" w:type="dxa"/>
              <w:bottom w:w="55" w:type="dxa"/>
              <w:right w:w="55" w:type="dxa"/>
            </w:tcMar>
            <w:vAlign w:val="center"/>
          </w:tcPr>
          <w:p w:rsidR="00FD3142" w:rsidRDefault="00FD3142" w:rsidP="00FD3142">
            <w:pPr>
              <w:jc w:val="center"/>
              <w:rPr>
                <w:rFonts w:cs="Times New Roman"/>
                <w:sz w:val="22"/>
                <w:szCs w:val="22"/>
              </w:rPr>
            </w:pPr>
            <w:r>
              <w:rPr>
                <w:rFonts w:cs="Times New Roman"/>
                <w:sz w:val="22"/>
                <w:szCs w:val="22"/>
              </w:rPr>
              <w:t>482587</w:t>
            </w:r>
          </w:p>
          <w:p w:rsidR="00FD3142" w:rsidRDefault="00FD3142" w:rsidP="00FD3142">
            <w:pPr>
              <w:jc w:val="center"/>
              <w:rPr>
                <w:rFonts w:cs="Times New Roman"/>
              </w:rPr>
            </w:pPr>
          </w:p>
        </w:tc>
        <w:tc>
          <w:tcPr>
            <w:tcW w:w="1418" w:type="dxa"/>
            <w:tcBorders>
              <w:top w:val="single" w:sz="2" w:space="0" w:color="000000"/>
              <w:left w:val="single" w:sz="2" w:space="0" w:color="000000"/>
              <w:bottom w:val="single" w:sz="2" w:space="0" w:color="000000"/>
              <w:right w:val="single" w:sz="2" w:space="0" w:color="000000"/>
            </w:tcBorders>
            <w:shd w:val="clear" w:color="auto" w:fill="auto"/>
            <w:tcMar>
              <w:top w:w="0" w:type="dxa"/>
              <w:left w:w="10" w:type="dxa"/>
              <w:bottom w:w="0" w:type="dxa"/>
              <w:right w:w="10" w:type="dxa"/>
            </w:tcMar>
          </w:tcPr>
          <w:p w:rsidR="00FD3142" w:rsidRDefault="00FD3142" w:rsidP="00FD3142">
            <w:pPr>
              <w:spacing w:before="525" w:after="285"/>
              <w:jc w:val="center"/>
              <w:rPr>
                <w:rFonts w:cs="Times New Roman"/>
              </w:rPr>
            </w:pPr>
            <w:r>
              <w:rPr>
                <w:rFonts w:cs="Times New Roman"/>
              </w:rPr>
              <w:t>R$471,88</w:t>
            </w:r>
          </w:p>
        </w:tc>
      </w:tr>
      <w:tr w:rsidR="00FD3142" w:rsidTr="00FD3142">
        <w:trPr>
          <w:trHeight w:val="119"/>
          <w:jc w:val="center"/>
        </w:trPr>
        <w:tc>
          <w:tcPr>
            <w:tcW w:w="859" w:type="dxa"/>
            <w:tcBorders>
              <w:top w:val="single" w:sz="2" w:space="0" w:color="000000"/>
              <w:left w:val="single" w:sz="2" w:space="0" w:color="000000"/>
              <w:bottom w:val="single" w:sz="2" w:space="0" w:color="000000"/>
            </w:tcBorders>
            <w:shd w:val="clear" w:color="auto" w:fill="auto"/>
            <w:tcMar>
              <w:top w:w="55" w:type="dxa"/>
              <w:left w:w="55" w:type="dxa"/>
              <w:bottom w:w="55" w:type="dxa"/>
              <w:right w:w="55" w:type="dxa"/>
            </w:tcMar>
          </w:tcPr>
          <w:p w:rsidR="00FD3142" w:rsidRDefault="00B753C7" w:rsidP="00FD3142">
            <w:pPr>
              <w:jc w:val="center"/>
              <w:rPr>
                <w:rFonts w:cs="Times New Roman"/>
              </w:rPr>
            </w:pPr>
            <w:r>
              <w:rPr>
                <w:rFonts w:cs="Times New Roman"/>
              </w:rPr>
              <w:t>6</w:t>
            </w:r>
          </w:p>
        </w:tc>
        <w:tc>
          <w:tcPr>
            <w:tcW w:w="839" w:type="dxa"/>
            <w:tcBorders>
              <w:top w:val="single" w:sz="2" w:space="0" w:color="000000"/>
              <w:left w:val="single" w:sz="2" w:space="0" w:color="000000"/>
              <w:bottom w:val="single" w:sz="2" w:space="0" w:color="000000"/>
            </w:tcBorders>
            <w:shd w:val="clear" w:color="auto" w:fill="auto"/>
            <w:tcMar>
              <w:top w:w="55" w:type="dxa"/>
              <w:left w:w="55" w:type="dxa"/>
              <w:bottom w:w="55" w:type="dxa"/>
              <w:right w:w="55" w:type="dxa"/>
            </w:tcMar>
          </w:tcPr>
          <w:p w:rsidR="00FD3142" w:rsidRDefault="00FD3142" w:rsidP="00FD3142">
            <w:pPr>
              <w:jc w:val="center"/>
              <w:rPr>
                <w:rFonts w:cs="Times New Roman"/>
              </w:rPr>
            </w:pPr>
            <w:r>
              <w:rPr>
                <w:rFonts w:cs="Times New Roman"/>
              </w:rPr>
              <w:t>3</w:t>
            </w:r>
          </w:p>
        </w:tc>
        <w:tc>
          <w:tcPr>
            <w:tcW w:w="993" w:type="dxa"/>
            <w:tcBorders>
              <w:top w:val="single" w:sz="2" w:space="0" w:color="000000"/>
              <w:left w:val="single" w:sz="2" w:space="0" w:color="000000"/>
              <w:bottom w:val="single" w:sz="2" w:space="0" w:color="000000"/>
            </w:tcBorders>
            <w:shd w:val="clear" w:color="auto" w:fill="auto"/>
            <w:tcMar>
              <w:top w:w="55" w:type="dxa"/>
              <w:left w:w="55" w:type="dxa"/>
              <w:bottom w:w="55" w:type="dxa"/>
              <w:right w:w="55" w:type="dxa"/>
            </w:tcMar>
          </w:tcPr>
          <w:p w:rsidR="00FD3142" w:rsidRDefault="00FD3142" w:rsidP="00FD3142">
            <w:pPr>
              <w:jc w:val="center"/>
              <w:rPr>
                <w:rFonts w:cs="Times New Roman"/>
              </w:rPr>
            </w:pPr>
            <w:r>
              <w:rPr>
                <w:rFonts w:cs="Times New Roman"/>
              </w:rPr>
              <w:t>Par</w:t>
            </w:r>
          </w:p>
        </w:tc>
        <w:tc>
          <w:tcPr>
            <w:tcW w:w="4616" w:type="dxa"/>
            <w:tcBorders>
              <w:top w:val="single" w:sz="2" w:space="0" w:color="000000"/>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rsidR="00FD3142" w:rsidRDefault="00FD3142" w:rsidP="00FD3142">
            <w:pPr>
              <w:jc w:val="center"/>
              <w:rPr>
                <w:rFonts w:cs="Times New Roman"/>
                <w:color w:val="000000"/>
                <w:sz w:val="22"/>
                <w:szCs w:val="22"/>
              </w:rPr>
            </w:pPr>
            <w:r>
              <w:rPr>
                <w:rFonts w:cs="Times New Roman"/>
                <w:color w:val="000000"/>
                <w:sz w:val="22"/>
                <w:szCs w:val="22"/>
              </w:rPr>
              <w:t xml:space="preserve">Caneleira hidroterapia 3kg – </w:t>
            </w:r>
          </w:p>
          <w:p w:rsidR="00FD3142" w:rsidRDefault="00FD3142" w:rsidP="00FD3142">
            <w:pPr>
              <w:jc w:val="center"/>
              <w:rPr>
                <w:rFonts w:cs="Times New Roman"/>
                <w:color w:val="000000"/>
                <w:sz w:val="22"/>
                <w:szCs w:val="22"/>
              </w:rPr>
            </w:pPr>
            <w:r>
              <w:rPr>
                <w:rFonts w:cs="Times New Roman"/>
                <w:color w:val="000000"/>
                <w:sz w:val="22"/>
                <w:szCs w:val="22"/>
              </w:rPr>
              <w:t>Espuma de acetato vinilo de</w:t>
            </w:r>
            <w:r>
              <w:rPr>
                <w:rFonts w:cs="Times New Roman"/>
                <w:color w:val="000000"/>
                <w:sz w:val="22"/>
                <w:szCs w:val="22"/>
              </w:rPr>
              <w:br/>
              <w:t>etileno; material EVA, 3kg</w:t>
            </w:r>
          </w:p>
          <w:p w:rsidR="00FD3142" w:rsidRDefault="00FD3142" w:rsidP="00FD3142">
            <w:pPr>
              <w:jc w:val="center"/>
              <w:rPr>
                <w:rFonts w:cs="Times New Roman"/>
              </w:rPr>
            </w:pPr>
          </w:p>
        </w:tc>
        <w:tc>
          <w:tcPr>
            <w:tcW w:w="1195" w:type="dxa"/>
            <w:tcBorders>
              <w:top w:val="single" w:sz="2" w:space="0" w:color="000000"/>
              <w:left w:val="single" w:sz="2" w:space="0" w:color="000000"/>
              <w:bottom w:val="single" w:sz="2" w:space="0" w:color="000000"/>
              <w:right w:val="single" w:sz="2" w:space="0" w:color="000000"/>
            </w:tcBorders>
            <w:shd w:val="clear" w:color="auto" w:fill="auto"/>
            <w:tcMar>
              <w:top w:w="55" w:type="dxa"/>
              <w:left w:w="55" w:type="dxa"/>
              <w:bottom w:w="55" w:type="dxa"/>
              <w:right w:w="55" w:type="dxa"/>
            </w:tcMar>
            <w:vAlign w:val="center"/>
          </w:tcPr>
          <w:p w:rsidR="00FD3142" w:rsidRDefault="00FD3142" w:rsidP="00FD3142">
            <w:pPr>
              <w:jc w:val="center"/>
              <w:rPr>
                <w:rFonts w:cs="Times New Roman"/>
                <w:sz w:val="22"/>
                <w:szCs w:val="22"/>
              </w:rPr>
            </w:pPr>
            <w:r>
              <w:rPr>
                <w:rFonts w:cs="Times New Roman"/>
                <w:sz w:val="22"/>
                <w:szCs w:val="22"/>
              </w:rPr>
              <w:t>277509</w:t>
            </w:r>
          </w:p>
          <w:p w:rsidR="00FD3142" w:rsidRDefault="00FD3142" w:rsidP="00FD3142">
            <w:pPr>
              <w:jc w:val="center"/>
              <w:rPr>
                <w:rFonts w:cs="Times New Roman"/>
              </w:rPr>
            </w:pPr>
          </w:p>
        </w:tc>
        <w:tc>
          <w:tcPr>
            <w:tcW w:w="1418" w:type="dxa"/>
            <w:tcBorders>
              <w:top w:val="single" w:sz="2" w:space="0" w:color="000000"/>
              <w:left w:val="single" w:sz="2" w:space="0" w:color="000000"/>
              <w:bottom w:val="single" w:sz="2" w:space="0" w:color="000000"/>
              <w:right w:val="single" w:sz="2" w:space="0" w:color="000000"/>
            </w:tcBorders>
            <w:shd w:val="clear" w:color="auto" w:fill="auto"/>
            <w:tcMar>
              <w:top w:w="0" w:type="dxa"/>
              <w:left w:w="10" w:type="dxa"/>
              <w:bottom w:w="0" w:type="dxa"/>
              <w:right w:w="10" w:type="dxa"/>
            </w:tcMar>
          </w:tcPr>
          <w:p w:rsidR="00FD3142" w:rsidRDefault="00FD3142" w:rsidP="00FD3142">
            <w:pPr>
              <w:spacing w:before="525" w:after="285"/>
              <w:jc w:val="center"/>
              <w:rPr>
                <w:rFonts w:cs="Times New Roman"/>
              </w:rPr>
            </w:pPr>
            <w:r>
              <w:rPr>
                <w:rFonts w:cs="Times New Roman"/>
              </w:rPr>
              <w:t>R$143,97</w:t>
            </w:r>
          </w:p>
        </w:tc>
      </w:tr>
      <w:tr w:rsidR="00FD3142" w:rsidTr="00FD3142">
        <w:trPr>
          <w:trHeight w:val="119"/>
          <w:jc w:val="center"/>
        </w:trPr>
        <w:tc>
          <w:tcPr>
            <w:tcW w:w="859" w:type="dxa"/>
            <w:tcBorders>
              <w:top w:val="single" w:sz="2" w:space="0" w:color="000000"/>
              <w:left w:val="single" w:sz="2" w:space="0" w:color="000000"/>
              <w:bottom w:val="single" w:sz="2" w:space="0" w:color="000000"/>
            </w:tcBorders>
            <w:shd w:val="clear" w:color="auto" w:fill="auto"/>
            <w:tcMar>
              <w:top w:w="55" w:type="dxa"/>
              <w:left w:w="55" w:type="dxa"/>
              <w:bottom w:w="55" w:type="dxa"/>
              <w:right w:w="55" w:type="dxa"/>
            </w:tcMar>
          </w:tcPr>
          <w:p w:rsidR="00FD3142" w:rsidRDefault="00B753C7" w:rsidP="00FD3142">
            <w:pPr>
              <w:jc w:val="center"/>
              <w:rPr>
                <w:rFonts w:cs="Times New Roman"/>
              </w:rPr>
            </w:pPr>
            <w:r>
              <w:rPr>
                <w:rFonts w:cs="Times New Roman"/>
              </w:rPr>
              <w:t>7</w:t>
            </w:r>
          </w:p>
        </w:tc>
        <w:tc>
          <w:tcPr>
            <w:tcW w:w="839" w:type="dxa"/>
            <w:tcBorders>
              <w:top w:val="single" w:sz="2" w:space="0" w:color="000000"/>
              <w:left w:val="single" w:sz="2" w:space="0" w:color="000000"/>
              <w:bottom w:val="single" w:sz="2" w:space="0" w:color="000000"/>
            </w:tcBorders>
            <w:shd w:val="clear" w:color="auto" w:fill="auto"/>
            <w:tcMar>
              <w:top w:w="55" w:type="dxa"/>
              <w:left w:w="55" w:type="dxa"/>
              <w:bottom w:w="55" w:type="dxa"/>
              <w:right w:w="55" w:type="dxa"/>
            </w:tcMar>
          </w:tcPr>
          <w:p w:rsidR="00FD3142" w:rsidRDefault="00FD3142" w:rsidP="00FD3142">
            <w:pPr>
              <w:jc w:val="center"/>
              <w:rPr>
                <w:rFonts w:cs="Times New Roman"/>
              </w:rPr>
            </w:pPr>
            <w:r>
              <w:rPr>
                <w:rFonts w:cs="Times New Roman"/>
              </w:rPr>
              <w:t>4</w:t>
            </w:r>
          </w:p>
        </w:tc>
        <w:tc>
          <w:tcPr>
            <w:tcW w:w="993" w:type="dxa"/>
            <w:tcBorders>
              <w:top w:val="single" w:sz="2" w:space="0" w:color="000000"/>
              <w:left w:val="single" w:sz="2" w:space="0" w:color="000000"/>
              <w:bottom w:val="single" w:sz="2" w:space="0" w:color="000000"/>
            </w:tcBorders>
            <w:shd w:val="clear" w:color="auto" w:fill="auto"/>
            <w:tcMar>
              <w:top w:w="55" w:type="dxa"/>
              <w:left w:w="55" w:type="dxa"/>
              <w:bottom w:w="55" w:type="dxa"/>
              <w:right w:w="55" w:type="dxa"/>
            </w:tcMar>
          </w:tcPr>
          <w:p w:rsidR="00FD3142" w:rsidRDefault="00FD3142" w:rsidP="00FD3142">
            <w:pPr>
              <w:jc w:val="center"/>
              <w:rPr>
                <w:rFonts w:cs="Times New Roman"/>
              </w:rPr>
            </w:pPr>
            <w:r>
              <w:rPr>
                <w:rFonts w:cs="Times New Roman"/>
              </w:rPr>
              <w:t>Unidade</w:t>
            </w:r>
          </w:p>
        </w:tc>
        <w:tc>
          <w:tcPr>
            <w:tcW w:w="4616" w:type="dxa"/>
            <w:tcBorders>
              <w:top w:val="single" w:sz="2" w:space="0" w:color="000000"/>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rsidR="00FD3142" w:rsidRDefault="00FD3142" w:rsidP="00FD3142">
            <w:pPr>
              <w:jc w:val="center"/>
              <w:rPr>
                <w:rFonts w:cs="Times New Roman"/>
                <w:color w:val="000000"/>
                <w:sz w:val="22"/>
                <w:szCs w:val="22"/>
              </w:rPr>
            </w:pPr>
            <w:r>
              <w:rPr>
                <w:rFonts w:cs="Times New Roman"/>
                <w:color w:val="000000"/>
                <w:sz w:val="22"/>
                <w:szCs w:val="22"/>
              </w:rPr>
              <w:t xml:space="preserve">Disco de equilíbrio flexível – </w:t>
            </w:r>
          </w:p>
          <w:p w:rsidR="00FD3142" w:rsidRDefault="00FD3142" w:rsidP="00FD3142">
            <w:pPr>
              <w:jc w:val="center"/>
              <w:rPr>
                <w:rFonts w:cs="Times New Roman"/>
                <w:color w:val="000000"/>
                <w:sz w:val="22"/>
                <w:szCs w:val="22"/>
              </w:rPr>
            </w:pPr>
            <w:r>
              <w:rPr>
                <w:rFonts w:cs="Times New Roman"/>
                <w:color w:val="000000"/>
                <w:sz w:val="22"/>
                <w:szCs w:val="22"/>
              </w:rPr>
              <w:t>Material: pvc flexível; dimensões:</w:t>
            </w:r>
            <w:r>
              <w:rPr>
                <w:rFonts w:cs="Times New Roman"/>
                <w:color w:val="000000"/>
                <w:sz w:val="22"/>
                <w:szCs w:val="22"/>
              </w:rPr>
              <w:br/>
              <w:t>35cm de diâmetro; peso máximo</w:t>
            </w:r>
            <w:r>
              <w:rPr>
                <w:rFonts w:cs="Times New Roman"/>
                <w:color w:val="000000"/>
                <w:sz w:val="22"/>
                <w:szCs w:val="22"/>
              </w:rPr>
              <w:br/>
              <w:t>suportado até 100kg.</w:t>
            </w:r>
            <w:r>
              <w:rPr>
                <w:rFonts w:cs="Times New Roman"/>
                <w:color w:val="000000"/>
                <w:sz w:val="22"/>
                <w:szCs w:val="22"/>
              </w:rPr>
              <w:br/>
              <w:t>É inflável, que permite de a</w:t>
            </w:r>
            <w:r>
              <w:rPr>
                <w:rFonts w:cs="Times New Roman"/>
                <w:color w:val="000000"/>
                <w:sz w:val="22"/>
                <w:szCs w:val="22"/>
              </w:rPr>
              <w:br/>
              <w:t>utilização em diferentes</w:t>
            </w:r>
            <w:r>
              <w:rPr>
                <w:rFonts w:cs="Times New Roman"/>
                <w:color w:val="000000"/>
                <w:sz w:val="22"/>
                <w:szCs w:val="22"/>
              </w:rPr>
              <w:br/>
              <w:t>tamanhos, possui duas</w:t>
            </w:r>
            <w:r>
              <w:rPr>
                <w:rFonts w:cs="Times New Roman"/>
                <w:color w:val="000000"/>
                <w:sz w:val="22"/>
                <w:szCs w:val="22"/>
              </w:rPr>
              <w:br/>
              <w:t>superfícies, uma lisa e outra com</w:t>
            </w:r>
            <w:r>
              <w:rPr>
                <w:rFonts w:cs="Times New Roman"/>
                <w:color w:val="000000"/>
                <w:sz w:val="22"/>
                <w:szCs w:val="22"/>
              </w:rPr>
              <w:br/>
              <w:t>pontas massageadoras</w:t>
            </w:r>
          </w:p>
          <w:p w:rsidR="00FD3142" w:rsidRDefault="00FD3142" w:rsidP="00FD3142">
            <w:pPr>
              <w:jc w:val="center"/>
              <w:rPr>
                <w:rFonts w:cs="Times New Roman"/>
              </w:rPr>
            </w:pPr>
          </w:p>
        </w:tc>
        <w:tc>
          <w:tcPr>
            <w:tcW w:w="1195" w:type="dxa"/>
            <w:tcBorders>
              <w:top w:val="single" w:sz="2" w:space="0" w:color="000000"/>
              <w:left w:val="single" w:sz="2" w:space="0" w:color="000000"/>
              <w:bottom w:val="single" w:sz="2" w:space="0" w:color="000000"/>
              <w:right w:val="single" w:sz="2" w:space="0" w:color="000000"/>
            </w:tcBorders>
            <w:shd w:val="clear" w:color="auto" w:fill="auto"/>
            <w:tcMar>
              <w:top w:w="55" w:type="dxa"/>
              <w:left w:w="55" w:type="dxa"/>
              <w:bottom w:w="55" w:type="dxa"/>
              <w:right w:w="55" w:type="dxa"/>
            </w:tcMar>
            <w:vAlign w:val="center"/>
          </w:tcPr>
          <w:p w:rsidR="00FD3142" w:rsidRDefault="00FD3142" w:rsidP="00FD3142">
            <w:pPr>
              <w:jc w:val="center"/>
              <w:rPr>
                <w:rFonts w:cs="Times New Roman"/>
                <w:sz w:val="22"/>
                <w:szCs w:val="22"/>
              </w:rPr>
            </w:pPr>
            <w:r>
              <w:rPr>
                <w:rFonts w:cs="Times New Roman"/>
                <w:sz w:val="22"/>
                <w:szCs w:val="22"/>
              </w:rPr>
              <w:t>400769</w:t>
            </w:r>
          </w:p>
          <w:p w:rsidR="00FD3142" w:rsidRDefault="00FD3142" w:rsidP="00FD3142">
            <w:pPr>
              <w:jc w:val="center"/>
              <w:rPr>
                <w:rFonts w:cs="Times New Roman"/>
              </w:rPr>
            </w:pPr>
          </w:p>
        </w:tc>
        <w:tc>
          <w:tcPr>
            <w:tcW w:w="1418" w:type="dxa"/>
            <w:tcBorders>
              <w:top w:val="single" w:sz="2" w:space="0" w:color="000000"/>
              <w:left w:val="single" w:sz="2" w:space="0" w:color="000000"/>
              <w:bottom w:val="single" w:sz="2" w:space="0" w:color="000000"/>
              <w:right w:val="single" w:sz="2" w:space="0" w:color="000000"/>
            </w:tcBorders>
            <w:shd w:val="clear" w:color="auto" w:fill="auto"/>
            <w:tcMar>
              <w:top w:w="0" w:type="dxa"/>
              <w:left w:w="10" w:type="dxa"/>
              <w:bottom w:w="0" w:type="dxa"/>
              <w:right w:w="10" w:type="dxa"/>
            </w:tcMar>
          </w:tcPr>
          <w:p w:rsidR="00FD3142" w:rsidRDefault="00FD3142" w:rsidP="00FD3142">
            <w:pPr>
              <w:spacing w:before="525" w:after="285"/>
              <w:jc w:val="center"/>
              <w:rPr>
                <w:rFonts w:cs="Times New Roman"/>
              </w:rPr>
            </w:pPr>
          </w:p>
          <w:p w:rsidR="00FD3142" w:rsidRDefault="00FD3142" w:rsidP="00FD3142">
            <w:pPr>
              <w:spacing w:before="525" w:after="285"/>
              <w:jc w:val="center"/>
              <w:rPr>
                <w:rFonts w:cs="Times New Roman"/>
              </w:rPr>
            </w:pPr>
            <w:r>
              <w:rPr>
                <w:rFonts w:cs="Times New Roman"/>
              </w:rPr>
              <w:t>R$312,00</w:t>
            </w:r>
          </w:p>
        </w:tc>
      </w:tr>
      <w:tr w:rsidR="00FD3142" w:rsidTr="00FD3142">
        <w:trPr>
          <w:trHeight w:val="119"/>
          <w:jc w:val="center"/>
        </w:trPr>
        <w:tc>
          <w:tcPr>
            <w:tcW w:w="859" w:type="dxa"/>
            <w:tcBorders>
              <w:top w:val="single" w:sz="2" w:space="0" w:color="000000"/>
              <w:left w:val="single" w:sz="2" w:space="0" w:color="000000"/>
              <w:bottom w:val="single" w:sz="2" w:space="0" w:color="000000"/>
            </w:tcBorders>
            <w:shd w:val="clear" w:color="auto" w:fill="auto"/>
            <w:tcMar>
              <w:top w:w="55" w:type="dxa"/>
              <w:left w:w="55" w:type="dxa"/>
              <w:bottom w:w="55" w:type="dxa"/>
              <w:right w:w="55" w:type="dxa"/>
            </w:tcMar>
          </w:tcPr>
          <w:p w:rsidR="00FD3142" w:rsidRDefault="00B753C7" w:rsidP="00FD3142">
            <w:pPr>
              <w:jc w:val="center"/>
              <w:rPr>
                <w:rFonts w:cs="Times New Roman"/>
              </w:rPr>
            </w:pPr>
            <w:r>
              <w:rPr>
                <w:rFonts w:cs="Times New Roman"/>
              </w:rPr>
              <w:t>8</w:t>
            </w:r>
          </w:p>
        </w:tc>
        <w:tc>
          <w:tcPr>
            <w:tcW w:w="839" w:type="dxa"/>
            <w:tcBorders>
              <w:top w:val="single" w:sz="2" w:space="0" w:color="000000"/>
              <w:left w:val="single" w:sz="2" w:space="0" w:color="000000"/>
              <w:bottom w:val="single" w:sz="2" w:space="0" w:color="000000"/>
            </w:tcBorders>
            <w:shd w:val="clear" w:color="auto" w:fill="auto"/>
            <w:tcMar>
              <w:top w:w="55" w:type="dxa"/>
              <w:left w:w="55" w:type="dxa"/>
              <w:bottom w:w="55" w:type="dxa"/>
              <w:right w:w="55" w:type="dxa"/>
            </w:tcMar>
          </w:tcPr>
          <w:p w:rsidR="00FD3142" w:rsidRDefault="00FD3142" w:rsidP="00FD3142">
            <w:pPr>
              <w:jc w:val="center"/>
              <w:rPr>
                <w:rFonts w:cs="Times New Roman"/>
              </w:rPr>
            </w:pPr>
            <w:r>
              <w:rPr>
                <w:rFonts w:cs="Times New Roman"/>
              </w:rPr>
              <w:t>10</w:t>
            </w:r>
          </w:p>
        </w:tc>
        <w:tc>
          <w:tcPr>
            <w:tcW w:w="993" w:type="dxa"/>
            <w:tcBorders>
              <w:top w:val="single" w:sz="2" w:space="0" w:color="000000"/>
              <w:left w:val="single" w:sz="2" w:space="0" w:color="000000"/>
              <w:bottom w:val="single" w:sz="2" w:space="0" w:color="000000"/>
            </w:tcBorders>
            <w:shd w:val="clear" w:color="auto" w:fill="auto"/>
            <w:tcMar>
              <w:top w:w="55" w:type="dxa"/>
              <w:left w:w="55" w:type="dxa"/>
              <w:bottom w:w="55" w:type="dxa"/>
              <w:right w:w="55" w:type="dxa"/>
            </w:tcMar>
          </w:tcPr>
          <w:p w:rsidR="00FD3142" w:rsidRDefault="00FD3142" w:rsidP="00FD3142">
            <w:pPr>
              <w:jc w:val="center"/>
              <w:rPr>
                <w:rFonts w:cs="Times New Roman"/>
              </w:rPr>
            </w:pPr>
            <w:r>
              <w:rPr>
                <w:rFonts w:cs="Times New Roman"/>
              </w:rPr>
              <w:t>Par</w:t>
            </w:r>
          </w:p>
        </w:tc>
        <w:tc>
          <w:tcPr>
            <w:tcW w:w="4616" w:type="dxa"/>
            <w:tcBorders>
              <w:top w:val="single" w:sz="2" w:space="0" w:color="000000"/>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rsidR="00FD3142" w:rsidRDefault="00FD3142" w:rsidP="00FD3142">
            <w:pPr>
              <w:jc w:val="center"/>
              <w:rPr>
                <w:rFonts w:cs="Times New Roman"/>
                <w:color w:val="000000"/>
                <w:sz w:val="22"/>
                <w:szCs w:val="22"/>
              </w:rPr>
            </w:pPr>
            <w:r>
              <w:rPr>
                <w:rFonts w:cs="Times New Roman"/>
                <w:color w:val="000000"/>
                <w:sz w:val="22"/>
                <w:szCs w:val="22"/>
              </w:rPr>
              <w:t>Caneleira 1kg - A Tornozeleira - Par - 1Kg</w:t>
            </w:r>
            <w:r>
              <w:rPr>
                <w:rFonts w:cs="Times New Roman"/>
                <w:color w:val="000000"/>
                <w:sz w:val="22"/>
                <w:szCs w:val="22"/>
              </w:rPr>
              <w:br/>
              <w:t>revestimento vinílico, sendo</w:t>
            </w:r>
            <w:r>
              <w:rPr>
                <w:rFonts w:cs="Times New Roman"/>
                <w:color w:val="000000"/>
                <w:sz w:val="22"/>
                <w:szCs w:val="22"/>
              </w:rPr>
              <w:br/>
              <w:t>preenchida de areia, fechamento</w:t>
            </w:r>
            <w:r>
              <w:rPr>
                <w:rFonts w:cs="Times New Roman"/>
                <w:color w:val="000000"/>
                <w:sz w:val="22"/>
                <w:szCs w:val="22"/>
              </w:rPr>
              <w:br/>
              <w:t>em velcro.</w:t>
            </w:r>
          </w:p>
          <w:p w:rsidR="00FD3142" w:rsidRDefault="00FD3142" w:rsidP="00FD3142">
            <w:pPr>
              <w:jc w:val="center"/>
              <w:rPr>
                <w:rFonts w:cs="Times New Roman"/>
              </w:rPr>
            </w:pPr>
          </w:p>
        </w:tc>
        <w:tc>
          <w:tcPr>
            <w:tcW w:w="1195" w:type="dxa"/>
            <w:tcBorders>
              <w:top w:val="single" w:sz="2" w:space="0" w:color="000000"/>
              <w:left w:val="single" w:sz="2" w:space="0" w:color="000000"/>
              <w:bottom w:val="single" w:sz="2" w:space="0" w:color="000000"/>
              <w:right w:val="single" w:sz="2" w:space="0" w:color="000000"/>
            </w:tcBorders>
            <w:shd w:val="clear" w:color="auto" w:fill="auto"/>
            <w:tcMar>
              <w:top w:w="55" w:type="dxa"/>
              <w:left w:w="55" w:type="dxa"/>
              <w:bottom w:w="55" w:type="dxa"/>
              <w:right w:w="55" w:type="dxa"/>
            </w:tcMar>
            <w:vAlign w:val="center"/>
          </w:tcPr>
          <w:p w:rsidR="00FD3142" w:rsidRDefault="00FD3142" w:rsidP="00FD3142">
            <w:pPr>
              <w:jc w:val="center"/>
              <w:rPr>
                <w:rFonts w:cs="Times New Roman"/>
                <w:sz w:val="22"/>
                <w:szCs w:val="22"/>
              </w:rPr>
            </w:pPr>
            <w:r>
              <w:rPr>
                <w:rFonts w:cs="Times New Roman"/>
                <w:sz w:val="22"/>
                <w:szCs w:val="22"/>
              </w:rPr>
              <w:t>339794</w:t>
            </w:r>
          </w:p>
          <w:p w:rsidR="00FD3142" w:rsidRDefault="00FD3142" w:rsidP="00FD3142">
            <w:pPr>
              <w:jc w:val="center"/>
              <w:rPr>
                <w:rFonts w:cs="Times New Roman"/>
              </w:rPr>
            </w:pPr>
          </w:p>
        </w:tc>
        <w:tc>
          <w:tcPr>
            <w:tcW w:w="1418" w:type="dxa"/>
            <w:tcBorders>
              <w:top w:val="single" w:sz="2" w:space="0" w:color="000000"/>
              <w:left w:val="single" w:sz="2" w:space="0" w:color="000000"/>
              <w:bottom w:val="single" w:sz="2" w:space="0" w:color="000000"/>
              <w:right w:val="single" w:sz="2" w:space="0" w:color="000000"/>
            </w:tcBorders>
            <w:shd w:val="clear" w:color="auto" w:fill="auto"/>
            <w:tcMar>
              <w:top w:w="0" w:type="dxa"/>
              <w:left w:w="10" w:type="dxa"/>
              <w:bottom w:w="0" w:type="dxa"/>
              <w:right w:w="10" w:type="dxa"/>
            </w:tcMar>
          </w:tcPr>
          <w:p w:rsidR="00FD3142" w:rsidRDefault="00FD3142" w:rsidP="00FD3142">
            <w:pPr>
              <w:spacing w:before="525" w:after="285"/>
              <w:jc w:val="center"/>
              <w:rPr>
                <w:rFonts w:cs="Times New Roman"/>
              </w:rPr>
            </w:pPr>
            <w:r>
              <w:rPr>
                <w:rFonts w:cs="Times New Roman"/>
              </w:rPr>
              <w:t>R$239,00</w:t>
            </w:r>
          </w:p>
        </w:tc>
      </w:tr>
      <w:tr w:rsidR="00FD3142" w:rsidTr="00FD3142">
        <w:trPr>
          <w:trHeight w:val="119"/>
          <w:jc w:val="center"/>
        </w:trPr>
        <w:tc>
          <w:tcPr>
            <w:tcW w:w="859" w:type="dxa"/>
            <w:tcBorders>
              <w:top w:val="single" w:sz="2" w:space="0" w:color="000000"/>
              <w:left w:val="single" w:sz="2" w:space="0" w:color="000000"/>
              <w:bottom w:val="single" w:sz="2" w:space="0" w:color="000000"/>
            </w:tcBorders>
            <w:shd w:val="clear" w:color="auto" w:fill="auto"/>
            <w:tcMar>
              <w:top w:w="55" w:type="dxa"/>
              <w:left w:w="55" w:type="dxa"/>
              <w:bottom w:w="55" w:type="dxa"/>
              <w:right w:w="55" w:type="dxa"/>
            </w:tcMar>
          </w:tcPr>
          <w:p w:rsidR="00FD3142" w:rsidRDefault="00B753C7" w:rsidP="00FD3142">
            <w:pPr>
              <w:jc w:val="center"/>
              <w:rPr>
                <w:rFonts w:cs="Times New Roman"/>
              </w:rPr>
            </w:pPr>
            <w:r>
              <w:rPr>
                <w:rFonts w:cs="Times New Roman"/>
              </w:rPr>
              <w:t>9</w:t>
            </w:r>
          </w:p>
        </w:tc>
        <w:tc>
          <w:tcPr>
            <w:tcW w:w="839" w:type="dxa"/>
            <w:tcBorders>
              <w:top w:val="single" w:sz="2" w:space="0" w:color="000000"/>
              <w:left w:val="single" w:sz="2" w:space="0" w:color="000000"/>
              <w:bottom w:val="single" w:sz="2" w:space="0" w:color="000000"/>
            </w:tcBorders>
            <w:shd w:val="clear" w:color="auto" w:fill="auto"/>
            <w:tcMar>
              <w:top w:w="55" w:type="dxa"/>
              <w:left w:w="55" w:type="dxa"/>
              <w:bottom w:w="55" w:type="dxa"/>
              <w:right w:w="55" w:type="dxa"/>
            </w:tcMar>
          </w:tcPr>
          <w:p w:rsidR="00FD3142" w:rsidRDefault="003931C5" w:rsidP="00FD3142">
            <w:pPr>
              <w:jc w:val="center"/>
              <w:rPr>
                <w:rFonts w:cs="Times New Roman"/>
              </w:rPr>
            </w:pPr>
            <w:r>
              <w:rPr>
                <w:rFonts w:cs="Times New Roman"/>
              </w:rPr>
              <w:t>03</w:t>
            </w:r>
          </w:p>
        </w:tc>
        <w:tc>
          <w:tcPr>
            <w:tcW w:w="993" w:type="dxa"/>
            <w:tcBorders>
              <w:top w:val="single" w:sz="2" w:space="0" w:color="000000"/>
              <w:left w:val="single" w:sz="2" w:space="0" w:color="000000"/>
              <w:bottom w:val="single" w:sz="2" w:space="0" w:color="000000"/>
            </w:tcBorders>
            <w:shd w:val="clear" w:color="auto" w:fill="auto"/>
            <w:tcMar>
              <w:top w:w="55" w:type="dxa"/>
              <w:left w:w="55" w:type="dxa"/>
              <w:bottom w:w="55" w:type="dxa"/>
              <w:right w:w="55" w:type="dxa"/>
            </w:tcMar>
          </w:tcPr>
          <w:p w:rsidR="00FD3142" w:rsidRDefault="00FD3142" w:rsidP="00FD3142">
            <w:pPr>
              <w:jc w:val="center"/>
              <w:rPr>
                <w:rFonts w:cs="Times New Roman"/>
              </w:rPr>
            </w:pPr>
            <w:r>
              <w:rPr>
                <w:rFonts w:cs="Times New Roman"/>
              </w:rPr>
              <w:t>Par</w:t>
            </w:r>
          </w:p>
        </w:tc>
        <w:tc>
          <w:tcPr>
            <w:tcW w:w="4616" w:type="dxa"/>
            <w:tcBorders>
              <w:top w:val="single" w:sz="2" w:space="0" w:color="000000"/>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rsidR="003931C5" w:rsidRDefault="003931C5" w:rsidP="003931C5">
            <w:pPr>
              <w:jc w:val="center"/>
              <w:rPr>
                <w:rFonts w:cs="Times New Roman"/>
                <w:color w:val="000000"/>
                <w:sz w:val="22"/>
                <w:szCs w:val="22"/>
              </w:rPr>
            </w:pPr>
            <w:r>
              <w:rPr>
                <w:rFonts w:cs="Times New Roman"/>
                <w:color w:val="000000"/>
                <w:sz w:val="22"/>
                <w:szCs w:val="22"/>
              </w:rPr>
              <w:t xml:space="preserve">Caneleira hidroterapia 2kg – </w:t>
            </w:r>
          </w:p>
          <w:p w:rsidR="003931C5" w:rsidRDefault="003931C5" w:rsidP="003931C5">
            <w:pPr>
              <w:jc w:val="center"/>
              <w:rPr>
                <w:rFonts w:cs="Times New Roman"/>
                <w:color w:val="000000"/>
                <w:sz w:val="22"/>
                <w:szCs w:val="22"/>
              </w:rPr>
            </w:pPr>
            <w:r>
              <w:rPr>
                <w:rFonts w:cs="Times New Roman"/>
                <w:color w:val="000000"/>
                <w:sz w:val="22"/>
                <w:szCs w:val="22"/>
              </w:rPr>
              <w:t>Espuma de acetato vinilo de</w:t>
            </w:r>
            <w:r>
              <w:rPr>
                <w:rFonts w:cs="Times New Roman"/>
                <w:color w:val="000000"/>
                <w:sz w:val="22"/>
                <w:szCs w:val="22"/>
              </w:rPr>
              <w:br/>
              <w:t>etileno; material EVA, 2kg</w:t>
            </w:r>
          </w:p>
          <w:p w:rsidR="00FD3142" w:rsidRDefault="00FD3142" w:rsidP="00FD3142">
            <w:pPr>
              <w:jc w:val="center"/>
              <w:rPr>
                <w:rFonts w:cs="Times New Roman"/>
              </w:rPr>
            </w:pPr>
          </w:p>
        </w:tc>
        <w:tc>
          <w:tcPr>
            <w:tcW w:w="1195" w:type="dxa"/>
            <w:tcBorders>
              <w:top w:val="single" w:sz="2" w:space="0" w:color="000000"/>
              <w:left w:val="single" w:sz="2" w:space="0" w:color="000000"/>
              <w:bottom w:val="single" w:sz="2" w:space="0" w:color="000000"/>
              <w:right w:val="single" w:sz="2" w:space="0" w:color="000000"/>
            </w:tcBorders>
            <w:shd w:val="clear" w:color="auto" w:fill="auto"/>
            <w:tcMar>
              <w:top w:w="55" w:type="dxa"/>
              <w:left w:w="55" w:type="dxa"/>
              <w:bottom w:w="55" w:type="dxa"/>
              <w:right w:w="55" w:type="dxa"/>
            </w:tcMar>
            <w:vAlign w:val="center"/>
          </w:tcPr>
          <w:p w:rsidR="00FD3142" w:rsidRDefault="003931C5" w:rsidP="00FD3142">
            <w:pPr>
              <w:jc w:val="center"/>
              <w:rPr>
                <w:rFonts w:cs="Times New Roman"/>
                <w:sz w:val="22"/>
                <w:szCs w:val="22"/>
              </w:rPr>
            </w:pPr>
            <w:r>
              <w:rPr>
                <w:rFonts w:cs="Times New Roman"/>
                <w:sz w:val="22"/>
                <w:szCs w:val="22"/>
              </w:rPr>
              <w:t>467698</w:t>
            </w:r>
          </w:p>
          <w:p w:rsidR="00FD3142" w:rsidRDefault="00FD3142" w:rsidP="00FD3142">
            <w:pPr>
              <w:jc w:val="center"/>
              <w:rPr>
                <w:rFonts w:cs="Times New Roman"/>
              </w:rPr>
            </w:pPr>
          </w:p>
        </w:tc>
        <w:tc>
          <w:tcPr>
            <w:tcW w:w="1418" w:type="dxa"/>
            <w:tcBorders>
              <w:top w:val="single" w:sz="2" w:space="0" w:color="000000"/>
              <w:left w:val="single" w:sz="2" w:space="0" w:color="000000"/>
              <w:bottom w:val="single" w:sz="2" w:space="0" w:color="000000"/>
              <w:right w:val="single" w:sz="2" w:space="0" w:color="000000"/>
            </w:tcBorders>
            <w:shd w:val="clear" w:color="auto" w:fill="auto"/>
            <w:tcMar>
              <w:top w:w="0" w:type="dxa"/>
              <w:left w:w="10" w:type="dxa"/>
              <w:bottom w:w="0" w:type="dxa"/>
              <w:right w:w="10" w:type="dxa"/>
            </w:tcMar>
          </w:tcPr>
          <w:p w:rsidR="00FD3142" w:rsidRDefault="00FD3142" w:rsidP="003931C5">
            <w:pPr>
              <w:spacing w:before="525" w:after="285"/>
              <w:jc w:val="center"/>
              <w:rPr>
                <w:rFonts w:cs="Times New Roman"/>
              </w:rPr>
            </w:pPr>
            <w:r>
              <w:rPr>
                <w:rFonts w:cs="Times New Roman"/>
              </w:rPr>
              <w:t>R$</w:t>
            </w:r>
            <w:r w:rsidR="003931C5">
              <w:rPr>
                <w:rFonts w:cs="Times New Roman"/>
              </w:rPr>
              <w:t>233,85</w:t>
            </w:r>
          </w:p>
        </w:tc>
      </w:tr>
      <w:tr w:rsidR="00FD3142" w:rsidTr="00FD3142">
        <w:trPr>
          <w:trHeight w:val="119"/>
          <w:jc w:val="center"/>
        </w:trPr>
        <w:tc>
          <w:tcPr>
            <w:tcW w:w="859" w:type="dxa"/>
            <w:tcBorders>
              <w:top w:val="single" w:sz="2" w:space="0" w:color="000000"/>
              <w:left w:val="single" w:sz="2" w:space="0" w:color="000000"/>
              <w:bottom w:val="single" w:sz="2" w:space="0" w:color="000000"/>
            </w:tcBorders>
            <w:shd w:val="clear" w:color="auto" w:fill="auto"/>
            <w:tcMar>
              <w:top w:w="55" w:type="dxa"/>
              <w:left w:w="55" w:type="dxa"/>
              <w:bottom w:w="55" w:type="dxa"/>
              <w:right w:w="55" w:type="dxa"/>
            </w:tcMar>
          </w:tcPr>
          <w:p w:rsidR="00FD3142" w:rsidRDefault="00B753C7" w:rsidP="00FD3142">
            <w:pPr>
              <w:jc w:val="center"/>
              <w:rPr>
                <w:rFonts w:cs="Times New Roman"/>
              </w:rPr>
            </w:pPr>
            <w:r>
              <w:rPr>
                <w:rFonts w:cs="Times New Roman"/>
              </w:rPr>
              <w:t>10</w:t>
            </w:r>
          </w:p>
        </w:tc>
        <w:tc>
          <w:tcPr>
            <w:tcW w:w="839" w:type="dxa"/>
            <w:tcBorders>
              <w:top w:val="single" w:sz="2" w:space="0" w:color="000000"/>
              <w:left w:val="single" w:sz="2" w:space="0" w:color="000000"/>
              <w:bottom w:val="single" w:sz="2" w:space="0" w:color="000000"/>
            </w:tcBorders>
            <w:shd w:val="clear" w:color="auto" w:fill="auto"/>
            <w:tcMar>
              <w:top w:w="55" w:type="dxa"/>
              <w:left w:w="55" w:type="dxa"/>
              <w:bottom w:w="55" w:type="dxa"/>
              <w:right w:w="55" w:type="dxa"/>
            </w:tcMar>
          </w:tcPr>
          <w:p w:rsidR="00FD3142" w:rsidRDefault="00FD3142" w:rsidP="00FD3142">
            <w:pPr>
              <w:jc w:val="center"/>
              <w:rPr>
                <w:rFonts w:cs="Times New Roman"/>
              </w:rPr>
            </w:pPr>
            <w:r>
              <w:rPr>
                <w:rFonts w:cs="Times New Roman"/>
              </w:rPr>
              <w:t>10</w:t>
            </w:r>
          </w:p>
        </w:tc>
        <w:tc>
          <w:tcPr>
            <w:tcW w:w="993" w:type="dxa"/>
            <w:tcBorders>
              <w:top w:val="single" w:sz="2" w:space="0" w:color="000000"/>
              <w:left w:val="single" w:sz="2" w:space="0" w:color="000000"/>
              <w:bottom w:val="single" w:sz="2" w:space="0" w:color="000000"/>
            </w:tcBorders>
            <w:shd w:val="clear" w:color="auto" w:fill="auto"/>
            <w:tcMar>
              <w:top w:w="55" w:type="dxa"/>
              <w:left w:w="55" w:type="dxa"/>
              <w:bottom w:w="55" w:type="dxa"/>
              <w:right w:w="55" w:type="dxa"/>
            </w:tcMar>
          </w:tcPr>
          <w:p w:rsidR="00FD3142" w:rsidRDefault="00FD3142" w:rsidP="00FD3142">
            <w:pPr>
              <w:jc w:val="center"/>
              <w:rPr>
                <w:rFonts w:cs="Times New Roman"/>
              </w:rPr>
            </w:pPr>
            <w:r>
              <w:rPr>
                <w:rFonts w:cs="Times New Roman"/>
              </w:rPr>
              <w:t>Par</w:t>
            </w:r>
          </w:p>
        </w:tc>
        <w:tc>
          <w:tcPr>
            <w:tcW w:w="4616" w:type="dxa"/>
            <w:tcBorders>
              <w:top w:val="single" w:sz="2" w:space="0" w:color="000000"/>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rsidR="00FD3142" w:rsidRDefault="00FD3142" w:rsidP="00FD3142">
            <w:pPr>
              <w:jc w:val="center"/>
              <w:rPr>
                <w:rFonts w:cs="Times New Roman"/>
                <w:color w:val="000000"/>
                <w:sz w:val="22"/>
                <w:szCs w:val="22"/>
              </w:rPr>
            </w:pPr>
            <w:r>
              <w:rPr>
                <w:rFonts w:cs="Times New Roman"/>
                <w:color w:val="000000"/>
                <w:sz w:val="22"/>
                <w:szCs w:val="22"/>
              </w:rPr>
              <w:t>Caneleira 3kg - A Tornozeleira - Par - 3Kg</w:t>
            </w:r>
            <w:r>
              <w:rPr>
                <w:rFonts w:cs="Times New Roman"/>
                <w:color w:val="000000"/>
                <w:sz w:val="22"/>
                <w:szCs w:val="22"/>
              </w:rPr>
              <w:br/>
              <w:t>revestimento vinílico, sendo</w:t>
            </w:r>
            <w:r>
              <w:rPr>
                <w:rFonts w:cs="Times New Roman"/>
                <w:color w:val="000000"/>
                <w:sz w:val="22"/>
                <w:szCs w:val="22"/>
              </w:rPr>
              <w:br/>
              <w:t>preenchida de areia, fechamento</w:t>
            </w:r>
            <w:r>
              <w:rPr>
                <w:rFonts w:cs="Times New Roman"/>
                <w:color w:val="000000"/>
                <w:sz w:val="22"/>
                <w:szCs w:val="22"/>
              </w:rPr>
              <w:br/>
              <w:t>em velcro</w:t>
            </w:r>
          </w:p>
          <w:p w:rsidR="00FD3142" w:rsidRDefault="00FD3142" w:rsidP="00FD3142">
            <w:pPr>
              <w:jc w:val="center"/>
              <w:rPr>
                <w:rFonts w:cs="Times New Roman"/>
              </w:rPr>
            </w:pPr>
          </w:p>
        </w:tc>
        <w:tc>
          <w:tcPr>
            <w:tcW w:w="1195" w:type="dxa"/>
            <w:tcBorders>
              <w:top w:val="single" w:sz="2" w:space="0" w:color="000000"/>
              <w:left w:val="single" w:sz="2" w:space="0" w:color="000000"/>
              <w:bottom w:val="single" w:sz="2" w:space="0" w:color="000000"/>
              <w:right w:val="single" w:sz="2" w:space="0" w:color="000000"/>
            </w:tcBorders>
            <w:shd w:val="clear" w:color="auto" w:fill="auto"/>
            <w:tcMar>
              <w:top w:w="55" w:type="dxa"/>
              <w:left w:w="55" w:type="dxa"/>
              <w:bottom w:w="55" w:type="dxa"/>
              <w:right w:w="55" w:type="dxa"/>
            </w:tcMar>
            <w:vAlign w:val="center"/>
          </w:tcPr>
          <w:p w:rsidR="00FD3142" w:rsidRDefault="00FD3142" w:rsidP="00FD3142">
            <w:pPr>
              <w:jc w:val="center"/>
              <w:rPr>
                <w:rFonts w:cs="Times New Roman"/>
                <w:sz w:val="22"/>
                <w:szCs w:val="22"/>
              </w:rPr>
            </w:pPr>
            <w:r>
              <w:rPr>
                <w:rFonts w:cs="Times New Roman"/>
                <w:sz w:val="22"/>
                <w:szCs w:val="22"/>
              </w:rPr>
              <w:t>339798</w:t>
            </w:r>
          </w:p>
          <w:p w:rsidR="00FD3142" w:rsidRDefault="00FD3142" w:rsidP="00FD3142">
            <w:pPr>
              <w:jc w:val="center"/>
              <w:rPr>
                <w:rFonts w:cs="Times New Roman"/>
              </w:rPr>
            </w:pPr>
          </w:p>
        </w:tc>
        <w:tc>
          <w:tcPr>
            <w:tcW w:w="1418" w:type="dxa"/>
            <w:tcBorders>
              <w:top w:val="single" w:sz="2" w:space="0" w:color="000000"/>
              <w:left w:val="single" w:sz="2" w:space="0" w:color="000000"/>
              <w:bottom w:val="single" w:sz="2" w:space="0" w:color="000000"/>
              <w:right w:val="single" w:sz="2" w:space="0" w:color="000000"/>
            </w:tcBorders>
            <w:shd w:val="clear" w:color="auto" w:fill="auto"/>
            <w:tcMar>
              <w:top w:w="0" w:type="dxa"/>
              <w:left w:w="10" w:type="dxa"/>
              <w:bottom w:w="0" w:type="dxa"/>
              <w:right w:w="10" w:type="dxa"/>
            </w:tcMar>
          </w:tcPr>
          <w:p w:rsidR="00FD3142" w:rsidRDefault="00FD3142" w:rsidP="00FD3142">
            <w:pPr>
              <w:spacing w:before="525" w:after="285"/>
              <w:jc w:val="center"/>
              <w:rPr>
                <w:rFonts w:cs="Times New Roman"/>
              </w:rPr>
            </w:pPr>
            <w:r>
              <w:rPr>
                <w:rFonts w:cs="Times New Roman"/>
              </w:rPr>
              <w:t>R$426,90</w:t>
            </w:r>
          </w:p>
        </w:tc>
      </w:tr>
      <w:tr w:rsidR="00FD3142" w:rsidTr="00FD3142">
        <w:trPr>
          <w:trHeight w:val="119"/>
          <w:jc w:val="center"/>
        </w:trPr>
        <w:tc>
          <w:tcPr>
            <w:tcW w:w="859" w:type="dxa"/>
            <w:tcBorders>
              <w:top w:val="single" w:sz="2" w:space="0" w:color="000000"/>
              <w:left w:val="single" w:sz="2" w:space="0" w:color="000000"/>
              <w:bottom w:val="single" w:sz="2" w:space="0" w:color="000000"/>
            </w:tcBorders>
            <w:shd w:val="clear" w:color="auto" w:fill="auto"/>
            <w:tcMar>
              <w:top w:w="55" w:type="dxa"/>
              <w:left w:w="55" w:type="dxa"/>
              <w:bottom w:w="55" w:type="dxa"/>
              <w:right w:w="55" w:type="dxa"/>
            </w:tcMar>
          </w:tcPr>
          <w:p w:rsidR="00FD3142" w:rsidRDefault="00B753C7" w:rsidP="00FD3142">
            <w:pPr>
              <w:jc w:val="center"/>
              <w:rPr>
                <w:rFonts w:cs="Times New Roman"/>
              </w:rPr>
            </w:pPr>
            <w:r>
              <w:rPr>
                <w:rFonts w:cs="Times New Roman"/>
              </w:rPr>
              <w:t>11</w:t>
            </w:r>
          </w:p>
        </w:tc>
        <w:tc>
          <w:tcPr>
            <w:tcW w:w="839" w:type="dxa"/>
            <w:tcBorders>
              <w:top w:val="single" w:sz="2" w:space="0" w:color="000000"/>
              <w:left w:val="single" w:sz="2" w:space="0" w:color="000000"/>
              <w:bottom w:val="single" w:sz="2" w:space="0" w:color="000000"/>
            </w:tcBorders>
            <w:shd w:val="clear" w:color="auto" w:fill="auto"/>
            <w:tcMar>
              <w:top w:w="55" w:type="dxa"/>
              <w:left w:w="55" w:type="dxa"/>
              <w:bottom w:w="55" w:type="dxa"/>
              <w:right w:w="55" w:type="dxa"/>
            </w:tcMar>
          </w:tcPr>
          <w:p w:rsidR="00FD3142" w:rsidRDefault="00FD3142" w:rsidP="00FD3142">
            <w:pPr>
              <w:jc w:val="center"/>
              <w:rPr>
                <w:rFonts w:cs="Times New Roman"/>
              </w:rPr>
            </w:pPr>
            <w:r>
              <w:rPr>
                <w:rFonts w:cs="Times New Roman"/>
              </w:rPr>
              <w:t>10</w:t>
            </w:r>
          </w:p>
        </w:tc>
        <w:tc>
          <w:tcPr>
            <w:tcW w:w="993" w:type="dxa"/>
            <w:tcBorders>
              <w:top w:val="single" w:sz="2" w:space="0" w:color="000000"/>
              <w:left w:val="single" w:sz="2" w:space="0" w:color="000000"/>
              <w:bottom w:val="single" w:sz="2" w:space="0" w:color="000000"/>
            </w:tcBorders>
            <w:shd w:val="clear" w:color="auto" w:fill="auto"/>
            <w:tcMar>
              <w:top w:w="55" w:type="dxa"/>
              <w:left w:w="55" w:type="dxa"/>
              <w:bottom w:w="55" w:type="dxa"/>
              <w:right w:w="55" w:type="dxa"/>
            </w:tcMar>
          </w:tcPr>
          <w:p w:rsidR="00FD3142" w:rsidRDefault="00FD3142" w:rsidP="00FD3142">
            <w:pPr>
              <w:jc w:val="center"/>
              <w:rPr>
                <w:rFonts w:cs="Times New Roman"/>
              </w:rPr>
            </w:pPr>
            <w:r>
              <w:rPr>
                <w:rFonts w:cs="Times New Roman"/>
              </w:rPr>
              <w:t>Unidade</w:t>
            </w:r>
          </w:p>
        </w:tc>
        <w:tc>
          <w:tcPr>
            <w:tcW w:w="4616" w:type="dxa"/>
            <w:tcBorders>
              <w:top w:val="single" w:sz="2" w:space="0" w:color="000000"/>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rsidR="00FD3142" w:rsidRDefault="00FD3142" w:rsidP="00FD3142">
            <w:pPr>
              <w:jc w:val="center"/>
              <w:rPr>
                <w:rFonts w:cs="Times New Roman"/>
                <w:color w:val="000000"/>
                <w:sz w:val="22"/>
                <w:szCs w:val="22"/>
              </w:rPr>
            </w:pPr>
            <w:r>
              <w:rPr>
                <w:rFonts w:cs="Times New Roman"/>
                <w:color w:val="000000"/>
                <w:sz w:val="22"/>
                <w:szCs w:val="22"/>
              </w:rPr>
              <w:t>Macarrão de piscina hidro tubo - Fabricado em polietileno, com formato de tubo, facilita a</w:t>
            </w:r>
            <w:r>
              <w:rPr>
                <w:rFonts w:cs="Times New Roman"/>
                <w:color w:val="000000"/>
                <w:sz w:val="22"/>
                <w:szCs w:val="22"/>
              </w:rPr>
              <w:br/>
              <w:t>flutuação do usuário e permite</w:t>
            </w:r>
            <w:r>
              <w:rPr>
                <w:rFonts w:cs="Times New Roman"/>
                <w:color w:val="000000"/>
                <w:sz w:val="22"/>
                <w:szCs w:val="22"/>
              </w:rPr>
              <w:br/>
              <w:t>diversas aplicabilidades nas</w:t>
            </w:r>
            <w:r>
              <w:rPr>
                <w:rFonts w:cs="Times New Roman"/>
                <w:color w:val="000000"/>
                <w:sz w:val="22"/>
                <w:szCs w:val="22"/>
              </w:rPr>
              <w:br/>
              <w:t>realizações e criações de diversos</w:t>
            </w:r>
            <w:r>
              <w:rPr>
                <w:rFonts w:cs="Times New Roman"/>
                <w:color w:val="000000"/>
                <w:sz w:val="22"/>
                <w:szCs w:val="22"/>
              </w:rPr>
              <w:br/>
              <w:t>exercícios aquáticos</w:t>
            </w:r>
          </w:p>
          <w:p w:rsidR="00FD3142" w:rsidRDefault="00FD3142" w:rsidP="00FD3142">
            <w:pPr>
              <w:jc w:val="center"/>
              <w:rPr>
                <w:rFonts w:cs="Times New Roman"/>
              </w:rPr>
            </w:pPr>
          </w:p>
        </w:tc>
        <w:tc>
          <w:tcPr>
            <w:tcW w:w="1195" w:type="dxa"/>
            <w:tcBorders>
              <w:top w:val="single" w:sz="2" w:space="0" w:color="000000"/>
              <w:left w:val="single" w:sz="2" w:space="0" w:color="000000"/>
              <w:bottom w:val="single" w:sz="2" w:space="0" w:color="000000"/>
              <w:right w:val="single" w:sz="2" w:space="0" w:color="000000"/>
            </w:tcBorders>
            <w:shd w:val="clear" w:color="auto" w:fill="auto"/>
            <w:tcMar>
              <w:top w:w="55" w:type="dxa"/>
              <w:left w:w="55" w:type="dxa"/>
              <w:bottom w:w="55" w:type="dxa"/>
              <w:right w:w="55" w:type="dxa"/>
            </w:tcMar>
            <w:vAlign w:val="center"/>
          </w:tcPr>
          <w:p w:rsidR="00FD3142" w:rsidRDefault="00FD3142" w:rsidP="00FD3142">
            <w:pPr>
              <w:jc w:val="center"/>
              <w:rPr>
                <w:rFonts w:cs="Times New Roman"/>
                <w:sz w:val="22"/>
                <w:szCs w:val="22"/>
              </w:rPr>
            </w:pPr>
            <w:r>
              <w:rPr>
                <w:rFonts w:cs="Times New Roman"/>
                <w:sz w:val="22"/>
                <w:szCs w:val="22"/>
              </w:rPr>
              <w:t>232116</w:t>
            </w:r>
          </w:p>
          <w:p w:rsidR="00FD3142" w:rsidRDefault="00FD3142" w:rsidP="00FD3142">
            <w:pPr>
              <w:jc w:val="center"/>
              <w:rPr>
                <w:rFonts w:cs="Times New Roman"/>
              </w:rPr>
            </w:pPr>
          </w:p>
        </w:tc>
        <w:tc>
          <w:tcPr>
            <w:tcW w:w="1418" w:type="dxa"/>
            <w:tcBorders>
              <w:top w:val="single" w:sz="2" w:space="0" w:color="000000"/>
              <w:left w:val="single" w:sz="2" w:space="0" w:color="000000"/>
              <w:bottom w:val="single" w:sz="2" w:space="0" w:color="000000"/>
              <w:right w:val="single" w:sz="2" w:space="0" w:color="000000"/>
            </w:tcBorders>
            <w:shd w:val="clear" w:color="auto" w:fill="auto"/>
            <w:tcMar>
              <w:top w:w="0" w:type="dxa"/>
              <w:left w:w="10" w:type="dxa"/>
              <w:bottom w:w="0" w:type="dxa"/>
              <w:right w:w="10" w:type="dxa"/>
            </w:tcMar>
          </w:tcPr>
          <w:p w:rsidR="00FD3142" w:rsidRDefault="00FD3142" w:rsidP="00FD3142">
            <w:pPr>
              <w:spacing w:before="525" w:after="285"/>
              <w:jc w:val="center"/>
              <w:rPr>
                <w:rFonts w:cs="Times New Roman"/>
              </w:rPr>
            </w:pPr>
            <w:r>
              <w:rPr>
                <w:rFonts w:cs="Times New Roman"/>
              </w:rPr>
              <w:t>R$109,90</w:t>
            </w:r>
          </w:p>
        </w:tc>
      </w:tr>
      <w:tr w:rsidR="00FD3142" w:rsidTr="00FD3142">
        <w:trPr>
          <w:trHeight w:val="119"/>
          <w:jc w:val="center"/>
        </w:trPr>
        <w:tc>
          <w:tcPr>
            <w:tcW w:w="859" w:type="dxa"/>
            <w:tcBorders>
              <w:top w:val="single" w:sz="2" w:space="0" w:color="000000"/>
              <w:left w:val="single" w:sz="2" w:space="0" w:color="000000"/>
              <w:bottom w:val="single" w:sz="2" w:space="0" w:color="000000"/>
            </w:tcBorders>
            <w:shd w:val="clear" w:color="auto" w:fill="auto"/>
            <w:tcMar>
              <w:top w:w="55" w:type="dxa"/>
              <w:left w:w="55" w:type="dxa"/>
              <w:bottom w:w="55" w:type="dxa"/>
              <w:right w:w="55" w:type="dxa"/>
            </w:tcMar>
          </w:tcPr>
          <w:p w:rsidR="00FD3142" w:rsidRDefault="00B753C7" w:rsidP="00FD3142">
            <w:pPr>
              <w:jc w:val="center"/>
              <w:rPr>
                <w:rFonts w:cs="Times New Roman"/>
                <w:sz w:val="22"/>
                <w:szCs w:val="22"/>
              </w:rPr>
            </w:pPr>
            <w:r>
              <w:rPr>
                <w:rFonts w:cs="Times New Roman"/>
                <w:sz w:val="22"/>
                <w:szCs w:val="22"/>
              </w:rPr>
              <w:t>12</w:t>
            </w:r>
          </w:p>
        </w:tc>
        <w:tc>
          <w:tcPr>
            <w:tcW w:w="839" w:type="dxa"/>
            <w:tcBorders>
              <w:top w:val="single" w:sz="2" w:space="0" w:color="000000"/>
              <w:left w:val="single" w:sz="2" w:space="0" w:color="000000"/>
              <w:bottom w:val="single" w:sz="2" w:space="0" w:color="000000"/>
            </w:tcBorders>
            <w:shd w:val="clear" w:color="auto" w:fill="auto"/>
            <w:tcMar>
              <w:top w:w="55" w:type="dxa"/>
              <w:left w:w="55" w:type="dxa"/>
              <w:bottom w:w="55" w:type="dxa"/>
              <w:right w:w="55" w:type="dxa"/>
            </w:tcMar>
          </w:tcPr>
          <w:p w:rsidR="00FD3142" w:rsidRDefault="00FD3142" w:rsidP="00FD3142">
            <w:pPr>
              <w:jc w:val="center"/>
              <w:rPr>
                <w:rFonts w:cs="Times New Roman"/>
                <w:sz w:val="22"/>
                <w:szCs w:val="22"/>
              </w:rPr>
            </w:pPr>
            <w:r>
              <w:rPr>
                <w:rFonts w:cs="Times New Roman"/>
                <w:sz w:val="22"/>
                <w:szCs w:val="22"/>
              </w:rPr>
              <w:t>3</w:t>
            </w:r>
          </w:p>
        </w:tc>
        <w:tc>
          <w:tcPr>
            <w:tcW w:w="993" w:type="dxa"/>
            <w:tcBorders>
              <w:top w:val="single" w:sz="2" w:space="0" w:color="000000"/>
              <w:left w:val="single" w:sz="2" w:space="0" w:color="000000"/>
              <w:bottom w:val="single" w:sz="2" w:space="0" w:color="000000"/>
            </w:tcBorders>
            <w:shd w:val="clear" w:color="auto" w:fill="auto"/>
            <w:tcMar>
              <w:top w:w="55" w:type="dxa"/>
              <w:left w:w="55" w:type="dxa"/>
              <w:bottom w:w="55" w:type="dxa"/>
              <w:right w:w="55" w:type="dxa"/>
            </w:tcMar>
          </w:tcPr>
          <w:p w:rsidR="00FD3142" w:rsidRDefault="00FD3142" w:rsidP="00FD3142">
            <w:pPr>
              <w:jc w:val="center"/>
              <w:rPr>
                <w:rFonts w:cs="Times New Roman"/>
                <w:sz w:val="22"/>
                <w:szCs w:val="22"/>
              </w:rPr>
            </w:pPr>
            <w:r>
              <w:rPr>
                <w:rFonts w:cs="Times New Roman"/>
                <w:sz w:val="22"/>
                <w:szCs w:val="22"/>
              </w:rPr>
              <w:t>Unidade</w:t>
            </w:r>
          </w:p>
        </w:tc>
        <w:tc>
          <w:tcPr>
            <w:tcW w:w="4616" w:type="dxa"/>
            <w:tcBorders>
              <w:top w:val="single" w:sz="2" w:space="0" w:color="000000"/>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rsidR="00FD3142" w:rsidRDefault="00FD3142" w:rsidP="00FD3142">
            <w:pPr>
              <w:jc w:val="center"/>
              <w:rPr>
                <w:rFonts w:cs="Times New Roman"/>
                <w:color w:val="000000"/>
                <w:sz w:val="22"/>
                <w:szCs w:val="22"/>
              </w:rPr>
            </w:pPr>
            <w:r>
              <w:rPr>
                <w:rFonts w:cs="Times New Roman"/>
                <w:color w:val="000000"/>
                <w:sz w:val="22"/>
                <w:szCs w:val="22"/>
              </w:rPr>
              <w:t>Kettlebell 4kg emborrachado –</w:t>
            </w:r>
          </w:p>
          <w:p w:rsidR="00FD3142" w:rsidRDefault="00FD3142" w:rsidP="00FD3142">
            <w:pPr>
              <w:jc w:val="center"/>
              <w:rPr>
                <w:rFonts w:cs="Times New Roman"/>
                <w:color w:val="000000"/>
                <w:sz w:val="22"/>
                <w:szCs w:val="22"/>
              </w:rPr>
            </w:pPr>
            <w:r>
              <w:rPr>
                <w:rFonts w:cs="Times New Roman"/>
                <w:color w:val="000000"/>
                <w:sz w:val="22"/>
                <w:szCs w:val="22"/>
              </w:rPr>
              <w:t>Material: ferro e PVC peso: 4kg</w:t>
            </w:r>
          </w:p>
          <w:p w:rsidR="00FD3142" w:rsidRDefault="00FD3142" w:rsidP="00FD3142">
            <w:pPr>
              <w:jc w:val="center"/>
              <w:rPr>
                <w:rFonts w:cs="Times New Roman"/>
                <w:color w:val="000000"/>
                <w:sz w:val="22"/>
                <w:szCs w:val="22"/>
              </w:rPr>
            </w:pPr>
          </w:p>
          <w:p w:rsidR="00FD3142" w:rsidRDefault="00FD3142" w:rsidP="00FD3142">
            <w:pPr>
              <w:jc w:val="center"/>
              <w:rPr>
                <w:rFonts w:cs="Times New Roman"/>
                <w:color w:val="000000"/>
                <w:sz w:val="22"/>
                <w:szCs w:val="22"/>
              </w:rPr>
            </w:pPr>
          </w:p>
        </w:tc>
        <w:tc>
          <w:tcPr>
            <w:tcW w:w="1195" w:type="dxa"/>
            <w:tcBorders>
              <w:top w:val="single" w:sz="2" w:space="0" w:color="000000"/>
              <w:left w:val="single" w:sz="2" w:space="0" w:color="000000"/>
              <w:bottom w:val="single" w:sz="2" w:space="0" w:color="000000"/>
              <w:right w:val="single" w:sz="2" w:space="0" w:color="000000"/>
            </w:tcBorders>
            <w:shd w:val="clear" w:color="auto" w:fill="auto"/>
            <w:tcMar>
              <w:top w:w="55" w:type="dxa"/>
              <w:left w:w="55" w:type="dxa"/>
              <w:bottom w:w="55" w:type="dxa"/>
              <w:right w:w="55" w:type="dxa"/>
            </w:tcMar>
            <w:vAlign w:val="center"/>
          </w:tcPr>
          <w:p w:rsidR="00FD3142" w:rsidRDefault="00FD3142" w:rsidP="00FD3142">
            <w:pPr>
              <w:jc w:val="center"/>
            </w:pPr>
            <w:r>
              <w:rPr>
                <w:rFonts w:cs="Times New Roman"/>
                <w:sz w:val="22"/>
                <w:szCs w:val="22"/>
              </w:rPr>
              <w:t>*604847</w:t>
            </w:r>
          </w:p>
        </w:tc>
        <w:tc>
          <w:tcPr>
            <w:tcW w:w="1418" w:type="dxa"/>
            <w:tcBorders>
              <w:top w:val="single" w:sz="2" w:space="0" w:color="000000"/>
              <w:left w:val="single" w:sz="2" w:space="0" w:color="000000"/>
              <w:bottom w:val="single" w:sz="2" w:space="0" w:color="000000"/>
              <w:right w:val="single" w:sz="2" w:space="0" w:color="000000"/>
            </w:tcBorders>
            <w:shd w:val="clear" w:color="auto" w:fill="auto"/>
            <w:tcMar>
              <w:top w:w="0" w:type="dxa"/>
              <w:left w:w="10" w:type="dxa"/>
              <w:bottom w:w="0" w:type="dxa"/>
              <w:right w:w="10" w:type="dxa"/>
            </w:tcMar>
          </w:tcPr>
          <w:p w:rsidR="00FD3142" w:rsidRDefault="00FD3142" w:rsidP="00FD3142">
            <w:pPr>
              <w:spacing w:before="525" w:after="285"/>
              <w:jc w:val="center"/>
              <w:rPr>
                <w:rFonts w:cs="Times New Roman"/>
              </w:rPr>
            </w:pPr>
            <w:r>
              <w:rPr>
                <w:rFonts w:cs="Times New Roman"/>
              </w:rPr>
              <w:t>R$220,59</w:t>
            </w:r>
          </w:p>
        </w:tc>
      </w:tr>
      <w:tr w:rsidR="00FD3142" w:rsidTr="00FD3142">
        <w:trPr>
          <w:trHeight w:val="119"/>
          <w:jc w:val="center"/>
        </w:trPr>
        <w:tc>
          <w:tcPr>
            <w:tcW w:w="859" w:type="dxa"/>
            <w:tcBorders>
              <w:top w:val="single" w:sz="2" w:space="0" w:color="000000"/>
              <w:left w:val="single" w:sz="2" w:space="0" w:color="000000"/>
              <w:bottom w:val="single" w:sz="2" w:space="0" w:color="000000"/>
            </w:tcBorders>
            <w:shd w:val="clear" w:color="auto" w:fill="auto"/>
            <w:tcMar>
              <w:top w:w="55" w:type="dxa"/>
              <w:left w:w="55" w:type="dxa"/>
              <w:bottom w:w="55" w:type="dxa"/>
              <w:right w:w="55" w:type="dxa"/>
            </w:tcMar>
          </w:tcPr>
          <w:p w:rsidR="00FD3142" w:rsidRDefault="00B753C7" w:rsidP="00FD3142">
            <w:pPr>
              <w:jc w:val="center"/>
              <w:rPr>
                <w:rFonts w:cs="Times New Roman"/>
                <w:sz w:val="22"/>
                <w:szCs w:val="22"/>
              </w:rPr>
            </w:pPr>
            <w:r>
              <w:rPr>
                <w:rFonts w:cs="Times New Roman"/>
                <w:sz w:val="22"/>
                <w:szCs w:val="22"/>
              </w:rPr>
              <w:lastRenderedPageBreak/>
              <w:t>13</w:t>
            </w:r>
          </w:p>
        </w:tc>
        <w:tc>
          <w:tcPr>
            <w:tcW w:w="839" w:type="dxa"/>
            <w:tcBorders>
              <w:top w:val="single" w:sz="2" w:space="0" w:color="000000"/>
              <w:left w:val="single" w:sz="2" w:space="0" w:color="000000"/>
              <w:bottom w:val="single" w:sz="2" w:space="0" w:color="000000"/>
            </w:tcBorders>
            <w:shd w:val="clear" w:color="auto" w:fill="auto"/>
            <w:tcMar>
              <w:top w:w="55" w:type="dxa"/>
              <w:left w:w="55" w:type="dxa"/>
              <w:bottom w:w="55" w:type="dxa"/>
              <w:right w:w="55" w:type="dxa"/>
            </w:tcMar>
          </w:tcPr>
          <w:p w:rsidR="00FD3142" w:rsidRDefault="00FD3142" w:rsidP="00FD3142">
            <w:pPr>
              <w:jc w:val="center"/>
              <w:rPr>
                <w:rFonts w:cs="Times New Roman"/>
                <w:sz w:val="22"/>
                <w:szCs w:val="22"/>
              </w:rPr>
            </w:pPr>
            <w:r>
              <w:rPr>
                <w:rFonts w:cs="Times New Roman"/>
                <w:sz w:val="22"/>
                <w:szCs w:val="22"/>
              </w:rPr>
              <w:t>2</w:t>
            </w:r>
          </w:p>
        </w:tc>
        <w:tc>
          <w:tcPr>
            <w:tcW w:w="993" w:type="dxa"/>
            <w:tcBorders>
              <w:top w:val="single" w:sz="2" w:space="0" w:color="000000"/>
              <w:left w:val="single" w:sz="2" w:space="0" w:color="000000"/>
              <w:bottom w:val="single" w:sz="2" w:space="0" w:color="000000"/>
            </w:tcBorders>
            <w:shd w:val="clear" w:color="auto" w:fill="auto"/>
            <w:tcMar>
              <w:top w:w="55" w:type="dxa"/>
              <w:left w:w="55" w:type="dxa"/>
              <w:bottom w:w="55" w:type="dxa"/>
              <w:right w:w="55" w:type="dxa"/>
            </w:tcMar>
          </w:tcPr>
          <w:p w:rsidR="00FD3142" w:rsidRDefault="00FD3142" w:rsidP="00FD3142">
            <w:pPr>
              <w:jc w:val="center"/>
              <w:rPr>
                <w:rFonts w:cs="Times New Roman"/>
                <w:sz w:val="22"/>
                <w:szCs w:val="22"/>
              </w:rPr>
            </w:pPr>
            <w:r>
              <w:rPr>
                <w:rFonts w:cs="Times New Roman"/>
                <w:sz w:val="22"/>
                <w:szCs w:val="22"/>
              </w:rPr>
              <w:t>Kit</w:t>
            </w:r>
          </w:p>
        </w:tc>
        <w:tc>
          <w:tcPr>
            <w:tcW w:w="4616" w:type="dxa"/>
            <w:tcBorders>
              <w:top w:val="single" w:sz="2" w:space="0" w:color="000000"/>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rsidR="00FD3142" w:rsidRDefault="00FD3142" w:rsidP="00FD3142">
            <w:pPr>
              <w:jc w:val="center"/>
              <w:rPr>
                <w:rFonts w:cs="Times New Roman"/>
                <w:color w:val="000000"/>
                <w:sz w:val="22"/>
                <w:szCs w:val="22"/>
              </w:rPr>
            </w:pPr>
            <w:r>
              <w:rPr>
                <w:rFonts w:cs="Times New Roman"/>
                <w:color w:val="000000"/>
                <w:sz w:val="22"/>
                <w:szCs w:val="22"/>
              </w:rPr>
              <w:t>Kit coordenação motora fina - Conteúdo da caixa:</w:t>
            </w:r>
            <w:r>
              <w:rPr>
                <w:rFonts w:cs="Times New Roman"/>
                <w:color w:val="000000"/>
                <w:sz w:val="22"/>
                <w:szCs w:val="22"/>
              </w:rPr>
              <w:br/>
              <w:t>- 500 G DE BOLAS DE GEL</w:t>
            </w:r>
            <w:r>
              <w:rPr>
                <w:rFonts w:cs="Times New Roman"/>
                <w:color w:val="000000"/>
                <w:sz w:val="22"/>
                <w:szCs w:val="22"/>
              </w:rPr>
              <w:br/>
              <w:t>(COLORIDA)</w:t>
            </w:r>
            <w:r>
              <w:rPr>
                <w:rFonts w:cs="Times New Roman"/>
                <w:color w:val="000000"/>
                <w:sz w:val="22"/>
                <w:szCs w:val="22"/>
              </w:rPr>
              <w:br/>
              <w:t>- 100 POMPONS ( COLORIDOS -</w:t>
            </w:r>
            <w:r>
              <w:rPr>
                <w:rFonts w:cs="Times New Roman"/>
                <w:color w:val="000000"/>
                <w:sz w:val="22"/>
                <w:szCs w:val="22"/>
              </w:rPr>
              <w:br/>
              <w:t>TAMANHO 1 CM)</w:t>
            </w:r>
            <w:r>
              <w:rPr>
                <w:rFonts w:cs="Times New Roman"/>
                <w:color w:val="000000"/>
                <w:sz w:val="22"/>
                <w:szCs w:val="22"/>
              </w:rPr>
              <w:br/>
              <w:t>- 12 POMPONS (2 CORES DE CADA</w:t>
            </w:r>
            <w:r>
              <w:rPr>
                <w:rFonts w:cs="Times New Roman"/>
                <w:color w:val="000000"/>
                <w:sz w:val="22"/>
                <w:szCs w:val="22"/>
              </w:rPr>
              <w:br/>
              <w:t>- TAMANHO 3 CM)</w:t>
            </w:r>
            <w:r>
              <w:rPr>
                <w:rFonts w:cs="Times New Roman"/>
                <w:color w:val="000000"/>
                <w:sz w:val="22"/>
                <w:szCs w:val="22"/>
              </w:rPr>
              <w:br/>
              <w:t>- 6 POTINHOS DE SILICONE (6</w:t>
            </w:r>
            <w:r>
              <w:rPr>
                <w:rFonts w:cs="Times New Roman"/>
                <w:color w:val="000000"/>
                <w:sz w:val="22"/>
                <w:szCs w:val="22"/>
              </w:rPr>
              <w:br/>
              <w:t>CORES DIFERENTES - 7X4.5X3.2</w:t>
            </w:r>
            <w:r>
              <w:rPr>
                <w:rFonts w:cs="Times New Roman"/>
                <w:color w:val="000000"/>
                <w:sz w:val="22"/>
                <w:szCs w:val="22"/>
              </w:rPr>
              <w:br/>
              <w:t>CM)</w:t>
            </w:r>
            <w:r>
              <w:rPr>
                <w:rFonts w:cs="Times New Roman"/>
                <w:color w:val="000000"/>
                <w:sz w:val="22"/>
                <w:szCs w:val="22"/>
              </w:rPr>
              <w:br/>
              <w:t>- 1 PINÇA COR AZUL (TAMANHO:</w:t>
            </w:r>
            <w:r>
              <w:rPr>
                <w:rFonts w:cs="Times New Roman"/>
                <w:color w:val="000000"/>
                <w:sz w:val="22"/>
                <w:szCs w:val="22"/>
              </w:rPr>
              <w:br/>
              <w:t>12.8 CM) PARA ITENS GRANDES</w:t>
            </w:r>
            <w:r>
              <w:rPr>
                <w:rFonts w:cs="Times New Roman"/>
                <w:color w:val="000000"/>
                <w:sz w:val="22"/>
                <w:szCs w:val="22"/>
              </w:rPr>
              <w:br/>
              <w:t>- 1 PINÇA COR VERDE (TAMANHO</w:t>
            </w:r>
            <w:r>
              <w:rPr>
                <w:rFonts w:cs="Times New Roman"/>
                <w:color w:val="000000"/>
                <w:sz w:val="22"/>
                <w:szCs w:val="22"/>
              </w:rPr>
              <w:br/>
              <w:t>10.5 CM) PARA ITENS PEQUENOS</w:t>
            </w:r>
            <w:r>
              <w:rPr>
                <w:rFonts w:cs="Times New Roman"/>
                <w:color w:val="000000"/>
                <w:sz w:val="22"/>
                <w:szCs w:val="22"/>
              </w:rPr>
              <w:br/>
              <w:t>- 1 TESOURA BOLA COR LARANJA</w:t>
            </w:r>
            <w:r>
              <w:rPr>
                <w:rFonts w:cs="Times New Roman"/>
                <w:color w:val="000000"/>
                <w:sz w:val="22"/>
                <w:szCs w:val="22"/>
              </w:rPr>
              <w:br/>
              <w:t>- 2 CONTA GOTAS (COLORIDO)</w:t>
            </w:r>
          </w:p>
          <w:p w:rsidR="00FD3142" w:rsidRDefault="00FD3142" w:rsidP="00FD3142">
            <w:pPr>
              <w:jc w:val="center"/>
              <w:rPr>
                <w:rFonts w:cs="Times New Roman"/>
                <w:color w:val="000000"/>
                <w:sz w:val="22"/>
                <w:szCs w:val="22"/>
              </w:rPr>
            </w:pPr>
          </w:p>
        </w:tc>
        <w:tc>
          <w:tcPr>
            <w:tcW w:w="1195" w:type="dxa"/>
            <w:tcBorders>
              <w:top w:val="single" w:sz="2" w:space="0" w:color="000000"/>
              <w:left w:val="single" w:sz="2" w:space="0" w:color="000000"/>
              <w:bottom w:val="single" w:sz="2" w:space="0" w:color="000000"/>
              <w:right w:val="single" w:sz="2" w:space="0" w:color="000000"/>
            </w:tcBorders>
            <w:shd w:val="clear" w:color="auto" w:fill="auto"/>
            <w:tcMar>
              <w:top w:w="55" w:type="dxa"/>
              <w:left w:w="55" w:type="dxa"/>
              <w:bottom w:w="55" w:type="dxa"/>
              <w:right w:w="55" w:type="dxa"/>
            </w:tcMar>
            <w:vAlign w:val="center"/>
          </w:tcPr>
          <w:p w:rsidR="00FD3142" w:rsidRDefault="00FD3142" w:rsidP="00FD3142">
            <w:pPr>
              <w:jc w:val="center"/>
            </w:pPr>
            <w:r>
              <w:rPr>
                <w:rFonts w:cs="Times New Roman"/>
                <w:sz w:val="22"/>
                <w:szCs w:val="22"/>
              </w:rPr>
              <w:t>*480293</w:t>
            </w:r>
          </w:p>
        </w:tc>
        <w:tc>
          <w:tcPr>
            <w:tcW w:w="1418" w:type="dxa"/>
            <w:tcBorders>
              <w:top w:val="single" w:sz="2" w:space="0" w:color="000000"/>
              <w:left w:val="single" w:sz="2" w:space="0" w:color="000000"/>
              <w:bottom w:val="single" w:sz="2" w:space="0" w:color="000000"/>
              <w:right w:val="single" w:sz="2" w:space="0" w:color="000000"/>
            </w:tcBorders>
            <w:shd w:val="clear" w:color="auto" w:fill="auto"/>
            <w:tcMar>
              <w:top w:w="0" w:type="dxa"/>
              <w:left w:w="10" w:type="dxa"/>
              <w:bottom w:w="0" w:type="dxa"/>
              <w:right w:w="10" w:type="dxa"/>
            </w:tcMar>
          </w:tcPr>
          <w:p w:rsidR="00FD3142" w:rsidRDefault="00FD3142" w:rsidP="00FD3142">
            <w:pPr>
              <w:spacing w:before="525" w:after="285"/>
              <w:jc w:val="center"/>
              <w:rPr>
                <w:rFonts w:cs="Times New Roman"/>
              </w:rPr>
            </w:pPr>
          </w:p>
          <w:p w:rsidR="00FD3142" w:rsidRDefault="00FD3142" w:rsidP="00FD3142">
            <w:pPr>
              <w:spacing w:before="525" w:after="285"/>
              <w:jc w:val="center"/>
              <w:rPr>
                <w:rFonts w:cs="Times New Roman"/>
              </w:rPr>
            </w:pPr>
            <w:r>
              <w:rPr>
                <w:rFonts w:cs="Times New Roman"/>
              </w:rPr>
              <w:t>R$260,82</w:t>
            </w:r>
          </w:p>
        </w:tc>
      </w:tr>
      <w:tr w:rsidR="00FD3142" w:rsidTr="00FD3142">
        <w:trPr>
          <w:trHeight w:val="119"/>
          <w:jc w:val="center"/>
        </w:trPr>
        <w:tc>
          <w:tcPr>
            <w:tcW w:w="859" w:type="dxa"/>
            <w:tcBorders>
              <w:top w:val="single" w:sz="2" w:space="0" w:color="000000"/>
              <w:left w:val="single" w:sz="2" w:space="0" w:color="000000"/>
              <w:bottom w:val="single" w:sz="2" w:space="0" w:color="000000"/>
            </w:tcBorders>
            <w:shd w:val="clear" w:color="auto" w:fill="auto"/>
            <w:tcMar>
              <w:top w:w="55" w:type="dxa"/>
              <w:left w:w="55" w:type="dxa"/>
              <w:bottom w:w="55" w:type="dxa"/>
              <w:right w:w="55" w:type="dxa"/>
            </w:tcMar>
          </w:tcPr>
          <w:p w:rsidR="00FD3142" w:rsidRDefault="00B753C7" w:rsidP="00FD3142">
            <w:pPr>
              <w:jc w:val="center"/>
              <w:rPr>
                <w:rFonts w:cs="Times New Roman"/>
                <w:sz w:val="22"/>
                <w:szCs w:val="22"/>
              </w:rPr>
            </w:pPr>
            <w:r>
              <w:rPr>
                <w:rFonts w:cs="Times New Roman"/>
                <w:sz w:val="22"/>
                <w:szCs w:val="22"/>
              </w:rPr>
              <w:t>14</w:t>
            </w:r>
          </w:p>
        </w:tc>
        <w:tc>
          <w:tcPr>
            <w:tcW w:w="839" w:type="dxa"/>
            <w:tcBorders>
              <w:top w:val="single" w:sz="2" w:space="0" w:color="000000"/>
              <w:left w:val="single" w:sz="2" w:space="0" w:color="000000"/>
              <w:bottom w:val="single" w:sz="2" w:space="0" w:color="000000"/>
            </w:tcBorders>
            <w:shd w:val="clear" w:color="auto" w:fill="auto"/>
            <w:tcMar>
              <w:top w:w="55" w:type="dxa"/>
              <w:left w:w="55" w:type="dxa"/>
              <w:bottom w:w="55" w:type="dxa"/>
              <w:right w:w="55" w:type="dxa"/>
            </w:tcMar>
          </w:tcPr>
          <w:p w:rsidR="00FD3142" w:rsidRDefault="00FD3142" w:rsidP="00FD3142">
            <w:pPr>
              <w:jc w:val="center"/>
              <w:rPr>
                <w:rFonts w:cs="Times New Roman"/>
                <w:sz w:val="22"/>
                <w:szCs w:val="22"/>
              </w:rPr>
            </w:pPr>
            <w:r>
              <w:rPr>
                <w:rFonts w:cs="Times New Roman"/>
                <w:sz w:val="22"/>
                <w:szCs w:val="22"/>
              </w:rPr>
              <w:t>1</w:t>
            </w:r>
          </w:p>
        </w:tc>
        <w:tc>
          <w:tcPr>
            <w:tcW w:w="993" w:type="dxa"/>
            <w:tcBorders>
              <w:top w:val="single" w:sz="2" w:space="0" w:color="000000"/>
              <w:left w:val="single" w:sz="2" w:space="0" w:color="000000"/>
              <w:bottom w:val="single" w:sz="2" w:space="0" w:color="000000"/>
            </w:tcBorders>
            <w:shd w:val="clear" w:color="auto" w:fill="auto"/>
            <w:tcMar>
              <w:top w:w="55" w:type="dxa"/>
              <w:left w:w="55" w:type="dxa"/>
              <w:bottom w:w="55" w:type="dxa"/>
              <w:right w:w="55" w:type="dxa"/>
            </w:tcMar>
          </w:tcPr>
          <w:p w:rsidR="00FD3142" w:rsidRDefault="00FD3142" w:rsidP="00FD3142">
            <w:pPr>
              <w:jc w:val="center"/>
              <w:rPr>
                <w:rFonts w:cs="Times New Roman"/>
                <w:sz w:val="22"/>
                <w:szCs w:val="22"/>
              </w:rPr>
            </w:pPr>
            <w:r>
              <w:rPr>
                <w:rFonts w:cs="Times New Roman"/>
                <w:sz w:val="22"/>
                <w:szCs w:val="22"/>
              </w:rPr>
              <w:t>Unidade</w:t>
            </w:r>
          </w:p>
        </w:tc>
        <w:tc>
          <w:tcPr>
            <w:tcW w:w="4616" w:type="dxa"/>
            <w:tcBorders>
              <w:top w:val="single" w:sz="2" w:space="0" w:color="000000"/>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rsidR="00FD3142" w:rsidRDefault="00FD3142" w:rsidP="00FD3142">
            <w:pPr>
              <w:jc w:val="center"/>
              <w:rPr>
                <w:rFonts w:cs="Times New Roman"/>
                <w:color w:val="000000"/>
                <w:sz w:val="22"/>
                <w:szCs w:val="22"/>
              </w:rPr>
            </w:pPr>
            <w:r>
              <w:rPr>
                <w:rFonts w:cs="Times New Roman"/>
                <w:color w:val="000000"/>
                <w:sz w:val="22"/>
                <w:szCs w:val="22"/>
              </w:rPr>
              <w:t xml:space="preserve">Carrinho plástico rodinha – </w:t>
            </w:r>
          </w:p>
          <w:p w:rsidR="00FD3142" w:rsidRDefault="00FD3142" w:rsidP="00FD3142">
            <w:pPr>
              <w:jc w:val="center"/>
              <w:rPr>
                <w:rFonts w:cs="Times New Roman"/>
                <w:color w:val="000000"/>
                <w:sz w:val="22"/>
                <w:szCs w:val="22"/>
              </w:rPr>
            </w:pPr>
            <w:r>
              <w:rPr>
                <w:rFonts w:cs="Times New Roman"/>
                <w:color w:val="000000"/>
                <w:sz w:val="22"/>
                <w:szCs w:val="22"/>
              </w:rPr>
              <w:t>Comprimento da caixa plástica:</w:t>
            </w:r>
            <w:r>
              <w:rPr>
                <w:rFonts w:cs="Times New Roman"/>
                <w:color w:val="000000"/>
                <w:sz w:val="22"/>
                <w:szCs w:val="22"/>
              </w:rPr>
              <w:br/>
              <w:t>Aberta - 380 mm / Fechada - 380 mm</w:t>
            </w:r>
            <w:r>
              <w:rPr>
                <w:rFonts w:cs="Times New Roman"/>
                <w:color w:val="000000"/>
                <w:sz w:val="22"/>
                <w:szCs w:val="22"/>
              </w:rPr>
              <w:br/>
              <w:t>Largura da caixa plástica: Aberta -</w:t>
            </w:r>
            <w:r>
              <w:rPr>
                <w:rFonts w:cs="Times New Roman"/>
                <w:color w:val="000000"/>
                <w:sz w:val="22"/>
                <w:szCs w:val="22"/>
              </w:rPr>
              <w:br/>
              <w:t>330 mm / Fechada - 80 mm</w:t>
            </w:r>
            <w:r>
              <w:rPr>
                <w:rFonts w:cs="Times New Roman"/>
                <w:color w:val="000000"/>
                <w:sz w:val="22"/>
                <w:szCs w:val="22"/>
              </w:rPr>
              <w:br/>
              <w:t>Altura da caixa plástica: Aberta - 350</w:t>
            </w:r>
            <w:r>
              <w:rPr>
                <w:rFonts w:cs="Times New Roman"/>
                <w:color w:val="000000"/>
                <w:sz w:val="22"/>
                <w:szCs w:val="22"/>
              </w:rPr>
              <w:br/>
              <w:t>mm / Fechada - 350 mm</w:t>
            </w:r>
            <w:r>
              <w:rPr>
                <w:rFonts w:cs="Times New Roman"/>
                <w:color w:val="000000"/>
                <w:sz w:val="22"/>
                <w:szCs w:val="22"/>
              </w:rPr>
              <w:br/>
              <w:t>Material da caixa plástica:</w:t>
            </w:r>
            <w:r>
              <w:rPr>
                <w:rFonts w:cs="Times New Roman"/>
                <w:color w:val="000000"/>
                <w:sz w:val="22"/>
                <w:szCs w:val="22"/>
              </w:rPr>
              <w:br/>
              <w:t>Polipropileno</w:t>
            </w:r>
            <w:r>
              <w:rPr>
                <w:rFonts w:cs="Times New Roman"/>
                <w:color w:val="000000"/>
                <w:sz w:val="22"/>
                <w:szCs w:val="22"/>
              </w:rPr>
              <w:br/>
              <w:t>Capacidade de carga: 20 kg</w:t>
            </w:r>
          </w:p>
          <w:p w:rsidR="00FD3142" w:rsidRDefault="00FD3142" w:rsidP="00FD3142">
            <w:pPr>
              <w:jc w:val="center"/>
              <w:rPr>
                <w:rFonts w:cs="Times New Roman"/>
                <w:color w:val="000000"/>
                <w:sz w:val="22"/>
                <w:szCs w:val="22"/>
              </w:rPr>
            </w:pPr>
          </w:p>
        </w:tc>
        <w:tc>
          <w:tcPr>
            <w:tcW w:w="1195" w:type="dxa"/>
            <w:tcBorders>
              <w:top w:val="single" w:sz="2" w:space="0" w:color="000000"/>
              <w:left w:val="single" w:sz="2" w:space="0" w:color="000000"/>
              <w:bottom w:val="single" w:sz="2" w:space="0" w:color="000000"/>
              <w:right w:val="single" w:sz="2" w:space="0" w:color="000000"/>
            </w:tcBorders>
            <w:shd w:val="clear" w:color="auto" w:fill="auto"/>
            <w:tcMar>
              <w:top w:w="55" w:type="dxa"/>
              <w:left w:w="55" w:type="dxa"/>
              <w:bottom w:w="55" w:type="dxa"/>
              <w:right w:w="55" w:type="dxa"/>
            </w:tcMar>
            <w:vAlign w:val="center"/>
          </w:tcPr>
          <w:p w:rsidR="00FD3142" w:rsidRDefault="00FD3142" w:rsidP="00FD3142">
            <w:pPr>
              <w:jc w:val="center"/>
              <w:rPr>
                <w:rFonts w:cs="Times New Roman"/>
                <w:sz w:val="22"/>
                <w:szCs w:val="22"/>
              </w:rPr>
            </w:pPr>
            <w:r>
              <w:rPr>
                <w:rFonts w:cs="Times New Roman"/>
                <w:sz w:val="22"/>
                <w:szCs w:val="22"/>
              </w:rPr>
              <w:t>603711</w:t>
            </w:r>
          </w:p>
        </w:tc>
        <w:tc>
          <w:tcPr>
            <w:tcW w:w="1418" w:type="dxa"/>
            <w:tcBorders>
              <w:top w:val="single" w:sz="2" w:space="0" w:color="000000"/>
              <w:left w:val="single" w:sz="2" w:space="0" w:color="000000"/>
              <w:bottom w:val="single" w:sz="2" w:space="0" w:color="000000"/>
              <w:right w:val="single" w:sz="2" w:space="0" w:color="000000"/>
            </w:tcBorders>
            <w:shd w:val="clear" w:color="auto" w:fill="auto"/>
            <w:tcMar>
              <w:top w:w="0" w:type="dxa"/>
              <w:left w:w="10" w:type="dxa"/>
              <w:bottom w:w="0" w:type="dxa"/>
              <w:right w:w="10" w:type="dxa"/>
            </w:tcMar>
          </w:tcPr>
          <w:p w:rsidR="00FD3142" w:rsidRDefault="00FD3142" w:rsidP="00FD3142">
            <w:pPr>
              <w:spacing w:before="525" w:after="285"/>
              <w:jc w:val="center"/>
              <w:rPr>
                <w:rFonts w:cs="Times New Roman"/>
              </w:rPr>
            </w:pPr>
            <w:r>
              <w:rPr>
                <w:rFonts w:cs="Times New Roman"/>
              </w:rPr>
              <w:t>R$153,93</w:t>
            </w:r>
          </w:p>
        </w:tc>
      </w:tr>
      <w:tr w:rsidR="00FD3142" w:rsidTr="00FD3142">
        <w:trPr>
          <w:trHeight w:val="119"/>
          <w:jc w:val="center"/>
        </w:trPr>
        <w:tc>
          <w:tcPr>
            <w:tcW w:w="859" w:type="dxa"/>
            <w:tcBorders>
              <w:top w:val="single" w:sz="2" w:space="0" w:color="000000"/>
              <w:left w:val="single" w:sz="2" w:space="0" w:color="000000"/>
              <w:bottom w:val="single" w:sz="2" w:space="0" w:color="000000"/>
            </w:tcBorders>
            <w:shd w:val="clear" w:color="auto" w:fill="auto"/>
            <w:tcMar>
              <w:top w:w="55" w:type="dxa"/>
              <w:left w:w="55" w:type="dxa"/>
              <w:bottom w:w="55" w:type="dxa"/>
              <w:right w:w="55" w:type="dxa"/>
            </w:tcMar>
          </w:tcPr>
          <w:p w:rsidR="00FD3142" w:rsidRDefault="00B753C7" w:rsidP="00FD3142">
            <w:pPr>
              <w:jc w:val="center"/>
              <w:rPr>
                <w:rFonts w:cs="Times New Roman"/>
                <w:sz w:val="22"/>
                <w:szCs w:val="22"/>
              </w:rPr>
            </w:pPr>
            <w:r>
              <w:rPr>
                <w:rFonts w:cs="Times New Roman"/>
                <w:sz w:val="22"/>
                <w:szCs w:val="22"/>
              </w:rPr>
              <w:t>15</w:t>
            </w:r>
          </w:p>
        </w:tc>
        <w:tc>
          <w:tcPr>
            <w:tcW w:w="839" w:type="dxa"/>
            <w:tcBorders>
              <w:top w:val="single" w:sz="2" w:space="0" w:color="000000"/>
              <w:left w:val="single" w:sz="2" w:space="0" w:color="000000"/>
              <w:bottom w:val="single" w:sz="2" w:space="0" w:color="000000"/>
            </w:tcBorders>
            <w:shd w:val="clear" w:color="auto" w:fill="auto"/>
            <w:tcMar>
              <w:top w:w="55" w:type="dxa"/>
              <w:left w:w="55" w:type="dxa"/>
              <w:bottom w:w="55" w:type="dxa"/>
              <w:right w:w="55" w:type="dxa"/>
            </w:tcMar>
          </w:tcPr>
          <w:p w:rsidR="00FD3142" w:rsidRDefault="00FD3142" w:rsidP="00FD3142">
            <w:pPr>
              <w:jc w:val="center"/>
              <w:rPr>
                <w:rFonts w:cs="Times New Roman"/>
                <w:sz w:val="22"/>
                <w:szCs w:val="22"/>
              </w:rPr>
            </w:pPr>
            <w:r>
              <w:rPr>
                <w:rFonts w:cs="Times New Roman"/>
                <w:sz w:val="22"/>
                <w:szCs w:val="22"/>
              </w:rPr>
              <w:t>5</w:t>
            </w:r>
          </w:p>
        </w:tc>
        <w:tc>
          <w:tcPr>
            <w:tcW w:w="993" w:type="dxa"/>
            <w:tcBorders>
              <w:top w:val="single" w:sz="2" w:space="0" w:color="000000"/>
              <w:left w:val="single" w:sz="2" w:space="0" w:color="000000"/>
              <w:bottom w:val="single" w:sz="2" w:space="0" w:color="000000"/>
            </w:tcBorders>
            <w:shd w:val="clear" w:color="auto" w:fill="auto"/>
            <w:tcMar>
              <w:top w:w="55" w:type="dxa"/>
              <w:left w:w="55" w:type="dxa"/>
              <w:bottom w:w="55" w:type="dxa"/>
              <w:right w:w="55" w:type="dxa"/>
            </w:tcMar>
          </w:tcPr>
          <w:p w:rsidR="00FD3142" w:rsidRDefault="00FD3142" w:rsidP="00FD3142">
            <w:pPr>
              <w:jc w:val="center"/>
              <w:rPr>
                <w:rFonts w:cs="Times New Roman"/>
                <w:sz w:val="22"/>
                <w:szCs w:val="22"/>
              </w:rPr>
            </w:pPr>
            <w:r>
              <w:rPr>
                <w:rFonts w:cs="Times New Roman"/>
                <w:sz w:val="22"/>
                <w:szCs w:val="22"/>
              </w:rPr>
              <w:t>Unidade</w:t>
            </w:r>
          </w:p>
        </w:tc>
        <w:tc>
          <w:tcPr>
            <w:tcW w:w="4616" w:type="dxa"/>
            <w:tcBorders>
              <w:top w:val="single" w:sz="2" w:space="0" w:color="000000"/>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rsidR="00FD3142" w:rsidRDefault="00FD3142" w:rsidP="00FD3142">
            <w:pPr>
              <w:jc w:val="center"/>
              <w:rPr>
                <w:rFonts w:cs="Times New Roman"/>
                <w:color w:val="000000"/>
                <w:sz w:val="22"/>
                <w:szCs w:val="22"/>
              </w:rPr>
            </w:pPr>
            <w:r>
              <w:rPr>
                <w:rFonts w:cs="Times New Roman"/>
                <w:color w:val="000000"/>
                <w:sz w:val="22"/>
                <w:szCs w:val="22"/>
              </w:rPr>
              <w:t>Colchonete espuma alta –</w:t>
            </w:r>
          </w:p>
          <w:p w:rsidR="00FD3142" w:rsidRDefault="00FD3142" w:rsidP="00FD3142">
            <w:pPr>
              <w:jc w:val="center"/>
              <w:rPr>
                <w:rFonts w:cs="Times New Roman"/>
                <w:color w:val="000000"/>
                <w:sz w:val="22"/>
                <w:szCs w:val="22"/>
              </w:rPr>
            </w:pPr>
            <w:r>
              <w:rPr>
                <w:rFonts w:cs="Times New Roman"/>
                <w:color w:val="000000"/>
                <w:sz w:val="22"/>
                <w:szCs w:val="22"/>
              </w:rPr>
              <w:t xml:space="preserve"> Densidade Profissional D50 20mm;</w:t>
            </w:r>
            <w:r>
              <w:rPr>
                <w:rFonts w:cs="Times New Roman"/>
                <w:color w:val="000000"/>
                <w:sz w:val="22"/>
                <w:szCs w:val="22"/>
              </w:rPr>
              <w:br/>
              <w:t>dimensões 90L x 45W x 2Th</w:t>
            </w:r>
            <w:r>
              <w:rPr>
                <w:rFonts w:cs="Times New Roman"/>
                <w:color w:val="000000"/>
                <w:sz w:val="22"/>
                <w:szCs w:val="22"/>
              </w:rPr>
              <w:br/>
              <w:t xml:space="preserve">centímetros;  </w:t>
            </w:r>
          </w:p>
          <w:p w:rsidR="00FD3142" w:rsidRDefault="00FD3142" w:rsidP="00FD3142">
            <w:pPr>
              <w:jc w:val="center"/>
              <w:rPr>
                <w:rFonts w:cs="Times New Roman"/>
                <w:color w:val="000000"/>
                <w:sz w:val="22"/>
                <w:szCs w:val="22"/>
              </w:rPr>
            </w:pPr>
          </w:p>
        </w:tc>
        <w:tc>
          <w:tcPr>
            <w:tcW w:w="1195" w:type="dxa"/>
            <w:tcBorders>
              <w:top w:val="single" w:sz="2" w:space="0" w:color="000000"/>
              <w:left w:val="single" w:sz="2" w:space="0" w:color="000000"/>
              <w:bottom w:val="single" w:sz="2" w:space="0" w:color="000000"/>
              <w:right w:val="single" w:sz="2" w:space="0" w:color="000000"/>
            </w:tcBorders>
            <w:shd w:val="clear" w:color="auto" w:fill="auto"/>
            <w:tcMar>
              <w:top w:w="55" w:type="dxa"/>
              <w:left w:w="55" w:type="dxa"/>
              <w:bottom w:w="55" w:type="dxa"/>
              <w:right w:w="55" w:type="dxa"/>
            </w:tcMar>
            <w:vAlign w:val="center"/>
          </w:tcPr>
          <w:p w:rsidR="00FD3142" w:rsidRDefault="00FD3142" w:rsidP="00FD3142">
            <w:pPr>
              <w:jc w:val="center"/>
              <w:rPr>
                <w:rFonts w:cs="Times New Roman"/>
                <w:sz w:val="22"/>
                <w:szCs w:val="22"/>
              </w:rPr>
            </w:pPr>
            <w:r>
              <w:rPr>
                <w:rFonts w:cs="Times New Roman"/>
                <w:sz w:val="22"/>
                <w:szCs w:val="22"/>
              </w:rPr>
              <w:t>229734</w:t>
            </w:r>
          </w:p>
        </w:tc>
        <w:tc>
          <w:tcPr>
            <w:tcW w:w="1418" w:type="dxa"/>
            <w:tcBorders>
              <w:top w:val="single" w:sz="2" w:space="0" w:color="000000"/>
              <w:left w:val="single" w:sz="2" w:space="0" w:color="000000"/>
              <w:bottom w:val="single" w:sz="2" w:space="0" w:color="000000"/>
              <w:right w:val="single" w:sz="2" w:space="0" w:color="000000"/>
            </w:tcBorders>
            <w:shd w:val="clear" w:color="auto" w:fill="auto"/>
            <w:tcMar>
              <w:top w:w="0" w:type="dxa"/>
              <w:left w:w="10" w:type="dxa"/>
              <w:bottom w:w="0" w:type="dxa"/>
              <w:right w:w="10" w:type="dxa"/>
            </w:tcMar>
          </w:tcPr>
          <w:p w:rsidR="00FD3142" w:rsidRDefault="00FD3142" w:rsidP="00FD3142">
            <w:pPr>
              <w:spacing w:before="525" w:after="285"/>
              <w:jc w:val="center"/>
              <w:rPr>
                <w:rFonts w:cs="Times New Roman"/>
              </w:rPr>
            </w:pPr>
            <w:r>
              <w:rPr>
                <w:rFonts w:cs="Times New Roman"/>
              </w:rPr>
              <w:t>R$384,50</w:t>
            </w:r>
          </w:p>
        </w:tc>
      </w:tr>
      <w:tr w:rsidR="00FD3142" w:rsidTr="00FD3142">
        <w:trPr>
          <w:trHeight w:val="119"/>
          <w:jc w:val="center"/>
        </w:trPr>
        <w:tc>
          <w:tcPr>
            <w:tcW w:w="859" w:type="dxa"/>
            <w:tcBorders>
              <w:top w:val="single" w:sz="2" w:space="0" w:color="000000"/>
              <w:left w:val="single" w:sz="2" w:space="0" w:color="000000"/>
              <w:bottom w:val="single" w:sz="2" w:space="0" w:color="000000"/>
            </w:tcBorders>
            <w:shd w:val="clear" w:color="auto" w:fill="auto"/>
            <w:tcMar>
              <w:top w:w="55" w:type="dxa"/>
              <w:left w:w="55" w:type="dxa"/>
              <w:bottom w:w="55" w:type="dxa"/>
              <w:right w:w="55" w:type="dxa"/>
            </w:tcMar>
          </w:tcPr>
          <w:p w:rsidR="00FD3142" w:rsidRDefault="00B753C7" w:rsidP="00FD3142">
            <w:pPr>
              <w:jc w:val="center"/>
              <w:rPr>
                <w:rFonts w:cs="Times New Roman"/>
                <w:sz w:val="22"/>
                <w:szCs w:val="22"/>
              </w:rPr>
            </w:pPr>
            <w:r>
              <w:rPr>
                <w:rFonts w:cs="Times New Roman"/>
                <w:sz w:val="22"/>
                <w:szCs w:val="22"/>
              </w:rPr>
              <w:t>16</w:t>
            </w:r>
          </w:p>
        </w:tc>
        <w:tc>
          <w:tcPr>
            <w:tcW w:w="839" w:type="dxa"/>
            <w:tcBorders>
              <w:top w:val="single" w:sz="2" w:space="0" w:color="000000"/>
              <w:left w:val="single" w:sz="2" w:space="0" w:color="000000"/>
              <w:bottom w:val="single" w:sz="2" w:space="0" w:color="000000"/>
            </w:tcBorders>
            <w:shd w:val="clear" w:color="auto" w:fill="auto"/>
            <w:tcMar>
              <w:top w:w="55" w:type="dxa"/>
              <w:left w:w="55" w:type="dxa"/>
              <w:bottom w:w="55" w:type="dxa"/>
              <w:right w:w="55" w:type="dxa"/>
            </w:tcMar>
          </w:tcPr>
          <w:p w:rsidR="00FD3142" w:rsidRDefault="00FD3142" w:rsidP="00FD3142">
            <w:pPr>
              <w:jc w:val="center"/>
              <w:rPr>
                <w:rFonts w:cs="Times New Roman"/>
                <w:sz w:val="22"/>
                <w:szCs w:val="22"/>
              </w:rPr>
            </w:pPr>
            <w:r>
              <w:rPr>
                <w:rFonts w:cs="Times New Roman"/>
                <w:sz w:val="22"/>
                <w:szCs w:val="22"/>
              </w:rPr>
              <w:t>2</w:t>
            </w:r>
          </w:p>
        </w:tc>
        <w:tc>
          <w:tcPr>
            <w:tcW w:w="993" w:type="dxa"/>
            <w:tcBorders>
              <w:top w:val="single" w:sz="2" w:space="0" w:color="000000"/>
              <w:left w:val="single" w:sz="2" w:space="0" w:color="000000"/>
              <w:bottom w:val="single" w:sz="2" w:space="0" w:color="000000"/>
            </w:tcBorders>
            <w:shd w:val="clear" w:color="auto" w:fill="auto"/>
            <w:tcMar>
              <w:top w:w="55" w:type="dxa"/>
              <w:left w:w="55" w:type="dxa"/>
              <w:bottom w:w="55" w:type="dxa"/>
              <w:right w:w="55" w:type="dxa"/>
            </w:tcMar>
          </w:tcPr>
          <w:p w:rsidR="00FD3142" w:rsidRDefault="00FD3142" w:rsidP="00FD3142">
            <w:pPr>
              <w:jc w:val="center"/>
              <w:rPr>
                <w:rFonts w:cs="Times New Roman"/>
                <w:sz w:val="22"/>
                <w:szCs w:val="22"/>
              </w:rPr>
            </w:pPr>
            <w:r>
              <w:rPr>
                <w:rFonts w:cs="Times New Roman"/>
                <w:sz w:val="22"/>
                <w:szCs w:val="22"/>
              </w:rPr>
              <w:t>Unidade</w:t>
            </w:r>
          </w:p>
        </w:tc>
        <w:tc>
          <w:tcPr>
            <w:tcW w:w="4616" w:type="dxa"/>
            <w:tcBorders>
              <w:top w:val="single" w:sz="2" w:space="0" w:color="000000"/>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rsidR="00FD3142" w:rsidRDefault="00FD3142" w:rsidP="00FD3142">
            <w:pPr>
              <w:jc w:val="center"/>
              <w:rPr>
                <w:rFonts w:cs="Times New Roman"/>
                <w:color w:val="000000"/>
                <w:sz w:val="22"/>
                <w:szCs w:val="22"/>
              </w:rPr>
            </w:pPr>
            <w:r>
              <w:rPr>
                <w:rFonts w:cs="Times New Roman"/>
                <w:color w:val="000000"/>
                <w:sz w:val="22"/>
                <w:szCs w:val="22"/>
              </w:rPr>
              <w:t>Andador adulto de alumínio D10 130kg –</w:t>
            </w:r>
          </w:p>
          <w:p w:rsidR="00FD3142" w:rsidRDefault="00FD3142" w:rsidP="00FD3142">
            <w:pPr>
              <w:jc w:val="center"/>
              <w:rPr>
                <w:rFonts w:cs="Times New Roman"/>
                <w:color w:val="000000"/>
                <w:sz w:val="22"/>
                <w:szCs w:val="22"/>
              </w:rPr>
            </w:pPr>
            <w:r>
              <w:rPr>
                <w:rFonts w:cs="Times New Roman"/>
                <w:color w:val="000000"/>
                <w:sz w:val="22"/>
                <w:szCs w:val="22"/>
              </w:rPr>
              <w:t>Suporta até 130kg. 3 em 1: Andador</w:t>
            </w:r>
            <w:r>
              <w:rPr>
                <w:rFonts w:cs="Times New Roman"/>
                <w:color w:val="000000"/>
                <w:sz w:val="22"/>
                <w:szCs w:val="22"/>
              </w:rPr>
              <w:br/>
              <w:t>fixo, articulado e móvel; Estrutura</w:t>
            </w:r>
            <w:r>
              <w:rPr>
                <w:rFonts w:cs="Times New Roman"/>
                <w:color w:val="000000"/>
                <w:sz w:val="22"/>
                <w:szCs w:val="22"/>
              </w:rPr>
              <w:br/>
              <w:t>dobrável, fácil de guardar e</w:t>
            </w:r>
            <w:r>
              <w:rPr>
                <w:rFonts w:cs="Times New Roman"/>
                <w:color w:val="000000"/>
                <w:sz w:val="22"/>
                <w:szCs w:val="22"/>
              </w:rPr>
              <w:br/>
              <w:t>transportar. Par de rodas opcional.</w:t>
            </w:r>
            <w:r>
              <w:rPr>
                <w:rFonts w:cs="Times New Roman"/>
                <w:color w:val="000000"/>
                <w:sz w:val="22"/>
                <w:szCs w:val="22"/>
              </w:rPr>
              <w:br/>
              <w:t>Marcha silenciosa. Regulagem de</w:t>
            </w:r>
            <w:r>
              <w:rPr>
                <w:rFonts w:cs="Times New Roman"/>
                <w:color w:val="000000"/>
                <w:sz w:val="22"/>
                <w:szCs w:val="22"/>
              </w:rPr>
              <w:br/>
              <w:t>altura.</w:t>
            </w:r>
          </w:p>
          <w:p w:rsidR="00FD3142" w:rsidRDefault="00FD3142" w:rsidP="00FD3142">
            <w:pPr>
              <w:rPr>
                <w:rFonts w:cs="Times New Roman"/>
                <w:color w:val="000000"/>
                <w:sz w:val="22"/>
                <w:szCs w:val="22"/>
              </w:rPr>
            </w:pPr>
          </w:p>
        </w:tc>
        <w:tc>
          <w:tcPr>
            <w:tcW w:w="1195" w:type="dxa"/>
            <w:tcBorders>
              <w:top w:val="single" w:sz="2" w:space="0" w:color="000000"/>
              <w:left w:val="single" w:sz="2" w:space="0" w:color="000000"/>
              <w:bottom w:val="single" w:sz="2" w:space="0" w:color="000000"/>
              <w:right w:val="single" w:sz="2" w:space="0" w:color="000000"/>
            </w:tcBorders>
            <w:shd w:val="clear" w:color="auto" w:fill="auto"/>
            <w:tcMar>
              <w:top w:w="55" w:type="dxa"/>
              <w:left w:w="55" w:type="dxa"/>
              <w:bottom w:w="55" w:type="dxa"/>
              <w:right w:w="55" w:type="dxa"/>
            </w:tcMar>
            <w:vAlign w:val="center"/>
          </w:tcPr>
          <w:p w:rsidR="00FD3142" w:rsidRDefault="00FD3142" w:rsidP="00FD3142">
            <w:pPr>
              <w:jc w:val="center"/>
              <w:rPr>
                <w:rFonts w:cs="Times New Roman"/>
                <w:sz w:val="22"/>
                <w:szCs w:val="22"/>
              </w:rPr>
            </w:pPr>
            <w:r>
              <w:rPr>
                <w:rFonts w:cs="Times New Roman"/>
                <w:sz w:val="22"/>
                <w:szCs w:val="22"/>
              </w:rPr>
              <w:t>329389</w:t>
            </w:r>
          </w:p>
        </w:tc>
        <w:tc>
          <w:tcPr>
            <w:tcW w:w="1418" w:type="dxa"/>
            <w:tcBorders>
              <w:top w:val="single" w:sz="2" w:space="0" w:color="000000"/>
              <w:left w:val="single" w:sz="2" w:space="0" w:color="000000"/>
              <w:bottom w:val="single" w:sz="2" w:space="0" w:color="000000"/>
              <w:right w:val="single" w:sz="2" w:space="0" w:color="000000"/>
            </w:tcBorders>
            <w:shd w:val="clear" w:color="auto" w:fill="auto"/>
            <w:tcMar>
              <w:top w:w="0" w:type="dxa"/>
              <w:left w:w="10" w:type="dxa"/>
              <w:bottom w:w="0" w:type="dxa"/>
              <w:right w:w="10" w:type="dxa"/>
            </w:tcMar>
          </w:tcPr>
          <w:p w:rsidR="00FD3142" w:rsidRDefault="00FD3142" w:rsidP="00FD3142">
            <w:pPr>
              <w:spacing w:before="525" w:after="285"/>
              <w:jc w:val="center"/>
              <w:rPr>
                <w:rFonts w:cs="Times New Roman"/>
              </w:rPr>
            </w:pPr>
            <w:r>
              <w:rPr>
                <w:rFonts w:cs="Times New Roman"/>
              </w:rPr>
              <w:t>R$357,02</w:t>
            </w:r>
          </w:p>
        </w:tc>
      </w:tr>
      <w:tr w:rsidR="00FD3142" w:rsidTr="00FD3142">
        <w:trPr>
          <w:trHeight w:val="119"/>
          <w:jc w:val="center"/>
        </w:trPr>
        <w:tc>
          <w:tcPr>
            <w:tcW w:w="859" w:type="dxa"/>
            <w:tcBorders>
              <w:top w:val="single" w:sz="2" w:space="0" w:color="000000"/>
              <w:left w:val="single" w:sz="2" w:space="0" w:color="000000"/>
              <w:bottom w:val="single" w:sz="2" w:space="0" w:color="000000"/>
            </w:tcBorders>
            <w:shd w:val="clear" w:color="auto" w:fill="auto"/>
            <w:tcMar>
              <w:top w:w="55" w:type="dxa"/>
              <w:left w:w="55" w:type="dxa"/>
              <w:bottom w:w="55" w:type="dxa"/>
              <w:right w:w="55" w:type="dxa"/>
            </w:tcMar>
          </w:tcPr>
          <w:p w:rsidR="00FD3142" w:rsidRDefault="00B753C7" w:rsidP="00FD3142">
            <w:pPr>
              <w:jc w:val="center"/>
              <w:rPr>
                <w:rFonts w:cs="Times New Roman"/>
                <w:sz w:val="22"/>
                <w:szCs w:val="22"/>
              </w:rPr>
            </w:pPr>
            <w:r>
              <w:rPr>
                <w:rFonts w:cs="Times New Roman"/>
                <w:sz w:val="22"/>
                <w:szCs w:val="22"/>
              </w:rPr>
              <w:t>17</w:t>
            </w:r>
          </w:p>
        </w:tc>
        <w:tc>
          <w:tcPr>
            <w:tcW w:w="839" w:type="dxa"/>
            <w:tcBorders>
              <w:top w:val="single" w:sz="2" w:space="0" w:color="000000"/>
              <w:left w:val="single" w:sz="2" w:space="0" w:color="000000"/>
              <w:bottom w:val="single" w:sz="2" w:space="0" w:color="000000"/>
            </w:tcBorders>
            <w:shd w:val="clear" w:color="auto" w:fill="auto"/>
            <w:tcMar>
              <w:top w:w="55" w:type="dxa"/>
              <w:left w:w="55" w:type="dxa"/>
              <w:bottom w:w="55" w:type="dxa"/>
              <w:right w:w="55" w:type="dxa"/>
            </w:tcMar>
          </w:tcPr>
          <w:p w:rsidR="00FD3142" w:rsidRDefault="00FD3142" w:rsidP="00FD3142">
            <w:pPr>
              <w:jc w:val="center"/>
              <w:rPr>
                <w:rFonts w:cs="Times New Roman"/>
                <w:sz w:val="22"/>
                <w:szCs w:val="22"/>
              </w:rPr>
            </w:pPr>
            <w:r>
              <w:rPr>
                <w:rFonts w:cs="Times New Roman"/>
                <w:sz w:val="22"/>
                <w:szCs w:val="22"/>
              </w:rPr>
              <w:t>2</w:t>
            </w:r>
          </w:p>
        </w:tc>
        <w:tc>
          <w:tcPr>
            <w:tcW w:w="993" w:type="dxa"/>
            <w:tcBorders>
              <w:top w:val="single" w:sz="2" w:space="0" w:color="000000"/>
              <w:left w:val="single" w:sz="2" w:space="0" w:color="000000"/>
              <w:bottom w:val="single" w:sz="2" w:space="0" w:color="000000"/>
            </w:tcBorders>
            <w:shd w:val="clear" w:color="auto" w:fill="auto"/>
            <w:tcMar>
              <w:top w:w="55" w:type="dxa"/>
              <w:left w:w="55" w:type="dxa"/>
              <w:bottom w:w="55" w:type="dxa"/>
              <w:right w:w="55" w:type="dxa"/>
            </w:tcMar>
          </w:tcPr>
          <w:p w:rsidR="00FD3142" w:rsidRDefault="00FD3142" w:rsidP="00FD3142">
            <w:pPr>
              <w:jc w:val="center"/>
              <w:rPr>
                <w:rFonts w:cs="Times New Roman"/>
                <w:sz w:val="22"/>
                <w:szCs w:val="22"/>
              </w:rPr>
            </w:pPr>
            <w:r>
              <w:rPr>
                <w:rFonts w:cs="Times New Roman"/>
                <w:sz w:val="22"/>
                <w:szCs w:val="22"/>
              </w:rPr>
              <w:t>Unidade</w:t>
            </w:r>
          </w:p>
        </w:tc>
        <w:tc>
          <w:tcPr>
            <w:tcW w:w="4616" w:type="dxa"/>
            <w:tcBorders>
              <w:top w:val="single" w:sz="2" w:space="0" w:color="000000"/>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rsidR="00FD3142" w:rsidRDefault="00FD3142" w:rsidP="00FD3142">
            <w:pPr>
              <w:jc w:val="center"/>
              <w:rPr>
                <w:rFonts w:cs="Times New Roman"/>
                <w:color w:val="000000"/>
                <w:sz w:val="22"/>
                <w:szCs w:val="22"/>
              </w:rPr>
            </w:pPr>
            <w:r>
              <w:rPr>
                <w:rFonts w:cs="Times New Roman"/>
                <w:color w:val="000000"/>
                <w:sz w:val="22"/>
                <w:szCs w:val="22"/>
              </w:rPr>
              <w:t xml:space="preserve">Slide Board – plataforma deslizante </w:t>
            </w:r>
          </w:p>
          <w:p w:rsidR="00FD3142" w:rsidRDefault="00FD3142" w:rsidP="00FD3142">
            <w:pPr>
              <w:jc w:val="center"/>
              <w:rPr>
                <w:rFonts w:cs="Times New Roman"/>
                <w:color w:val="000000"/>
                <w:sz w:val="22"/>
                <w:szCs w:val="22"/>
              </w:rPr>
            </w:pPr>
            <w:r>
              <w:rPr>
                <w:rFonts w:cs="Times New Roman"/>
                <w:color w:val="000000"/>
                <w:sz w:val="22"/>
                <w:szCs w:val="22"/>
              </w:rPr>
              <w:t>Tamanho: 2 metros de</w:t>
            </w:r>
            <w:r>
              <w:rPr>
                <w:rFonts w:cs="Times New Roman"/>
                <w:color w:val="000000"/>
                <w:sz w:val="22"/>
                <w:szCs w:val="22"/>
              </w:rPr>
              <w:br/>
              <w:t>comprimento;</w:t>
            </w:r>
            <w:r>
              <w:rPr>
                <w:rFonts w:cs="Times New Roman"/>
                <w:color w:val="000000"/>
                <w:sz w:val="22"/>
                <w:szCs w:val="22"/>
              </w:rPr>
              <w:br/>
              <w:t>Largura: 50 cm;</w:t>
            </w:r>
            <w:r>
              <w:rPr>
                <w:rFonts w:cs="Times New Roman"/>
                <w:color w:val="000000"/>
                <w:sz w:val="22"/>
                <w:szCs w:val="22"/>
              </w:rPr>
              <w:br/>
              <w:t>Base: Antiderrapante (quase todas</w:t>
            </w:r>
            <w:r>
              <w:rPr>
                <w:rFonts w:cs="Times New Roman"/>
                <w:color w:val="000000"/>
                <w:sz w:val="22"/>
                <w:szCs w:val="22"/>
              </w:rPr>
              <w:br/>
              <w:t>as superfícies);</w:t>
            </w:r>
            <w:r>
              <w:rPr>
                <w:rFonts w:cs="Times New Roman"/>
                <w:color w:val="000000"/>
                <w:sz w:val="22"/>
                <w:szCs w:val="22"/>
              </w:rPr>
              <w:br/>
              <w:t>Apoio Lateral: Madeira;</w:t>
            </w:r>
            <w:r>
              <w:rPr>
                <w:rFonts w:cs="Times New Roman"/>
                <w:color w:val="000000"/>
                <w:sz w:val="22"/>
                <w:szCs w:val="22"/>
              </w:rPr>
              <w:br/>
              <w:t>Alças laterais: Transporte fácil e</w:t>
            </w:r>
            <w:r>
              <w:rPr>
                <w:rFonts w:cs="Times New Roman"/>
                <w:color w:val="000000"/>
                <w:sz w:val="22"/>
                <w:szCs w:val="22"/>
              </w:rPr>
              <w:br/>
              <w:t>com maior resistência;</w:t>
            </w:r>
            <w:r>
              <w:rPr>
                <w:rFonts w:cs="Times New Roman"/>
                <w:color w:val="000000"/>
                <w:sz w:val="22"/>
                <w:szCs w:val="22"/>
              </w:rPr>
              <w:br/>
              <w:t>Cinta: Para fixa-lo ao enrolar;</w:t>
            </w:r>
          </w:p>
          <w:p w:rsidR="00FD3142" w:rsidRDefault="00FD3142" w:rsidP="00FD3142">
            <w:pPr>
              <w:jc w:val="center"/>
              <w:rPr>
                <w:rFonts w:cs="Times New Roman"/>
                <w:color w:val="000000"/>
                <w:sz w:val="22"/>
                <w:szCs w:val="22"/>
              </w:rPr>
            </w:pPr>
          </w:p>
        </w:tc>
        <w:tc>
          <w:tcPr>
            <w:tcW w:w="1195" w:type="dxa"/>
            <w:tcBorders>
              <w:top w:val="single" w:sz="2" w:space="0" w:color="000000"/>
              <w:left w:val="single" w:sz="2" w:space="0" w:color="000000"/>
              <w:bottom w:val="single" w:sz="2" w:space="0" w:color="000000"/>
              <w:right w:val="single" w:sz="2" w:space="0" w:color="000000"/>
            </w:tcBorders>
            <w:shd w:val="clear" w:color="auto" w:fill="auto"/>
            <w:tcMar>
              <w:top w:w="55" w:type="dxa"/>
              <w:left w:w="55" w:type="dxa"/>
              <w:bottom w:w="55" w:type="dxa"/>
              <w:right w:w="55" w:type="dxa"/>
            </w:tcMar>
            <w:vAlign w:val="center"/>
          </w:tcPr>
          <w:p w:rsidR="00FD3142" w:rsidRDefault="00FD3142" w:rsidP="00FD3142">
            <w:pPr>
              <w:jc w:val="center"/>
              <w:rPr>
                <w:rFonts w:cs="Times New Roman"/>
                <w:sz w:val="22"/>
                <w:szCs w:val="22"/>
              </w:rPr>
            </w:pPr>
            <w:r>
              <w:rPr>
                <w:rFonts w:cs="Times New Roman"/>
                <w:sz w:val="22"/>
                <w:szCs w:val="22"/>
              </w:rPr>
              <w:t>*427408</w:t>
            </w:r>
          </w:p>
        </w:tc>
        <w:tc>
          <w:tcPr>
            <w:tcW w:w="1418" w:type="dxa"/>
            <w:tcBorders>
              <w:top w:val="single" w:sz="2" w:space="0" w:color="000000"/>
              <w:left w:val="single" w:sz="2" w:space="0" w:color="000000"/>
              <w:bottom w:val="single" w:sz="2" w:space="0" w:color="000000"/>
              <w:right w:val="single" w:sz="2" w:space="0" w:color="000000"/>
            </w:tcBorders>
            <w:shd w:val="clear" w:color="auto" w:fill="auto"/>
            <w:tcMar>
              <w:top w:w="0" w:type="dxa"/>
              <w:left w:w="10" w:type="dxa"/>
              <w:bottom w:w="0" w:type="dxa"/>
              <w:right w:w="10" w:type="dxa"/>
            </w:tcMar>
          </w:tcPr>
          <w:p w:rsidR="00FD3142" w:rsidRDefault="00FD3142" w:rsidP="00FD3142">
            <w:pPr>
              <w:spacing w:before="525" w:after="285"/>
              <w:jc w:val="center"/>
              <w:rPr>
                <w:rFonts w:cs="Times New Roman"/>
              </w:rPr>
            </w:pPr>
          </w:p>
          <w:p w:rsidR="00FD3142" w:rsidRDefault="00FD3142" w:rsidP="00FD3142">
            <w:pPr>
              <w:spacing w:before="525" w:after="285"/>
              <w:jc w:val="center"/>
              <w:rPr>
                <w:rFonts w:cs="Times New Roman"/>
              </w:rPr>
            </w:pPr>
            <w:r>
              <w:rPr>
                <w:rFonts w:cs="Times New Roman"/>
              </w:rPr>
              <w:t>R$498,00</w:t>
            </w:r>
          </w:p>
        </w:tc>
      </w:tr>
      <w:tr w:rsidR="00FD3142" w:rsidTr="00FD3142">
        <w:trPr>
          <w:trHeight w:val="119"/>
          <w:jc w:val="center"/>
        </w:trPr>
        <w:tc>
          <w:tcPr>
            <w:tcW w:w="859" w:type="dxa"/>
            <w:tcBorders>
              <w:top w:val="single" w:sz="2" w:space="0" w:color="000000"/>
              <w:left w:val="single" w:sz="2" w:space="0" w:color="000000"/>
              <w:bottom w:val="single" w:sz="2" w:space="0" w:color="000000"/>
            </w:tcBorders>
            <w:shd w:val="clear" w:color="auto" w:fill="auto"/>
            <w:tcMar>
              <w:top w:w="55" w:type="dxa"/>
              <w:left w:w="55" w:type="dxa"/>
              <w:bottom w:w="55" w:type="dxa"/>
              <w:right w:w="55" w:type="dxa"/>
            </w:tcMar>
          </w:tcPr>
          <w:p w:rsidR="00FD3142" w:rsidRDefault="00B753C7" w:rsidP="00FD3142">
            <w:pPr>
              <w:jc w:val="center"/>
              <w:rPr>
                <w:rFonts w:cs="Times New Roman"/>
                <w:sz w:val="22"/>
                <w:szCs w:val="22"/>
              </w:rPr>
            </w:pPr>
            <w:r>
              <w:rPr>
                <w:rFonts w:cs="Times New Roman"/>
                <w:sz w:val="22"/>
                <w:szCs w:val="22"/>
              </w:rPr>
              <w:lastRenderedPageBreak/>
              <w:t>18</w:t>
            </w:r>
          </w:p>
        </w:tc>
        <w:tc>
          <w:tcPr>
            <w:tcW w:w="839" w:type="dxa"/>
            <w:tcBorders>
              <w:top w:val="single" w:sz="2" w:space="0" w:color="000000"/>
              <w:left w:val="single" w:sz="2" w:space="0" w:color="000000"/>
              <w:bottom w:val="single" w:sz="2" w:space="0" w:color="000000"/>
            </w:tcBorders>
            <w:shd w:val="clear" w:color="auto" w:fill="auto"/>
            <w:tcMar>
              <w:top w:w="55" w:type="dxa"/>
              <w:left w:w="55" w:type="dxa"/>
              <w:bottom w:w="55" w:type="dxa"/>
              <w:right w:w="55" w:type="dxa"/>
            </w:tcMar>
          </w:tcPr>
          <w:p w:rsidR="00FD3142" w:rsidRDefault="00FD3142" w:rsidP="00FD3142">
            <w:pPr>
              <w:jc w:val="center"/>
              <w:rPr>
                <w:rFonts w:cs="Times New Roman"/>
                <w:sz w:val="22"/>
                <w:szCs w:val="22"/>
              </w:rPr>
            </w:pPr>
            <w:r>
              <w:rPr>
                <w:rFonts w:cs="Times New Roman"/>
                <w:sz w:val="22"/>
                <w:szCs w:val="22"/>
              </w:rPr>
              <w:t>1</w:t>
            </w:r>
          </w:p>
        </w:tc>
        <w:tc>
          <w:tcPr>
            <w:tcW w:w="993" w:type="dxa"/>
            <w:tcBorders>
              <w:top w:val="single" w:sz="2" w:space="0" w:color="000000"/>
              <w:left w:val="single" w:sz="2" w:space="0" w:color="000000"/>
              <w:bottom w:val="single" w:sz="2" w:space="0" w:color="000000"/>
            </w:tcBorders>
            <w:shd w:val="clear" w:color="auto" w:fill="auto"/>
            <w:tcMar>
              <w:top w:w="55" w:type="dxa"/>
              <w:left w:w="55" w:type="dxa"/>
              <w:bottom w:w="55" w:type="dxa"/>
              <w:right w:w="55" w:type="dxa"/>
            </w:tcMar>
          </w:tcPr>
          <w:p w:rsidR="00FD3142" w:rsidRDefault="00FD3142" w:rsidP="00FD3142">
            <w:pPr>
              <w:jc w:val="center"/>
              <w:rPr>
                <w:rFonts w:cs="Times New Roman"/>
                <w:sz w:val="22"/>
                <w:szCs w:val="22"/>
              </w:rPr>
            </w:pPr>
            <w:r>
              <w:rPr>
                <w:rFonts w:cs="Times New Roman"/>
                <w:sz w:val="22"/>
                <w:szCs w:val="22"/>
              </w:rPr>
              <w:t>Unidade</w:t>
            </w:r>
          </w:p>
        </w:tc>
        <w:tc>
          <w:tcPr>
            <w:tcW w:w="4616" w:type="dxa"/>
            <w:tcBorders>
              <w:top w:val="single" w:sz="2" w:space="0" w:color="000000"/>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rsidR="00FD3142" w:rsidRDefault="00FD3142" w:rsidP="00FD3142">
            <w:pPr>
              <w:jc w:val="center"/>
              <w:rPr>
                <w:rFonts w:cs="Times New Roman"/>
                <w:color w:val="000000"/>
                <w:sz w:val="22"/>
                <w:szCs w:val="22"/>
              </w:rPr>
            </w:pPr>
            <w:r>
              <w:rPr>
                <w:rFonts w:cs="Times New Roman"/>
                <w:color w:val="000000"/>
                <w:sz w:val="22"/>
                <w:szCs w:val="22"/>
              </w:rPr>
              <w:t xml:space="preserve">Ciclo ergômetro de braço com monitor – </w:t>
            </w:r>
          </w:p>
          <w:p w:rsidR="00FD3142" w:rsidRDefault="00FD3142" w:rsidP="00FD3142">
            <w:pPr>
              <w:jc w:val="center"/>
              <w:rPr>
                <w:rFonts w:cs="Times New Roman"/>
                <w:color w:val="000000"/>
                <w:sz w:val="22"/>
                <w:szCs w:val="22"/>
              </w:rPr>
            </w:pPr>
            <w:r>
              <w:rPr>
                <w:rFonts w:cs="Times New Roman"/>
                <w:color w:val="000000"/>
                <w:sz w:val="22"/>
                <w:szCs w:val="22"/>
              </w:rPr>
              <w:t>Em aço e plástico ABS,</w:t>
            </w:r>
            <w:r>
              <w:rPr>
                <w:rFonts w:cs="Times New Roman"/>
                <w:color w:val="000000"/>
                <w:sz w:val="22"/>
                <w:szCs w:val="22"/>
              </w:rPr>
              <w:br/>
              <w:t>proporcionando durabilidade e</w:t>
            </w:r>
            <w:r>
              <w:rPr>
                <w:rFonts w:cs="Times New Roman"/>
                <w:color w:val="000000"/>
                <w:sz w:val="22"/>
                <w:szCs w:val="22"/>
              </w:rPr>
              <w:br/>
              <w:t>resistência ao produto. A</w:t>
            </w:r>
            <w:r>
              <w:rPr>
                <w:rFonts w:cs="Times New Roman"/>
                <w:color w:val="000000"/>
                <w:sz w:val="22"/>
                <w:szCs w:val="22"/>
              </w:rPr>
              <w:br/>
              <w:t>intensidade é magnética, possui</w:t>
            </w:r>
            <w:r>
              <w:rPr>
                <w:rFonts w:cs="Times New Roman"/>
                <w:color w:val="000000"/>
                <w:sz w:val="22"/>
                <w:szCs w:val="22"/>
              </w:rPr>
              <w:br/>
              <w:t>botão para ajustes, e ainda, para</w:t>
            </w:r>
            <w:r>
              <w:rPr>
                <w:rFonts w:cs="Times New Roman"/>
                <w:color w:val="000000"/>
                <w:sz w:val="22"/>
                <w:szCs w:val="22"/>
              </w:rPr>
              <w:br/>
              <w:t>variar os biotipos, a bike possui</w:t>
            </w:r>
            <w:r>
              <w:rPr>
                <w:rFonts w:cs="Times New Roman"/>
                <w:color w:val="000000"/>
                <w:sz w:val="22"/>
                <w:szCs w:val="22"/>
              </w:rPr>
              <w:br/>
              <w:t>capacidade máxima de até 100</w:t>
            </w:r>
            <w:r>
              <w:rPr>
                <w:rFonts w:cs="Times New Roman"/>
                <w:color w:val="000000"/>
                <w:sz w:val="22"/>
                <w:szCs w:val="22"/>
              </w:rPr>
              <w:br/>
              <w:t>Kg</w:t>
            </w:r>
          </w:p>
          <w:p w:rsidR="00FD3142" w:rsidRDefault="00FD3142" w:rsidP="00FD3142">
            <w:pPr>
              <w:jc w:val="center"/>
              <w:rPr>
                <w:rFonts w:cs="Times New Roman"/>
                <w:color w:val="000000"/>
                <w:sz w:val="22"/>
                <w:szCs w:val="22"/>
              </w:rPr>
            </w:pPr>
          </w:p>
        </w:tc>
        <w:tc>
          <w:tcPr>
            <w:tcW w:w="1195" w:type="dxa"/>
            <w:tcBorders>
              <w:top w:val="single" w:sz="2" w:space="0" w:color="000000"/>
              <w:left w:val="single" w:sz="2" w:space="0" w:color="000000"/>
              <w:bottom w:val="single" w:sz="2" w:space="0" w:color="000000"/>
              <w:right w:val="single" w:sz="2" w:space="0" w:color="000000"/>
            </w:tcBorders>
            <w:shd w:val="clear" w:color="auto" w:fill="auto"/>
            <w:tcMar>
              <w:top w:w="55" w:type="dxa"/>
              <w:left w:w="55" w:type="dxa"/>
              <w:bottom w:w="55" w:type="dxa"/>
              <w:right w:w="55" w:type="dxa"/>
            </w:tcMar>
            <w:vAlign w:val="center"/>
          </w:tcPr>
          <w:p w:rsidR="00FD3142" w:rsidRDefault="00FD3142" w:rsidP="00FD3142">
            <w:pPr>
              <w:jc w:val="center"/>
              <w:rPr>
                <w:rFonts w:cs="Times New Roman"/>
                <w:sz w:val="22"/>
                <w:szCs w:val="22"/>
              </w:rPr>
            </w:pPr>
            <w:r>
              <w:rPr>
                <w:rFonts w:cs="Times New Roman"/>
                <w:sz w:val="22"/>
                <w:szCs w:val="22"/>
              </w:rPr>
              <w:t>*379987</w:t>
            </w:r>
          </w:p>
        </w:tc>
        <w:tc>
          <w:tcPr>
            <w:tcW w:w="1418" w:type="dxa"/>
            <w:tcBorders>
              <w:top w:val="single" w:sz="2" w:space="0" w:color="000000"/>
              <w:left w:val="single" w:sz="2" w:space="0" w:color="000000"/>
              <w:bottom w:val="single" w:sz="2" w:space="0" w:color="000000"/>
              <w:right w:val="single" w:sz="2" w:space="0" w:color="000000"/>
            </w:tcBorders>
            <w:shd w:val="clear" w:color="auto" w:fill="auto"/>
            <w:tcMar>
              <w:top w:w="0" w:type="dxa"/>
              <w:left w:w="10" w:type="dxa"/>
              <w:bottom w:w="0" w:type="dxa"/>
              <w:right w:w="10" w:type="dxa"/>
            </w:tcMar>
          </w:tcPr>
          <w:p w:rsidR="00FD3142" w:rsidRDefault="00FD3142" w:rsidP="00FD3142">
            <w:pPr>
              <w:spacing w:before="525" w:after="285"/>
              <w:jc w:val="center"/>
              <w:rPr>
                <w:rFonts w:cs="Times New Roman"/>
              </w:rPr>
            </w:pPr>
          </w:p>
          <w:p w:rsidR="00FD3142" w:rsidRDefault="00FD3142" w:rsidP="00FD3142">
            <w:pPr>
              <w:spacing w:before="525" w:after="285"/>
              <w:jc w:val="center"/>
              <w:rPr>
                <w:rFonts w:cs="Times New Roman"/>
              </w:rPr>
            </w:pPr>
            <w:r>
              <w:rPr>
                <w:rFonts w:cs="Times New Roman"/>
              </w:rPr>
              <w:t>R$588,47</w:t>
            </w:r>
          </w:p>
        </w:tc>
      </w:tr>
      <w:tr w:rsidR="00FD3142" w:rsidTr="00FD3142">
        <w:trPr>
          <w:trHeight w:val="119"/>
          <w:jc w:val="center"/>
        </w:trPr>
        <w:tc>
          <w:tcPr>
            <w:tcW w:w="859" w:type="dxa"/>
            <w:tcBorders>
              <w:top w:val="single" w:sz="2" w:space="0" w:color="000000"/>
              <w:left w:val="single" w:sz="2" w:space="0" w:color="000000"/>
              <w:bottom w:val="single" w:sz="2" w:space="0" w:color="000000"/>
            </w:tcBorders>
            <w:shd w:val="clear" w:color="auto" w:fill="auto"/>
            <w:tcMar>
              <w:top w:w="55" w:type="dxa"/>
              <w:left w:w="55" w:type="dxa"/>
              <w:bottom w:w="55" w:type="dxa"/>
              <w:right w:w="55" w:type="dxa"/>
            </w:tcMar>
          </w:tcPr>
          <w:p w:rsidR="00FD3142" w:rsidRDefault="00B753C7" w:rsidP="00FD3142">
            <w:pPr>
              <w:jc w:val="center"/>
              <w:rPr>
                <w:rFonts w:cs="Times New Roman"/>
                <w:sz w:val="22"/>
                <w:szCs w:val="22"/>
              </w:rPr>
            </w:pPr>
            <w:r>
              <w:rPr>
                <w:rFonts w:cs="Times New Roman"/>
                <w:sz w:val="22"/>
                <w:szCs w:val="22"/>
              </w:rPr>
              <w:t>19</w:t>
            </w:r>
          </w:p>
        </w:tc>
        <w:tc>
          <w:tcPr>
            <w:tcW w:w="839" w:type="dxa"/>
            <w:tcBorders>
              <w:top w:val="single" w:sz="2" w:space="0" w:color="000000"/>
              <w:left w:val="single" w:sz="2" w:space="0" w:color="000000"/>
              <w:bottom w:val="single" w:sz="2" w:space="0" w:color="000000"/>
            </w:tcBorders>
            <w:shd w:val="clear" w:color="auto" w:fill="auto"/>
            <w:tcMar>
              <w:top w:w="55" w:type="dxa"/>
              <w:left w:w="55" w:type="dxa"/>
              <w:bottom w:w="55" w:type="dxa"/>
              <w:right w:w="55" w:type="dxa"/>
            </w:tcMar>
          </w:tcPr>
          <w:p w:rsidR="00FD3142" w:rsidRDefault="00FD3142" w:rsidP="00FD3142">
            <w:pPr>
              <w:jc w:val="center"/>
              <w:rPr>
                <w:rFonts w:cs="Times New Roman"/>
                <w:sz w:val="22"/>
                <w:szCs w:val="22"/>
              </w:rPr>
            </w:pPr>
            <w:r>
              <w:rPr>
                <w:rFonts w:cs="Times New Roman"/>
                <w:sz w:val="22"/>
                <w:szCs w:val="22"/>
              </w:rPr>
              <w:t>1</w:t>
            </w:r>
          </w:p>
        </w:tc>
        <w:tc>
          <w:tcPr>
            <w:tcW w:w="993" w:type="dxa"/>
            <w:tcBorders>
              <w:top w:val="single" w:sz="2" w:space="0" w:color="000000"/>
              <w:left w:val="single" w:sz="2" w:space="0" w:color="000000"/>
              <w:bottom w:val="single" w:sz="2" w:space="0" w:color="000000"/>
            </w:tcBorders>
            <w:shd w:val="clear" w:color="auto" w:fill="auto"/>
            <w:tcMar>
              <w:top w:w="55" w:type="dxa"/>
              <w:left w:w="55" w:type="dxa"/>
              <w:bottom w:w="55" w:type="dxa"/>
              <w:right w:w="55" w:type="dxa"/>
            </w:tcMar>
          </w:tcPr>
          <w:p w:rsidR="00FD3142" w:rsidRDefault="00FD3142" w:rsidP="00FD3142">
            <w:pPr>
              <w:jc w:val="center"/>
              <w:rPr>
                <w:rFonts w:cs="Times New Roman"/>
                <w:sz w:val="22"/>
                <w:szCs w:val="22"/>
              </w:rPr>
            </w:pPr>
            <w:r>
              <w:rPr>
                <w:rFonts w:cs="Times New Roman"/>
                <w:sz w:val="22"/>
                <w:szCs w:val="22"/>
              </w:rPr>
              <w:t>Unidade</w:t>
            </w:r>
          </w:p>
        </w:tc>
        <w:tc>
          <w:tcPr>
            <w:tcW w:w="4616" w:type="dxa"/>
            <w:tcBorders>
              <w:top w:val="single" w:sz="2" w:space="0" w:color="000000"/>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rsidR="00FD3142" w:rsidRDefault="00FD3142" w:rsidP="00FD3142">
            <w:pPr>
              <w:jc w:val="center"/>
              <w:rPr>
                <w:rFonts w:cs="Times New Roman"/>
                <w:color w:val="000000"/>
                <w:sz w:val="22"/>
                <w:szCs w:val="22"/>
              </w:rPr>
            </w:pPr>
            <w:r>
              <w:rPr>
                <w:rFonts w:cs="Times New Roman"/>
                <w:color w:val="000000"/>
                <w:sz w:val="22"/>
                <w:szCs w:val="22"/>
              </w:rPr>
              <w:t>Enrolador de Capa Térmica - produzido em aço inox com tubos de alumínio ele é um item indispensável. Para um fácil manuseio da capa térmica.Ele é composto pela base em aço inox e um conjunto com 3 tubos de alumínio de 1,75. O enrolador aberto tem a largura total de 4,35m e suporta uma capa térmica de no máximo 4,00x25,00 m.</w:t>
            </w:r>
          </w:p>
          <w:p w:rsidR="00FD3142" w:rsidRDefault="00FD3142" w:rsidP="00FD3142">
            <w:pPr>
              <w:jc w:val="center"/>
              <w:rPr>
                <w:rFonts w:cs="Times New Roman"/>
                <w:color w:val="000000"/>
                <w:sz w:val="22"/>
                <w:szCs w:val="22"/>
              </w:rPr>
            </w:pPr>
          </w:p>
        </w:tc>
        <w:tc>
          <w:tcPr>
            <w:tcW w:w="1195" w:type="dxa"/>
            <w:tcBorders>
              <w:top w:val="single" w:sz="2" w:space="0" w:color="000000"/>
              <w:left w:val="single" w:sz="2" w:space="0" w:color="000000"/>
              <w:bottom w:val="single" w:sz="2" w:space="0" w:color="000000"/>
              <w:right w:val="single" w:sz="2" w:space="0" w:color="000000"/>
            </w:tcBorders>
            <w:shd w:val="clear" w:color="auto" w:fill="auto"/>
            <w:tcMar>
              <w:top w:w="55" w:type="dxa"/>
              <w:left w:w="55" w:type="dxa"/>
              <w:bottom w:w="55" w:type="dxa"/>
              <w:right w:w="55" w:type="dxa"/>
            </w:tcMar>
            <w:vAlign w:val="center"/>
          </w:tcPr>
          <w:p w:rsidR="00FD3142" w:rsidRDefault="00FD3142" w:rsidP="00FD3142">
            <w:pPr>
              <w:jc w:val="center"/>
              <w:rPr>
                <w:rFonts w:cs="Times New Roman"/>
                <w:sz w:val="22"/>
                <w:szCs w:val="22"/>
              </w:rPr>
            </w:pPr>
            <w:r>
              <w:rPr>
                <w:rFonts w:cs="Times New Roman"/>
                <w:sz w:val="22"/>
                <w:szCs w:val="22"/>
              </w:rPr>
              <w:t>**479298</w:t>
            </w:r>
          </w:p>
        </w:tc>
        <w:tc>
          <w:tcPr>
            <w:tcW w:w="1418" w:type="dxa"/>
            <w:tcBorders>
              <w:top w:val="single" w:sz="2" w:space="0" w:color="000000"/>
              <w:left w:val="single" w:sz="2" w:space="0" w:color="000000"/>
              <w:bottom w:val="single" w:sz="2" w:space="0" w:color="000000"/>
              <w:right w:val="single" w:sz="2" w:space="0" w:color="000000"/>
            </w:tcBorders>
            <w:shd w:val="clear" w:color="auto" w:fill="auto"/>
            <w:tcMar>
              <w:top w:w="0" w:type="dxa"/>
              <w:left w:w="10" w:type="dxa"/>
              <w:bottom w:w="0" w:type="dxa"/>
              <w:right w:w="10" w:type="dxa"/>
            </w:tcMar>
          </w:tcPr>
          <w:p w:rsidR="00FD3142" w:rsidRDefault="00FD3142" w:rsidP="00FD3142">
            <w:pPr>
              <w:spacing w:before="525" w:after="285"/>
              <w:jc w:val="center"/>
              <w:rPr>
                <w:rFonts w:cs="Times New Roman"/>
              </w:rPr>
            </w:pPr>
          </w:p>
          <w:p w:rsidR="00FD3142" w:rsidRDefault="00FD3142" w:rsidP="00FD3142">
            <w:pPr>
              <w:spacing w:before="525" w:after="285"/>
              <w:jc w:val="center"/>
              <w:rPr>
                <w:rFonts w:cs="Times New Roman"/>
              </w:rPr>
            </w:pPr>
            <w:r>
              <w:rPr>
                <w:rFonts w:cs="Times New Roman"/>
              </w:rPr>
              <w:t>R$ 2.778,28</w:t>
            </w:r>
          </w:p>
        </w:tc>
      </w:tr>
      <w:tr w:rsidR="00FD3142" w:rsidTr="00FD3142">
        <w:trPr>
          <w:trHeight w:val="119"/>
          <w:jc w:val="center"/>
        </w:trPr>
        <w:tc>
          <w:tcPr>
            <w:tcW w:w="859" w:type="dxa"/>
            <w:tcBorders>
              <w:top w:val="single" w:sz="2" w:space="0" w:color="000000"/>
              <w:left w:val="single" w:sz="2" w:space="0" w:color="000000"/>
              <w:bottom w:val="single" w:sz="2" w:space="0" w:color="000000"/>
            </w:tcBorders>
            <w:shd w:val="clear" w:color="auto" w:fill="auto"/>
            <w:tcMar>
              <w:top w:w="55" w:type="dxa"/>
              <w:left w:w="55" w:type="dxa"/>
              <w:bottom w:w="55" w:type="dxa"/>
              <w:right w:w="55" w:type="dxa"/>
            </w:tcMar>
          </w:tcPr>
          <w:p w:rsidR="00FD3142" w:rsidRDefault="00B753C7" w:rsidP="00FD3142">
            <w:pPr>
              <w:jc w:val="center"/>
              <w:rPr>
                <w:rFonts w:cs="Times New Roman"/>
                <w:sz w:val="22"/>
                <w:szCs w:val="22"/>
              </w:rPr>
            </w:pPr>
            <w:r>
              <w:rPr>
                <w:rFonts w:cs="Times New Roman"/>
                <w:sz w:val="22"/>
                <w:szCs w:val="22"/>
              </w:rPr>
              <w:t>20</w:t>
            </w:r>
          </w:p>
        </w:tc>
        <w:tc>
          <w:tcPr>
            <w:tcW w:w="839" w:type="dxa"/>
            <w:tcBorders>
              <w:top w:val="single" w:sz="2" w:space="0" w:color="000000"/>
              <w:left w:val="single" w:sz="2" w:space="0" w:color="000000"/>
              <w:bottom w:val="single" w:sz="2" w:space="0" w:color="000000"/>
            </w:tcBorders>
            <w:shd w:val="clear" w:color="auto" w:fill="auto"/>
            <w:tcMar>
              <w:top w:w="55" w:type="dxa"/>
              <w:left w:w="55" w:type="dxa"/>
              <w:bottom w:w="55" w:type="dxa"/>
              <w:right w:w="55" w:type="dxa"/>
            </w:tcMar>
          </w:tcPr>
          <w:p w:rsidR="00FD3142" w:rsidRDefault="00FD3142" w:rsidP="00FD3142">
            <w:pPr>
              <w:jc w:val="center"/>
              <w:rPr>
                <w:rFonts w:cs="Times New Roman"/>
                <w:sz w:val="22"/>
                <w:szCs w:val="22"/>
              </w:rPr>
            </w:pPr>
            <w:r>
              <w:rPr>
                <w:rFonts w:cs="Times New Roman"/>
                <w:sz w:val="22"/>
                <w:szCs w:val="22"/>
              </w:rPr>
              <w:t>1</w:t>
            </w:r>
          </w:p>
        </w:tc>
        <w:tc>
          <w:tcPr>
            <w:tcW w:w="993" w:type="dxa"/>
            <w:tcBorders>
              <w:top w:val="single" w:sz="2" w:space="0" w:color="000000"/>
              <w:left w:val="single" w:sz="2" w:space="0" w:color="000000"/>
              <w:bottom w:val="single" w:sz="2" w:space="0" w:color="000000"/>
            </w:tcBorders>
            <w:shd w:val="clear" w:color="auto" w:fill="auto"/>
            <w:tcMar>
              <w:top w:w="55" w:type="dxa"/>
              <w:left w:w="55" w:type="dxa"/>
              <w:bottom w:w="55" w:type="dxa"/>
              <w:right w:w="55" w:type="dxa"/>
            </w:tcMar>
          </w:tcPr>
          <w:p w:rsidR="00FD3142" w:rsidRDefault="00FD3142" w:rsidP="00FD3142">
            <w:pPr>
              <w:jc w:val="center"/>
              <w:rPr>
                <w:rFonts w:cs="Times New Roman"/>
                <w:sz w:val="22"/>
                <w:szCs w:val="22"/>
              </w:rPr>
            </w:pPr>
            <w:r>
              <w:rPr>
                <w:rFonts w:cs="Times New Roman"/>
                <w:sz w:val="22"/>
                <w:szCs w:val="22"/>
              </w:rPr>
              <w:t>Unidade</w:t>
            </w:r>
          </w:p>
        </w:tc>
        <w:tc>
          <w:tcPr>
            <w:tcW w:w="4616" w:type="dxa"/>
            <w:tcBorders>
              <w:top w:val="single" w:sz="2" w:space="0" w:color="000000"/>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rsidR="00FD3142" w:rsidRDefault="00FD3142" w:rsidP="00FD3142">
            <w:pPr>
              <w:jc w:val="center"/>
              <w:rPr>
                <w:rFonts w:cs="Times New Roman"/>
                <w:color w:val="000000"/>
                <w:sz w:val="22"/>
                <w:szCs w:val="22"/>
              </w:rPr>
            </w:pPr>
            <w:r>
              <w:rPr>
                <w:rFonts w:cs="Times New Roman"/>
                <w:color w:val="000000"/>
                <w:sz w:val="22"/>
                <w:szCs w:val="22"/>
              </w:rPr>
              <w:t>Aspirador de piscina –</w:t>
            </w:r>
          </w:p>
          <w:p w:rsidR="00FD3142" w:rsidRDefault="00FD3142" w:rsidP="00FD3142">
            <w:pPr>
              <w:jc w:val="center"/>
              <w:rPr>
                <w:rFonts w:cs="Times New Roman"/>
                <w:color w:val="000000"/>
                <w:sz w:val="22"/>
                <w:szCs w:val="22"/>
              </w:rPr>
            </w:pPr>
            <w:r>
              <w:rPr>
                <w:rFonts w:cs="Times New Roman"/>
                <w:color w:val="000000"/>
                <w:sz w:val="22"/>
                <w:szCs w:val="22"/>
              </w:rPr>
              <w:t xml:space="preserve"> O aspirador asa delta possui a</w:t>
            </w:r>
            <w:r>
              <w:rPr>
                <w:rFonts w:cs="Times New Roman"/>
                <w:color w:val="000000"/>
                <w:sz w:val="22"/>
                <w:szCs w:val="22"/>
              </w:rPr>
              <w:br/>
              <w:t>base envolvida por cerdas de</w:t>
            </w:r>
            <w:r>
              <w:rPr>
                <w:rFonts w:cs="Times New Roman"/>
                <w:color w:val="000000"/>
                <w:sz w:val="22"/>
                <w:szCs w:val="22"/>
              </w:rPr>
              <w:br/>
              <w:t>nylon e é confeccionado em</w:t>
            </w:r>
            <w:r>
              <w:rPr>
                <w:rFonts w:cs="Times New Roman"/>
                <w:color w:val="000000"/>
                <w:sz w:val="22"/>
                <w:szCs w:val="22"/>
              </w:rPr>
              <w:br/>
              <w:t>termoplásticos de alto padrão</w:t>
            </w:r>
            <w:r>
              <w:rPr>
                <w:rFonts w:cs="Times New Roman"/>
                <w:color w:val="000000"/>
                <w:sz w:val="22"/>
                <w:szCs w:val="22"/>
              </w:rPr>
              <w:br/>
              <w:t>(abs).</w:t>
            </w:r>
          </w:p>
          <w:p w:rsidR="00FD3142" w:rsidRDefault="00FD3142" w:rsidP="00FD3142">
            <w:pPr>
              <w:jc w:val="center"/>
              <w:rPr>
                <w:rFonts w:cs="Times New Roman"/>
                <w:color w:val="000000"/>
                <w:sz w:val="22"/>
                <w:szCs w:val="22"/>
              </w:rPr>
            </w:pPr>
          </w:p>
        </w:tc>
        <w:tc>
          <w:tcPr>
            <w:tcW w:w="1195" w:type="dxa"/>
            <w:tcBorders>
              <w:top w:val="single" w:sz="2" w:space="0" w:color="000000"/>
              <w:left w:val="single" w:sz="2" w:space="0" w:color="000000"/>
              <w:bottom w:val="single" w:sz="2" w:space="0" w:color="000000"/>
              <w:right w:val="single" w:sz="2" w:space="0" w:color="000000"/>
            </w:tcBorders>
            <w:shd w:val="clear" w:color="auto" w:fill="auto"/>
            <w:tcMar>
              <w:top w:w="55" w:type="dxa"/>
              <w:left w:w="55" w:type="dxa"/>
              <w:bottom w:w="55" w:type="dxa"/>
              <w:right w:w="55" w:type="dxa"/>
            </w:tcMar>
            <w:vAlign w:val="center"/>
          </w:tcPr>
          <w:p w:rsidR="00FD3142" w:rsidRDefault="00FD3142" w:rsidP="00FD3142">
            <w:pPr>
              <w:jc w:val="center"/>
              <w:rPr>
                <w:rFonts w:cs="Times New Roman"/>
                <w:sz w:val="22"/>
                <w:szCs w:val="22"/>
              </w:rPr>
            </w:pPr>
            <w:r>
              <w:rPr>
                <w:rFonts w:cs="Times New Roman"/>
                <w:sz w:val="22"/>
                <w:szCs w:val="22"/>
              </w:rPr>
              <w:t>*602202</w:t>
            </w:r>
          </w:p>
        </w:tc>
        <w:tc>
          <w:tcPr>
            <w:tcW w:w="1418" w:type="dxa"/>
            <w:tcBorders>
              <w:top w:val="single" w:sz="2" w:space="0" w:color="000000"/>
              <w:left w:val="single" w:sz="2" w:space="0" w:color="000000"/>
              <w:bottom w:val="single" w:sz="2" w:space="0" w:color="000000"/>
              <w:right w:val="single" w:sz="2" w:space="0" w:color="000000"/>
            </w:tcBorders>
            <w:shd w:val="clear" w:color="auto" w:fill="auto"/>
            <w:tcMar>
              <w:top w:w="0" w:type="dxa"/>
              <w:left w:w="10" w:type="dxa"/>
              <w:bottom w:w="0" w:type="dxa"/>
              <w:right w:w="10" w:type="dxa"/>
            </w:tcMar>
          </w:tcPr>
          <w:p w:rsidR="00FD3142" w:rsidRDefault="00FD3142" w:rsidP="00FD3142">
            <w:pPr>
              <w:spacing w:before="525" w:after="285"/>
              <w:jc w:val="center"/>
              <w:rPr>
                <w:rFonts w:cs="Times New Roman"/>
              </w:rPr>
            </w:pPr>
            <w:r>
              <w:rPr>
                <w:rFonts w:cs="Times New Roman"/>
              </w:rPr>
              <w:t>R$54,27</w:t>
            </w:r>
          </w:p>
        </w:tc>
      </w:tr>
      <w:tr w:rsidR="00FD3142" w:rsidTr="00FD3142">
        <w:trPr>
          <w:trHeight w:val="119"/>
          <w:jc w:val="center"/>
        </w:trPr>
        <w:tc>
          <w:tcPr>
            <w:tcW w:w="859" w:type="dxa"/>
            <w:tcBorders>
              <w:top w:val="single" w:sz="2" w:space="0" w:color="000000"/>
              <w:left w:val="single" w:sz="2" w:space="0" w:color="000000"/>
              <w:bottom w:val="single" w:sz="2" w:space="0" w:color="000000"/>
            </w:tcBorders>
            <w:shd w:val="clear" w:color="auto" w:fill="auto"/>
            <w:tcMar>
              <w:top w:w="55" w:type="dxa"/>
              <w:left w:w="55" w:type="dxa"/>
              <w:bottom w:w="55" w:type="dxa"/>
              <w:right w:w="55" w:type="dxa"/>
            </w:tcMar>
          </w:tcPr>
          <w:p w:rsidR="00FD3142" w:rsidRDefault="00B753C7" w:rsidP="00FD3142">
            <w:pPr>
              <w:jc w:val="center"/>
              <w:rPr>
                <w:rFonts w:cs="Times New Roman"/>
                <w:sz w:val="22"/>
                <w:szCs w:val="22"/>
              </w:rPr>
            </w:pPr>
            <w:r>
              <w:rPr>
                <w:rFonts w:cs="Times New Roman"/>
                <w:sz w:val="22"/>
                <w:szCs w:val="22"/>
              </w:rPr>
              <w:t>21</w:t>
            </w:r>
          </w:p>
        </w:tc>
        <w:tc>
          <w:tcPr>
            <w:tcW w:w="839" w:type="dxa"/>
            <w:tcBorders>
              <w:top w:val="single" w:sz="2" w:space="0" w:color="000000"/>
              <w:left w:val="single" w:sz="2" w:space="0" w:color="000000"/>
              <w:bottom w:val="single" w:sz="2" w:space="0" w:color="000000"/>
            </w:tcBorders>
            <w:shd w:val="clear" w:color="auto" w:fill="auto"/>
            <w:tcMar>
              <w:top w:w="55" w:type="dxa"/>
              <w:left w:w="55" w:type="dxa"/>
              <w:bottom w:w="55" w:type="dxa"/>
              <w:right w:w="55" w:type="dxa"/>
            </w:tcMar>
          </w:tcPr>
          <w:p w:rsidR="00FD3142" w:rsidRDefault="00FD3142" w:rsidP="00FD3142">
            <w:pPr>
              <w:jc w:val="center"/>
              <w:rPr>
                <w:rFonts w:cs="Times New Roman"/>
                <w:sz w:val="22"/>
                <w:szCs w:val="22"/>
              </w:rPr>
            </w:pPr>
            <w:r>
              <w:rPr>
                <w:rFonts w:cs="Times New Roman"/>
                <w:sz w:val="22"/>
                <w:szCs w:val="22"/>
              </w:rPr>
              <w:t>3</w:t>
            </w:r>
          </w:p>
        </w:tc>
        <w:tc>
          <w:tcPr>
            <w:tcW w:w="993" w:type="dxa"/>
            <w:tcBorders>
              <w:top w:val="single" w:sz="2" w:space="0" w:color="000000"/>
              <w:left w:val="single" w:sz="2" w:space="0" w:color="000000"/>
              <w:bottom w:val="single" w:sz="2" w:space="0" w:color="000000"/>
            </w:tcBorders>
            <w:shd w:val="clear" w:color="auto" w:fill="auto"/>
            <w:tcMar>
              <w:top w:w="55" w:type="dxa"/>
              <w:left w:w="55" w:type="dxa"/>
              <w:bottom w:w="55" w:type="dxa"/>
              <w:right w:w="55" w:type="dxa"/>
            </w:tcMar>
          </w:tcPr>
          <w:p w:rsidR="00FD3142" w:rsidRDefault="00FD3142" w:rsidP="00FD3142">
            <w:pPr>
              <w:jc w:val="center"/>
              <w:rPr>
                <w:rFonts w:cs="Times New Roman"/>
                <w:sz w:val="22"/>
                <w:szCs w:val="22"/>
              </w:rPr>
            </w:pPr>
            <w:r>
              <w:rPr>
                <w:rFonts w:cs="Times New Roman"/>
                <w:sz w:val="22"/>
                <w:szCs w:val="22"/>
              </w:rPr>
              <w:t>Unidade</w:t>
            </w:r>
          </w:p>
        </w:tc>
        <w:tc>
          <w:tcPr>
            <w:tcW w:w="4616" w:type="dxa"/>
            <w:tcBorders>
              <w:top w:val="single" w:sz="2" w:space="0" w:color="000000"/>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rsidR="00FD3142" w:rsidRDefault="00FD3142" w:rsidP="00FD3142">
            <w:pPr>
              <w:jc w:val="center"/>
              <w:rPr>
                <w:rFonts w:cs="Times New Roman"/>
                <w:color w:val="000000"/>
                <w:sz w:val="22"/>
                <w:szCs w:val="22"/>
              </w:rPr>
            </w:pPr>
            <w:r>
              <w:rPr>
                <w:rFonts w:cs="Times New Roman"/>
                <w:color w:val="000000"/>
                <w:sz w:val="22"/>
                <w:szCs w:val="22"/>
              </w:rPr>
              <w:t xml:space="preserve">Escova de piscina – </w:t>
            </w:r>
          </w:p>
          <w:p w:rsidR="00FD3142" w:rsidRDefault="00FD3142" w:rsidP="00FD3142">
            <w:pPr>
              <w:jc w:val="center"/>
              <w:rPr>
                <w:rFonts w:cs="Times New Roman"/>
                <w:color w:val="000000"/>
                <w:sz w:val="22"/>
                <w:szCs w:val="22"/>
              </w:rPr>
            </w:pPr>
            <w:r>
              <w:rPr>
                <w:rFonts w:cs="Times New Roman"/>
                <w:color w:val="000000"/>
                <w:sz w:val="22"/>
                <w:szCs w:val="22"/>
              </w:rPr>
              <w:t>É fabricada em abs e cerdas de</w:t>
            </w:r>
            <w:r>
              <w:rPr>
                <w:rFonts w:cs="Times New Roman"/>
                <w:color w:val="000000"/>
                <w:sz w:val="22"/>
                <w:szCs w:val="22"/>
              </w:rPr>
              <w:br/>
              <w:t>nylon com densidade média; Tem</w:t>
            </w:r>
            <w:r>
              <w:rPr>
                <w:rFonts w:cs="Times New Roman"/>
                <w:color w:val="000000"/>
                <w:sz w:val="22"/>
                <w:szCs w:val="22"/>
              </w:rPr>
              <w:br/>
              <w:t>como finalidade esfregar as</w:t>
            </w:r>
            <w:r>
              <w:rPr>
                <w:rFonts w:cs="Times New Roman"/>
                <w:color w:val="000000"/>
                <w:sz w:val="22"/>
                <w:szCs w:val="22"/>
              </w:rPr>
              <w:br/>
              <w:t>paredes e o fundo da piscina</w:t>
            </w:r>
            <w:r>
              <w:rPr>
                <w:rFonts w:cs="Times New Roman"/>
                <w:color w:val="000000"/>
                <w:sz w:val="22"/>
                <w:szCs w:val="22"/>
              </w:rPr>
              <w:br/>
              <w:t>(sujeira leve)</w:t>
            </w:r>
          </w:p>
          <w:p w:rsidR="00FD3142" w:rsidRDefault="00FD3142" w:rsidP="00FD3142">
            <w:pPr>
              <w:jc w:val="center"/>
              <w:rPr>
                <w:rFonts w:cs="Times New Roman"/>
                <w:color w:val="000000"/>
                <w:sz w:val="22"/>
                <w:szCs w:val="22"/>
              </w:rPr>
            </w:pPr>
          </w:p>
        </w:tc>
        <w:tc>
          <w:tcPr>
            <w:tcW w:w="1195" w:type="dxa"/>
            <w:tcBorders>
              <w:top w:val="single" w:sz="2" w:space="0" w:color="000000"/>
              <w:left w:val="single" w:sz="2" w:space="0" w:color="000000"/>
              <w:bottom w:val="single" w:sz="2" w:space="0" w:color="000000"/>
              <w:right w:val="single" w:sz="2" w:space="0" w:color="000000"/>
            </w:tcBorders>
            <w:shd w:val="clear" w:color="auto" w:fill="auto"/>
            <w:tcMar>
              <w:top w:w="55" w:type="dxa"/>
              <w:left w:w="55" w:type="dxa"/>
              <w:bottom w:w="55" w:type="dxa"/>
              <w:right w:w="55" w:type="dxa"/>
            </w:tcMar>
            <w:vAlign w:val="center"/>
          </w:tcPr>
          <w:p w:rsidR="00FD3142" w:rsidRDefault="00FD3142" w:rsidP="00FD3142">
            <w:pPr>
              <w:jc w:val="center"/>
              <w:rPr>
                <w:rFonts w:cs="Times New Roman"/>
                <w:sz w:val="22"/>
                <w:szCs w:val="22"/>
              </w:rPr>
            </w:pPr>
            <w:r>
              <w:rPr>
                <w:rFonts w:cs="Times New Roman"/>
                <w:sz w:val="22"/>
                <w:szCs w:val="22"/>
              </w:rPr>
              <w:t>*483828</w:t>
            </w:r>
          </w:p>
        </w:tc>
        <w:tc>
          <w:tcPr>
            <w:tcW w:w="1418" w:type="dxa"/>
            <w:tcBorders>
              <w:top w:val="single" w:sz="2" w:space="0" w:color="000000"/>
              <w:left w:val="single" w:sz="2" w:space="0" w:color="000000"/>
              <w:bottom w:val="single" w:sz="2" w:space="0" w:color="000000"/>
              <w:right w:val="single" w:sz="2" w:space="0" w:color="000000"/>
            </w:tcBorders>
            <w:shd w:val="clear" w:color="auto" w:fill="auto"/>
            <w:tcMar>
              <w:top w:w="0" w:type="dxa"/>
              <w:left w:w="10" w:type="dxa"/>
              <w:bottom w:w="0" w:type="dxa"/>
              <w:right w:w="10" w:type="dxa"/>
            </w:tcMar>
          </w:tcPr>
          <w:p w:rsidR="00FD3142" w:rsidRDefault="00FD3142" w:rsidP="00FD3142">
            <w:pPr>
              <w:spacing w:before="525" w:after="285"/>
              <w:jc w:val="center"/>
              <w:rPr>
                <w:rFonts w:cs="Times New Roman"/>
              </w:rPr>
            </w:pPr>
            <w:r>
              <w:rPr>
                <w:rFonts w:cs="Times New Roman"/>
              </w:rPr>
              <w:t>R$117,81</w:t>
            </w:r>
          </w:p>
        </w:tc>
      </w:tr>
      <w:tr w:rsidR="00FD3142" w:rsidTr="00FD3142">
        <w:trPr>
          <w:trHeight w:val="119"/>
          <w:jc w:val="center"/>
        </w:trPr>
        <w:tc>
          <w:tcPr>
            <w:tcW w:w="859" w:type="dxa"/>
            <w:tcBorders>
              <w:top w:val="single" w:sz="2" w:space="0" w:color="000000"/>
              <w:left w:val="single" w:sz="2" w:space="0" w:color="000000"/>
              <w:bottom w:val="single" w:sz="2" w:space="0" w:color="000000"/>
            </w:tcBorders>
            <w:shd w:val="clear" w:color="auto" w:fill="auto"/>
            <w:tcMar>
              <w:top w:w="55" w:type="dxa"/>
              <w:left w:w="55" w:type="dxa"/>
              <w:bottom w:w="55" w:type="dxa"/>
              <w:right w:w="55" w:type="dxa"/>
            </w:tcMar>
          </w:tcPr>
          <w:p w:rsidR="00FD3142" w:rsidRDefault="00B753C7" w:rsidP="00FD3142">
            <w:pPr>
              <w:jc w:val="center"/>
              <w:rPr>
                <w:rFonts w:cs="Times New Roman"/>
                <w:sz w:val="22"/>
                <w:szCs w:val="22"/>
              </w:rPr>
            </w:pPr>
            <w:r>
              <w:rPr>
                <w:rFonts w:cs="Times New Roman"/>
                <w:sz w:val="22"/>
                <w:szCs w:val="22"/>
              </w:rPr>
              <w:t>22</w:t>
            </w:r>
          </w:p>
        </w:tc>
        <w:tc>
          <w:tcPr>
            <w:tcW w:w="839" w:type="dxa"/>
            <w:tcBorders>
              <w:top w:val="single" w:sz="2" w:space="0" w:color="000000"/>
              <w:left w:val="single" w:sz="2" w:space="0" w:color="000000"/>
              <w:bottom w:val="single" w:sz="2" w:space="0" w:color="000000"/>
            </w:tcBorders>
            <w:shd w:val="clear" w:color="auto" w:fill="auto"/>
            <w:tcMar>
              <w:top w:w="55" w:type="dxa"/>
              <w:left w:w="55" w:type="dxa"/>
              <w:bottom w:w="55" w:type="dxa"/>
              <w:right w:w="55" w:type="dxa"/>
            </w:tcMar>
          </w:tcPr>
          <w:p w:rsidR="00FD3142" w:rsidRDefault="00FD3142" w:rsidP="00FD3142">
            <w:pPr>
              <w:jc w:val="center"/>
              <w:rPr>
                <w:rFonts w:cs="Times New Roman"/>
                <w:sz w:val="22"/>
                <w:szCs w:val="22"/>
              </w:rPr>
            </w:pPr>
            <w:r>
              <w:rPr>
                <w:rFonts w:cs="Times New Roman"/>
                <w:sz w:val="22"/>
                <w:szCs w:val="22"/>
              </w:rPr>
              <w:t>1</w:t>
            </w:r>
          </w:p>
        </w:tc>
        <w:tc>
          <w:tcPr>
            <w:tcW w:w="993" w:type="dxa"/>
            <w:tcBorders>
              <w:top w:val="single" w:sz="2" w:space="0" w:color="000000"/>
              <w:left w:val="single" w:sz="2" w:space="0" w:color="000000"/>
              <w:bottom w:val="single" w:sz="2" w:space="0" w:color="000000"/>
            </w:tcBorders>
            <w:shd w:val="clear" w:color="auto" w:fill="auto"/>
            <w:tcMar>
              <w:top w:w="55" w:type="dxa"/>
              <w:left w:w="55" w:type="dxa"/>
              <w:bottom w:w="55" w:type="dxa"/>
              <w:right w:w="55" w:type="dxa"/>
            </w:tcMar>
          </w:tcPr>
          <w:p w:rsidR="00FD3142" w:rsidRDefault="00FD3142" w:rsidP="00FD3142">
            <w:pPr>
              <w:jc w:val="center"/>
              <w:rPr>
                <w:rFonts w:cs="Times New Roman"/>
                <w:sz w:val="22"/>
                <w:szCs w:val="22"/>
              </w:rPr>
            </w:pPr>
            <w:r>
              <w:rPr>
                <w:rFonts w:cs="Times New Roman"/>
                <w:sz w:val="22"/>
                <w:szCs w:val="22"/>
              </w:rPr>
              <w:t>Unidade</w:t>
            </w:r>
          </w:p>
        </w:tc>
        <w:tc>
          <w:tcPr>
            <w:tcW w:w="4616" w:type="dxa"/>
            <w:tcBorders>
              <w:top w:val="single" w:sz="2" w:space="0" w:color="000000"/>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rsidR="00FD3142" w:rsidRDefault="00FD3142" w:rsidP="00FD3142">
            <w:pPr>
              <w:jc w:val="center"/>
              <w:rPr>
                <w:rFonts w:cs="Times New Roman"/>
                <w:color w:val="000000"/>
                <w:sz w:val="22"/>
                <w:szCs w:val="22"/>
              </w:rPr>
            </w:pPr>
            <w:r>
              <w:rPr>
                <w:rFonts w:cs="Times New Roman"/>
                <w:color w:val="000000"/>
                <w:sz w:val="22"/>
                <w:szCs w:val="22"/>
              </w:rPr>
              <w:t xml:space="preserve">Mangueira flutuante – </w:t>
            </w:r>
          </w:p>
          <w:p w:rsidR="00FD3142" w:rsidRDefault="00FD3142" w:rsidP="00FD3142">
            <w:pPr>
              <w:jc w:val="center"/>
              <w:rPr>
                <w:rFonts w:cs="Times New Roman"/>
                <w:color w:val="000000"/>
                <w:sz w:val="22"/>
                <w:szCs w:val="22"/>
              </w:rPr>
            </w:pPr>
            <w:r>
              <w:rPr>
                <w:rFonts w:cs="Times New Roman"/>
                <w:color w:val="000000"/>
                <w:sz w:val="22"/>
                <w:szCs w:val="22"/>
              </w:rPr>
              <w:t>Ideal para repor a mangueira do</w:t>
            </w:r>
            <w:r>
              <w:rPr>
                <w:rFonts w:cs="Times New Roman"/>
                <w:color w:val="000000"/>
                <w:sz w:val="22"/>
                <w:szCs w:val="22"/>
              </w:rPr>
              <w:br/>
              <w:t>filtro que vem muita curta, ou</w:t>
            </w:r>
            <w:r>
              <w:rPr>
                <w:rFonts w:cs="Times New Roman"/>
                <w:color w:val="000000"/>
                <w:sz w:val="22"/>
                <w:szCs w:val="22"/>
              </w:rPr>
              <w:br/>
              <w:t>sofre alguma danificação. Pode</w:t>
            </w:r>
            <w:r>
              <w:rPr>
                <w:rFonts w:cs="Times New Roman"/>
                <w:color w:val="000000"/>
                <w:sz w:val="22"/>
                <w:szCs w:val="22"/>
              </w:rPr>
              <w:br/>
              <w:t>ser utilizada também em</w:t>
            </w:r>
            <w:r>
              <w:rPr>
                <w:rFonts w:cs="Times New Roman"/>
                <w:color w:val="000000"/>
                <w:sz w:val="22"/>
                <w:szCs w:val="22"/>
              </w:rPr>
              <w:br/>
              <w:t>aspiradores em manutenção de</w:t>
            </w:r>
            <w:r>
              <w:rPr>
                <w:rFonts w:cs="Times New Roman"/>
                <w:color w:val="000000"/>
                <w:sz w:val="22"/>
                <w:szCs w:val="22"/>
              </w:rPr>
              <w:br/>
              <w:t>limpeza das piscinas – 4mt</w:t>
            </w:r>
          </w:p>
          <w:p w:rsidR="00FD3142" w:rsidRDefault="00FD3142" w:rsidP="00FD3142">
            <w:pPr>
              <w:jc w:val="center"/>
              <w:rPr>
                <w:rFonts w:cs="Times New Roman"/>
                <w:color w:val="000000"/>
                <w:sz w:val="22"/>
                <w:szCs w:val="22"/>
              </w:rPr>
            </w:pPr>
          </w:p>
        </w:tc>
        <w:tc>
          <w:tcPr>
            <w:tcW w:w="1195" w:type="dxa"/>
            <w:tcBorders>
              <w:top w:val="single" w:sz="2" w:space="0" w:color="000000"/>
              <w:left w:val="single" w:sz="2" w:space="0" w:color="000000"/>
              <w:bottom w:val="single" w:sz="2" w:space="0" w:color="000000"/>
              <w:right w:val="single" w:sz="2" w:space="0" w:color="000000"/>
            </w:tcBorders>
            <w:shd w:val="clear" w:color="auto" w:fill="auto"/>
            <w:tcMar>
              <w:top w:w="55" w:type="dxa"/>
              <w:left w:w="55" w:type="dxa"/>
              <w:bottom w:w="55" w:type="dxa"/>
              <w:right w:w="55" w:type="dxa"/>
            </w:tcMar>
            <w:vAlign w:val="center"/>
          </w:tcPr>
          <w:p w:rsidR="00FD3142" w:rsidRDefault="00FD3142" w:rsidP="00FD3142">
            <w:pPr>
              <w:jc w:val="center"/>
              <w:rPr>
                <w:rFonts w:cs="Times New Roman"/>
                <w:sz w:val="22"/>
                <w:szCs w:val="22"/>
              </w:rPr>
            </w:pPr>
            <w:r>
              <w:rPr>
                <w:rFonts w:cs="Times New Roman"/>
                <w:sz w:val="22"/>
                <w:szCs w:val="22"/>
              </w:rPr>
              <w:t>*601225</w:t>
            </w:r>
          </w:p>
        </w:tc>
        <w:tc>
          <w:tcPr>
            <w:tcW w:w="1418" w:type="dxa"/>
            <w:tcBorders>
              <w:top w:val="single" w:sz="2" w:space="0" w:color="000000"/>
              <w:left w:val="single" w:sz="2" w:space="0" w:color="000000"/>
              <w:bottom w:val="single" w:sz="2" w:space="0" w:color="000000"/>
              <w:right w:val="single" w:sz="2" w:space="0" w:color="000000"/>
            </w:tcBorders>
            <w:shd w:val="clear" w:color="auto" w:fill="auto"/>
            <w:tcMar>
              <w:top w:w="0" w:type="dxa"/>
              <w:left w:w="10" w:type="dxa"/>
              <w:bottom w:w="0" w:type="dxa"/>
              <w:right w:w="10" w:type="dxa"/>
            </w:tcMar>
          </w:tcPr>
          <w:p w:rsidR="00FD3142" w:rsidRDefault="00FD3142" w:rsidP="00FD3142">
            <w:pPr>
              <w:spacing w:before="525" w:after="285"/>
              <w:jc w:val="center"/>
              <w:rPr>
                <w:rFonts w:cs="Times New Roman"/>
              </w:rPr>
            </w:pPr>
            <w:r>
              <w:rPr>
                <w:rFonts w:cs="Times New Roman"/>
              </w:rPr>
              <w:t>R$44,33</w:t>
            </w:r>
          </w:p>
        </w:tc>
      </w:tr>
    </w:tbl>
    <w:p w:rsidR="00FD3142" w:rsidRDefault="00FD3142" w:rsidP="00FD3142">
      <w:pPr>
        <w:pStyle w:val="PADRO"/>
        <w:keepNext w:val="0"/>
        <w:widowControl/>
        <w:shd w:val="clear" w:color="auto" w:fill="auto"/>
        <w:spacing w:before="120" w:after="120"/>
        <w:ind w:left="360" w:firstLine="0"/>
        <w:rPr>
          <w:rFonts w:ascii="Times New Roman" w:eastAsia="Times New Roman" w:hAnsi="Times New Roman" w:cs="Times New Roman"/>
          <w:color w:val="000000" w:themeColor="text1"/>
          <w:sz w:val="24"/>
          <w:lang w:eastAsia="pt-BR" w:bidi="ar-SA"/>
        </w:rPr>
      </w:pPr>
    </w:p>
    <w:p w:rsidR="00B071EA" w:rsidRDefault="00FD3142">
      <w:pPr>
        <w:pStyle w:val="PADRO"/>
        <w:keepNext w:val="0"/>
        <w:widowControl/>
        <w:numPr>
          <w:ilvl w:val="2"/>
          <w:numId w:val="1"/>
        </w:numPr>
        <w:shd w:val="clear" w:color="auto" w:fill="auto"/>
        <w:spacing w:before="120" w:after="120"/>
        <w:rPr>
          <w:rFonts w:ascii="Times New Roman" w:hAnsi="Times New Roman" w:cs="Times New Roman"/>
          <w:sz w:val="24"/>
        </w:rPr>
      </w:pPr>
      <w:r>
        <w:rPr>
          <w:rFonts w:ascii="Times New Roman" w:hAnsi="Times New Roman" w:cs="Times New Roman"/>
          <w:sz w:val="24"/>
        </w:rPr>
        <w:t>Havendo mais de item ou lote faculta-se ao fornecedor a participação em quantos forem de seu interesse. Entretanto, optando-se por participar de um lote, deve o fornecedor enviar proposta para todos os itens que o compõem.</w:t>
      </w:r>
    </w:p>
    <w:p w:rsidR="00B071EA" w:rsidRDefault="00FD3142">
      <w:pPr>
        <w:pStyle w:val="PADRO"/>
        <w:keepNext w:val="0"/>
        <w:widowControl/>
        <w:numPr>
          <w:ilvl w:val="1"/>
          <w:numId w:val="1"/>
        </w:numPr>
        <w:shd w:val="clear" w:color="auto" w:fill="auto"/>
        <w:spacing w:before="120" w:after="120"/>
        <w:rPr>
          <w:rFonts w:ascii="Times New Roman" w:hAnsi="Times New Roman" w:cs="Times New Roman"/>
          <w:color w:val="000000" w:themeColor="text1"/>
          <w:sz w:val="24"/>
        </w:rPr>
      </w:pPr>
      <w:r>
        <w:rPr>
          <w:rFonts w:ascii="Times New Roman" w:hAnsi="Times New Roman" w:cs="Times New Roman"/>
          <w:sz w:val="24"/>
        </w:rPr>
        <w:t>O critério de julgamento adotado será o</w:t>
      </w:r>
      <w:r>
        <w:rPr>
          <w:rFonts w:ascii="Times New Roman" w:hAnsi="Times New Roman" w:cs="Times New Roman"/>
          <w:i/>
          <w:iCs/>
          <w:sz w:val="24"/>
        </w:rPr>
        <w:t xml:space="preserve"> </w:t>
      </w:r>
      <w:r>
        <w:rPr>
          <w:rFonts w:ascii="Times New Roman" w:hAnsi="Times New Roman" w:cs="Times New Roman"/>
          <w:iCs/>
          <w:sz w:val="24"/>
        </w:rPr>
        <w:t>menor preço,</w:t>
      </w:r>
      <w:r>
        <w:rPr>
          <w:rFonts w:ascii="Times New Roman" w:hAnsi="Times New Roman" w:cs="Times New Roman"/>
          <w:sz w:val="24"/>
        </w:rPr>
        <w:t xml:space="preserve"> observadas as exigências contidas neste Aviso de Contratação Direta e seus Anexos quanto às especificações do objeto.</w:t>
      </w:r>
    </w:p>
    <w:p w:rsidR="00B071EA" w:rsidRDefault="00FD3142">
      <w:pPr>
        <w:pStyle w:val="PADRO"/>
        <w:keepNext w:val="0"/>
        <w:widowControl/>
        <w:numPr>
          <w:ilvl w:val="0"/>
          <w:numId w:val="1"/>
        </w:numPr>
        <w:shd w:val="clear" w:color="auto" w:fill="auto"/>
        <w:spacing w:before="120" w:after="120"/>
        <w:rPr>
          <w:rFonts w:ascii="Times New Roman" w:hAnsi="Times New Roman" w:cs="Times New Roman"/>
          <w:b/>
          <w:sz w:val="24"/>
        </w:rPr>
      </w:pPr>
      <w:r>
        <w:rPr>
          <w:rFonts w:ascii="Times New Roman" w:hAnsi="Times New Roman" w:cs="Times New Roman"/>
          <w:b/>
          <w:sz w:val="24"/>
        </w:rPr>
        <w:t>PARTICIPAÇÃO NA DISPENSA ELETRÔNICA.</w:t>
      </w:r>
    </w:p>
    <w:p w:rsidR="00B071EA" w:rsidRDefault="00FD3142">
      <w:pPr>
        <w:numPr>
          <w:ilvl w:val="1"/>
          <w:numId w:val="1"/>
        </w:numPr>
        <w:autoSpaceDE w:val="0"/>
        <w:snapToGrid w:val="0"/>
        <w:spacing w:before="120" w:after="120" w:line="276" w:lineRule="auto"/>
        <w:ind w:left="425" w:firstLine="0"/>
        <w:jc w:val="both"/>
        <w:rPr>
          <w:rFonts w:ascii="Times New Roman" w:hAnsi="Times New Roman" w:cs="Times New Roman"/>
          <w:sz w:val="24"/>
        </w:rPr>
      </w:pPr>
      <w:r>
        <w:rPr>
          <w:rFonts w:ascii="Times New Roman" w:hAnsi="Times New Roman" w:cs="Times New Roman"/>
          <w:sz w:val="24"/>
        </w:rPr>
        <w:t xml:space="preserve">A participação na presente dispensa eletrônica se dará mediante </w:t>
      </w:r>
      <w:r>
        <w:rPr>
          <w:rFonts w:ascii="Times New Roman" w:hAnsi="Times New Roman" w:cs="Times New Roman"/>
          <w:bCs/>
          <w:sz w:val="24"/>
        </w:rPr>
        <w:t>Sistema de Dispensa Eletrônica</w:t>
      </w:r>
      <w:r>
        <w:rPr>
          <w:rFonts w:ascii="Times New Roman" w:hAnsi="Times New Roman" w:cs="Times New Roman"/>
          <w:sz w:val="24"/>
        </w:rPr>
        <w:t xml:space="preserve"> integrante do Sistema de Compras do Governo Federal – Comprasnet 4.0, disponível no </w:t>
      </w:r>
      <w:r>
        <w:rPr>
          <w:rFonts w:ascii="Times New Roman" w:hAnsi="Times New Roman" w:cs="Times New Roman"/>
          <w:bCs/>
          <w:sz w:val="24"/>
        </w:rPr>
        <w:t xml:space="preserve">endereço eletrônico </w:t>
      </w:r>
      <w:hyperlink r:id="rId10" w:history="1">
        <w:r>
          <w:rPr>
            <w:rStyle w:val="Hyperlink"/>
            <w:rFonts w:ascii="Times New Roman" w:hAnsi="Times New Roman" w:cs="Times New Roman"/>
            <w:sz w:val="24"/>
          </w:rPr>
          <w:t>http://comprasnet.gov.br/</w:t>
        </w:r>
      </w:hyperlink>
      <w:r>
        <w:rPr>
          <w:rFonts w:ascii="Times New Roman" w:hAnsi="Times New Roman" w:cs="Times New Roman"/>
          <w:sz w:val="24"/>
        </w:rPr>
        <w:t xml:space="preserve"> .</w:t>
      </w:r>
    </w:p>
    <w:p w:rsidR="00B071EA" w:rsidRDefault="00FD3142">
      <w:pPr>
        <w:numPr>
          <w:ilvl w:val="2"/>
          <w:numId w:val="1"/>
        </w:numPr>
        <w:autoSpaceDE w:val="0"/>
        <w:snapToGrid w:val="0"/>
        <w:spacing w:before="120" w:after="120" w:line="276" w:lineRule="auto"/>
        <w:jc w:val="both"/>
        <w:rPr>
          <w:rFonts w:ascii="Times New Roman" w:hAnsi="Times New Roman" w:cs="Times New Roman"/>
          <w:sz w:val="24"/>
        </w:rPr>
      </w:pPr>
      <w:r>
        <w:rPr>
          <w:rFonts w:ascii="Times New Roman" w:hAnsi="Times New Roman" w:cs="Times New Roman"/>
          <w:sz w:val="24"/>
        </w:rPr>
        <w:lastRenderedPageBreak/>
        <w:t>Os fornecedores deverão atender aos procedimentos previstos no Manual do Sistema de Dispensa Eletrônica, disponível no Portal de Compras do Governo Federal, para acesso ao sistema e operacionalização.</w:t>
      </w:r>
    </w:p>
    <w:p w:rsidR="00B071EA" w:rsidRDefault="00FD3142">
      <w:pPr>
        <w:numPr>
          <w:ilvl w:val="2"/>
          <w:numId w:val="1"/>
        </w:numPr>
        <w:autoSpaceDE w:val="0"/>
        <w:snapToGrid w:val="0"/>
        <w:spacing w:before="120" w:after="120" w:line="276" w:lineRule="auto"/>
        <w:jc w:val="both"/>
        <w:rPr>
          <w:rFonts w:ascii="Times New Roman" w:hAnsi="Times New Roman" w:cs="Times New Roman"/>
          <w:sz w:val="24"/>
        </w:rPr>
      </w:pPr>
      <w:r>
        <w:rPr>
          <w:rFonts w:ascii="Times New Roman" w:hAnsi="Times New Roman" w:cs="Times New Roman"/>
          <w:sz w:val="24"/>
        </w:rPr>
        <w:t>O fornecedor é o responsável por qualquer transação efetuada diretamente ou por seu representante no Sistema de Dispensa Eletrônica, não cabendo ao provedor do Sistema ou ao órgão entidade promotor do procedimento a responsabilidade por eventuais danos decorrentes de uso indevido da senha, ainda que por terceiros não autorizados.</w:t>
      </w:r>
    </w:p>
    <w:p w:rsidR="00B071EA" w:rsidRDefault="00FD3142">
      <w:pPr>
        <w:numPr>
          <w:ilvl w:val="1"/>
          <w:numId w:val="1"/>
        </w:numPr>
        <w:spacing w:before="120" w:after="120" w:line="276" w:lineRule="auto"/>
        <w:ind w:left="425" w:firstLine="0"/>
        <w:jc w:val="both"/>
        <w:rPr>
          <w:rFonts w:ascii="Times New Roman" w:hAnsi="Times New Roman" w:cs="Times New Roman"/>
          <w:color w:val="000000" w:themeColor="text1"/>
          <w:sz w:val="24"/>
        </w:rPr>
      </w:pPr>
      <w:r>
        <w:rPr>
          <w:rFonts w:ascii="Times New Roman" w:hAnsi="Times New Roman" w:cs="Times New Roman"/>
          <w:color w:val="000000" w:themeColor="text1"/>
          <w:sz w:val="24"/>
        </w:rPr>
        <w:t>Não poderão participar desta dispensa os fornecedores:</w:t>
      </w:r>
    </w:p>
    <w:p w:rsidR="00B071EA" w:rsidRDefault="00FD3142">
      <w:pPr>
        <w:numPr>
          <w:ilvl w:val="2"/>
          <w:numId w:val="1"/>
        </w:numPr>
        <w:spacing w:before="120" w:after="120" w:line="276" w:lineRule="auto"/>
        <w:jc w:val="both"/>
        <w:rPr>
          <w:rFonts w:ascii="Times New Roman" w:hAnsi="Times New Roman" w:cs="Times New Roman"/>
          <w:color w:val="000000" w:themeColor="text1"/>
          <w:sz w:val="24"/>
        </w:rPr>
      </w:pPr>
      <w:r>
        <w:rPr>
          <w:rFonts w:ascii="Times New Roman" w:hAnsi="Times New Roman" w:cs="Times New Roman"/>
          <w:color w:val="000000" w:themeColor="text1"/>
          <w:sz w:val="24"/>
        </w:rPr>
        <w:t>que não atendam às condições deste Aviso de Contratação Direta e seu(s) anexo(s);</w:t>
      </w:r>
    </w:p>
    <w:p w:rsidR="00B071EA" w:rsidRDefault="00FD3142">
      <w:pPr>
        <w:numPr>
          <w:ilvl w:val="2"/>
          <w:numId w:val="1"/>
        </w:numPr>
        <w:spacing w:before="120" w:after="120" w:line="276" w:lineRule="auto"/>
        <w:jc w:val="both"/>
        <w:rPr>
          <w:rFonts w:ascii="Times New Roman" w:hAnsi="Times New Roman" w:cs="Times New Roman"/>
          <w:color w:val="000000" w:themeColor="text1"/>
          <w:sz w:val="24"/>
        </w:rPr>
      </w:pPr>
      <w:r>
        <w:rPr>
          <w:rFonts w:ascii="Times New Roman" w:hAnsi="Times New Roman" w:cs="Times New Roman"/>
          <w:color w:val="000000" w:themeColor="text1"/>
          <w:sz w:val="24"/>
        </w:rPr>
        <w:t>estrangeiros que não tenham representação legal no Brasil com poderes expressos para receber citação e responder administrativa ou judicialmente;</w:t>
      </w:r>
    </w:p>
    <w:p w:rsidR="00B071EA" w:rsidRDefault="00FD3142">
      <w:pPr>
        <w:numPr>
          <w:ilvl w:val="2"/>
          <w:numId w:val="1"/>
        </w:numPr>
        <w:spacing w:before="120" w:after="120" w:line="276" w:lineRule="auto"/>
        <w:jc w:val="both"/>
        <w:rPr>
          <w:rFonts w:ascii="Times New Roman" w:hAnsi="Times New Roman" w:cs="Times New Roman"/>
          <w:color w:val="000000" w:themeColor="text1"/>
          <w:sz w:val="24"/>
        </w:rPr>
      </w:pPr>
      <w:r>
        <w:rPr>
          <w:rFonts w:ascii="Times New Roman" w:hAnsi="Times New Roman" w:cs="Times New Roman"/>
          <w:color w:val="000000" w:themeColor="text1"/>
          <w:sz w:val="24"/>
        </w:rPr>
        <w:t>que se enquadrem nas seguintes vedações:</w:t>
      </w:r>
    </w:p>
    <w:p w:rsidR="00B071EA" w:rsidRDefault="00FD3142">
      <w:pPr>
        <w:numPr>
          <w:ilvl w:val="3"/>
          <w:numId w:val="22"/>
        </w:numPr>
        <w:spacing w:before="120" w:after="120" w:line="276" w:lineRule="auto"/>
        <w:jc w:val="both"/>
        <w:rPr>
          <w:rFonts w:ascii="Times New Roman" w:hAnsi="Times New Roman" w:cs="Times New Roman"/>
          <w:color w:val="000000" w:themeColor="text1"/>
          <w:sz w:val="24"/>
        </w:rPr>
      </w:pPr>
      <w:r>
        <w:rPr>
          <w:rFonts w:ascii="Times New Roman" w:hAnsi="Times New Roman" w:cs="Times New Roman"/>
          <w:color w:val="000000"/>
          <w:sz w:val="24"/>
        </w:rPr>
        <w:t>autor do anteprojeto, do projeto básico ou do projeto executivo, pessoa física ou jurídica, quando a contratação versar sobre obra, serviços ou fornecimento de bens a ele relacionados;</w:t>
      </w:r>
    </w:p>
    <w:p w:rsidR="00B071EA" w:rsidRDefault="00FD3142">
      <w:pPr>
        <w:numPr>
          <w:ilvl w:val="3"/>
          <w:numId w:val="22"/>
        </w:numPr>
        <w:spacing w:before="120" w:after="120" w:line="276" w:lineRule="auto"/>
        <w:jc w:val="both"/>
        <w:rPr>
          <w:rFonts w:ascii="Times New Roman" w:hAnsi="Times New Roman" w:cs="Times New Roman"/>
          <w:color w:val="000000" w:themeColor="text1"/>
          <w:sz w:val="24"/>
        </w:rPr>
      </w:pPr>
      <w:r>
        <w:rPr>
          <w:rFonts w:ascii="Times New Roman" w:hAnsi="Times New Roman" w:cs="Times New Roman"/>
          <w:color w:val="000000"/>
          <w:sz w:val="24"/>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contratação versar sobre obra, serviços ou fornecimento de bens a ela necessários;</w:t>
      </w:r>
    </w:p>
    <w:p w:rsidR="00B071EA" w:rsidRDefault="00FD3142">
      <w:pPr>
        <w:numPr>
          <w:ilvl w:val="3"/>
          <w:numId w:val="22"/>
        </w:numPr>
        <w:spacing w:before="120" w:after="120" w:line="276" w:lineRule="auto"/>
        <w:jc w:val="both"/>
        <w:rPr>
          <w:rFonts w:ascii="Times New Roman" w:hAnsi="Times New Roman" w:cs="Times New Roman"/>
          <w:color w:val="000000" w:themeColor="text1"/>
          <w:sz w:val="24"/>
        </w:rPr>
      </w:pPr>
      <w:r>
        <w:rPr>
          <w:rFonts w:ascii="Times New Roman" w:hAnsi="Times New Roman" w:cs="Times New Roman"/>
          <w:color w:val="000000"/>
          <w:sz w:val="24"/>
        </w:rPr>
        <w:t>pessoa física ou jurídica que se encontre, ao tempo da contratação, impossibilitada de contratar em decorrência de sanção que lhe foi imposta;</w:t>
      </w:r>
    </w:p>
    <w:p w:rsidR="00B071EA" w:rsidRDefault="00FD3142">
      <w:pPr>
        <w:numPr>
          <w:ilvl w:val="3"/>
          <w:numId w:val="22"/>
        </w:numPr>
        <w:spacing w:before="120" w:after="120" w:line="276" w:lineRule="auto"/>
        <w:jc w:val="both"/>
        <w:rPr>
          <w:rFonts w:ascii="Times New Roman" w:hAnsi="Times New Roman" w:cs="Times New Roman"/>
          <w:color w:val="000000" w:themeColor="text1"/>
          <w:sz w:val="24"/>
        </w:rPr>
      </w:pPr>
      <w:r>
        <w:rPr>
          <w:rFonts w:ascii="Times New Roman" w:hAnsi="Times New Roman" w:cs="Times New Roman"/>
          <w:color w:val="000000"/>
          <w:sz w:val="24"/>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rsidR="00B071EA" w:rsidRDefault="00FD3142">
      <w:pPr>
        <w:numPr>
          <w:ilvl w:val="3"/>
          <w:numId w:val="22"/>
        </w:numPr>
        <w:spacing w:before="120" w:after="120" w:line="276" w:lineRule="auto"/>
        <w:jc w:val="both"/>
        <w:rPr>
          <w:rFonts w:ascii="Times New Roman" w:hAnsi="Times New Roman" w:cs="Times New Roman"/>
          <w:color w:val="000000" w:themeColor="text1"/>
          <w:sz w:val="24"/>
        </w:rPr>
      </w:pPr>
      <w:r>
        <w:rPr>
          <w:rFonts w:ascii="Times New Roman" w:hAnsi="Times New Roman" w:cs="Times New Roman"/>
          <w:color w:val="000000"/>
          <w:sz w:val="24"/>
        </w:rPr>
        <w:t>empresas controladoras, controladas ou coligadas, nos termos da </w:t>
      </w:r>
      <w:hyperlink r:id="rId11" w:history="1">
        <w:r>
          <w:rPr>
            <w:rStyle w:val="Hyperlink"/>
            <w:rFonts w:ascii="Times New Roman" w:eastAsia="Calibri" w:hAnsi="Times New Roman" w:cs="Times New Roman"/>
            <w:sz w:val="24"/>
          </w:rPr>
          <w:t>Lei nº 6.404, de 15 de dezembro de 1976</w:t>
        </w:r>
      </w:hyperlink>
      <w:r>
        <w:rPr>
          <w:rFonts w:ascii="Times New Roman" w:hAnsi="Times New Roman" w:cs="Times New Roman"/>
          <w:color w:val="000000"/>
          <w:sz w:val="24"/>
        </w:rPr>
        <w:t>, concorrendo entre si;</w:t>
      </w:r>
    </w:p>
    <w:p w:rsidR="00B071EA" w:rsidRDefault="00FD3142">
      <w:pPr>
        <w:numPr>
          <w:ilvl w:val="3"/>
          <w:numId w:val="22"/>
        </w:numPr>
        <w:spacing w:before="120" w:after="120" w:line="276" w:lineRule="auto"/>
        <w:jc w:val="both"/>
        <w:rPr>
          <w:rFonts w:ascii="Times New Roman" w:hAnsi="Times New Roman" w:cs="Times New Roman"/>
          <w:color w:val="000000" w:themeColor="text1"/>
          <w:sz w:val="24"/>
        </w:rPr>
      </w:pPr>
      <w:r>
        <w:rPr>
          <w:rFonts w:ascii="Times New Roman" w:hAnsi="Times New Roman" w:cs="Times New Roman"/>
          <w:color w:val="000000"/>
          <w:sz w:val="24"/>
        </w:rPr>
        <w:t>pessoa física ou jurídica que, nos 5 (cinco) anos anteriores à divulgação do aviso, tenha sido condenada judicialmente, com trânsito em julgado, por exploração de trabalho infantil, por submissão de trabalhadores a condições análogas às de escravo ou por contratação de adolescentes nos casos vedados pela legislação trabalhista</w:t>
      </w:r>
    </w:p>
    <w:p w:rsidR="00B071EA" w:rsidRDefault="00FD3142">
      <w:pPr>
        <w:numPr>
          <w:ilvl w:val="3"/>
          <w:numId w:val="1"/>
        </w:numPr>
        <w:spacing w:before="120" w:after="120" w:line="276" w:lineRule="auto"/>
        <w:jc w:val="both"/>
        <w:rPr>
          <w:rFonts w:ascii="Times New Roman" w:hAnsi="Times New Roman" w:cs="Times New Roman"/>
          <w:color w:val="000000" w:themeColor="text1"/>
          <w:sz w:val="24"/>
        </w:rPr>
      </w:pPr>
      <w:r>
        <w:rPr>
          <w:rFonts w:ascii="Times New Roman" w:hAnsi="Times New Roman" w:cs="Times New Roman"/>
          <w:color w:val="000000"/>
          <w:sz w:val="24"/>
        </w:rPr>
        <w:t>Equiparam-se aos autores do projeto as empresas integrantes do mesmo grupo econômico;</w:t>
      </w:r>
    </w:p>
    <w:p w:rsidR="00B071EA" w:rsidRDefault="00FD3142">
      <w:pPr>
        <w:numPr>
          <w:ilvl w:val="3"/>
          <w:numId w:val="1"/>
        </w:numPr>
        <w:spacing w:before="120" w:after="120" w:line="276" w:lineRule="auto"/>
        <w:jc w:val="both"/>
        <w:rPr>
          <w:rFonts w:ascii="Times New Roman" w:hAnsi="Times New Roman" w:cs="Times New Roman"/>
          <w:color w:val="000000" w:themeColor="text1"/>
          <w:sz w:val="24"/>
        </w:rPr>
      </w:pPr>
      <w:r>
        <w:rPr>
          <w:rFonts w:ascii="Times New Roman" w:hAnsi="Times New Roman" w:cs="Times New Roman"/>
          <w:color w:val="000000"/>
          <w:sz w:val="24"/>
        </w:rPr>
        <w:t>aplica-se o disposto na alínea “c” também ao fornecedor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fornecedor;</w:t>
      </w:r>
    </w:p>
    <w:p w:rsidR="00B071EA" w:rsidRDefault="00FD3142">
      <w:pPr>
        <w:numPr>
          <w:ilvl w:val="2"/>
          <w:numId w:val="1"/>
        </w:numPr>
        <w:spacing w:before="120" w:after="120" w:line="276" w:lineRule="auto"/>
        <w:jc w:val="both"/>
        <w:rPr>
          <w:rFonts w:ascii="Times New Roman" w:hAnsi="Times New Roman" w:cs="Times New Roman"/>
          <w:sz w:val="24"/>
        </w:rPr>
      </w:pPr>
      <w:r>
        <w:rPr>
          <w:rFonts w:ascii="Times New Roman" w:hAnsi="Times New Roman" w:cs="Times New Roman"/>
          <w:color w:val="000000"/>
          <w:sz w:val="24"/>
        </w:rPr>
        <w:lastRenderedPageBreak/>
        <w:t xml:space="preserve">organizações da Sociedade Civil de Interesse Público - OSCIP, atuando nessa </w:t>
      </w:r>
      <w:r>
        <w:rPr>
          <w:rFonts w:ascii="Times New Roman" w:hAnsi="Times New Roman" w:cs="Times New Roman"/>
          <w:sz w:val="24"/>
        </w:rPr>
        <w:t>condição (Acórdão nº 746/2014-TCU-Plenário); e</w:t>
      </w:r>
    </w:p>
    <w:p w:rsidR="00B071EA" w:rsidRDefault="00FD3142">
      <w:pPr>
        <w:numPr>
          <w:ilvl w:val="1"/>
          <w:numId w:val="1"/>
        </w:numPr>
        <w:spacing w:before="120" w:after="120" w:line="276" w:lineRule="auto"/>
        <w:jc w:val="both"/>
        <w:rPr>
          <w:rFonts w:ascii="Times New Roman" w:hAnsi="Times New Roman" w:cs="Times New Roman"/>
          <w:i/>
          <w:sz w:val="24"/>
        </w:rPr>
      </w:pPr>
      <w:r>
        <w:rPr>
          <w:rFonts w:ascii="Times New Roman" w:hAnsi="Times New Roman" w:cs="Times New Roman"/>
          <w:i/>
          <w:sz w:val="24"/>
        </w:rPr>
        <w:t>Será permitida a participação de cooperativas, desde que apresentem demonstrativo de atuação em regime cooperado, com repartição de receitas e despesas entre os cooperados e atendam ao art. 16 da Lei nº 14.133/21.</w:t>
      </w:r>
    </w:p>
    <w:p w:rsidR="00B071EA" w:rsidRDefault="00FD3142">
      <w:pPr>
        <w:numPr>
          <w:ilvl w:val="2"/>
          <w:numId w:val="1"/>
        </w:numPr>
        <w:spacing w:before="120" w:after="120" w:line="276" w:lineRule="auto"/>
        <w:jc w:val="both"/>
        <w:rPr>
          <w:rFonts w:ascii="Times New Roman" w:hAnsi="Times New Roman" w:cs="Times New Roman"/>
          <w:i/>
          <w:iCs/>
          <w:sz w:val="24"/>
        </w:rPr>
      </w:pPr>
      <w:r>
        <w:rPr>
          <w:rFonts w:ascii="Times New Roman" w:hAnsi="Times New Roman" w:cs="Times New Roman"/>
          <w:i/>
          <w:iCs/>
          <w:sz w:val="24"/>
        </w:rPr>
        <w:t>Em sendo permitida a participação de cooperativas, serão estendidas a elas os benefícios previstos para as microempresas e empresas de pequeno porte quando elas atenderem ao disposto no art. 34 da Lei nº 11.488, de 15 de junho de 2007.</w:t>
      </w:r>
    </w:p>
    <w:p w:rsidR="00B071EA" w:rsidRDefault="00B071EA">
      <w:pPr>
        <w:spacing w:before="120" w:after="120" w:line="276" w:lineRule="auto"/>
        <w:ind w:left="1224"/>
        <w:jc w:val="both"/>
        <w:rPr>
          <w:rFonts w:ascii="Times New Roman" w:hAnsi="Times New Roman" w:cs="Times New Roman"/>
          <w:i/>
          <w:iCs/>
          <w:sz w:val="24"/>
        </w:rPr>
      </w:pPr>
    </w:p>
    <w:p w:rsidR="00B071EA" w:rsidRDefault="00FD3142">
      <w:pPr>
        <w:pStyle w:val="PADRO"/>
        <w:keepNext w:val="0"/>
        <w:widowControl/>
        <w:numPr>
          <w:ilvl w:val="0"/>
          <w:numId w:val="1"/>
        </w:numPr>
        <w:shd w:val="clear" w:color="auto" w:fill="auto"/>
        <w:spacing w:before="120" w:after="120"/>
        <w:rPr>
          <w:rFonts w:ascii="Times New Roman" w:hAnsi="Times New Roman" w:cs="Times New Roman"/>
          <w:b/>
          <w:sz w:val="24"/>
        </w:rPr>
      </w:pPr>
      <w:r>
        <w:rPr>
          <w:rFonts w:ascii="Times New Roman" w:hAnsi="Times New Roman" w:cs="Times New Roman"/>
          <w:b/>
          <w:sz w:val="24"/>
        </w:rPr>
        <w:t>INGRESSO NA DISPENSA ELETRÔNICA E CADASTRAMENTO DA PROPOSTA INICIAL</w:t>
      </w:r>
    </w:p>
    <w:p w:rsidR="00B071EA" w:rsidRDefault="00FD3142">
      <w:pPr>
        <w:numPr>
          <w:ilvl w:val="1"/>
          <w:numId w:val="1"/>
        </w:numPr>
        <w:autoSpaceDE w:val="0"/>
        <w:snapToGrid w:val="0"/>
        <w:spacing w:before="120" w:after="120" w:line="276" w:lineRule="auto"/>
        <w:ind w:left="425" w:firstLine="0"/>
        <w:jc w:val="both"/>
        <w:rPr>
          <w:rFonts w:ascii="Times New Roman" w:hAnsi="Times New Roman" w:cs="Times New Roman"/>
          <w:sz w:val="24"/>
        </w:rPr>
      </w:pPr>
      <w:r>
        <w:rPr>
          <w:rFonts w:ascii="Times New Roman" w:hAnsi="Times New Roman" w:cs="Times New Roman"/>
          <w:color w:val="000000" w:themeColor="text1"/>
          <w:sz w:val="24"/>
        </w:rPr>
        <w:t>O ingresso do fornecedor na disputa da dispensa eletrônica se dará com o cadastramento de sua proposta inicial, na forma deste item.</w:t>
      </w:r>
    </w:p>
    <w:p w:rsidR="00B071EA" w:rsidRDefault="00FD3142">
      <w:pPr>
        <w:numPr>
          <w:ilvl w:val="1"/>
          <w:numId w:val="1"/>
        </w:numPr>
        <w:autoSpaceDE w:val="0"/>
        <w:snapToGrid w:val="0"/>
        <w:spacing w:before="120" w:after="120" w:line="276" w:lineRule="auto"/>
        <w:ind w:left="425" w:firstLine="0"/>
        <w:jc w:val="both"/>
        <w:rPr>
          <w:rFonts w:ascii="Times New Roman" w:hAnsi="Times New Roman" w:cs="Times New Roman"/>
          <w:color w:val="000000" w:themeColor="text1"/>
          <w:sz w:val="24"/>
        </w:rPr>
      </w:pPr>
      <w:r>
        <w:rPr>
          <w:rFonts w:ascii="Times New Roman" w:hAnsi="Times New Roman" w:cs="Times New Roman"/>
          <w:color w:val="000000" w:themeColor="text1"/>
          <w:sz w:val="24"/>
        </w:rPr>
        <w:t>O fornecedor interessado, após a divulgação do aviso de contratação direta, encaminhará, exclusivamente por meio do Sistema de Dispensa Eletrônica, a proposta com a descrição do objeto ofertado, a marca do produto, quando for o caso, e o preço, até a data e o horário estabelecidos para abertura do procedimento.</w:t>
      </w:r>
    </w:p>
    <w:p w:rsidR="00B071EA" w:rsidRDefault="00FD3142">
      <w:pPr>
        <w:numPr>
          <w:ilvl w:val="2"/>
          <w:numId w:val="1"/>
        </w:numPr>
        <w:spacing w:before="120" w:after="120" w:line="276" w:lineRule="auto"/>
        <w:jc w:val="both"/>
        <w:rPr>
          <w:rFonts w:ascii="Times New Roman" w:hAnsi="Times New Roman" w:cs="Times New Roman"/>
          <w:sz w:val="24"/>
        </w:rPr>
      </w:pPr>
      <w:r>
        <w:rPr>
          <w:rFonts w:ascii="Times New Roman" w:hAnsi="Times New Roman" w:cs="Times New Roman"/>
          <w:sz w:val="24"/>
        </w:rPr>
        <w:t>A proposta também deverá conter declaração de que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rsidR="00B071EA" w:rsidRDefault="00FD3142">
      <w:pPr>
        <w:numPr>
          <w:ilvl w:val="1"/>
          <w:numId w:val="1"/>
        </w:numPr>
        <w:spacing w:before="120" w:after="120" w:line="276" w:lineRule="auto"/>
        <w:ind w:left="425" w:firstLine="0"/>
        <w:jc w:val="both"/>
        <w:rPr>
          <w:rFonts w:ascii="Times New Roman" w:hAnsi="Times New Roman" w:cs="Times New Roman"/>
          <w:sz w:val="24"/>
        </w:rPr>
      </w:pPr>
      <w:r>
        <w:rPr>
          <w:rFonts w:ascii="Times New Roman" w:hAnsi="Times New Roman" w:cs="Times New Roman"/>
          <w:sz w:val="24"/>
        </w:rPr>
        <w:t xml:space="preserve">Todas as especificações do </w:t>
      </w:r>
      <w:r>
        <w:rPr>
          <w:rFonts w:ascii="Times New Roman" w:hAnsi="Times New Roman" w:cs="Times New Roman"/>
          <w:color w:val="000000" w:themeColor="text1"/>
          <w:sz w:val="24"/>
        </w:rPr>
        <w:t>objeto</w:t>
      </w:r>
      <w:r>
        <w:rPr>
          <w:rFonts w:ascii="Times New Roman" w:hAnsi="Times New Roman" w:cs="Times New Roman"/>
          <w:sz w:val="24"/>
        </w:rPr>
        <w:t xml:space="preserve"> contidas na proposta, em especial o preço, vinculam a Contratada.</w:t>
      </w:r>
    </w:p>
    <w:p w:rsidR="00B071EA" w:rsidRDefault="00FD3142">
      <w:pPr>
        <w:numPr>
          <w:ilvl w:val="1"/>
          <w:numId w:val="1"/>
        </w:numPr>
        <w:spacing w:before="120" w:after="120" w:line="276" w:lineRule="auto"/>
        <w:ind w:left="425" w:firstLine="0"/>
        <w:jc w:val="both"/>
        <w:rPr>
          <w:rFonts w:ascii="Times New Roman" w:hAnsi="Times New Roman" w:cs="Times New Roman"/>
          <w:sz w:val="24"/>
        </w:rPr>
      </w:pPr>
      <w:r>
        <w:rPr>
          <w:rFonts w:ascii="Times New Roman" w:hAnsi="Times New Roman" w:cs="Times New Roman"/>
          <w:sz w:val="24"/>
        </w:rPr>
        <w:t>Nos valores propostos estarão inclusos todos os custos operacionais, encargos previdenciários, trabalhistas, tributários, comerciais e quaisquer outros que incidam direta ou indiretamente na prestação dos serviços;</w:t>
      </w:r>
    </w:p>
    <w:p w:rsidR="00B071EA" w:rsidRDefault="00FD3142">
      <w:pPr>
        <w:numPr>
          <w:ilvl w:val="2"/>
          <w:numId w:val="1"/>
        </w:numPr>
        <w:spacing w:before="120" w:after="120" w:line="276" w:lineRule="auto"/>
        <w:jc w:val="both"/>
        <w:rPr>
          <w:rFonts w:ascii="Times New Roman" w:hAnsi="Times New Roman" w:cs="Times New Roman"/>
          <w:sz w:val="24"/>
        </w:rPr>
      </w:pPr>
      <w:r>
        <w:rPr>
          <w:rFonts w:ascii="Times New Roman" w:hAnsi="Times New Roman" w:cs="Times New Roman"/>
          <w:sz w:val="24"/>
        </w:rPr>
        <w:t>Os preços ofertados, tanto na proposta inicial, quanto na etapa de lances, serão de exclusiva responsabilidade do fornecedor, não lhe assistindo o direito de pleitear qualquer alteração, sob alegação de erro, omissão ou qualquer outro pretexto.</w:t>
      </w:r>
    </w:p>
    <w:p w:rsidR="00B071EA" w:rsidRDefault="00FD3142">
      <w:pPr>
        <w:numPr>
          <w:ilvl w:val="1"/>
          <w:numId w:val="1"/>
        </w:numPr>
        <w:spacing w:before="120" w:after="120" w:line="276" w:lineRule="auto"/>
        <w:ind w:left="425" w:firstLine="0"/>
        <w:jc w:val="both"/>
        <w:rPr>
          <w:rFonts w:ascii="Times New Roman" w:hAnsi="Times New Roman" w:cs="Times New Roman"/>
          <w:sz w:val="24"/>
        </w:rPr>
      </w:pPr>
      <w:r>
        <w:rPr>
          <w:rFonts w:ascii="Times New Roman" w:hAnsi="Times New Roman" w:cs="Times New Roman"/>
          <w:sz w:val="24"/>
        </w:rPr>
        <w:t xml:space="preserve">Se o regime tributário da empresa implicar o recolhimento de tributos em percentuais variáveis, a cotação adequada será a que corresponde à média dos efetivos recolhimentos da empresa nos últimos doze meses. </w:t>
      </w:r>
    </w:p>
    <w:p w:rsidR="00B071EA" w:rsidRDefault="00FD3142">
      <w:pPr>
        <w:numPr>
          <w:ilvl w:val="1"/>
          <w:numId w:val="1"/>
        </w:numPr>
        <w:spacing w:before="120" w:after="120" w:line="276" w:lineRule="auto"/>
        <w:ind w:left="425" w:firstLine="0"/>
        <w:jc w:val="both"/>
        <w:rPr>
          <w:rFonts w:ascii="Times New Roman" w:hAnsi="Times New Roman" w:cs="Times New Roman"/>
          <w:sz w:val="24"/>
        </w:rPr>
      </w:pPr>
      <w:r>
        <w:rPr>
          <w:rFonts w:ascii="Times New Roman" w:hAnsi="Times New Roman" w:cs="Times New Roman"/>
          <w:sz w:val="24"/>
        </w:rPr>
        <w:t>Independentemente do percentual de tributo inserido na planilha, no pagamento serão retidos na fonte os percentuais estabelecidos na legislação vigente.</w:t>
      </w:r>
    </w:p>
    <w:p w:rsidR="00B071EA" w:rsidRDefault="00FD3142">
      <w:pPr>
        <w:numPr>
          <w:ilvl w:val="1"/>
          <w:numId w:val="1"/>
        </w:numPr>
        <w:spacing w:before="120" w:after="120" w:line="276" w:lineRule="auto"/>
        <w:ind w:left="425" w:firstLine="0"/>
        <w:jc w:val="both"/>
        <w:rPr>
          <w:rFonts w:ascii="Times New Roman" w:hAnsi="Times New Roman" w:cs="Times New Roman"/>
          <w:sz w:val="24"/>
        </w:rPr>
      </w:pPr>
      <w:r>
        <w:rPr>
          <w:rFonts w:ascii="Times New Roman" w:hAnsi="Times New Roman" w:cs="Times New Roman"/>
          <w:sz w:val="24"/>
        </w:rPr>
        <w:t>A apresentação das propostas implica obrigatoriedade do cumprimento das disposições nelas contidas, em conformidade com o que dispõe o Projeto Básico, Estudos Técnicos Preliminares e Manual de Orientações para Instalação, assumindo o proponente o compromisso de executar os serviços nos seus termos, bem como de fornecer os materiais, equipamentos, ferramentas e utensílios necessários, em quantidades e qualidades adequadas à perfeita execução contratual, promovendo, quando requerido, sua substituição.</w:t>
      </w:r>
    </w:p>
    <w:p w:rsidR="00B071EA" w:rsidRDefault="00FD3142">
      <w:pPr>
        <w:numPr>
          <w:ilvl w:val="1"/>
          <w:numId w:val="1"/>
        </w:numPr>
        <w:spacing w:before="120" w:after="120" w:line="276" w:lineRule="auto"/>
        <w:ind w:left="425" w:firstLine="0"/>
        <w:jc w:val="both"/>
        <w:rPr>
          <w:rFonts w:ascii="Times New Roman" w:hAnsi="Times New Roman" w:cs="Times New Roman"/>
          <w:color w:val="000000" w:themeColor="text1"/>
          <w:sz w:val="24"/>
        </w:rPr>
      </w:pPr>
      <w:r>
        <w:rPr>
          <w:rFonts w:ascii="Times New Roman" w:hAnsi="Times New Roman" w:cs="Times New Roman"/>
          <w:sz w:val="24"/>
        </w:rPr>
        <w:lastRenderedPageBreak/>
        <w:t xml:space="preserve">Uma vez enviada a proposta no sistema, os fornecedores </w:t>
      </w:r>
      <w:r>
        <w:rPr>
          <w:rFonts w:ascii="Times New Roman" w:hAnsi="Times New Roman" w:cs="Times New Roman"/>
          <w:b/>
          <w:bCs/>
          <w:sz w:val="24"/>
        </w:rPr>
        <w:t>NÃO</w:t>
      </w:r>
      <w:r>
        <w:rPr>
          <w:rFonts w:ascii="Times New Roman" w:hAnsi="Times New Roman" w:cs="Times New Roman"/>
          <w:sz w:val="24"/>
        </w:rPr>
        <w:t xml:space="preserve"> poderão retirá-la, substituí-la ou modificá-la</w:t>
      </w:r>
      <w:r>
        <w:rPr>
          <w:rFonts w:ascii="Times New Roman" w:hAnsi="Times New Roman" w:cs="Times New Roman"/>
          <w:color w:val="000000"/>
          <w:sz w:val="24"/>
        </w:rPr>
        <w:t>;</w:t>
      </w:r>
    </w:p>
    <w:p w:rsidR="00B071EA" w:rsidRDefault="00FD3142">
      <w:pPr>
        <w:numPr>
          <w:ilvl w:val="1"/>
          <w:numId w:val="1"/>
        </w:numPr>
        <w:spacing w:before="120" w:after="120" w:line="276" w:lineRule="auto"/>
        <w:ind w:left="425" w:firstLine="0"/>
        <w:jc w:val="both"/>
        <w:rPr>
          <w:rFonts w:ascii="Times New Roman" w:hAnsi="Times New Roman" w:cs="Times New Roman"/>
          <w:color w:val="000000" w:themeColor="text1"/>
          <w:sz w:val="24"/>
        </w:rPr>
      </w:pPr>
      <w:r>
        <w:rPr>
          <w:rFonts w:ascii="Times New Roman" w:hAnsi="Times New Roman" w:cs="Times New Roman"/>
          <w:color w:val="000000"/>
          <w:sz w:val="24"/>
        </w:rPr>
        <w:t xml:space="preserve">No cadastramento da proposta inicial, o fornecedor deverá, também, assinalar “sim” ou “não” em campo </w:t>
      </w:r>
      <w:r>
        <w:rPr>
          <w:rFonts w:ascii="Times New Roman" w:hAnsi="Times New Roman" w:cs="Times New Roman"/>
          <w:sz w:val="24"/>
        </w:rPr>
        <w:t>próprio</w:t>
      </w:r>
      <w:r>
        <w:rPr>
          <w:rFonts w:ascii="Times New Roman" w:hAnsi="Times New Roman" w:cs="Times New Roman"/>
          <w:color w:val="000000"/>
          <w:sz w:val="24"/>
        </w:rPr>
        <w:t xml:space="preserve"> do sistema eletrônico, às seguintes declarações:</w:t>
      </w:r>
      <w:r>
        <w:rPr>
          <w:rFonts w:ascii="Times New Roman" w:eastAsia="Zurich BT" w:hAnsi="Times New Roman" w:cs="Times New Roman"/>
          <w:color w:val="000000"/>
          <w:sz w:val="24"/>
        </w:rPr>
        <w:t xml:space="preserve"> </w:t>
      </w:r>
    </w:p>
    <w:p w:rsidR="00B071EA" w:rsidRDefault="00B071EA">
      <w:pPr>
        <w:pStyle w:val="PargrafodaLista"/>
        <w:numPr>
          <w:ilvl w:val="0"/>
          <w:numId w:val="3"/>
        </w:numPr>
        <w:tabs>
          <w:tab w:val="left" w:pos="1440"/>
        </w:tabs>
        <w:autoSpaceDE w:val="0"/>
        <w:snapToGrid w:val="0"/>
        <w:spacing w:before="120" w:after="120" w:line="276" w:lineRule="auto"/>
        <w:jc w:val="both"/>
        <w:rPr>
          <w:rFonts w:ascii="Times New Roman" w:hAnsi="Times New Roman" w:cs="Times New Roman"/>
          <w:bCs/>
          <w:vanish/>
          <w:color w:val="000000"/>
          <w:sz w:val="24"/>
        </w:rPr>
      </w:pPr>
    </w:p>
    <w:p w:rsidR="00B071EA" w:rsidRDefault="00B071EA">
      <w:pPr>
        <w:pStyle w:val="PargrafodaLista"/>
        <w:numPr>
          <w:ilvl w:val="1"/>
          <w:numId w:val="3"/>
        </w:numPr>
        <w:tabs>
          <w:tab w:val="left" w:pos="1440"/>
        </w:tabs>
        <w:autoSpaceDE w:val="0"/>
        <w:snapToGrid w:val="0"/>
        <w:spacing w:before="120" w:after="120" w:line="276" w:lineRule="auto"/>
        <w:jc w:val="both"/>
        <w:rPr>
          <w:rFonts w:ascii="Times New Roman" w:hAnsi="Times New Roman" w:cs="Times New Roman"/>
          <w:bCs/>
          <w:vanish/>
          <w:color w:val="000000"/>
          <w:sz w:val="24"/>
        </w:rPr>
      </w:pPr>
    </w:p>
    <w:p w:rsidR="00B071EA" w:rsidRDefault="00B071EA">
      <w:pPr>
        <w:pStyle w:val="PargrafodaLista"/>
        <w:numPr>
          <w:ilvl w:val="1"/>
          <w:numId w:val="3"/>
        </w:numPr>
        <w:tabs>
          <w:tab w:val="left" w:pos="1440"/>
        </w:tabs>
        <w:autoSpaceDE w:val="0"/>
        <w:snapToGrid w:val="0"/>
        <w:spacing w:before="120" w:after="120" w:line="276" w:lineRule="auto"/>
        <w:jc w:val="both"/>
        <w:rPr>
          <w:rFonts w:ascii="Times New Roman" w:hAnsi="Times New Roman" w:cs="Times New Roman"/>
          <w:bCs/>
          <w:vanish/>
          <w:color w:val="000000"/>
          <w:sz w:val="24"/>
        </w:rPr>
      </w:pPr>
    </w:p>
    <w:p w:rsidR="00B071EA" w:rsidRDefault="00B071EA">
      <w:pPr>
        <w:pStyle w:val="PargrafodaLista"/>
        <w:numPr>
          <w:ilvl w:val="1"/>
          <w:numId w:val="3"/>
        </w:numPr>
        <w:tabs>
          <w:tab w:val="left" w:pos="1440"/>
        </w:tabs>
        <w:autoSpaceDE w:val="0"/>
        <w:snapToGrid w:val="0"/>
        <w:spacing w:before="120" w:after="120" w:line="276" w:lineRule="auto"/>
        <w:jc w:val="both"/>
        <w:rPr>
          <w:rFonts w:ascii="Times New Roman" w:hAnsi="Times New Roman" w:cs="Times New Roman"/>
          <w:bCs/>
          <w:vanish/>
          <w:color w:val="000000"/>
          <w:sz w:val="24"/>
        </w:rPr>
      </w:pPr>
    </w:p>
    <w:p w:rsidR="00B071EA" w:rsidRDefault="00FD3142">
      <w:pPr>
        <w:numPr>
          <w:ilvl w:val="2"/>
          <w:numId w:val="1"/>
        </w:numPr>
        <w:spacing w:before="120" w:after="120" w:line="276" w:lineRule="auto"/>
        <w:jc w:val="both"/>
        <w:rPr>
          <w:rFonts w:ascii="Times New Roman" w:hAnsi="Times New Roman" w:cs="Times New Roman"/>
          <w:color w:val="000000" w:themeColor="text1"/>
          <w:sz w:val="24"/>
        </w:rPr>
      </w:pPr>
      <w:r>
        <w:rPr>
          <w:rFonts w:ascii="Times New Roman" w:hAnsi="Times New Roman" w:cs="Times New Roman"/>
          <w:color w:val="000000" w:themeColor="text1"/>
          <w:sz w:val="24"/>
        </w:rPr>
        <w:t>que inexistem fatos impeditivos para sua habilitação no certame, ciente da obrigatoriedade de declarar ocorrências posteriores;</w:t>
      </w:r>
    </w:p>
    <w:p w:rsidR="00B071EA" w:rsidRDefault="00FD3142">
      <w:pPr>
        <w:numPr>
          <w:ilvl w:val="2"/>
          <w:numId w:val="1"/>
        </w:numPr>
        <w:spacing w:before="120" w:after="120" w:line="276" w:lineRule="auto"/>
        <w:jc w:val="both"/>
        <w:rPr>
          <w:rFonts w:ascii="Times New Roman" w:hAnsi="Times New Roman" w:cs="Times New Roman"/>
          <w:color w:val="000000" w:themeColor="text1"/>
          <w:sz w:val="24"/>
        </w:rPr>
      </w:pPr>
      <w:r>
        <w:rPr>
          <w:rFonts w:ascii="Times New Roman" w:hAnsi="Times New Roman" w:cs="Times New Roman"/>
          <w:color w:val="000000" w:themeColor="text1"/>
          <w:sz w:val="24"/>
        </w:rPr>
        <w:t xml:space="preserve">que </w:t>
      </w:r>
      <w:r>
        <w:rPr>
          <w:rFonts w:ascii="Times New Roman" w:hAnsi="Times New Roman" w:cs="Times New Roman"/>
          <w:color w:val="000000"/>
          <w:sz w:val="24"/>
        </w:rPr>
        <w:t>cumpre</w:t>
      </w:r>
      <w:r>
        <w:rPr>
          <w:rFonts w:ascii="Times New Roman" w:hAnsi="Times New Roman" w:cs="Times New Roman"/>
          <w:color w:val="000000" w:themeColor="text1"/>
          <w:sz w:val="24"/>
        </w:rPr>
        <w:t xml:space="preserve"> os requisitos estabelecidos no artigo 3° da Lei Complementar nº 123, de 2006, estando apto a usufruir do tratamento favorecido estabelecido em seus arts. 42 a 49.</w:t>
      </w:r>
    </w:p>
    <w:p w:rsidR="00B071EA" w:rsidRDefault="00FD3142">
      <w:pPr>
        <w:numPr>
          <w:ilvl w:val="2"/>
          <w:numId w:val="1"/>
        </w:numPr>
        <w:spacing w:before="120" w:after="120" w:line="276" w:lineRule="auto"/>
        <w:jc w:val="both"/>
        <w:rPr>
          <w:rFonts w:ascii="Times New Roman" w:hAnsi="Times New Roman" w:cs="Times New Roman"/>
          <w:color w:val="000000" w:themeColor="text1"/>
          <w:sz w:val="24"/>
        </w:rPr>
      </w:pPr>
      <w:r>
        <w:rPr>
          <w:rFonts w:ascii="Times New Roman" w:hAnsi="Times New Roman" w:cs="Times New Roman"/>
          <w:color w:val="000000" w:themeColor="text1"/>
          <w:sz w:val="24"/>
        </w:rPr>
        <w:t>que está ciente e concorda com as condições contidas no Aviso de Contratação Direta e seus anexos;</w:t>
      </w:r>
    </w:p>
    <w:p w:rsidR="00B071EA" w:rsidRDefault="00FD3142">
      <w:pPr>
        <w:numPr>
          <w:ilvl w:val="2"/>
          <w:numId w:val="1"/>
        </w:numPr>
        <w:spacing w:before="120" w:after="120" w:line="276" w:lineRule="auto"/>
        <w:jc w:val="both"/>
        <w:rPr>
          <w:rFonts w:ascii="Times New Roman" w:hAnsi="Times New Roman" w:cs="Times New Roman"/>
          <w:color w:val="000000" w:themeColor="text1"/>
          <w:sz w:val="24"/>
        </w:rPr>
      </w:pPr>
      <w:r>
        <w:rPr>
          <w:rFonts w:ascii="Times New Roman" w:hAnsi="Times New Roman" w:cs="Times New Roman"/>
          <w:color w:val="000000" w:themeColor="text1"/>
          <w:sz w:val="24"/>
        </w:rPr>
        <w:t>que assume a responsabilidade pelas transações que forem efetuadas no sistema, assumindo como firmes e verdadeiras;</w:t>
      </w:r>
    </w:p>
    <w:p w:rsidR="00B071EA" w:rsidRDefault="00FD3142">
      <w:pPr>
        <w:numPr>
          <w:ilvl w:val="2"/>
          <w:numId w:val="1"/>
        </w:numPr>
        <w:spacing w:before="120" w:after="120" w:line="276" w:lineRule="auto"/>
        <w:jc w:val="both"/>
        <w:rPr>
          <w:rFonts w:ascii="Times New Roman" w:hAnsi="Times New Roman" w:cs="Times New Roman"/>
          <w:color w:val="000000" w:themeColor="text1"/>
          <w:sz w:val="24"/>
        </w:rPr>
      </w:pPr>
      <w:r>
        <w:rPr>
          <w:rFonts w:ascii="Times New Roman" w:hAnsi="Times New Roman" w:cs="Times New Roman"/>
          <w:color w:val="000000" w:themeColor="text1"/>
          <w:sz w:val="24"/>
        </w:rPr>
        <w:t>que cumpre as exigências de reserva de cargos para pessoa com deficiência e para reabilitado da Previdência Social, de que trata o art. 93 da Lei nº 8.213/91.</w:t>
      </w:r>
    </w:p>
    <w:p w:rsidR="00B071EA" w:rsidRDefault="00FD3142">
      <w:pPr>
        <w:numPr>
          <w:ilvl w:val="2"/>
          <w:numId w:val="1"/>
        </w:numPr>
        <w:spacing w:before="120" w:after="120" w:line="276" w:lineRule="auto"/>
        <w:jc w:val="both"/>
        <w:rPr>
          <w:rFonts w:ascii="Times New Roman" w:hAnsi="Times New Roman" w:cs="Times New Roman"/>
          <w:color w:val="000000" w:themeColor="text1"/>
          <w:sz w:val="24"/>
        </w:rPr>
      </w:pPr>
      <w:r>
        <w:rPr>
          <w:rFonts w:ascii="Times New Roman" w:hAnsi="Times New Roman" w:cs="Times New Roman"/>
          <w:color w:val="000000" w:themeColor="text1"/>
          <w:sz w:val="24"/>
        </w:rPr>
        <w:t>que não emprega menor de 18 anos em trabalho noturno, perigoso ou insalubre e não emprega menor de 16 anos, salvo menor, a partir de 14 anos, na condição de aprendiz, nos termos do artigo 7°, XXXIII, da Constituição;</w:t>
      </w:r>
    </w:p>
    <w:p w:rsidR="00B071EA" w:rsidRDefault="00FD3142">
      <w:pPr>
        <w:pStyle w:val="PADRO"/>
        <w:keepNext w:val="0"/>
        <w:widowControl/>
        <w:numPr>
          <w:ilvl w:val="0"/>
          <w:numId w:val="1"/>
        </w:numPr>
        <w:shd w:val="clear" w:color="auto" w:fill="auto"/>
        <w:spacing w:before="120" w:after="120"/>
        <w:rPr>
          <w:rFonts w:ascii="Times New Roman" w:hAnsi="Times New Roman" w:cs="Times New Roman"/>
          <w:b/>
          <w:sz w:val="24"/>
        </w:rPr>
      </w:pPr>
      <w:r>
        <w:rPr>
          <w:rFonts w:ascii="Times New Roman" w:hAnsi="Times New Roman" w:cs="Times New Roman"/>
          <w:b/>
          <w:sz w:val="24"/>
        </w:rPr>
        <w:t>FASE DE LANCES</w:t>
      </w:r>
    </w:p>
    <w:p w:rsidR="00B071EA" w:rsidRDefault="00FD3142">
      <w:pPr>
        <w:pStyle w:val="PargrafodaLista"/>
        <w:numPr>
          <w:ilvl w:val="1"/>
          <w:numId w:val="1"/>
        </w:numPr>
        <w:spacing w:before="120" w:after="120" w:line="276" w:lineRule="auto"/>
        <w:jc w:val="both"/>
        <w:rPr>
          <w:rFonts w:ascii="Times New Roman" w:hAnsi="Times New Roman" w:cs="Times New Roman"/>
          <w:color w:val="000000" w:themeColor="text1"/>
          <w:sz w:val="24"/>
          <w:lang w:eastAsia="en-US"/>
        </w:rPr>
      </w:pPr>
      <w:r>
        <w:rPr>
          <w:rFonts w:ascii="Times New Roman" w:hAnsi="Times New Roman" w:cs="Times New Roman"/>
          <w:color w:val="000000" w:themeColor="text1"/>
          <w:sz w:val="24"/>
          <w:lang w:eastAsia="en-US"/>
        </w:rPr>
        <w:t xml:space="preserve">A partir das 8:00h da data estabelecida neste Aviso de Contratação Direta, a sessão pública será automaticamente aberta pelo sistema para o envio de lances públicos e sucessivos, </w:t>
      </w:r>
      <w:r>
        <w:rPr>
          <w:rFonts w:ascii="Times New Roman" w:hAnsi="Times New Roman" w:cs="Times New Roman"/>
          <w:bCs/>
          <w:sz w:val="24"/>
          <w:lang w:eastAsia="en-US"/>
        </w:rPr>
        <w:t>exclusivamente por meio do sistema eletrônico</w:t>
      </w:r>
      <w:r>
        <w:rPr>
          <w:rFonts w:ascii="Times New Roman" w:hAnsi="Times New Roman" w:cs="Times New Roman"/>
          <w:sz w:val="24"/>
          <w:lang w:eastAsia="en-US"/>
        </w:rPr>
        <w:t xml:space="preserve">, </w:t>
      </w:r>
      <w:r>
        <w:rPr>
          <w:rFonts w:ascii="Times New Roman" w:hAnsi="Times New Roman" w:cs="Times New Roman"/>
          <w:color w:val="000000" w:themeColor="text1"/>
          <w:sz w:val="24"/>
          <w:lang w:eastAsia="en-US"/>
        </w:rPr>
        <w:t>sendo encerrado no horário de finalização de lances também já previsto neste aviso.</w:t>
      </w:r>
    </w:p>
    <w:p w:rsidR="00B071EA" w:rsidRDefault="00FD3142">
      <w:pPr>
        <w:pStyle w:val="PargrafodaLista"/>
        <w:numPr>
          <w:ilvl w:val="1"/>
          <w:numId w:val="1"/>
        </w:numPr>
        <w:spacing w:before="120" w:after="120" w:line="276" w:lineRule="auto"/>
        <w:jc w:val="both"/>
        <w:rPr>
          <w:rFonts w:ascii="Times New Roman" w:hAnsi="Times New Roman" w:cs="Times New Roman"/>
          <w:color w:val="000000" w:themeColor="text1"/>
          <w:sz w:val="24"/>
          <w:lang w:eastAsia="en-US"/>
        </w:rPr>
      </w:pPr>
      <w:r>
        <w:rPr>
          <w:rFonts w:ascii="Times New Roman" w:hAnsi="Times New Roman" w:cs="Times New Roman"/>
          <w:color w:val="000000" w:themeColor="text1"/>
          <w:sz w:val="24"/>
        </w:rPr>
        <w:t xml:space="preserve">Iniciada a etapa competitiva, os fornecedores deverão encaminhar lances exclusivamente por meio de sistema eletrônico, sendo imediatamente informados do seu recebimento e do valor consignado no registro. </w:t>
      </w:r>
    </w:p>
    <w:p w:rsidR="00B071EA" w:rsidRDefault="00FD3142">
      <w:pPr>
        <w:pStyle w:val="PargrafodaLista"/>
        <w:numPr>
          <w:ilvl w:val="2"/>
          <w:numId w:val="1"/>
        </w:numPr>
        <w:spacing w:before="120" w:after="120" w:line="276" w:lineRule="auto"/>
        <w:jc w:val="both"/>
        <w:rPr>
          <w:rFonts w:ascii="Times New Roman" w:hAnsi="Times New Roman" w:cs="Times New Roman"/>
          <w:sz w:val="24"/>
          <w:lang w:eastAsia="en-US"/>
        </w:rPr>
      </w:pPr>
      <w:r>
        <w:rPr>
          <w:rFonts w:ascii="Times New Roman" w:hAnsi="Times New Roman" w:cs="Times New Roman"/>
          <w:iCs/>
          <w:sz w:val="24"/>
        </w:rPr>
        <w:t>O lance deverá ser ofertado pelo valor total.</w:t>
      </w:r>
    </w:p>
    <w:p w:rsidR="00B071EA" w:rsidRDefault="00FD3142">
      <w:pPr>
        <w:pStyle w:val="PargrafodaLista"/>
        <w:numPr>
          <w:ilvl w:val="1"/>
          <w:numId w:val="1"/>
        </w:numPr>
        <w:spacing w:before="120" w:after="120" w:line="276" w:lineRule="auto"/>
        <w:jc w:val="both"/>
        <w:rPr>
          <w:rFonts w:ascii="Times New Roman" w:hAnsi="Times New Roman" w:cs="Times New Roman"/>
          <w:color w:val="000000" w:themeColor="text1"/>
          <w:sz w:val="24"/>
          <w:lang w:eastAsia="en-US"/>
        </w:rPr>
      </w:pPr>
      <w:r>
        <w:rPr>
          <w:rFonts w:ascii="Times New Roman" w:hAnsi="Times New Roman" w:cs="Times New Roman"/>
          <w:color w:val="000000" w:themeColor="text1"/>
          <w:sz w:val="24"/>
          <w:lang w:eastAsia="en-US"/>
        </w:rPr>
        <w:t>O fornecedor somente poderá oferecer valor inferior ou maior percentual de desconto em relação ao último lance por ele ofertado e registrado pelo sistema.</w:t>
      </w:r>
    </w:p>
    <w:p w:rsidR="00B071EA" w:rsidRDefault="00FD3142">
      <w:pPr>
        <w:pStyle w:val="PargrafodaLista"/>
        <w:numPr>
          <w:ilvl w:val="2"/>
          <w:numId w:val="1"/>
        </w:numPr>
        <w:spacing w:before="120" w:after="120" w:line="276" w:lineRule="auto"/>
        <w:jc w:val="both"/>
        <w:rPr>
          <w:rFonts w:ascii="Times New Roman" w:hAnsi="Times New Roman" w:cs="Times New Roman"/>
          <w:color w:val="000000" w:themeColor="text1"/>
          <w:sz w:val="24"/>
          <w:lang w:eastAsia="en-US"/>
        </w:rPr>
      </w:pPr>
      <w:r>
        <w:rPr>
          <w:rFonts w:ascii="Times New Roman" w:hAnsi="Times New Roman" w:cs="Times New Roman"/>
          <w:color w:val="000000" w:themeColor="text1"/>
          <w:sz w:val="24"/>
          <w:lang w:eastAsia="en-US"/>
        </w:rPr>
        <w:t>O fornecedor poderá oferecer lances sucessivos iguais ou superiores ao lance que esteja vencendo o certame, desde que inferiores ao menor por ele ofertado e registrado pelo sistema, sendo tais lances definidos como “lances intermediários” para os fins deste Aviso de Contratação Direta.</w:t>
      </w:r>
    </w:p>
    <w:p w:rsidR="00B071EA" w:rsidRDefault="00FD3142">
      <w:pPr>
        <w:pStyle w:val="PargrafodaLista"/>
        <w:numPr>
          <w:ilvl w:val="2"/>
          <w:numId w:val="1"/>
        </w:numPr>
        <w:spacing w:before="120" w:after="120" w:line="276" w:lineRule="auto"/>
        <w:jc w:val="both"/>
        <w:rPr>
          <w:rFonts w:ascii="Times New Roman" w:hAnsi="Times New Roman" w:cs="Times New Roman"/>
          <w:color w:val="000000" w:themeColor="text1"/>
          <w:sz w:val="24"/>
          <w:lang w:eastAsia="en-US"/>
        </w:rPr>
      </w:pPr>
      <w:r>
        <w:rPr>
          <w:rFonts w:ascii="Times New Roman" w:hAnsi="Times New Roman" w:cs="Times New Roman"/>
          <w:sz w:val="24"/>
        </w:rPr>
        <w:t>O intervalo mínimo de diferença de valores ou percentuais entre os lances, que incidirá tanto em relação aos lances intermediários quanto em relação ao que cobrir a melhor oferta é de</w:t>
      </w:r>
      <w:r>
        <w:rPr>
          <w:rFonts w:ascii="Times New Roman" w:hAnsi="Times New Roman" w:cs="Times New Roman"/>
          <w:i/>
          <w:iCs/>
          <w:sz w:val="24"/>
        </w:rPr>
        <w:t xml:space="preserve"> </w:t>
      </w:r>
      <w:r>
        <w:rPr>
          <w:rFonts w:ascii="Times New Roman" w:hAnsi="Times New Roman" w:cs="Times New Roman"/>
          <w:iCs/>
          <w:sz w:val="24"/>
        </w:rPr>
        <w:t>250,00 (duzentos e cinquenta reais).</w:t>
      </w:r>
    </w:p>
    <w:p w:rsidR="00B071EA" w:rsidRDefault="00FD3142">
      <w:pPr>
        <w:pStyle w:val="PargrafodaLista"/>
        <w:numPr>
          <w:ilvl w:val="1"/>
          <w:numId w:val="1"/>
        </w:numPr>
        <w:spacing w:before="120" w:after="120" w:line="276" w:lineRule="auto"/>
        <w:jc w:val="both"/>
        <w:rPr>
          <w:rFonts w:ascii="Times New Roman" w:hAnsi="Times New Roman" w:cs="Times New Roman"/>
          <w:color w:val="000000" w:themeColor="text1"/>
          <w:sz w:val="24"/>
          <w:lang w:eastAsia="en-US"/>
        </w:rPr>
      </w:pPr>
      <w:r>
        <w:rPr>
          <w:rFonts w:ascii="Times New Roman" w:hAnsi="Times New Roman" w:cs="Times New Roman"/>
          <w:color w:val="000000" w:themeColor="text1"/>
          <w:sz w:val="24"/>
          <w:lang w:eastAsia="en-US"/>
        </w:rPr>
        <w:t>Havendo lances iguais ao menor já ofertado, prevalecerá aquele que for recebido e registrado primeiro no sistema.</w:t>
      </w:r>
    </w:p>
    <w:p w:rsidR="00B071EA" w:rsidRDefault="00FD3142">
      <w:pPr>
        <w:pStyle w:val="PargrafodaLista"/>
        <w:numPr>
          <w:ilvl w:val="1"/>
          <w:numId w:val="1"/>
        </w:numPr>
        <w:spacing w:before="120" w:after="120" w:line="276" w:lineRule="auto"/>
        <w:jc w:val="both"/>
        <w:rPr>
          <w:rFonts w:ascii="Times New Roman" w:hAnsi="Times New Roman" w:cs="Times New Roman"/>
          <w:color w:val="000000" w:themeColor="text1"/>
          <w:sz w:val="24"/>
          <w:lang w:eastAsia="en-US"/>
        </w:rPr>
      </w:pPr>
      <w:r>
        <w:rPr>
          <w:rFonts w:ascii="Times New Roman" w:hAnsi="Times New Roman" w:cs="Times New Roman"/>
          <w:color w:val="000000" w:themeColor="text1"/>
          <w:sz w:val="24"/>
          <w:lang w:eastAsia="en-US"/>
        </w:rPr>
        <w:t>Caso o fornecedor não apresente lances, concorrerá com o valor de sua proposta.</w:t>
      </w:r>
    </w:p>
    <w:p w:rsidR="00B071EA" w:rsidRDefault="00FD3142">
      <w:pPr>
        <w:pStyle w:val="PargrafodaLista"/>
        <w:numPr>
          <w:ilvl w:val="1"/>
          <w:numId w:val="1"/>
        </w:numPr>
        <w:spacing w:before="120" w:after="120" w:line="276" w:lineRule="auto"/>
        <w:jc w:val="both"/>
        <w:rPr>
          <w:rFonts w:ascii="Times New Roman" w:hAnsi="Times New Roman" w:cs="Times New Roman"/>
          <w:color w:val="000000" w:themeColor="text1"/>
          <w:sz w:val="24"/>
          <w:lang w:eastAsia="en-US"/>
        </w:rPr>
      </w:pPr>
      <w:r>
        <w:rPr>
          <w:rFonts w:ascii="Times New Roman" w:hAnsi="Times New Roman" w:cs="Times New Roman"/>
          <w:color w:val="000000" w:themeColor="text1"/>
          <w:sz w:val="24"/>
          <w:lang w:eastAsia="en-US"/>
        </w:rPr>
        <w:t>Durante o procedimento, os fornecedores serão informados, em tempo real, do valor do menor lance registrado, vedada a identificação do fornecedor.</w:t>
      </w:r>
    </w:p>
    <w:p w:rsidR="00B071EA" w:rsidRDefault="00FD3142">
      <w:pPr>
        <w:pStyle w:val="PargrafodaLista"/>
        <w:numPr>
          <w:ilvl w:val="1"/>
          <w:numId w:val="1"/>
        </w:numPr>
        <w:spacing w:before="120" w:after="120" w:line="276" w:lineRule="auto"/>
        <w:jc w:val="both"/>
        <w:rPr>
          <w:rFonts w:ascii="Times New Roman" w:hAnsi="Times New Roman" w:cs="Times New Roman"/>
          <w:color w:val="000000" w:themeColor="text1"/>
          <w:sz w:val="24"/>
          <w:lang w:eastAsia="en-US"/>
        </w:rPr>
      </w:pPr>
      <w:r>
        <w:rPr>
          <w:rFonts w:ascii="Times New Roman" w:hAnsi="Times New Roman" w:cs="Times New Roman"/>
          <w:color w:val="000000" w:themeColor="text1"/>
          <w:sz w:val="24"/>
          <w:lang w:eastAsia="en-US"/>
        </w:rPr>
        <w:t>Imediatamente após o término do prazo estabelecido para a fase de lances, haverá o seu encerramento, com o ordenamento e divulgação dos lances, pelo sistema, em ordem crescente de classificação.</w:t>
      </w:r>
    </w:p>
    <w:p w:rsidR="00B071EA" w:rsidRDefault="00FD3142">
      <w:pPr>
        <w:pStyle w:val="PargrafodaLista"/>
        <w:numPr>
          <w:ilvl w:val="2"/>
          <w:numId w:val="1"/>
        </w:numPr>
        <w:spacing w:before="120" w:after="120" w:line="276" w:lineRule="auto"/>
        <w:jc w:val="both"/>
        <w:rPr>
          <w:rFonts w:ascii="Times New Roman" w:hAnsi="Times New Roman" w:cs="Times New Roman"/>
          <w:sz w:val="24"/>
        </w:rPr>
      </w:pPr>
      <w:r>
        <w:rPr>
          <w:rFonts w:ascii="Times New Roman" w:hAnsi="Times New Roman" w:cs="Times New Roman"/>
          <w:color w:val="000000" w:themeColor="text1"/>
          <w:sz w:val="24"/>
          <w:lang w:eastAsia="en-US"/>
        </w:rPr>
        <w:lastRenderedPageBreak/>
        <w:t>O encerramento da fase de lances ocorrerá de forma automática pontualmente no horário indicado, sem qualquer possibilidade de prorrogação e não havendo tempo aleatório ou mecanismo similar.</w:t>
      </w:r>
    </w:p>
    <w:p w:rsidR="00B071EA" w:rsidRDefault="00FD3142">
      <w:pPr>
        <w:pStyle w:val="PADRO"/>
        <w:keepNext w:val="0"/>
        <w:widowControl/>
        <w:numPr>
          <w:ilvl w:val="0"/>
          <w:numId w:val="1"/>
        </w:numPr>
        <w:shd w:val="clear" w:color="auto" w:fill="auto"/>
        <w:spacing w:before="120" w:after="120"/>
        <w:rPr>
          <w:rFonts w:ascii="Times New Roman" w:hAnsi="Times New Roman" w:cs="Times New Roman"/>
          <w:b/>
          <w:sz w:val="24"/>
        </w:rPr>
      </w:pPr>
      <w:r>
        <w:rPr>
          <w:rFonts w:ascii="Times New Roman" w:hAnsi="Times New Roman" w:cs="Times New Roman"/>
          <w:b/>
          <w:sz w:val="24"/>
        </w:rPr>
        <w:t>JULGAMENTO DAS PROPOSTAS DE PREÇO</w:t>
      </w:r>
    </w:p>
    <w:p w:rsidR="00B071EA" w:rsidRDefault="00FD3142">
      <w:pPr>
        <w:pStyle w:val="PargrafodaLista"/>
        <w:numPr>
          <w:ilvl w:val="1"/>
          <w:numId w:val="1"/>
        </w:numPr>
        <w:spacing w:before="120" w:after="120" w:line="276" w:lineRule="auto"/>
        <w:jc w:val="both"/>
        <w:rPr>
          <w:rFonts w:ascii="Times New Roman" w:hAnsi="Times New Roman" w:cs="Times New Roman"/>
          <w:sz w:val="24"/>
        </w:rPr>
      </w:pPr>
      <w:r>
        <w:rPr>
          <w:rFonts w:ascii="Times New Roman" w:hAnsi="Times New Roman" w:cs="Times New Roman"/>
          <w:sz w:val="24"/>
        </w:rPr>
        <w:t>Encerrada a fase de lances, será verificada a conformidade da proposta classificada em primeiro lugar quanto à adequação do objeto e à compatibilidade do preço em relação ao estipulado para a contratação.</w:t>
      </w:r>
    </w:p>
    <w:p w:rsidR="00B071EA" w:rsidRDefault="00FD3142">
      <w:pPr>
        <w:pStyle w:val="PargrafodaLista"/>
        <w:numPr>
          <w:ilvl w:val="1"/>
          <w:numId w:val="1"/>
        </w:numPr>
        <w:spacing w:before="120" w:after="120" w:line="276" w:lineRule="auto"/>
        <w:jc w:val="both"/>
        <w:rPr>
          <w:rFonts w:ascii="Times New Roman" w:hAnsi="Times New Roman" w:cs="Times New Roman"/>
          <w:sz w:val="24"/>
        </w:rPr>
      </w:pPr>
      <w:r>
        <w:rPr>
          <w:rFonts w:ascii="Times New Roman" w:hAnsi="Times New Roman" w:cs="Times New Roman"/>
          <w:sz w:val="24"/>
        </w:rPr>
        <w:t>No caso de o preço da proposta vencedora estar acima do estimado pela Administração, poderá haver a negociação de condições mais vantajosas.</w:t>
      </w:r>
    </w:p>
    <w:p w:rsidR="00B071EA" w:rsidRDefault="00FD3142">
      <w:pPr>
        <w:pStyle w:val="PargrafodaLista"/>
        <w:numPr>
          <w:ilvl w:val="2"/>
          <w:numId w:val="1"/>
        </w:numPr>
        <w:spacing w:before="120" w:after="120" w:line="276" w:lineRule="auto"/>
        <w:jc w:val="both"/>
        <w:rPr>
          <w:rFonts w:ascii="Times New Roman" w:hAnsi="Times New Roman" w:cs="Times New Roman"/>
          <w:sz w:val="24"/>
        </w:rPr>
      </w:pPr>
      <w:r>
        <w:rPr>
          <w:rFonts w:ascii="Times New Roman" w:hAnsi="Times New Roman" w:cs="Times New Roman"/>
          <w:color w:val="000000"/>
          <w:sz w:val="24"/>
        </w:rPr>
        <w:t>Neste caso, será encaminhada contraproposta ao fornecedor que tenha apresentado o melhor preço, para que seja obtida melhor proposta com preço compatível ao estimado pela Administração.</w:t>
      </w:r>
    </w:p>
    <w:p w:rsidR="00B071EA" w:rsidRDefault="00FD3142">
      <w:pPr>
        <w:pStyle w:val="PargrafodaLista"/>
        <w:numPr>
          <w:ilvl w:val="2"/>
          <w:numId w:val="1"/>
        </w:numPr>
        <w:spacing w:before="120" w:after="120" w:line="276" w:lineRule="auto"/>
        <w:jc w:val="both"/>
        <w:rPr>
          <w:rFonts w:ascii="Times New Roman" w:hAnsi="Times New Roman" w:cs="Times New Roman"/>
          <w:sz w:val="24"/>
        </w:rPr>
      </w:pPr>
      <w:r>
        <w:rPr>
          <w:rFonts w:ascii="Times New Roman" w:hAnsi="Times New Roman" w:cs="Times New Roman"/>
          <w:sz w:val="24"/>
        </w:rPr>
        <w:t>A negociação poderá ser feita com os demais fornecedores classificados, respeitada a ordem de classificação, quando o primeiro colocado, mesmo após a negociação, for desclassificado em razão de sua proposta permanecer acima do preço máximo definido para a contratação.</w:t>
      </w:r>
    </w:p>
    <w:p w:rsidR="00B071EA" w:rsidRDefault="00FD3142">
      <w:pPr>
        <w:pStyle w:val="PargrafodaLista"/>
        <w:numPr>
          <w:ilvl w:val="2"/>
          <w:numId w:val="1"/>
        </w:numPr>
        <w:spacing w:before="120" w:after="120" w:line="276" w:lineRule="auto"/>
        <w:jc w:val="both"/>
        <w:rPr>
          <w:rFonts w:ascii="Times New Roman" w:hAnsi="Times New Roman" w:cs="Times New Roman"/>
          <w:sz w:val="24"/>
        </w:rPr>
      </w:pPr>
      <w:r>
        <w:rPr>
          <w:rFonts w:ascii="Times New Roman" w:hAnsi="Times New Roman" w:cs="Times New Roman"/>
          <w:sz w:val="24"/>
        </w:rPr>
        <w:t>Em qualquer caso, concluída a negociação, o resultado será registrado na ata do procedimento da dispensa eletrônica.</w:t>
      </w:r>
    </w:p>
    <w:p w:rsidR="00B071EA" w:rsidRDefault="00FD3142">
      <w:pPr>
        <w:pStyle w:val="PargrafodaLista"/>
        <w:numPr>
          <w:ilvl w:val="1"/>
          <w:numId w:val="1"/>
        </w:numPr>
        <w:spacing w:before="120" w:after="120" w:line="276" w:lineRule="auto"/>
        <w:jc w:val="both"/>
        <w:rPr>
          <w:rFonts w:ascii="Times New Roman" w:hAnsi="Times New Roman" w:cs="Times New Roman"/>
          <w:sz w:val="24"/>
        </w:rPr>
      </w:pPr>
      <w:r>
        <w:rPr>
          <w:rFonts w:ascii="Times New Roman" w:hAnsi="Times New Roman" w:cs="Times New Roman"/>
          <w:sz w:val="24"/>
        </w:rPr>
        <w:t>Estando o preço compatível, será solicitado o envio da proposta e, se necessário, de documentos complementares, adequada ao último lance.</w:t>
      </w:r>
    </w:p>
    <w:p w:rsidR="00B071EA" w:rsidRDefault="00FD3142">
      <w:pPr>
        <w:numPr>
          <w:ilvl w:val="1"/>
          <w:numId w:val="1"/>
        </w:numPr>
        <w:spacing w:before="120" w:after="120" w:line="276" w:lineRule="auto"/>
        <w:jc w:val="both"/>
        <w:rPr>
          <w:rFonts w:ascii="Times New Roman" w:hAnsi="Times New Roman" w:cs="Times New Roman"/>
          <w:color w:val="000000" w:themeColor="text1"/>
          <w:sz w:val="24"/>
        </w:rPr>
      </w:pPr>
      <w:r>
        <w:rPr>
          <w:rFonts w:ascii="Times New Roman" w:hAnsi="Times New Roman" w:cs="Times New Roman"/>
          <w:color w:val="000000" w:themeColor="text1"/>
          <w:sz w:val="24"/>
        </w:rPr>
        <w:t xml:space="preserve">O prazo de validade </w:t>
      </w:r>
      <w:r>
        <w:rPr>
          <w:rFonts w:ascii="Times New Roman" w:hAnsi="Times New Roman" w:cs="Times New Roman"/>
          <w:sz w:val="24"/>
        </w:rPr>
        <w:t>da</w:t>
      </w:r>
      <w:r>
        <w:rPr>
          <w:rFonts w:ascii="Times New Roman" w:hAnsi="Times New Roman" w:cs="Times New Roman"/>
          <w:color w:val="000000" w:themeColor="text1"/>
          <w:sz w:val="24"/>
        </w:rPr>
        <w:t xml:space="preserve"> proposta não será inferior a </w:t>
      </w:r>
      <w:r>
        <w:rPr>
          <w:rFonts w:ascii="Times New Roman" w:hAnsi="Times New Roman" w:cs="Times New Roman"/>
          <w:sz w:val="24"/>
        </w:rPr>
        <w:t xml:space="preserve">30 (trinta) </w:t>
      </w:r>
      <w:r>
        <w:rPr>
          <w:rFonts w:ascii="Times New Roman" w:hAnsi="Times New Roman" w:cs="Times New Roman"/>
          <w:color w:val="000000" w:themeColor="text1"/>
          <w:sz w:val="24"/>
        </w:rPr>
        <w:t>dias</w:t>
      </w:r>
      <w:r>
        <w:rPr>
          <w:rFonts w:ascii="Times New Roman" w:hAnsi="Times New Roman" w:cs="Times New Roman"/>
          <w:b/>
          <w:bCs/>
          <w:color w:val="000000" w:themeColor="text1"/>
          <w:sz w:val="24"/>
        </w:rPr>
        <w:t>,</w:t>
      </w:r>
      <w:r>
        <w:rPr>
          <w:rFonts w:ascii="Times New Roman" w:hAnsi="Times New Roman" w:cs="Times New Roman"/>
          <w:color w:val="000000" w:themeColor="text1"/>
          <w:sz w:val="24"/>
        </w:rPr>
        <w:t xml:space="preserve"> a contar da data de sua apresentação.</w:t>
      </w:r>
    </w:p>
    <w:p w:rsidR="00B071EA" w:rsidRDefault="00FD3142">
      <w:pPr>
        <w:pStyle w:val="PargrafodaLista"/>
        <w:numPr>
          <w:ilvl w:val="1"/>
          <w:numId w:val="1"/>
        </w:numPr>
        <w:spacing w:before="120" w:after="120" w:line="276" w:lineRule="auto"/>
        <w:jc w:val="both"/>
        <w:rPr>
          <w:rFonts w:ascii="Times New Roman" w:hAnsi="Times New Roman" w:cs="Times New Roman"/>
          <w:i/>
          <w:color w:val="000000" w:themeColor="text1"/>
          <w:sz w:val="24"/>
        </w:rPr>
      </w:pPr>
      <w:r>
        <w:rPr>
          <w:rFonts w:ascii="Times New Roman" w:hAnsi="Times New Roman" w:cs="Times New Roman"/>
          <w:color w:val="000000" w:themeColor="text1"/>
          <w:sz w:val="24"/>
          <w:lang w:eastAsia="en-US"/>
        </w:rPr>
        <w:t xml:space="preserve">Será desclassificada a proposta vencedora que: </w:t>
      </w:r>
    </w:p>
    <w:p w:rsidR="00B071EA" w:rsidRDefault="00FD3142">
      <w:pPr>
        <w:pStyle w:val="PargrafodaLista"/>
        <w:numPr>
          <w:ilvl w:val="2"/>
          <w:numId w:val="1"/>
        </w:numPr>
        <w:spacing w:before="120" w:after="120" w:line="276" w:lineRule="auto"/>
        <w:jc w:val="both"/>
        <w:rPr>
          <w:rFonts w:ascii="Times New Roman" w:hAnsi="Times New Roman" w:cs="Times New Roman"/>
          <w:i/>
          <w:color w:val="000000" w:themeColor="text1"/>
          <w:sz w:val="24"/>
        </w:rPr>
      </w:pPr>
      <w:r>
        <w:rPr>
          <w:rFonts w:ascii="Times New Roman" w:hAnsi="Times New Roman" w:cs="Times New Roman"/>
          <w:color w:val="000000"/>
          <w:sz w:val="24"/>
        </w:rPr>
        <w:t>contiver vícios insanáveis</w:t>
      </w:r>
      <w:r>
        <w:rPr>
          <w:rFonts w:ascii="Times New Roman" w:hAnsi="Times New Roman" w:cs="Times New Roman"/>
          <w:iCs/>
          <w:color w:val="000000" w:themeColor="text1"/>
          <w:sz w:val="24"/>
        </w:rPr>
        <w:t>;</w:t>
      </w:r>
    </w:p>
    <w:p w:rsidR="00B071EA" w:rsidRDefault="00FD3142">
      <w:pPr>
        <w:pStyle w:val="PargrafodaLista"/>
        <w:numPr>
          <w:ilvl w:val="2"/>
          <w:numId w:val="1"/>
        </w:numPr>
        <w:spacing w:before="120" w:after="120" w:line="276" w:lineRule="auto"/>
        <w:jc w:val="both"/>
        <w:rPr>
          <w:rFonts w:ascii="Times New Roman" w:hAnsi="Times New Roman" w:cs="Times New Roman"/>
          <w:i/>
          <w:color w:val="000000" w:themeColor="text1"/>
          <w:sz w:val="24"/>
        </w:rPr>
      </w:pPr>
      <w:r>
        <w:rPr>
          <w:rFonts w:ascii="Times New Roman" w:hAnsi="Times New Roman" w:cs="Times New Roman"/>
          <w:color w:val="000000"/>
          <w:sz w:val="24"/>
        </w:rPr>
        <w:t>não obedecer às especificações técnicas pormenorizadas neste aviso ou em seus anexos</w:t>
      </w:r>
      <w:r>
        <w:rPr>
          <w:rFonts w:ascii="Times New Roman" w:hAnsi="Times New Roman" w:cs="Times New Roman"/>
          <w:iCs/>
          <w:color w:val="000000" w:themeColor="text1"/>
          <w:sz w:val="24"/>
        </w:rPr>
        <w:t>;</w:t>
      </w:r>
    </w:p>
    <w:p w:rsidR="00B071EA" w:rsidRDefault="00FD3142">
      <w:pPr>
        <w:pStyle w:val="PargrafodaLista"/>
        <w:numPr>
          <w:ilvl w:val="2"/>
          <w:numId w:val="1"/>
        </w:numPr>
        <w:spacing w:before="120" w:after="120" w:line="276" w:lineRule="auto"/>
        <w:jc w:val="both"/>
        <w:rPr>
          <w:rFonts w:ascii="Times New Roman" w:hAnsi="Times New Roman" w:cs="Times New Roman"/>
          <w:i/>
          <w:color w:val="000000" w:themeColor="text1"/>
          <w:sz w:val="24"/>
        </w:rPr>
      </w:pPr>
      <w:r>
        <w:rPr>
          <w:rFonts w:ascii="Times New Roman" w:hAnsi="Times New Roman" w:cs="Times New Roman"/>
          <w:color w:val="000000"/>
          <w:sz w:val="24"/>
        </w:rPr>
        <w:t>apresentar preços inexequíveis ou permanecerem acima do preço máximo definido para a contratação;</w:t>
      </w:r>
    </w:p>
    <w:p w:rsidR="00B071EA" w:rsidRDefault="00FD3142">
      <w:pPr>
        <w:pStyle w:val="PargrafodaLista"/>
        <w:numPr>
          <w:ilvl w:val="2"/>
          <w:numId w:val="1"/>
        </w:numPr>
        <w:spacing w:before="120" w:after="120" w:line="276" w:lineRule="auto"/>
        <w:jc w:val="both"/>
        <w:rPr>
          <w:rFonts w:ascii="Times New Roman" w:hAnsi="Times New Roman" w:cs="Times New Roman"/>
          <w:i/>
          <w:color w:val="000000" w:themeColor="text1"/>
          <w:sz w:val="24"/>
        </w:rPr>
      </w:pPr>
      <w:r>
        <w:rPr>
          <w:rFonts w:ascii="Times New Roman" w:hAnsi="Times New Roman" w:cs="Times New Roman"/>
          <w:color w:val="000000"/>
          <w:sz w:val="24"/>
        </w:rPr>
        <w:t>não tiverem sua exequibilidade demonstrada, quando exigido pela Administração</w:t>
      </w:r>
      <w:r>
        <w:rPr>
          <w:rFonts w:ascii="Times New Roman" w:hAnsi="Times New Roman" w:cs="Times New Roman"/>
          <w:iCs/>
          <w:color w:val="000000" w:themeColor="text1"/>
          <w:sz w:val="24"/>
        </w:rPr>
        <w:t>;</w:t>
      </w:r>
    </w:p>
    <w:p w:rsidR="00B071EA" w:rsidRDefault="00FD3142">
      <w:pPr>
        <w:pStyle w:val="PargrafodaLista"/>
        <w:numPr>
          <w:ilvl w:val="2"/>
          <w:numId w:val="1"/>
        </w:numPr>
        <w:spacing w:before="120" w:after="120" w:line="276" w:lineRule="auto"/>
        <w:jc w:val="both"/>
        <w:rPr>
          <w:rFonts w:ascii="Times New Roman" w:hAnsi="Times New Roman" w:cs="Times New Roman"/>
          <w:i/>
          <w:color w:val="000000" w:themeColor="text1"/>
          <w:sz w:val="24"/>
        </w:rPr>
      </w:pPr>
      <w:r>
        <w:rPr>
          <w:rFonts w:ascii="Times New Roman" w:hAnsi="Times New Roman" w:cs="Times New Roman"/>
          <w:color w:val="000000"/>
          <w:sz w:val="24"/>
        </w:rPr>
        <w:t>apresentar desconformidade com quaisquer outras exigências deste aviso ou seus anexos, desde que insanável.</w:t>
      </w:r>
    </w:p>
    <w:p w:rsidR="00B071EA" w:rsidRDefault="00FD3142">
      <w:pPr>
        <w:pStyle w:val="PargrafodaLista"/>
        <w:numPr>
          <w:ilvl w:val="1"/>
          <w:numId w:val="1"/>
        </w:numPr>
        <w:spacing w:before="120" w:after="120" w:line="276" w:lineRule="auto"/>
        <w:jc w:val="both"/>
        <w:rPr>
          <w:rFonts w:ascii="Times New Roman" w:hAnsi="Times New Roman" w:cs="Times New Roman"/>
          <w:i/>
          <w:color w:val="000000" w:themeColor="text1"/>
          <w:sz w:val="24"/>
        </w:rPr>
      </w:pPr>
      <w:r>
        <w:rPr>
          <w:rFonts w:ascii="Times New Roman" w:hAnsi="Times New Roman" w:cs="Times New Roman"/>
          <w:color w:val="000000" w:themeColor="text1"/>
          <w:sz w:val="24"/>
          <w:lang w:eastAsia="en-US"/>
        </w:rPr>
        <w:t>Quando</w:t>
      </w:r>
      <w:r>
        <w:rPr>
          <w:rFonts w:ascii="Times New Roman" w:hAnsi="Times New Roman" w:cs="Times New Roman"/>
          <w:sz w:val="24"/>
          <w:bdr w:val="none" w:sz="0" w:space="0" w:color="auto" w:frame="1"/>
        </w:rPr>
        <w:t xml:space="preserve"> o fornecedor não conseguir comprovar que possui ou possuirá recursos suficientes para executar a contento o objeto, será considerada inexequível a proposta de preços ou menor lance que:</w:t>
      </w:r>
    </w:p>
    <w:p w:rsidR="00B071EA" w:rsidRDefault="00FD3142">
      <w:pPr>
        <w:pStyle w:val="PargrafodaLista"/>
        <w:numPr>
          <w:ilvl w:val="2"/>
          <w:numId w:val="1"/>
        </w:numPr>
        <w:spacing w:before="120" w:after="120" w:line="276" w:lineRule="auto"/>
        <w:jc w:val="both"/>
        <w:rPr>
          <w:rFonts w:ascii="Times New Roman" w:hAnsi="Times New Roman" w:cs="Times New Roman"/>
          <w:i/>
          <w:color w:val="000000" w:themeColor="text1"/>
          <w:sz w:val="24"/>
        </w:rPr>
      </w:pPr>
      <w:r>
        <w:rPr>
          <w:rFonts w:ascii="Times New Roman" w:hAnsi="Times New Roman" w:cs="Times New Roman"/>
          <w:sz w:val="24"/>
          <w:bdr w:val="none" w:sz="0" w:space="0" w:color="auto" w:frame="1"/>
        </w:rPr>
        <w:t>for insuficiente para a cobertura dos custos da contratação, apresente preços global ou unitários simbólicos, irrisórios ou de valor zero, incompatíveis com os preços dos insumos e salários de mercado, acrescidos dos respectivos encargos, ainda que o ato convocatório da dispensa não tenha estabelecido limites mínimos, exceto quando se referirem a materiais e instalações de propriedade do próprio fornecedor, para os quais ele renuncie a parcela ou à totalidade da remuneração.</w:t>
      </w:r>
    </w:p>
    <w:p w:rsidR="00B071EA" w:rsidRDefault="00FD3142">
      <w:pPr>
        <w:pStyle w:val="PargrafodaLista"/>
        <w:numPr>
          <w:ilvl w:val="2"/>
          <w:numId w:val="1"/>
        </w:numPr>
        <w:spacing w:before="120" w:after="120" w:line="276" w:lineRule="auto"/>
        <w:jc w:val="both"/>
        <w:rPr>
          <w:rFonts w:ascii="Times New Roman" w:hAnsi="Times New Roman" w:cs="Times New Roman"/>
          <w:color w:val="000000" w:themeColor="text1"/>
          <w:sz w:val="24"/>
        </w:rPr>
      </w:pPr>
      <w:r>
        <w:rPr>
          <w:rFonts w:ascii="Times New Roman" w:hAnsi="Times New Roman" w:cs="Times New Roman"/>
          <w:sz w:val="24"/>
          <w:bdr w:val="none" w:sz="0" w:space="0" w:color="auto" w:frame="1"/>
        </w:rPr>
        <w:t>apresentar um ou mais valores da planilha de custo que sejam inferiores àqueles fixados em instrumentos de caráter normativo obrigatório, tais como leis, medidas provisórias e convenções coletivas de trabalho vigentes.</w:t>
      </w:r>
    </w:p>
    <w:p w:rsidR="00B071EA" w:rsidRDefault="00FD3142">
      <w:pPr>
        <w:pStyle w:val="PargrafodaLista"/>
        <w:numPr>
          <w:ilvl w:val="1"/>
          <w:numId w:val="1"/>
        </w:numPr>
        <w:spacing w:before="120" w:after="120" w:line="276" w:lineRule="auto"/>
        <w:ind w:right="-15"/>
        <w:jc w:val="both"/>
        <w:rPr>
          <w:rFonts w:ascii="Times New Roman" w:hAnsi="Times New Roman" w:cs="Times New Roman"/>
          <w:color w:val="000000" w:themeColor="text1"/>
          <w:sz w:val="24"/>
          <w:lang w:eastAsia="en-US"/>
        </w:rPr>
      </w:pPr>
      <w:r>
        <w:rPr>
          <w:rFonts w:ascii="Times New Roman" w:hAnsi="Times New Roman" w:cs="Times New Roman"/>
          <w:color w:val="000000" w:themeColor="text1"/>
          <w:sz w:val="24"/>
          <w:lang w:eastAsia="en-US"/>
        </w:rPr>
        <w:t xml:space="preserve">Se houver indícios de inexequibilidade da proposta de preço, ou em caso da necessidade de esclarecimentos </w:t>
      </w:r>
      <w:r>
        <w:rPr>
          <w:rFonts w:ascii="Times New Roman" w:hAnsi="Times New Roman" w:cs="Times New Roman"/>
          <w:sz w:val="24"/>
          <w:bdr w:val="none" w:sz="0" w:space="0" w:color="auto" w:frame="1"/>
        </w:rPr>
        <w:t>complementares</w:t>
      </w:r>
      <w:r>
        <w:rPr>
          <w:rFonts w:ascii="Times New Roman" w:hAnsi="Times New Roman" w:cs="Times New Roman"/>
          <w:color w:val="000000" w:themeColor="text1"/>
          <w:sz w:val="24"/>
          <w:lang w:eastAsia="en-US"/>
        </w:rPr>
        <w:t xml:space="preserve">, poderão ser efetuadas diligências, para que a empresa comprove a exequibilidade da proposta.  </w:t>
      </w:r>
    </w:p>
    <w:p w:rsidR="00B071EA" w:rsidRDefault="00FD3142">
      <w:pPr>
        <w:pStyle w:val="PargrafodaLista"/>
        <w:numPr>
          <w:ilvl w:val="1"/>
          <w:numId w:val="1"/>
        </w:numPr>
        <w:spacing w:before="120" w:after="120" w:line="276" w:lineRule="auto"/>
        <w:jc w:val="both"/>
        <w:rPr>
          <w:rFonts w:ascii="Times New Roman" w:hAnsi="Times New Roman" w:cs="Times New Roman"/>
          <w:color w:val="000000" w:themeColor="text1"/>
          <w:sz w:val="24"/>
          <w:lang w:eastAsia="en-US"/>
        </w:rPr>
      </w:pPr>
      <w:r>
        <w:rPr>
          <w:rFonts w:ascii="Times New Roman" w:hAnsi="Times New Roman" w:cs="Times New Roman"/>
          <w:color w:val="000000" w:themeColor="text1"/>
          <w:sz w:val="24"/>
          <w:lang w:eastAsia="en-US"/>
        </w:rPr>
        <w:lastRenderedPageBreak/>
        <w:t xml:space="preserve">Erros no preenchimento da planilha não constituem motivo para a desclassificação da proposta. A planilha </w:t>
      </w:r>
      <w:r>
        <w:rPr>
          <w:rFonts w:ascii="Times New Roman" w:hAnsi="Times New Roman" w:cs="Times New Roman"/>
          <w:sz w:val="24"/>
          <w:bdr w:val="none" w:sz="0" w:space="0" w:color="auto" w:frame="1"/>
        </w:rPr>
        <w:t>poderá</w:t>
      </w:r>
      <w:r>
        <w:rPr>
          <w:rFonts w:ascii="Times New Roman" w:hAnsi="Times New Roman" w:cs="Times New Roman"/>
          <w:color w:val="000000" w:themeColor="text1"/>
          <w:sz w:val="24"/>
          <w:lang w:eastAsia="en-US"/>
        </w:rPr>
        <w:t xml:space="preserve"> ser ajustada pelo fornecedor, no prazo indicado pelo sistema, desde que não haja majoração do preço.</w:t>
      </w:r>
    </w:p>
    <w:p w:rsidR="00B071EA" w:rsidRDefault="00FD3142">
      <w:pPr>
        <w:pStyle w:val="PargrafodaLista"/>
        <w:numPr>
          <w:ilvl w:val="2"/>
          <w:numId w:val="1"/>
        </w:numPr>
        <w:spacing w:before="120" w:after="120" w:line="276" w:lineRule="auto"/>
        <w:jc w:val="both"/>
        <w:rPr>
          <w:rFonts w:ascii="Times New Roman" w:hAnsi="Times New Roman" w:cs="Times New Roman"/>
          <w:color w:val="000000" w:themeColor="text1"/>
          <w:sz w:val="24"/>
          <w:lang w:eastAsia="en-US"/>
        </w:rPr>
      </w:pPr>
      <w:r>
        <w:rPr>
          <w:rFonts w:ascii="Times New Roman" w:hAnsi="Times New Roman" w:cs="Times New Roman"/>
          <w:color w:val="000000" w:themeColor="text1"/>
          <w:sz w:val="24"/>
          <w:lang w:eastAsia="en-US"/>
        </w:rPr>
        <w:t>O ajuste de que trata este dispositivo se limita a sanar erros ou falhas que não alterem a substância das propostas;</w:t>
      </w:r>
    </w:p>
    <w:p w:rsidR="00B071EA" w:rsidRDefault="00FD3142">
      <w:pPr>
        <w:pStyle w:val="PargrafodaLista"/>
        <w:numPr>
          <w:ilvl w:val="2"/>
          <w:numId w:val="1"/>
        </w:numPr>
        <w:spacing w:before="120" w:after="120" w:line="276" w:lineRule="auto"/>
        <w:jc w:val="both"/>
        <w:rPr>
          <w:rFonts w:ascii="Times New Roman" w:hAnsi="Times New Roman" w:cs="Times New Roman"/>
          <w:color w:val="000000" w:themeColor="text1"/>
          <w:sz w:val="24"/>
          <w:lang w:eastAsia="en-US"/>
        </w:rPr>
      </w:pPr>
      <w:r>
        <w:rPr>
          <w:rFonts w:ascii="Times New Roman" w:hAnsi="Times New Roman" w:cs="Times New Roman"/>
          <w:color w:val="000000" w:themeColor="text1"/>
          <w:sz w:val="24"/>
          <w:lang w:eastAsia="en-US"/>
        </w:rPr>
        <w:t>Considera-se erro no preenchimento da planilha passível de correção a indicação de recolhimento de impostos e contribuições na forma do Simples Nacional, quando não cabível esse regime.</w:t>
      </w:r>
    </w:p>
    <w:p w:rsidR="00B071EA" w:rsidRDefault="00FD3142">
      <w:pPr>
        <w:pStyle w:val="PargrafodaLista"/>
        <w:numPr>
          <w:ilvl w:val="1"/>
          <w:numId w:val="1"/>
        </w:numPr>
        <w:spacing w:before="120" w:after="120" w:line="276" w:lineRule="auto"/>
        <w:jc w:val="both"/>
        <w:rPr>
          <w:rFonts w:ascii="Times New Roman" w:hAnsi="Times New Roman" w:cs="Times New Roman"/>
          <w:color w:val="000000" w:themeColor="text1"/>
          <w:sz w:val="24"/>
          <w:lang w:eastAsia="en-US"/>
        </w:rPr>
      </w:pPr>
      <w:r>
        <w:rPr>
          <w:rFonts w:ascii="Times New Roman" w:hAnsi="Times New Roman" w:cs="Times New Roman"/>
          <w:color w:val="000000" w:themeColor="text1"/>
          <w:sz w:val="24"/>
          <w:lang w:eastAsia="en-US"/>
        </w:rPr>
        <w:t>Para fins de análise da proposta quanto ao cumprimento das especificações do objeto, poderá ser colhida a manifestação escrita do setor requisitante do serviço ou da área especializada no objeto.</w:t>
      </w:r>
    </w:p>
    <w:p w:rsidR="00B071EA" w:rsidRDefault="00FD3142">
      <w:pPr>
        <w:pStyle w:val="PargrafodaLista"/>
        <w:numPr>
          <w:ilvl w:val="1"/>
          <w:numId w:val="1"/>
        </w:numPr>
        <w:spacing w:before="120" w:after="120" w:line="276" w:lineRule="auto"/>
        <w:jc w:val="both"/>
        <w:rPr>
          <w:rFonts w:ascii="Times New Roman" w:hAnsi="Times New Roman" w:cs="Times New Roman"/>
          <w:color w:val="000000" w:themeColor="text1"/>
          <w:sz w:val="24"/>
          <w:lang w:eastAsia="en-US"/>
        </w:rPr>
      </w:pPr>
      <w:r>
        <w:rPr>
          <w:rFonts w:ascii="Times New Roman" w:hAnsi="Times New Roman" w:cs="Times New Roman"/>
          <w:color w:val="000000" w:themeColor="text1"/>
          <w:sz w:val="24"/>
          <w:lang w:eastAsia="en-US"/>
        </w:rPr>
        <w:t>Se a proposta ou lance vencedor for desclassificado, será examinada a proposta ou lance subsequente, e, assim sucessivamente, na ordem de classificação.</w:t>
      </w:r>
    </w:p>
    <w:p w:rsidR="00B071EA" w:rsidRDefault="00FD3142">
      <w:pPr>
        <w:pStyle w:val="PargrafodaLista"/>
        <w:numPr>
          <w:ilvl w:val="1"/>
          <w:numId w:val="1"/>
        </w:numPr>
        <w:spacing w:before="120" w:after="120" w:line="276" w:lineRule="auto"/>
        <w:jc w:val="both"/>
        <w:rPr>
          <w:rFonts w:ascii="Times New Roman" w:hAnsi="Times New Roman" w:cs="Times New Roman"/>
          <w:color w:val="000000" w:themeColor="text1"/>
          <w:sz w:val="24"/>
          <w:lang w:eastAsia="en-US"/>
        </w:rPr>
      </w:pPr>
      <w:r>
        <w:rPr>
          <w:rFonts w:ascii="Times New Roman" w:hAnsi="Times New Roman" w:cs="Times New Roman"/>
          <w:color w:val="000000" w:themeColor="text1"/>
          <w:sz w:val="24"/>
          <w:lang w:eastAsia="en-US"/>
        </w:rPr>
        <w:t>Havendo necessidade, a sessão será suspensa, informando-se no “chat” a nova data e horário para a sua continuidade.</w:t>
      </w:r>
    </w:p>
    <w:p w:rsidR="00B071EA" w:rsidRDefault="00FD3142">
      <w:pPr>
        <w:pStyle w:val="PargrafodaLista"/>
        <w:numPr>
          <w:ilvl w:val="1"/>
          <w:numId w:val="1"/>
        </w:numPr>
        <w:spacing w:before="120" w:after="120" w:line="276" w:lineRule="auto"/>
        <w:jc w:val="both"/>
        <w:rPr>
          <w:rFonts w:ascii="Times New Roman" w:hAnsi="Times New Roman" w:cs="Times New Roman"/>
          <w:color w:val="000000" w:themeColor="text1"/>
          <w:sz w:val="24"/>
          <w:lang w:eastAsia="en-US"/>
        </w:rPr>
      </w:pPr>
      <w:r>
        <w:rPr>
          <w:rFonts w:ascii="Times New Roman" w:hAnsi="Times New Roman" w:cs="Times New Roman"/>
          <w:color w:val="000000" w:themeColor="text1"/>
          <w:sz w:val="24"/>
          <w:lang w:eastAsia="en-US"/>
        </w:rPr>
        <w:t>Encerrada a análise quanto à aceitação da proposta, se iniciará a fase de habilitação, observado o disposto neste Aviso de Contratação Direta. </w:t>
      </w:r>
    </w:p>
    <w:p w:rsidR="00B071EA" w:rsidRDefault="00FD3142">
      <w:pPr>
        <w:pStyle w:val="PADRO"/>
        <w:keepNext w:val="0"/>
        <w:widowControl/>
        <w:numPr>
          <w:ilvl w:val="0"/>
          <w:numId w:val="1"/>
        </w:numPr>
        <w:shd w:val="clear" w:color="auto" w:fill="auto"/>
        <w:spacing w:before="120" w:after="120"/>
        <w:rPr>
          <w:rFonts w:ascii="Times New Roman" w:hAnsi="Times New Roman" w:cs="Times New Roman"/>
          <w:b/>
          <w:sz w:val="24"/>
        </w:rPr>
      </w:pPr>
      <w:r>
        <w:rPr>
          <w:rFonts w:ascii="Times New Roman" w:hAnsi="Times New Roman" w:cs="Times New Roman"/>
          <w:b/>
          <w:sz w:val="24"/>
        </w:rPr>
        <w:t>HABILITAÇÃO</w:t>
      </w:r>
    </w:p>
    <w:p w:rsidR="00B071EA" w:rsidRDefault="00FD3142">
      <w:pPr>
        <w:pStyle w:val="PargrafodaLista"/>
        <w:numPr>
          <w:ilvl w:val="1"/>
          <w:numId w:val="1"/>
        </w:numPr>
        <w:spacing w:before="120" w:after="120" w:line="276" w:lineRule="auto"/>
        <w:ind w:hanging="574"/>
        <w:jc w:val="both"/>
        <w:rPr>
          <w:rFonts w:ascii="Times New Roman" w:hAnsi="Times New Roman" w:cs="Times New Roman"/>
          <w:b/>
          <w:sz w:val="24"/>
          <w:lang w:eastAsia="ar-SA"/>
        </w:rPr>
      </w:pPr>
      <w:r>
        <w:rPr>
          <w:rFonts w:ascii="Times New Roman" w:hAnsi="Times New Roman" w:cs="Times New Roman"/>
          <w:sz w:val="24"/>
          <w:lang w:eastAsia="ar-SA"/>
        </w:rPr>
        <w:t xml:space="preserve">Os </w:t>
      </w:r>
      <w:r>
        <w:rPr>
          <w:rFonts w:ascii="Times New Roman" w:hAnsi="Times New Roman" w:cs="Times New Roman"/>
          <w:color w:val="000000"/>
          <w:sz w:val="24"/>
        </w:rPr>
        <w:t>documentos</w:t>
      </w:r>
      <w:r>
        <w:rPr>
          <w:rFonts w:ascii="Times New Roman" w:hAnsi="Times New Roman" w:cs="Times New Roman"/>
          <w:sz w:val="24"/>
          <w:lang w:eastAsia="ar-SA"/>
        </w:rPr>
        <w:t xml:space="preserve"> a serem exigidos para fins de habilitação constam do </w:t>
      </w:r>
      <w:r>
        <w:rPr>
          <w:rFonts w:ascii="Times New Roman" w:hAnsi="Times New Roman" w:cs="Times New Roman"/>
          <w:b/>
          <w:sz w:val="24"/>
          <w:lang w:eastAsia="ar-SA"/>
        </w:rPr>
        <w:t xml:space="preserve">ANEXO I – DOCUMENTAÇÃO EXIGIDA PARA HABILITAÇÃO </w:t>
      </w:r>
      <w:r>
        <w:rPr>
          <w:rFonts w:ascii="Times New Roman" w:hAnsi="Times New Roman" w:cs="Times New Roman"/>
          <w:sz w:val="24"/>
          <w:lang w:eastAsia="ar-SA"/>
        </w:rPr>
        <w:t>deste aviso e serão solicitados do fornecedor mais bem classificado da fase de lances.</w:t>
      </w:r>
    </w:p>
    <w:p w:rsidR="00B071EA" w:rsidRDefault="00FD3142">
      <w:pPr>
        <w:pStyle w:val="PargrafodaLista"/>
        <w:numPr>
          <w:ilvl w:val="1"/>
          <w:numId w:val="1"/>
        </w:numPr>
        <w:spacing w:before="120" w:after="120" w:line="276" w:lineRule="auto"/>
        <w:ind w:hanging="574"/>
        <w:jc w:val="both"/>
        <w:rPr>
          <w:rFonts w:ascii="Times New Roman" w:hAnsi="Times New Roman" w:cs="Times New Roman"/>
          <w:b/>
          <w:sz w:val="24"/>
          <w:lang w:eastAsia="ar-SA"/>
        </w:rPr>
      </w:pPr>
      <w:r>
        <w:rPr>
          <w:rFonts w:ascii="Times New Roman" w:hAnsi="Times New Roman" w:cs="Times New Roman"/>
          <w:sz w:val="24"/>
          <w:lang w:eastAsia="ar-SA"/>
        </w:rPr>
        <w:t xml:space="preserve">Como </w:t>
      </w:r>
      <w:r>
        <w:rPr>
          <w:rFonts w:ascii="Times New Roman" w:hAnsi="Times New Roman" w:cs="Times New Roman"/>
          <w:color w:val="000000"/>
          <w:sz w:val="24"/>
        </w:rPr>
        <w:t>condição</w:t>
      </w:r>
      <w:r>
        <w:rPr>
          <w:rFonts w:ascii="Times New Roman" w:hAnsi="Times New Roman" w:cs="Times New Roman"/>
          <w:sz w:val="24"/>
          <w:lang w:eastAsia="ar-SA"/>
        </w:rPr>
        <w:t xml:space="preserve"> prévia ao exame da documentação de habilitação do fornecedor detentor da proposta classificada em primeiro lugar, será verificado o eventual descumprimento das condições de participação, especialmente quanto à existência de sanção que impeça a participação no certame ou a futura contratação, mediante a consulta aos seguintes cadastros:  </w:t>
      </w:r>
    </w:p>
    <w:p w:rsidR="00B071EA" w:rsidRDefault="00FD3142">
      <w:pPr>
        <w:pStyle w:val="PargrafodaLista"/>
        <w:spacing w:before="120" w:after="120" w:line="276" w:lineRule="auto"/>
        <w:ind w:left="1134"/>
        <w:jc w:val="both"/>
        <w:rPr>
          <w:rFonts w:ascii="Times New Roman" w:hAnsi="Times New Roman" w:cs="Times New Roman"/>
          <w:sz w:val="24"/>
          <w:lang w:eastAsia="ar-SA"/>
        </w:rPr>
      </w:pPr>
      <w:r>
        <w:rPr>
          <w:rFonts w:ascii="Times New Roman" w:hAnsi="Times New Roman" w:cs="Times New Roman"/>
          <w:sz w:val="24"/>
          <w:lang w:eastAsia="ar-SA"/>
        </w:rPr>
        <w:t xml:space="preserve">a) SICAF;  </w:t>
      </w:r>
    </w:p>
    <w:p w:rsidR="00B071EA" w:rsidRDefault="00FD3142">
      <w:pPr>
        <w:pStyle w:val="PargrafodaLista"/>
        <w:spacing w:before="120" w:after="120" w:line="276" w:lineRule="auto"/>
        <w:ind w:left="1134"/>
        <w:jc w:val="both"/>
        <w:rPr>
          <w:rFonts w:ascii="Times New Roman" w:hAnsi="Times New Roman" w:cs="Times New Roman"/>
          <w:sz w:val="24"/>
          <w:lang w:eastAsia="ar-SA"/>
        </w:rPr>
      </w:pPr>
      <w:r>
        <w:rPr>
          <w:rFonts w:ascii="Times New Roman" w:hAnsi="Times New Roman" w:cs="Times New Roman"/>
          <w:sz w:val="24"/>
          <w:lang w:eastAsia="ar-SA"/>
        </w:rPr>
        <w:t>b) Cadastro Nacional de Empresas Inidôneas e Suspensas - CEIS, mantido pela Controladoria-Geral da União (</w:t>
      </w:r>
      <w:hyperlink r:id="rId12" w:history="1">
        <w:r>
          <w:rPr>
            <w:rStyle w:val="Hyperlink"/>
            <w:rFonts w:ascii="Times New Roman" w:eastAsia="Calibri" w:hAnsi="Times New Roman" w:cs="Times New Roman"/>
            <w:sz w:val="24"/>
            <w:lang w:eastAsia="ar-SA"/>
          </w:rPr>
          <w:t>www.portaldatransparencia.gov.br/ceis</w:t>
        </w:r>
      </w:hyperlink>
      <w:r>
        <w:rPr>
          <w:rFonts w:ascii="Times New Roman" w:hAnsi="Times New Roman" w:cs="Times New Roman"/>
          <w:sz w:val="24"/>
          <w:lang w:eastAsia="ar-SA"/>
        </w:rPr>
        <w:t xml:space="preserve">);  </w:t>
      </w:r>
    </w:p>
    <w:p w:rsidR="00B071EA" w:rsidRDefault="00FD3142">
      <w:pPr>
        <w:pStyle w:val="PargrafodaLista"/>
        <w:spacing w:before="120" w:after="120" w:line="276" w:lineRule="auto"/>
        <w:ind w:left="1134"/>
        <w:jc w:val="both"/>
        <w:rPr>
          <w:rFonts w:ascii="Times New Roman" w:hAnsi="Times New Roman" w:cs="Times New Roman"/>
          <w:sz w:val="24"/>
          <w:lang w:eastAsia="ar-SA"/>
        </w:rPr>
      </w:pPr>
      <w:r>
        <w:rPr>
          <w:rFonts w:ascii="Times New Roman" w:hAnsi="Times New Roman" w:cs="Times New Roman"/>
          <w:sz w:val="24"/>
          <w:lang w:eastAsia="ar-SA"/>
        </w:rPr>
        <w:t>c) Cadastro Nacional de Condenações Cíveis por Atos de Improbidade Administrativa, mantido pelo Conselho Nacional de Justiça (</w:t>
      </w:r>
      <w:hyperlink r:id="rId13" w:history="1">
        <w:r>
          <w:rPr>
            <w:rStyle w:val="Hyperlink"/>
            <w:rFonts w:ascii="Times New Roman" w:eastAsia="Calibri" w:hAnsi="Times New Roman" w:cs="Times New Roman"/>
            <w:sz w:val="24"/>
            <w:lang w:eastAsia="ar-SA"/>
          </w:rPr>
          <w:t>www.cnj.jus.br/improbidade_adm/consultar_requerido.php</w:t>
        </w:r>
      </w:hyperlink>
      <w:r>
        <w:rPr>
          <w:rFonts w:ascii="Times New Roman" w:hAnsi="Times New Roman" w:cs="Times New Roman"/>
          <w:sz w:val="24"/>
          <w:lang w:eastAsia="ar-SA"/>
        </w:rPr>
        <w:t xml:space="preserve">).  </w:t>
      </w:r>
    </w:p>
    <w:p w:rsidR="00B071EA" w:rsidRDefault="00FD3142">
      <w:pPr>
        <w:pStyle w:val="PargrafodaLista"/>
        <w:spacing w:before="120" w:after="120" w:line="276" w:lineRule="auto"/>
        <w:ind w:left="1134"/>
        <w:jc w:val="both"/>
        <w:rPr>
          <w:rFonts w:ascii="Times New Roman" w:hAnsi="Times New Roman" w:cs="Times New Roman"/>
          <w:sz w:val="24"/>
          <w:lang w:eastAsia="ar-SA"/>
        </w:rPr>
      </w:pPr>
      <w:r>
        <w:rPr>
          <w:rFonts w:ascii="Times New Roman" w:hAnsi="Times New Roman" w:cs="Times New Roman"/>
          <w:sz w:val="24"/>
          <w:lang w:eastAsia="ar-SA"/>
        </w:rPr>
        <w:t xml:space="preserve">d) Lista de Inidôneos mantida pelo Tribunal de Contas da União - TCU; </w:t>
      </w:r>
    </w:p>
    <w:p w:rsidR="00B071EA" w:rsidRDefault="00FD3142">
      <w:pPr>
        <w:pStyle w:val="PargrafodaLista"/>
        <w:numPr>
          <w:ilvl w:val="2"/>
          <w:numId w:val="1"/>
        </w:numPr>
        <w:spacing w:before="120" w:after="120" w:line="276" w:lineRule="auto"/>
        <w:jc w:val="both"/>
        <w:rPr>
          <w:rFonts w:ascii="Times New Roman" w:hAnsi="Times New Roman" w:cs="Times New Roman"/>
          <w:b/>
          <w:sz w:val="24"/>
        </w:rPr>
      </w:pPr>
      <w:r>
        <w:rPr>
          <w:rFonts w:ascii="Times New Roman" w:hAnsi="Times New Roman" w:cs="Times New Roman"/>
          <w:sz w:val="24"/>
          <w:lang w:eastAsia="ar-SA"/>
        </w:rPr>
        <w:t xml:space="preserve">Para a consulta de </w:t>
      </w:r>
      <w:r>
        <w:rPr>
          <w:rFonts w:ascii="Times New Roman" w:hAnsi="Times New Roman" w:cs="Times New Roman"/>
          <w:color w:val="000000" w:themeColor="text1"/>
          <w:sz w:val="24"/>
        </w:rPr>
        <w:t>fornecedores</w:t>
      </w:r>
      <w:r>
        <w:rPr>
          <w:rFonts w:ascii="Times New Roman" w:hAnsi="Times New Roman" w:cs="Times New Roman"/>
          <w:sz w:val="24"/>
          <w:lang w:eastAsia="ar-SA"/>
        </w:rPr>
        <w:t xml:space="preserve"> pessoa jurídica poderá haver a substituição das consultas das alíneas “b”, “c” e “d” acima pela Consulta Consolidada de Pessoa Jurídica do TCU (https://certidoesapf.apps.tcu.gov.br/)</w:t>
      </w:r>
    </w:p>
    <w:p w:rsidR="00B071EA" w:rsidRDefault="00FD3142">
      <w:pPr>
        <w:pStyle w:val="PargrafodaLista"/>
        <w:numPr>
          <w:ilvl w:val="2"/>
          <w:numId w:val="1"/>
        </w:numPr>
        <w:spacing w:before="120" w:after="120" w:line="276" w:lineRule="auto"/>
        <w:jc w:val="both"/>
        <w:rPr>
          <w:rFonts w:ascii="Times New Roman" w:hAnsi="Times New Roman" w:cs="Times New Roman"/>
          <w:sz w:val="24"/>
        </w:rPr>
      </w:pPr>
      <w:r>
        <w:rPr>
          <w:rFonts w:ascii="Times New Roman" w:hAnsi="Times New Roman" w:cs="Times New Roman"/>
          <w:color w:val="000000" w:themeColor="text1"/>
          <w:sz w:val="24"/>
        </w:rPr>
        <w:t xml:space="preserve">A consulta aos </w:t>
      </w:r>
      <w:r>
        <w:rPr>
          <w:rFonts w:ascii="Times New Roman" w:hAnsi="Times New Roman" w:cs="Times New Roman"/>
          <w:sz w:val="24"/>
          <w:lang w:eastAsia="ar-SA"/>
        </w:rPr>
        <w:t>cadastros</w:t>
      </w:r>
      <w:r>
        <w:rPr>
          <w:rFonts w:ascii="Times New Roman" w:hAnsi="Times New Roman" w:cs="Times New Roman"/>
          <w:color w:val="000000" w:themeColor="text1"/>
          <w:sz w:val="24"/>
        </w:rPr>
        <w:t xml:space="preserve"> será realizada em nome da empresa fornecedora e também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w:t>
      </w:r>
    </w:p>
    <w:p w:rsidR="00B071EA" w:rsidRDefault="00FD3142">
      <w:pPr>
        <w:pStyle w:val="PargrafodaLista"/>
        <w:numPr>
          <w:ilvl w:val="3"/>
          <w:numId w:val="1"/>
        </w:numPr>
        <w:spacing w:before="120" w:after="120" w:line="276" w:lineRule="auto"/>
        <w:jc w:val="both"/>
        <w:rPr>
          <w:rFonts w:ascii="Times New Roman" w:hAnsi="Times New Roman" w:cs="Times New Roman"/>
          <w:sz w:val="24"/>
        </w:rPr>
      </w:pPr>
      <w:r>
        <w:rPr>
          <w:rFonts w:ascii="Times New Roman" w:hAnsi="Times New Roman" w:cs="Times New Roman"/>
          <w:color w:val="000000" w:themeColor="text1"/>
          <w:sz w:val="24"/>
        </w:rPr>
        <w:t>Caso conste na Consulta de Situação do Fornecedor a existência de Ocorrências Impeditivas Indiretas, o gestor diligenciará para verificar se houve fraude por parte das empresas apontadas no Relatório de Ocorrências Impeditivas Indiretas.</w:t>
      </w:r>
    </w:p>
    <w:p w:rsidR="00B071EA" w:rsidRDefault="00FD3142">
      <w:pPr>
        <w:pStyle w:val="PargrafodaLista"/>
        <w:numPr>
          <w:ilvl w:val="4"/>
          <w:numId w:val="1"/>
        </w:numPr>
        <w:spacing w:before="120" w:after="120" w:line="276" w:lineRule="auto"/>
        <w:jc w:val="both"/>
        <w:rPr>
          <w:rFonts w:ascii="Times New Roman" w:hAnsi="Times New Roman" w:cs="Times New Roman"/>
          <w:color w:val="000000" w:themeColor="text1"/>
          <w:sz w:val="24"/>
        </w:rPr>
      </w:pPr>
      <w:r>
        <w:rPr>
          <w:rFonts w:ascii="Times New Roman" w:hAnsi="Times New Roman" w:cs="Times New Roman"/>
          <w:color w:val="000000" w:themeColor="text1"/>
          <w:sz w:val="24"/>
        </w:rPr>
        <w:t>A tentativa de burla será verificada por meio dos vínculos societários, linhas de fornecimento similares, dentre outros.</w:t>
      </w:r>
    </w:p>
    <w:p w:rsidR="00B071EA" w:rsidRDefault="00FD3142">
      <w:pPr>
        <w:pStyle w:val="PargrafodaLista"/>
        <w:numPr>
          <w:ilvl w:val="4"/>
          <w:numId w:val="1"/>
        </w:numPr>
        <w:spacing w:before="120" w:after="120" w:line="276" w:lineRule="auto"/>
        <w:jc w:val="both"/>
        <w:rPr>
          <w:rFonts w:ascii="Times New Roman" w:hAnsi="Times New Roman" w:cs="Times New Roman"/>
          <w:sz w:val="24"/>
        </w:rPr>
      </w:pPr>
      <w:r>
        <w:rPr>
          <w:rFonts w:ascii="Times New Roman" w:hAnsi="Times New Roman" w:cs="Times New Roman"/>
          <w:color w:val="000000" w:themeColor="text1"/>
          <w:sz w:val="24"/>
        </w:rPr>
        <w:lastRenderedPageBreak/>
        <w:t>O fornecedor será convocado para manifestação previamente à sua desclassificação</w:t>
      </w:r>
    </w:p>
    <w:p w:rsidR="00B071EA" w:rsidRDefault="00FD3142">
      <w:pPr>
        <w:pStyle w:val="PargrafodaLista"/>
        <w:numPr>
          <w:ilvl w:val="2"/>
          <w:numId w:val="1"/>
        </w:numPr>
        <w:spacing w:before="120" w:after="120" w:line="276" w:lineRule="auto"/>
        <w:jc w:val="both"/>
        <w:rPr>
          <w:rFonts w:ascii="Times New Roman" w:hAnsi="Times New Roman" w:cs="Times New Roman"/>
          <w:sz w:val="24"/>
        </w:rPr>
      </w:pPr>
      <w:r>
        <w:rPr>
          <w:rFonts w:ascii="Times New Roman" w:hAnsi="Times New Roman" w:cs="Times New Roman"/>
          <w:color w:val="000000" w:themeColor="text1"/>
          <w:sz w:val="24"/>
        </w:rPr>
        <w:t>Constatada a existência de sanção, o fornecedor será reputado inabilitado, por falta de condição de participação.</w:t>
      </w:r>
    </w:p>
    <w:p w:rsidR="00B071EA" w:rsidRDefault="00FD3142">
      <w:pPr>
        <w:pStyle w:val="PargrafodaLista"/>
        <w:numPr>
          <w:ilvl w:val="1"/>
          <w:numId w:val="1"/>
        </w:numPr>
        <w:spacing w:before="120" w:after="120" w:line="276" w:lineRule="auto"/>
        <w:ind w:hanging="574"/>
        <w:jc w:val="both"/>
        <w:rPr>
          <w:rFonts w:ascii="Times New Roman" w:hAnsi="Times New Roman" w:cs="Times New Roman"/>
          <w:sz w:val="24"/>
        </w:rPr>
      </w:pPr>
      <w:r>
        <w:rPr>
          <w:rFonts w:ascii="Times New Roman" w:hAnsi="Times New Roman" w:cs="Times New Roman"/>
          <w:color w:val="000000" w:themeColor="text1"/>
          <w:sz w:val="24"/>
        </w:rPr>
        <w:t xml:space="preserve">Caso atendidas as condições de participação, </w:t>
      </w:r>
      <w:r>
        <w:rPr>
          <w:rFonts w:ascii="Times New Roman" w:hAnsi="Times New Roman" w:cs="Times New Roman"/>
          <w:sz w:val="24"/>
        </w:rPr>
        <w:t>a habilitação dos fornecedores será verificada por meio do SICAF, nos documentos por ele abrangidos</w:t>
      </w:r>
      <w:r>
        <w:rPr>
          <w:rFonts w:ascii="Times New Roman" w:hAnsi="Times New Roman" w:cs="Times New Roman"/>
          <w:color w:val="000000" w:themeColor="text1"/>
          <w:sz w:val="24"/>
        </w:rPr>
        <w:t>.</w:t>
      </w:r>
    </w:p>
    <w:p w:rsidR="00B071EA" w:rsidRDefault="00FD3142">
      <w:pPr>
        <w:pStyle w:val="PargrafodaLista"/>
        <w:numPr>
          <w:ilvl w:val="2"/>
          <w:numId w:val="1"/>
        </w:numPr>
        <w:spacing w:before="120" w:after="120" w:line="276" w:lineRule="auto"/>
        <w:jc w:val="both"/>
        <w:rPr>
          <w:rFonts w:ascii="Times New Roman" w:hAnsi="Times New Roman" w:cs="Times New Roman"/>
          <w:color w:val="000000" w:themeColor="text1"/>
          <w:sz w:val="24"/>
        </w:rPr>
      </w:pPr>
      <w:r>
        <w:rPr>
          <w:rFonts w:ascii="Times New Roman" w:hAnsi="Times New Roman" w:cs="Times New Roman"/>
          <w:color w:val="000000" w:themeColor="text1"/>
          <w:sz w:val="24"/>
        </w:rPr>
        <w:t>É dever do fornecedor atualizar previamente as comprovações constantes do SICAF para que estejam vigentes na data da abertura da sessão pública, ou encaminhar, quando solicitado, a respectiva documentação atualizada.</w:t>
      </w:r>
    </w:p>
    <w:p w:rsidR="00B071EA" w:rsidRDefault="00FD3142">
      <w:pPr>
        <w:pStyle w:val="PargrafodaLista"/>
        <w:numPr>
          <w:ilvl w:val="2"/>
          <w:numId w:val="1"/>
        </w:numPr>
        <w:spacing w:before="120" w:after="120" w:line="276" w:lineRule="auto"/>
        <w:jc w:val="both"/>
        <w:rPr>
          <w:rFonts w:ascii="Times New Roman" w:hAnsi="Times New Roman" w:cs="Times New Roman"/>
          <w:color w:val="000000" w:themeColor="text1"/>
          <w:sz w:val="24"/>
        </w:rPr>
      </w:pPr>
      <w:r>
        <w:rPr>
          <w:rFonts w:ascii="Times New Roman" w:hAnsi="Times New Roman" w:cs="Times New Roman"/>
          <w:color w:val="000000" w:themeColor="text1"/>
          <w:sz w:val="24"/>
        </w:rPr>
        <w:t>O descumprimento do subitem acima implicará a inabilitação do fornecedor, exceto se a consulta aos sítios eletrônicos oficiais emissores de certidões lograr êxito em encontrar a(s) certidão(ões) válida(s).</w:t>
      </w:r>
    </w:p>
    <w:p w:rsidR="00B071EA" w:rsidRDefault="00FD3142">
      <w:pPr>
        <w:pStyle w:val="PargrafodaLista"/>
        <w:numPr>
          <w:ilvl w:val="1"/>
          <w:numId w:val="1"/>
        </w:numPr>
        <w:spacing w:before="120" w:after="120" w:line="276" w:lineRule="auto"/>
        <w:ind w:hanging="574"/>
        <w:jc w:val="both"/>
        <w:rPr>
          <w:rFonts w:ascii="Times New Roman" w:hAnsi="Times New Roman" w:cs="Times New Roman"/>
          <w:color w:val="000000" w:themeColor="text1"/>
          <w:sz w:val="24"/>
        </w:rPr>
      </w:pPr>
      <w:r>
        <w:rPr>
          <w:rFonts w:ascii="Times New Roman" w:hAnsi="Times New Roman" w:cs="Times New Roman"/>
          <w:color w:val="000000" w:themeColor="text1"/>
          <w:sz w:val="24"/>
        </w:rPr>
        <w:t>Havendo a necessidade de envio de documentos de habilitação complementares, necessários à confirmação daqueles exigidos neste Aviso de Contratação Direta e já apresentados, o fornecedor será convocado a encaminhá-los, em formato digital, após solicitação da Administração, sob pena de inabilitação.</w:t>
      </w:r>
    </w:p>
    <w:p w:rsidR="00B071EA" w:rsidRDefault="00FD3142">
      <w:pPr>
        <w:pStyle w:val="PargrafodaLista"/>
        <w:numPr>
          <w:ilvl w:val="1"/>
          <w:numId w:val="1"/>
        </w:numPr>
        <w:spacing w:before="120" w:after="120" w:line="276" w:lineRule="auto"/>
        <w:ind w:hanging="574"/>
        <w:jc w:val="both"/>
        <w:rPr>
          <w:rFonts w:ascii="Times New Roman" w:hAnsi="Times New Roman" w:cs="Times New Roman"/>
          <w:color w:val="000000" w:themeColor="text1"/>
          <w:sz w:val="24"/>
        </w:rPr>
      </w:pPr>
      <w:r>
        <w:rPr>
          <w:rFonts w:ascii="Times New Roman" w:hAnsi="Times New Roman" w:cs="Times New Roman"/>
          <w:color w:val="000000" w:themeColor="text1"/>
          <w:sz w:val="24"/>
        </w:rPr>
        <w:t>Somente haverá a necessidade de comprovação do preenchimento de requisitos mediante apresentação dos documentos originais não-digitais quando houver dúvida em relação à integridade do documento digital.</w:t>
      </w:r>
    </w:p>
    <w:p w:rsidR="00B071EA" w:rsidRDefault="00FD3142">
      <w:pPr>
        <w:pStyle w:val="PargrafodaLista"/>
        <w:numPr>
          <w:ilvl w:val="1"/>
          <w:numId w:val="1"/>
        </w:numPr>
        <w:spacing w:before="120" w:after="120" w:line="276" w:lineRule="auto"/>
        <w:ind w:hanging="574"/>
        <w:jc w:val="both"/>
        <w:rPr>
          <w:rFonts w:ascii="Times New Roman" w:hAnsi="Times New Roman" w:cs="Times New Roman"/>
          <w:b/>
          <w:bCs/>
          <w:sz w:val="24"/>
        </w:rPr>
      </w:pPr>
      <w:r>
        <w:rPr>
          <w:rFonts w:ascii="Times New Roman" w:hAnsi="Times New Roman" w:cs="Times New Roman"/>
          <w:bCs/>
          <w:sz w:val="24"/>
        </w:rPr>
        <w:t>O fornecedor enquadrado como microempreendedor individual que pretenda auferir os benefícios do tratamento diferenciado previstos na Lei Complementar n. 123, de 2006, estará dispensado (a) da prova de inscrição nos cadastros de contribuintes estadual e municipal e (b) da apresentação do balanço patrimonial e das demonstrações contábeis do último exercício.</w:t>
      </w:r>
    </w:p>
    <w:p w:rsidR="00B071EA" w:rsidRDefault="00FD3142">
      <w:pPr>
        <w:pStyle w:val="PargrafodaLista"/>
        <w:numPr>
          <w:ilvl w:val="1"/>
          <w:numId w:val="1"/>
        </w:numPr>
        <w:spacing w:before="120" w:after="120" w:line="276" w:lineRule="auto"/>
        <w:ind w:hanging="574"/>
        <w:jc w:val="both"/>
        <w:rPr>
          <w:rFonts w:ascii="Times New Roman" w:hAnsi="Times New Roman" w:cs="Times New Roman"/>
          <w:bCs/>
          <w:sz w:val="24"/>
        </w:rPr>
      </w:pPr>
      <w:r>
        <w:rPr>
          <w:rFonts w:ascii="Times New Roman" w:hAnsi="Times New Roman" w:cs="Times New Roman"/>
          <w:bCs/>
          <w:sz w:val="24"/>
        </w:rPr>
        <w:t xml:space="preserve">Havendo </w:t>
      </w:r>
      <w:r>
        <w:rPr>
          <w:rFonts w:ascii="Times New Roman" w:hAnsi="Times New Roman" w:cs="Times New Roman"/>
          <w:iCs/>
          <w:sz w:val="24"/>
          <w:lang w:eastAsia="en-US"/>
        </w:rPr>
        <w:t>necessidade</w:t>
      </w:r>
      <w:r>
        <w:rPr>
          <w:rFonts w:ascii="Times New Roman" w:hAnsi="Times New Roman" w:cs="Times New Roman"/>
          <w:bCs/>
          <w:sz w:val="24"/>
        </w:rPr>
        <w:t xml:space="preserve"> de analisar minuciosamente os documentos exigidos, a sessão será suspensa, sendo informada a nova data e horário para a sua continuidade.</w:t>
      </w:r>
    </w:p>
    <w:p w:rsidR="00B071EA" w:rsidRDefault="00FD3142">
      <w:pPr>
        <w:pStyle w:val="PargrafodaLista"/>
        <w:numPr>
          <w:ilvl w:val="1"/>
          <w:numId w:val="1"/>
        </w:numPr>
        <w:spacing w:before="120" w:after="120" w:line="276" w:lineRule="auto"/>
        <w:ind w:hanging="574"/>
        <w:jc w:val="both"/>
        <w:rPr>
          <w:rFonts w:ascii="Times New Roman" w:hAnsi="Times New Roman" w:cs="Times New Roman"/>
          <w:color w:val="000000"/>
          <w:sz w:val="24"/>
        </w:rPr>
      </w:pPr>
      <w:r>
        <w:rPr>
          <w:rFonts w:ascii="Times New Roman" w:hAnsi="Times New Roman" w:cs="Times New Roman"/>
          <w:color w:val="000000"/>
          <w:sz w:val="24"/>
        </w:rPr>
        <w:t xml:space="preserve">Será inabilitado o fornecedor que não comprovar sua habilitação, seja por não apresentar </w:t>
      </w:r>
      <w:r>
        <w:rPr>
          <w:rFonts w:ascii="Times New Roman" w:hAnsi="Times New Roman" w:cs="Times New Roman"/>
          <w:iCs/>
          <w:sz w:val="24"/>
          <w:lang w:eastAsia="en-US"/>
        </w:rPr>
        <w:t>quaisquer</w:t>
      </w:r>
      <w:r>
        <w:rPr>
          <w:rFonts w:ascii="Times New Roman" w:hAnsi="Times New Roman" w:cs="Times New Roman"/>
          <w:color w:val="000000"/>
          <w:sz w:val="24"/>
        </w:rPr>
        <w:t xml:space="preserve"> dos </w:t>
      </w:r>
      <w:r>
        <w:rPr>
          <w:rFonts w:ascii="Times New Roman" w:hAnsi="Times New Roman" w:cs="Times New Roman"/>
          <w:bCs/>
          <w:sz w:val="24"/>
        </w:rPr>
        <w:t>documentos</w:t>
      </w:r>
      <w:r>
        <w:rPr>
          <w:rFonts w:ascii="Times New Roman" w:hAnsi="Times New Roman" w:cs="Times New Roman"/>
          <w:color w:val="000000"/>
          <w:sz w:val="24"/>
        </w:rPr>
        <w:t xml:space="preserve"> exigidos, ou apresentá-los em desacordo com o estabelecido neste Aviso de Contratação Direta.</w:t>
      </w:r>
    </w:p>
    <w:p w:rsidR="00B071EA" w:rsidRDefault="00FD3142">
      <w:pPr>
        <w:pStyle w:val="PargrafodaLista"/>
        <w:numPr>
          <w:ilvl w:val="2"/>
          <w:numId w:val="1"/>
        </w:numPr>
        <w:spacing w:before="120" w:after="120" w:line="276" w:lineRule="auto"/>
        <w:jc w:val="both"/>
        <w:rPr>
          <w:rFonts w:ascii="Times New Roman" w:hAnsi="Times New Roman" w:cs="Times New Roman"/>
          <w:color w:val="000000"/>
          <w:sz w:val="24"/>
        </w:rPr>
      </w:pPr>
      <w:r>
        <w:rPr>
          <w:rFonts w:ascii="Times New Roman" w:hAnsi="Times New Roman" w:cs="Times New Roman"/>
          <w:color w:val="000000"/>
          <w:sz w:val="24"/>
        </w:rPr>
        <w:t>Na hipótese de o fornecedor não atender às exigências para a habilitação, o órgão ou entidade examinará a proposta subsequente e assim sucessivamente, na ordem de classificação, até a apuração de uma proposta que atenda às especificações do objeto e as condições de habilitação</w:t>
      </w:r>
    </w:p>
    <w:p w:rsidR="00B071EA" w:rsidRDefault="00FD3142">
      <w:pPr>
        <w:pStyle w:val="PargrafodaLista"/>
        <w:numPr>
          <w:ilvl w:val="1"/>
          <w:numId w:val="1"/>
        </w:numPr>
        <w:spacing w:before="120" w:after="120" w:line="276" w:lineRule="auto"/>
        <w:ind w:hanging="574"/>
        <w:jc w:val="both"/>
        <w:rPr>
          <w:rFonts w:ascii="Times New Roman" w:hAnsi="Times New Roman" w:cs="Times New Roman"/>
          <w:iCs/>
          <w:sz w:val="24"/>
          <w:lang w:eastAsia="en-US"/>
        </w:rPr>
      </w:pPr>
      <w:r>
        <w:rPr>
          <w:rFonts w:ascii="Times New Roman" w:hAnsi="Times New Roman" w:cs="Times New Roman"/>
          <w:iCs/>
          <w:sz w:val="24"/>
          <w:lang w:eastAsia="en-US"/>
        </w:rPr>
        <w:t>Constatado o atendimento às exigências de habilitação, o fornecedor será habilitado</w:t>
      </w:r>
    </w:p>
    <w:p w:rsidR="00B071EA" w:rsidRDefault="00FD3142">
      <w:pPr>
        <w:pStyle w:val="PADRO"/>
        <w:keepNext w:val="0"/>
        <w:widowControl/>
        <w:numPr>
          <w:ilvl w:val="0"/>
          <w:numId w:val="1"/>
        </w:numPr>
        <w:shd w:val="clear" w:color="auto" w:fill="auto"/>
        <w:spacing w:before="120" w:after="120"/>
        <w:rPr>
          <w:rFonts w:ascii="Times New Roman" w:hAnsi="Times New Roman" w:cs="Times New Roman"/>
          <w:b/>
          <w:sz w:val="24"/>
        </w:rPr>
      </w:pPr>
      <w:r>
        <w:rPr>
          <w:rFonts w:ascii="Times New Roman" w:hAnsi="Times New Roman" w:cs="Times New Roman"/>
          <w:b/>
          <w:sz w:val="24"/>
        </w:rPr>
        <w:t>CONTRATAÇÃO</w:t>
      </w:r>
    </w:p>
    <w:p w:rsidR="00B071EA" w:rsidRPr="007F23EB" w:rsidRDefault="00FD3142">
      <w:pPr>
        <w:numPr>
          <w:ilvl w:val="1"/>
          <w:numId w:val="1"/>
        </w:numPr>
        <w:spacing w:before="120" w:after="120" w:line="276" w:lineRule="auto"/>
        <w:ind w:left="425" w:firstLine="0"/>
        <w:jc w:val="both"/>
        <w:rPr>
          <w:rFonts w:ascii="Times New Roman" w:eastAsia="Arial" w:hAnsi="Times New Roman" w:cs="Times New Roman"/>
          <w:color w:val="000000"/>
          <w:sz w:val="24"/>
        </w:rPr>
      </w:pPr>
      <w:r w:rsidRPr="007F23EB">
        <w:rPr>
          <w:rFonts w:ascii="Times New Roman" w:eastAsia="Arial" w:hAnsi="Times New Roman" w:cs="Times New Roman"/>
          <w:color w:val="000000"/>
          <w:sz w:val="24"/>
        </w:rPr>
        <w:t>Após a homologação e adjudicação, caso se conclua pela contratação, será firmado Termo de Contrato ou emitido instrumento equivalente.</w:t>
      </w:r>
    </w:p>
    <w:p w:rsidR="00B071EA" w:rsidRPr="007F23EB" w:rsidRDefault="00FD3142">
      <w:pPr>
        <w:numPr>
          <w:ilvl w:val="2"/>
          <w:numId w:val="1"/>
        </w:numPr>
        <w:spacing w:before="120" w:after="120" w:line="276" w:lineRule="auto"/>
        <w:jc w:val="both"/>
        <w:rPr>
          <w:rFonts w:ascii="Times New Roman" w:eastAsia="Arial" w:hAnsi="Times New Roman" w:cs="Times New Roman"/>
          <w:color w:val="000000"/>
          <w:sz w:val="24"/>
        </w:rPr>
      </w:pPr>
      <w:r w:rsidRPr="007F23EB">
        <w:rPr>
          <w:rFonts w:ascii="Times New Roman" w:eastAsia="Arial" w:hAnsi="Times New Roman" w:cs="Times New Roman"/>
          <w:color w:val="000000"/>
          <w:sz w:val="24"/>
        </w:rPr>
        <w:t xml:space="preserve">O prazo previsto para assinatura do contrato ou aceitação da nota de empenho ou instrumento equivalente poderá ser prorrogado </w:t>
      </w:r>
      <w:r w:rsidRPr="007F23EB">
        <w:rPr>
          <w:rFonts w:ascii="Times New Roman" w:hAnsi="Times New Roman" w:cs="Times New Roman"/>
          <w:bCs/>
          <w:sz w:val="24"/>
        </w:rPr>
        <w:t>1 (uma) vez</w:t>
      </w:r>
      <w:r w:rsidRPr="007F23EB">
        <w:rPr>
          <w:rFonts w:ascii="Times New Roman" w:eastAsia="Arial" w:hAnsi="Times New Roman" w:cs="Times New Roman"/>
          <w:sz w:val="24"/>
        </w:rPr>
        <w:t xml:space="preserve">, </w:t>
      </w:r>
      <w:r w:rsidRPr="007F23EB">
        <w:rPr>
          <w:rFonts w:ascii="Times New Roman" w:eastAsia="Arial" w:hAnsi="Times New Roman" w:cs="Times New Roman"/>
          <w:color w:val="000000"/>
          <w:sz w:val="24"/>
        </w:rPr>
        <w:t>por igual período, por solicitação justificada do adjudicatário e aceita pela Administração.</w:t>
      </w:r>
    </w:p>
    <w:p w:rsidR="00B071EA" w:rsidRPr="007F23EB" w:rsidRDefault="00FD3142">
      <w:pPr>
        <w:numPr>
          <w:ilvl w:val="1"/>
          <w:numId w:val="1"/>
        </w:numPr>
        <w:spacing w:before="120" w:after="120" w:line="276" w:lineRule="auto"/>
        <w:ind w:left="425" w:firstLine="0"/>
        <w:jc w:val="both"/>
        <w:rPr>
          <w:rFonts w:ascii="Times New Roman" w:eastAsia="Arial" w:hAnsi="Times New Roman" w:cs="Times New Roman"/>
          <w:sz w:val="24"/>
        </w:rPr>
      </w:pPr>
      <w:r w:rsidRPr="007F23EB">
        <w:rPr>
          <w:rFonts w:ascii="Times New Roman" w:eastAsia="Arial" w:hAnsi="Times New Roman" w:cs="Times New Roman"/>
          <w:sz w:val="24"/>
        </w:rPr>
        <w:t>O Aceite da Nota de Empenho ou do instrumento equivalente, emitida à empresa adjudicada, implica no reconhecimento de que:</w:t>
      </w:r>
    </w:p>
    <w:p w:rsidR="00B071EA" w:rsidRPr="007F23EB" w:rsidRDefault="00FD3142">
      <w:pPr>
        <w:numPr>
          <w:ilvl w:val="2"/>
          <w:numId w:val="1"/>
        </w:numPr>
        <w:spacing w:before="120" w:after="120" w:line="276" w:lineRule="auto"/>
        <w:jc w:val="both"/>
        <w:rPr>
          <w:rFonts w:ascii="Times New Roman" w:eastAsia="Arial" w:hAnsi="Times New Roman" w:cs="Times New Roman"/>
          <w:sz w:val="24"/>
        </w:rPr>
      </w:pPr>
      <w:r w:rsidRPr="007F23EB">
        <w:rPr>
          <w:rFonts w:ascii="Times New Roman" w:eastAsia="Arial" w:hAnsi="Times New Roman" w:cs="Times New Roman"/>
          <w:sz w:val="24"/>
        </w:rPr>
        <w:t>referida Nota está substituindo o contrato, aplicando-se à relação de negócios ali estabelecida as disposições da Lei nº 14.133, de 2021;</w:t>
      </w:r>
    </w:p>
    <w:p w:rsidR="00B071EA" w:rsidRPr="007F23EB" w:rsidRDefault="00FD3142">
      <w:pPr>
        <w:numPr>
          <w:ilvl w:val="2"/>
          <w:numId w:val="1"/>
        </w:numPr>
        <w:spacing w:before="120" w:after="120" w:line="276" w:lineRule="auto"/>
        <w:jc w:val="both"/>
        <w:rPr>
          <w:rFonts w:ascii="Times New Roman" w:eastAsia="Arial" w:hAnsi="Times New Roman" w:cs="Times New Roman"/>
          <w:sz w:val="24"/>
        </w:rPr>
      </w:pPr>
      <w:r w:rsidRPr="007F23EB">
        <w:rPr>
          <w:rFonts w:ascii="Times New Roman" w:eastAsia="Arial" w:hAnsi="Times New Roman" w:cs="Times New Roman"/>
          <w:sz w:val="24"/>
        </w:rPr>
        <w:lastRenderedPageBreak/>
        <w:t>a contratada se vincula à sua proposta e às previsões contidas no Aviso de Contratação Direta e seus anexos;</w:t>
      </w:r>
    </w:p>
    <w:p w:rsidR="00B071EA" w:rsidRPr="007F23EB" w:rsidRDefault="00FD3142">
      <w:pPr>
        <w:numPr>
          <w:ilvl w:val="2"/>
          <w:numId w:val="1"/>
        </w:numPr>
        <w:spacing w:before="120" w:after="120" w:line="276" w:lineRule="auto"/>
        <w:jc w:val="both"/>
        <w:rPr>
          <w:rFonts w:ascii="Times New Roman" w:eastAsia="Arial" w:hAnsi="Times New Roman" w:cs="Times New Roman"/>
          <w:sz w:val="24"/>
        </w:rPr>
      </w:pPr>
      <w:r w:rsidRPr="007F23EB">
        <w:rPr>
          <w:rFonts w:ascii="Times New Roman" w:eastAsia="Arial" w:hAnsi="Times New Roman" w:cs="Times New Roman"/>
          <w:sz w:val="24"/>
        </w:rPr>
        <w:t>a contratada reconhece que as hipóteses de rescisão são aquelas previstas nos artigos 137 e 138 da Lei nº 14.133/21 e reconhece os direitos da Administração previstos nos artigos 137 a 139 da mesma Lei.</w:t>
      </w:r>
    </w:p>
    <w:p w:rsidR="00B071EA" w:rsidRDefault="00FD3142">
      <w:pPr>
        <w:numPr>
          <w:ilvl w:val="1"/>
          <w:numId w:val="1"/>
        </w:numPr>
        <w:spacing w:before="120" w:after="120" w:line="276" w:lineRule="auto"/>
        <w:ind w:left="425" w:firstLine="0"/>
        <w:jc w:val="both"/>
        <w:rPr>
          <w:rFonts w:ascii="Times New Roman" w:eastAsia="Arial" w:hAnsi="Times New Roman" w:cs="Times New Roman"/>
          <w:color w:val="000000"/>
          <w:sz w:val="24"/>
        </w:rPr>
      </w:pPr>
      <w:r>
        <w:rPr>
          <w:rFonts w:ascii="Times New Roman" w:eastAsia="Arial" w:hAnsi="Times New Roman" w:cs="Times New Roman"/>
          <w:color w:val="000000"/>
          <w:sz w:val="24"/>
        </w:rPr>
        <w:t xml:space="preserve">O prazo de vigência da contratação é de </w:t>
      </w:r>
      <w:r>
        <w:rPr>
          <w:rFonts w:ascii="Times New Roman" w:eastAsia="Arial" w:hAnsi="Times New Roman" w:cs="Times New Roman"/>
          <w:sz w:val="24"/>
        </w:rPr>
        <w:t xml:space="preserve">30 (trinta) dias prorrogável </w:t>
      </w:r>
      <w:r>
        <w:rPr>
          <w:rFonts w:ascii="Times New Roman" w:eastAsia="Arial" w:hAnsi="Times New Roman" w:cs="Times New Roman"/>
          <w:color w:val="000000"/>
          <w:sz w:val="24"/>
        </w:rPr>
        <w:t xml:space="preserve">conforme previsão nos anexos a este Aviso de Contratação Direta. </w:t>
      </w:r>
    </w:p>
    <w:p w:rsidR="00B071EA" w:rsidRDefault="00FD3142">
      <w:pPr>
        <w:numPr>
          <w:ilvl w:val="1"/>
          <w:numId w:val="1"/>
        </w:numPr>
        <w:spacing w:before="120" w:after="120" w:line="276" w:lineRule="auto"/>
        <w:ind w:left="425" w:firstLine="0"/>
        <w:jc w:val="both"/>
        <w:rPr>
          <w:rFonts w:ascii="Times New Roman" w:eastAsia="Arial" w:hAnsi="Times New Roman" w:cs="Times New Roman"/>
          <w:color w:val="000000"/>
          <w:sz w:val="24"/>
        </w:rPr>
      </w:pPr>
      <w:r>
        <w:rPr>
          <w:rFonts w:ascii="Times New Roman" w:hAnsi="Times New Roman" w:cs="Times New Roman"/>
          <w:color w:val="000000"/>
          <w:sz w:val="24"/>
        </w:rPr>
        <w:t>Na assinatura do contrato ou do instrumento equivalente será exigida a comprovação das condições de habilitação e contratação consignadas neste aviso, que deverão ser mantidas pelo fornecedor durante a vigência do contrato.</w:t>
      </w:r>
    </w:p>
    <w:p w:rsidR="00B071EA" w:rsidRDefault="00FD3142">
      <w:pPr>
        <w:pStyle w:val="PADRO"/>
        <w:keepNext w:val="0"/>
        <w:widowControl/>
        <w:numPr>
          <w:ilvl w:val="0"/>
          <w:numId w:val="1"/>
        </w:numPr>
        <w:shd w:val="clear" w:color="auto" w:fill="auto"/>
        <w:spacing w:before="120" w:after="120"/>
        <w:rPr>
          <w:rFonts w:ascii="Times New Roman" w:hAnsi="Times New Roman" w:cs="Times New Roman"/>
          <w:b/>
          <w:sz w:val="24"/>
        </w:rPr>
      </w:pPr>
      <w:r>
        <w:rPr>
          <w:rFonts w:ascii="Times New Roman" w:hAnsi="Times New Roman" w:cs="Times New Roman"/>
          <w:b/>
          <w:sz w:val="24"/>
        </w:rPr>
        <w:t>SANÇÕES</w:t>
      </w:r>
    </w:p>
    <w:p w:rsidR="00B071EA" w:rsidRDefault="00FD3142">
      <w:pPr>
        <w:numPr>
          <w:ilvl w:val="1"/>
          <w:numId w:val="1"/>
        </w:numPr>
        <w:spacing w:before="120" w:after="120" w:line="276" w:lineRule="auto"/>
        <w:ind w:left="425" w:firstLine="0"/>
        <w:jc w:val="both"/>
        <w:rPr>
          <w:rFonts w:ascii="Times New Roman" w:hAnsi="Times New Roman" w:cs="Times New Roman"/>
          <w:b/>
          <w:sz w:val="24"/>
        </w:rPr>
      </w:pPr>
      <w:r>
        <w:rPr>
          <w:rFonts w:ascii="Times New Roman" w:hAnsi="Times New Roman" w:cs="Times New Roman"/>
          <w:sz w:val="24"/>
        </w:rPr>
        <w:t xml:space="preserve">Comete infração administrativa o fornecedor que cometer quaisquer das infrações previstas no art. 155 da Lei nº 14.133, de 2021, quais sejam: </w:t>
      </w:r>
    </w:p>
    <w:p w:rsidR="00B071EA" w:rsidRDefault="00FD3142">
      <w:pPr>
        <w:numPr>
          <w:ilvl w:val="2"/>
          <w:numId w:val="1"/>
        </w:numPr>
        <w:spacing w:before="120" w:after="120" w:line="276" w:lineRule="auto"/>
        <w:jc w:val="both"/>
        <w:rPr>
          <w:rFonts w:ascii="Times New Roman" w:hAnsi="Times New Roman" w:cs="Times New Roman"/>
          <w:sz w:val="24"/>
        </w:rPr>
      </w:pPr>
      <w:r>
        <w:rPr>
          <w:rFonts w:ascii="Times New Roman" w:hAnsi="Times New Roman" w:cs="Times New Roman"/>
          <w:color w:val="000000"/>
          <w:sz w:val="24"/>
        </w:rPr>
        <w:t>dar causa à inexecução parcial do contrato</w:t>
      </w:r>
      <w:r>
        <w:rPr>
          <w:rFonts w:ascii="Times New Roman" w:hAnsi="Times New Roman" w:cs="Times New Roman"/>
          <w:sz w:val="24"/>
        </w:rPr>
        <w:t>;</w:t>
      </w:r>
    </w:p>
    <w:p w:rsidR="00B071EA" w:rsidRDefault="00FD3142">
      <w:pPr>
        <w:numPr>
          <w:ilvl w:val="2"/>
          <w:numId w:val="1"/>
        </w:numPr>
        <w:spacing w:before="120" w:after="120" w:line="276" w:lineRule="auto"/>
        <w:jc w:val="both"/>
        <w:rPr>
          <w:rFonts w:ascii="Times New Roman" w:hAnsi="Times New Roman" w:cs="Times New Roman"/>
          <w:sz w:val="24"/>
        </w:rPr>
      </w:pPr>
      <w:r>
        <w:rPr>
          <w:rFonts w:ascii="Times New Roman" w:hAnsi="Times New Roman" w:cs="Times New Roman"/>
          <w:color w:val="000000"/>
          <w:sz w:val="24"/>
        </w:rPr>
        <w:t>dar causa à inexecução parcial do contrato que cause grave dano à Administração, ao funcionamento dos serviços públicos ou ao interesse coletivo;</w:t>
      </w:r>
    </w:p>
    <w:p w:rsidR="00B071EA" w:rsidRDefault="00FD3142">
      <w:pPr>
        <w:numPr>
          <w:ilvl w:val="2"/>
          <w:numId w:val="1"/>
        </w:numPr>
        <w:spacing w:before="120" w:after="120" w:line="276" w:lineRule="auto"/>
        <w:jc w:val="both"/>
        <w:rPr>
          <w:rFonts w:ascii="Times New Roman" w:hAnsi="Times New Roman" w:cs="Times New Roman"/>
          <w:sz w:val="24"/>
        </w:rPr>
      </w:pPr>
      <w:r>
        <w:rPr>
          <w:rFonts w:ascii="Times New Roman" w:hAnsi="Times New Roman" w:cs="Times New Roman"/>
          <w:color w:val="000000"/>
          <w:sz w:val="24"/>
        </w:rPr>
        <w:t>dar causa à inexecução total do contrato;</w:t>
      </w:r>
    </w:p>
    <w:p w:rsidR="00B071EA" w:rsidRDefault="00FD3142">
      <w:pPr>
        <w:numPr>
          <w:ilvl w:val="2"/>
          <w:numId w:val="1"/>
        </w:numPr>
        <w:spacing w:before="120" w:after="120" w:line="276" w:lineRule="auto"/>
        <w:jc w:val="both"/>
        <w:rPr>
          <w:rFonts w:ascii="Times New Roman" w:hAnsi="Times New Roman" w:cs="Times New Roman"/>
          <w:sz w:val="24"/>
        </w:rPr>
      </w:pPr>
      <w:r>
        <w:rPr>
          <w:rFonts w:ascii="Times New Roman" w:hAnsi="Times New Roman" w:cs="Times New Roman"/>
          <w:color w:val="000000"/>
          <w:sz w:val="24"/>
        </w:rPr>
        <w:t>deixar de entregar a documentação exigida para o certame;</w:t>
      </w:r>
    </w:p>
    <w:p w:rsidR="00B071EA" w:rsidRDefault="00FD3142">
      <w:pPr>
        <w:numPr>
          <w:ilvl w:val="2"/>
          <w:numId w:val="1"/>
        </w:numPr>
        <w:spacing w:before="120" w:after="120" w:line="276" w:lineRule="auto"/>
        <w:jc w:val="both"/>
        <w:rPr>
          <w:rFonts w:ascii="Times New Roman" w:hAnsi="Times New Roman" w:cs="Times New Roman"/>
          <w:sz w:val="24"/>
        </w:rPr>
      </w:pPr>
      <w:r>
        <w:rPr>
          <w:rFonts w:ascii="Times New Roman" w:hAnsi="Times New Roman" w:cs="Times New Roman"/>
          <w:color w:val="000000"/>
          <w:sz w:val="24"/>
        </w:rPr>
        <w:t>não manter a proposta, salvo em decorrência de fato superveniente devidamente justificado;</w:t>
      </w:r>
    </w:p>
    <w:p w:rsidR="00B071EA" w:rsidRDefault="00FD3142">
      <w:pPr>
        <w:numPr>
          <w:ilvl w:val="2"/>
          <w:numId w:val="1"/>
        </w:numPr>
        <w:spacing w:before="120" w:after="120" w:line="276" w:lineRule="auto"/>
        <w:jc w:val="both"/>
        <w:rPr>
          <w:rFonts w:ascii="Times New Roman" w:hAnsi="Times New Roman" w:cs="Times New Roman"/>
          <w:sz w:val="24"/>
        </w:rPr>
      </w:pPr>
      <w:r>
        <w:rPr>
          <w:rFonts w:ascii="Times New Roman" w:hAnsi="Times New Roman" w:cs="Times New Roman"/>
          <w:color w:val="000000"/>
          <w:sz w:val="24"/>
        </w:rPr>
        <w:t>não celebrar o contrato ou não entregar a documentação exigida para a contratação, quando convocado dentro do prazo de validade de sua proposta;</w:t>
      </w:r>
    </w:p>
    <w:p w:rsidR="00B071EA" w:rsidRDefault="00FD3142">
      <w:pPr>
        <w:numPr>
          <w:ilvl w:val="2"/>
          <w:numId w:val="1"/>
        </w:numPr>
        <w:spacing w:before="120" w:after="120" w:line="276" w:lineRule="auto"/>
        <w:jc w:val="both"/>
        <w:rPr>
          <w:rFonts w:ascii="Times New Roman" w:hAnsi="Times New Roman" w:cs="Times New Roman"/>
          <w:sz w:val="24"/>
        </w:rPr>
      </w:pPr>
      <w:r>
        <w:rPr>
          <w:rFonts w:ascii="Times New Roman" w:hAnsi="Times New Roman" w:cs="Times New Roman"/>
          <w:color w:val="000000"/>
          <w:sz w:val="24"/>
        </w:rPr>
        <w:t> ensejar o retardamento da execução ou da entrega do objeto da licitação sem motivo justificado;</w:t>
      </w:r>
    </w:p>
    <w:p w:rsidR="00B071EA" w:rsidRDefault="00FD3142">
      <w:pPr>
        <w:numPr>
          <w:ilvl w:val="2"/>
          <w:numId w:val="1"/>
        </w:numPr>
        <w:spacing w:before="120" w:after="120" w:line="276" w:lineRule="auto"/>
        <w:jc w:val="both"/>
        <w:rPr>
          <w:rFonts w:ascii="Times New Roman" w:hAnsi="Times New Roman" w:cs="Times New Roman"/>
          <w:sz w:val="24"/>
        </w:rPr>
      </w:pPr>
      <w:r>
        <w:rPr>
          <w:rFonts w:ascii="Times New Roman" w:hAnsi="Times New Roman" w:cs="Times New Roman"/>
          <w:color w:val="000000"/>
          <w:sz w:val="24"/>
        </w:rPr>
        <w:t>apresentar declaração ou documentação falsa exigida para o certame ou prestar declaração falsa durante a dispensa eletrônica ou a execução do contrato;</w:t>
      </w:r>
    </w:p>
    <w:p w:rsidR="00B071EA" w:rsidRDefault="00FD3142">
      <w:pPr>
        <w:numPr>
          <w:ilvl w:val="2"/>
          <w:numId w:val="1"/>
        </w:numPr>
        <w:spacing w:before="120" w:after="120" w:line="276" w:lineRule="auto"/>
        <w:jc w:val="both"/>
        <w:rPr>
          <w:rFonts w:ascii="Times New Roman" w:hAnsi="Times New Roman" w:cs="Times New Roman"/>
          <w:sz w:val="24"/>
        </w:rPr>
      </w:pPr>
      <w:r>
        <w:rPr>
          <w:rFonts w:ascii="Times New Roman" w:hAnsi="Times New Roman" w:cs="Times New Roman"/>
          <w:color w:val="000000"/>
          <w:sz w:val="24"/>
        </w:rPr>
        <w:t>fraudar a dispensa eletrônica ou praticar ato fraudulento na execução do contrato;</w:t>
      </w:r>
    </w:p>
    <w:p w:rsidR="00B071EA" w:rsidRDefault="00FD3142">
      <w:pPr>
        <w:numPr>
          <w:ilvl w:val="2"/>
          <w:numId w:val="1"/>
        </w:numPr>
        <w:spacing w:before="120" w:after="120" w:line="276" w:lineRule="auto"/>
        <w:jc w:val="both"/>
        <w:rPr>
          <w:rFonts w:ascii="Times New Roman" w:hAnsi="Times New Roman" w:cs="Times New Roman"/>
          <w:sz w:val="24"/>
        </w:rPr>
      </w:pPr>
      <w:r>
        <w:rPr>
          <w:rFonts w:ascii="Times New Roman" w:hAnsi="Times New Roman" w:cs="Times New Roman"/>
          <w:color w:val="000000"/>
          <w:sz w:val="24"/>
        </w:rPr>
        <w:t> comportar-se de modo inidôneo ou cometer fraude de qualquer natureza;</w:t>
      </w:r>
    </w:p>
    <w:p w:rsidR="00B071EA" w:rsidRDefault="00FD3142">
      <w:pPr>
        <w:pStyle w:val="PargrafodaLista"/>
        <w:numPr>
          <w:ilvl w:val="3"/>
          <w:numId w:val="1"/>
        </w:numPr>
        <w:spacing w:before="120" w:after="120" w:line="276" w:lineRule="auto"/>
        <w:jc w:val="both"/>
        <w:rPr>
          <w:rFonts w:ascii="Times New Roman" w:hAnsi="Times New Roman" w:cs="Times New Roman"/>
          <w:sz w:val="24"/>
        </w:rPr>
      </w:pPr>
      <w:r>
        <w:rPr>
          <w:rFonts w:ascii="Times New Roman" w:hAnsi="Times New Roman" w:cs="Times New Roman"/>
          <w:sz w:val="24"/>
        </w:rPr>
        <w:t>Considera-se comportamento inidôneo, entre outros, a declaração falsa quanto às condições de participação, quanto ao enquadramento como ME/EPP ou o conluio entre os fornecedores, em qualquer momento da dispensa, mesmo após o encerramento da fase de lances.</w:t>
      </w:r>
    </w:p>
    <w:p w:rsidR="00B071EA" w:rsidRDefault="00FD3142">
      <w:pPr>
        <w:numPr>
          <w:ilvl w:val="2"/>
          <w:numId w:val="1"/>
        </w:numPr>
        <w:spacing w:before="120" w:after="120" w:line="276" w:lineRule="auto"/>
        <w:jc w:val="both"/>
        <w:rPr>
          <w:rFonts w:ascii="Times New Roman" w:hAnsi="Times New Roman" w:cs="Times New Roman"/>
          <w:sz w:val="24"/>
        </w:rPr>
      </w:pPr>
      <w:r>
        <w:rPr>
          <w:rFonts w:ascii="Times New Roman" w:hAnsi="Times New Roman" w:cs="Times New Roman"/>
          <w:color w:val="000000"/>
          <w:sz w:val="24"/>
        </w:rPr>
        <w:t> praticar atos ilícitos com vistas a frustrar os objetivos deste certame.</w:t>
      </w:r>
    </w:p>
    <w:p w:rsidR="00B071EA" w:rsidRDefault="00FD3142">
      <w:pPr>
        <w:numPr>
          <w:ilvl w:val="2"/>
          <w:numId w:val="1"/>
        </w:numPr>
        <w:spacing w:before="120" w:after="120" w:line="276" w:lineRule="auto"/>
        <w:jc w:val="both"/>
        <w:rPr>
          <w:rFonts w:ascii="Times New Roman" w:hAnsi="Times New Roman" w:cs="Times New Roman"/>
          <w:color w:val="000000"/>
          <w:sz w:val="24"/>
        </w:rPr>
      </w:pPr>
      <w:r>
        <w:rPr>
          <w:rFonts w:ascii="Times New Roman" w:hAnsi="Times New Roman" w:cs="Times New Roman"/>
          <w:color w:val="000000"/>
          <w:sz w:val="24"/>
        </w:rPr>
        <w:t>praticar ato lesivo previsto no </w:t>
      </w:r>
      <w:hyperlink r:id="rId14" w:anchor="art5" w:history="1">
        <w:r>
          <w:rPr>
            <w:rFonts w:ascii="Times New Roman" w:hAnsi="Times New Roman" w:cs="Times New Roman"/>
            <w:color w:val="000000"/>
            <w:sz w:val="24"/>
          </w:rPr>
          <w:t>art. 5º da Lei nº 12.846, de 1º de agosto de 2013.</w:t>
        </w:r>
      </w:hyperlink>
    </w:p>
    <w:p w:rsidR="00B071EA" w:rsidRDefault="00FD3142">
      <w:pPr>
        <w:numPr>
          <w:ilvl w:val="1"/>
          <w:numId w:val="1"/>
        </w:numPr>
        <w:spacing w:before="120" w:after="120" w:line="276" w:lineRule="auto"/>
        <w:ind w:left="425" w:firstLine="0"/>
        <w:jc w:val="both"/>
        <w:rPr>
          <w:rFonts w:ascii="Times New Roman" w:hAnsi="Times New Roman" w:cs="Times New Roman"/>
          <w:b/>
          <w:sz w:val="24"/>
        </w:rPr>
      </w:pPr>
      <w:r>
        <w:rPr>
          <w:rFonts w:ascii="Times New Roman" w:hAnsi="Times New Roman" w:cs="Times New Roman"/>
          <w:sz w:val="24"/>
        </w:rPr>
        <w:t>O fornecedor que cometer qualquer das infrações discriminadas nos subitens anteriores ficará sujeito, sem prejuízo da responsabilidade civil e criminal, às seguintes sanções:</w:t>
      </w:r>
    </w:p>
    <w:p w:rsidR="00B071EA" w:rsidRDefault="00FD3142">
      <w:pPr>
        <w:numPr>
          <w:ilvl w:val="2"/>
          <w:numId w:val="24"/>
        </w:numPr>
        <w:spacing w:before="120" w:after="120" w:line="276" w:lineRule="auto"/>
        <w:jc w:val="both"/>
        <w:rPr>
          <w:rFonts w:ascii="Times New Roman" w:hAnsi="Times New Roman" w:cs="Times New Roman"/>
          <w:sz w:val="24"/>
        </w:rPr>
      </w:pPr>
      <w:r>
        <w:rPr>
          <w:rFonts w:ascii="Times New Roman" w:hAnsi="Times New Roman" w:cs="Times New Roman"/>
          <w:sz w:val="24"/>
        </w:rPr>
        <w:t>Advertência pela falta do subitem 8.1.1 deste Aviso de Contratação Direta, quando não se justificar a imposição de penalidade mais grave;</w:t>
      </w:r>
    </w:p>
    <w:p w:rsidR="00B071EA" w:rsidRDefault="00FD3142">
      <w:pPr>
        <w:numPr>
          <w:ilvl w:val="2"/>
          <w:numId w:val="24"/>
        </w:numPr>
        <w:spacing w:before="120" w:after="120" w:line="276" w:lineRule="auto"/>
        <w:jc w:val="both"/>
        <w:rPr>
          <w:rFonts w:ascii="Times New Roman" w:hAnsi="Times New Roman" w:cs="Times New Roman"/>
          <w:sz w:val="24"/>
        </w:rPr>
      </w:pPr>
      <w:r>
        <w:rPr>
          <w:rFonts w:ascii="Times New Roman" w:hAnsi="Times New Roman" w:cs="Times New Roman"/>
          <w:sz w:val="24"/>
        </w:rPr>
        <w:lastRenderedPageBreak/>
        <w:t>Multa de 10% (dez por cento) sobre o valor estimado do(s) item(s) prejudicado(s) pela conduta do fornecedor, por qualquer das infrações dos subitens 8.1.1 a 8.1.12;</w:t>
      </w:r>
    </w:p>
    <w:p w:rsidR="00B071EA" w:rsidRDefault="00FD3142">
      <w:pPr>
        <w:numPr>
          <w:ilvl w:val="2"/>
          <w:numId w:val="24"/>
        </w:numPr>
        <w:spacing w:before="120" w:after="120" w:line="276" w:lineRule="auto"/>
        <w:jc w:val="both"/>
        <w:rPr>
          <w:rFonts w:ascii="Times New Roman" w:hAnsi="Times New Roman" w:cs="Times New Roman"/>
          <w:sz w:val="24"/>
        </w:rPr>
      </w:pPr>
      <w:r>
        <w:rPr>
          <w:rFonts w:ascii="Times New Roman" w:hAnsi="Times New Roman" w:cs="Times New Roman"/>
          <w:color w:val="000000"/>
          <w:sz w:val="24"/>
        </w:rPr>
        <w:t>Impedimento de licitar e contratar</w:t>
      </w:r>
      <w:r>
        <w:rPr>
          <w:rFonts w:ascii="Times New Roman" w:hAnsi="Times New Roman" w:cs="Times New Roman"/>
          <w:sz w:val="24"/>
        </w:rPr>
        <w:t xml:space="preserve"> </w:t>
      </w:r>
      <w:r>
        <w:rPr>
          <w:rFonts w:ascii="Times New Roman" w:hAnsi="Times New Roman" w:cs="Times New Roman"/>
          <w:color w:val="000000"/>
          <w:sz w:val="24"/>
        </w:rPr>
        <w:t>no âmbito da Administração Pública direta e indireta do ente federativo que tiver aplicado a sanção, pelo prazo máximo de 3 (três) anos, nos casos dos subitens 8.1.2 a 8.1.7 deste Aviso de Contratação Direta, quando não se justificar a imposição de penalidade mais grave</w:t>
      </w:r>
      <w:r>
        <w:rPr>
          <w:rFonts w:ascii="Times New Roman" w:hAnsi="Times New Roman" w:cs="Times New Roman"/>
          <w:sz w:val="24"/>
        </w:rPr>
        <w:t>;</w:t>
      </w:r>
    </w:p>
    <w:p w:rsidR="00B071EA" w:rsidRDefault="00FD3142">
      <w:pPr>
        <w:numPr>
          <w:ilvl w:val="2"/>
          <w:numId w:val="24"/>
        </w:numPr>
        <w:spacing w:before="120" w:after="120" w:line="276" w:lineRule="auto"/>
        <w:jc w:val="both"/>
        <w:rPr>
          <w:rFonts w:ascii="Times New Roman" w:hAnsi="Times New Roman" w:cs="Times New Roman"/>
          <w:sz w:val="24"/>
        </w:rPr>
      </w:pPr>
      <w:r>
        <w:rPr>
          <w:rFonts w:ascii="Times New Roman" w:hAnsi="Times New Roman" w:cs="Times New Roman"/>
          <w:color w:val="000000"/>
          <w:sz w:val="24"/>
        </w:rPr>
        <w:t>Declaração de inidoneidade para licitar ou contratar, que impedirá o responsável de licitar ou contratar no âmbito da Administração Pública direta e indireta de todos os entes federativos, pelo prazo mínimo de 3 (três) anos e máximo de 6 (seis) anos, nos casos dos subitens 8.1.8 a 8.1.12, bem como nos demais casos que justifiquem a imposição da penalidade mais grave</w:t>
      </w:r>
      <w:r>
        <w:rPr>
          <w:rFonts w:ascii="Times New Roman" w:hAnsi="Times New Roman" w:cs="Times New Roman"/>
          <w:sz w:val="24"/>
        </w:rPr>
        <w:t>;</w:t>
      </w:r>
    </w:p>
    <w:p w:rsidR="00B071EA" w:rsidRDefault="00FD3142">
      <w:pPr>
        <w:numPr>
          <w:ilvl w:val="1"/>
          <w:numId w:val="1"/>
        </w:numPr>
        <w:spacing w:before="120" w:after="120" w:line="276" w:lineRule="auto"/>
        <w:jc w:val="both"/>
        <w:rPr>
          <w:rFonts w:ascii="Times New Roman" w:hAnsi="Times New Roman" w:cs="Times New Roman"/>
          <w:bCs/>
          <w:sz w:val="24"/>
        </w:rPr>
      </w:pPr>
      <w:r>
        <w:rPr>
          <w:rFonts w:ascii="Times New Roman" w:hAnsi="Times New Roman" w:cs="Times New Roman"/>
          <w:bCs/>
          <w:sz w:val="24"/>
        </w:rPr>
        <w:t>Na aplicação das sanções serão considerados:</w:t>
      </w:r>
    </w:p>
    <w:p w:rsidR="00B071EA" w:rsidRDefault="00FD3142">
      <w:pPr>
        <w:numPr>
          <w:ilvl w:val="2"/>
          <w:numId w:val="1"/>
        </w:numPr>
        <w:spacing w:before="120" w:after="120" w:line="276" w:lineRule="auto"/>
        <w:jc w:val="both"/>
        <w:rPr>
          <w:rFonts w:ascii="Times New Roman" w:hAnsi="Times New Roman" w:cs="Times New Roman"/>
          <w:bCs/>
          <w:sz w:val="24"/>
        </w:rPr>
      </w:pPr>
      <w:r>
        <w:rPr>
          <w:rFonts w:ascii="Times New Roman" w:hAnsi="Times New Roman" w:cs="Times New Roman"/>
          <w:bCs/>
          <w:sz w:val="24"/>
        </w:rPr>
        <w:t>a natureza e a gravidade da infração cometida;</w:t>
      </w:r>
    </w:p>
    <w:p w:rsidR="00B071EA" w:rsidRDefault="00FD3142">
      <w:pPr>
        <w:numPr>
          <w:ilvl w:val="2"/>
          <w:numId w:val="1"/>
        </w:numPr>
        <w:spacing w:before="120" w:after="120" w:line="276" w:lineRule="auto"/>
        <w:jc w:val="both"/>
        <w:rPr>
          <w:rFonts w:ascii="Times New Roman" w:hAnsi="Times New Roman" w:cs="Times New Roman"/>
          <w:bCs/>
          <w:sz w:val="24"/>
        </w:rPr>
      </w:pPr>
      <w:r>
        <w:rPr>
          <w:rFonts w:ascii="Times New Roman" w:hAnsi="Times New Roman" w:cs="Times New Roman"/>
          <w:bCs/>
          <w:sz w:val="24"/>
        </w:rPr>
        <w:t>as peculiaridades do caso concreto;</w:t>
      </w:r>
    </w:p>
    <w:p w:rsidR="00B071EA" w:rsidRDefault="00FD3142">
      <w:pPr>
        <w:numPr>
          <w:ilvl w:val="2"/>
          <w:numId w:val="1"/>
        </w:numPr>
        <w:spacing w:before="120" w:after="120" w:line="276" w:lineRule="auto"/>
        <w:jc w:val="both"/>
        <w:rPr>
          <w:rFonts w:ascii="Times New Roman" w:hAnsi="Times New Roman" w:cs="Times New Roman"/>
          <w:bCs/>
          <w:sz w:val="24"/>
        </w:rPr>
      </w:pPr>
      <w:r>
        <w:rPr>
          <w:rFonts w:ascii="Times New Roman" w:hAnsi="Times New Roman" w:cs="Times New Roman"/>
          <w:bCs/>
          <w:sz w:val="24"/>
        </w:rPr>
        <w:t>as circunstâncias agravantes ou atenuantes;</w:t>
      </w:r>
    </w:p>
    <w:p w:rsidR="00B071EA" w:rsidRDefault="00FD3142">
      <w:pPr>
        <w:numPr>
          <w:ilvl w:val="2"/>
          <w:numId w:val="1"/>
        </w:numPr>
        <w:spacing w:before="120" w:after="120" w:line="276" w:lineRule="auto"/>
        <w:jc w:val="both"/>
        <w:rPr>
          <w:rFonts w:ascii="Times New Roman" w:hAnsi="Times New Roman" w:cs="Times New Roman"/>
          <w:bCs/>
          <w:sz w:val="24"/>
        </w:rPr>
      </w:pPr>
      <w:r>
        <w:rPr>
          <w:rFonts w:ascii="Times New Roman" w:hAnsi="Times New Roman" w:cs="Times New Roman"/>
          <w:bCs/>
          <w:sz w:val="24"/>
        </w:rPr>
        <w:t>os danos que dela provierem para a Administração Pública;</w:t>
      </w:r>
    </w:p>
    <w:p w:rsidR="00B071EA" w:rsidRDefault="00FD3142">
      <w:pPr>
        <w:numPr>
          <w:ilvl w:val="2"/>
          <w:numId w:val="1"/>
        </w:numPr>
        <w:spacing w:before="120" w:after="120" w:line="276" w:lineRule="auto"/>
        <w:jc w:val="both"/>
        <w:rPr>
          <w:rFonts w:ascii="Times New Roman" w:hAnsi="Times New Roman" w:cs="Times New Roman"/>
          <w:bCs/>
          <w:sz w:val="24"/>
        </w:rPr>
      </w:pPr>
      <w:r>
        <w:rPr>
          <w:rFonts w:ascii="Times New Roman" w:hAnsi="Times New Roman" w:cs="Times New Roman"/>
          <w:bCs/>
          <w:sz w:val="24"/>
        </w:rPr>
        <w:t>a implantação ou o aperfeiçoamento de programa de integridade, conforme normas e orientações dos órgãos de controle.</w:t>
      </w:r>
    </w:p>
    <w:p w:rsidR="00B071EA" w:rsidRDefault="00FD3142">
      <w:pPr>
        <w:numPr>
          <w:ilvl w:val="1"/>
          <w:numId w:val="1"/>
        </w:numPr>
        <w:spacing w:before="120" w:after="120" w:line="276" w:lineRule="auto"/>
        <w:ind w:left="425" w:firstLine="0"/>
        <w:jc w:val="both"/>
        <w:rPr>
          <w:rFonts w:ascii="Times New Roman" w:hAnsi="Times New Roman" w:cs="Times New Roman"/>
          <w:sz w:val="24"/>
        </w:rPr>
      </w:pPr>
      <w:bookmarkStart w:id="1" w:name="art156§6"/>
      <w:bookmarkStart w:id="2" w:name="art156§7"/>
      <w:bookmarkStart w:id="3" w:name="art156§8"/>
      <w:bookmarkEnd w:id="1"/>
      <w:bookmarkEnd w:id="2"/>
      <w:bookmarkEnd w:id="3"/>
      <w:r>
        <w:rPr>
          <w:rFonts w:ascii="Times New Roman" w:hAnsi="Times New Roman" w:cs="Times New Roman"/>
          <w:sz w:val="24"/>
        </w:rPr>
        <w:t>Se a multa aplicada e as indenizações cabíveis forem superiores ao valor de pagamento eventualmente devido pela Administração ao contratado, além da perda desse valor, a diferença será descontada da garantia prestada ou será cobrada judicialmente.</w:t>
      </w:r>
    </w:p>
    <w:p w:rsidR="00B071EA" w:rsidRDefault="00FD3142">
      <w:pPr>
        <w:numPr>
          <w:ilvl w:val="1"/>
          <w:numId w:val="1"/>
        </w:numPr>
        <w:spacing w:before="120" w:after="120" w:line="276" w:lineRule="auto"/>
        <w:ind w:left="425" w:firstLine="0"/>
        <w:jc w:val="both"/>
        <w:rPr>
          <w:rFonts w:ascii="Times New Roman" w:hAnsi="Times New Roman" w:cs="Times New Roman"/>
          <w:sz w:val="24"/>
        </w:rPr>
      </w:pPr>
      <w:bookmarkStart w:id="4" w:name="art156§9"/>
      <w:bookmarkEnd w:id="4"/>
      <w:r>
        <w:rPr>
          <w:rFonts w:ascii="Times New Roman" w:hAnsi="Times New Roman" w:cs="Times New Roman"/>
          <w:sz w:val="24"/>
        </w:rPr>
        <w:t>A aplicação das sanções previstas neste Aviso de Contratação Direta, em hipótese alguma, a obrigação de reparação integral do dano causado à Administração Pública.</w:t>
      </w:r>
    </w:p>
    <w:p w:rsidR="00B071EA" w:rsidRDefault="00FD3142">
      <w:pPr>
        <w:numPr>
          <w:ilvl w:val="1"/>
          <w:numId w:val="1"/>
        </w:numPr>
        <w:spacing w:before="120" w:after="120" w:line="276" w:lineRule="auto"/>
        <w:ind w:left="425" w:firstLine="0"/>
        <w:jc w:val="both"/>
        <w:rPr>
          <w:rFonts w:ascii="Times New Roman" w:hAnsi="Times New Roman" w:cs="Times New Roman"/>
          <w:sz w:val="24"/>
        </w:rPr>
      </w:pPr>
      <w:r>
        <w:rPr>
          <w:rFonts w:ascii="Times New Roman" w:hAnsi="Times New Roman" w:cs="Times New Roman"/>
          <w:sz w:val="24"/>
        </w:rPr>
        <w:t>A penalidade de multa pode ser aplicada cumulativamente com as demais sanções.</w:t>
      </w:r>
    </w:p>
    <w:p w:rsidR="00B071EA" w:rsidRDefault="00FD3142">
      <w:pPr>
        <w:numPr>
          <w:ilvl w:val="1"/>
          <w:numId w:val="1"/>
        </w:numPr>
        <w:spacing w:before="120" w:after="120" w:line="276" w:lineRule="auto"/>
        <w:ind w:left="425" w:firstLine="0"/>
        <w:jc w:val="both"/>
        <w:rPr>
          <w:rFonts w:ascii="Times New Roman" w:hAnsi="Times New Roman" w:cs="Times New Roman"/>
          <w:sz w:val="24"/>
        </w:rPr>
      </w:pPr>
      <w:r>
        <w:rPr>
          <w:rFonts w:ascii="Times New Roman" w:hAnsi="Times New Roman" w:cs="Times New Roman"/>
          <w:sz w:val="24"/>
        </w:rPr>
        <w:t xml:space="preserve">Se, durante o processo de aplicação de penalidade,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 </w:t>
      </w:r>
    </w:p>
    <w:p w:rsidR="00B071EA" w:rsidRDefault="00FD3142">
      <w:pPr>
        <w:numPr>
          <w:ilvl w:val="1"/>
          <w:numId w:val="1"/>
        </w:numPr>
        <w:spacing w:before="120" w:after="120" w:line="276" w:lineRule="auto"/>
        <w:ind w:left="425" w:firstLine="0"/>
        <w:jc w:val="both"/>
        <w:rPr>
          <w:rFonts w:ascii="Times New Roman" w:hAnsi="Times New Roman" w:cs="Times New Roman"/>
          <w:sz w:val="24"/>
        </w:rPr>
      </w:pPr>
      <w:r>
        <w:rPr>
          <w:rFonts w:ascii="Times New Roman" w:hAnsi="Times New Roman" w:cs="Times New Roman"/>
          <w:sz w:val="24"/>
        </w:rPr>
        <w:t>A apuração e o julgamento das demais infrações administrativas não consideradas como ato lesivo à Administração Pública nacional ou estrangeira nos termos da Lei nº 12.846, de 1º de agosto de 2013, seguirão seu rito normal na unidade administrativa.</w:t>
      </w:r>
    </w:p>
    <w:p w:rsidR="00B071EA" w:rsidRDefault="00FD3142">
      <w:pPr>
        <w:numPr>
          <w:ilvl w:val="1"/>
          <w:numId w:val="1"/>
        </w:numPr>
        <w:spacing w:before="120" w:after="120" w:line="276" w:lineRule="auto"/>
        <w:ind w:left="425" w:firstLine="0"/>
        <w:jc w:val="both"/>
        <w:rPr>
          <w:rFonts w:ascii="Times New Roman" w:hAnsi="Times New Roman" w:cs="Times New Roman"/>
          <w:sz w:val="24"/>
        </w:rPr>
      </w:pPr>
      <w:r>
        <w:rPr>
          <w:rFonts w:ascii="Times New Roman" w:hAnsi="Times New Roman" w:cs="Times New Roman"/>
          <w:sz w:val="24"/>
        </w:rPr>
        <w:t xml:space="preserve">O processamento do PAR não interfere no seguimento regular dos processos administrativos específicos para apuração da ocorrência de danos e prejuízos à Administração Pública Federal resultantes de ato lesivo cometido por pessoa jurídica, com ou sem a participação de agente público. </w:t>
      </w:r>
    </w:p>
    <w:p w:rsidR="00B071EA" w:rsidRDefault="00FD3142">
      <w:pPr>
        <w:numPr>
          <w:ilvl w:val="1"/>
          <w:numId w:val="1"/>
        </w:numPr>
        <w:spacing w:before="120" w:after="120" w:line="276" w:lineRule="auto"/>
        <w:ind w:left="425" w:firstLine="0"/>
        <w:jc w:val="both"/>
        <w:rPr>
          <w:rFonts w:ascii="Times New Roman" w:hAnsi="Times New Roman" w:cs="Times New Roman"/>
          <w:sz w:val="24"/>
        </w:rPr>
      </w:pPr>
      <w:r>
        <w:rPr>
          <w:rFonts w:ascii="Times New Roman" w:hAnsi="Times New Roman" w:cs="Times New Roman"/>
          <w:sz w:val="24"/>
        </w:rPr>
        <w:t>A aplicação de qualquer das penalidades previstas realizar-se-á em processo administrativo que assegurará o contraditório e a ampla defesa ao fornecedor/adjudicatário, observando-se o procedimento previsto na Lei nº 14.133, de 2021, e subsidiariamente na Lei nº 9.784, de 1999.</w:t>
      </w:r>
    </w:p>
    <w:p w:rsidR="00B071EA" w:rsidRDefault="00FD3142">
      <w:pPr>
        <w:numPr>
          <w:ilvl w:val="1"/>
          <w:numId w:val="1"/>
        </w:numPr>
        <w:spacing w:before="120" w:after="120" w:line="276" w:lineRule="auto"/>
        <w:ind w:left="425" w:firstLine="0"/>
        <w:jc w:val="both"/>
        <w:rPr>
          <w:rFonts w:ascii="Times New Roman" w:hAnsi="Times New Roman" w:cs="Times New Roman"/>
          <w:sz w:val="24"/>
        </w:rPr>
      </w:pPr>
      <w:r>
        <w:rPr>
          <w:rFonts w:ascii="Times New Roman" w:hAnsi="Times New Roman" w:cs="Times New Roman"/>
          <w:sz w:val="24"/>
        </w:rPr>
        <w:lastRenderedPageBreak/>
        <w:t>As sanções por atos praticados no decorrer da contratação estão previstas nos anexos a este Aviso.</w:t>
      </w:r>
    </w:p>
    <w:p w:rsidR="00B071EA" w:rsidRDefault="00B071EA">
      <w:pPr>
        <w:spacing w:before="120" w:after="120" w:line="276" w:lineRule="auto"/>
        <w:ind w:left="425"/>
        <w:jc w:val="both"/>
        <w:rPr>
          <w:rFonts w:ascii="Times New Roman" w:hAnsi="Times New Roman" w:cs="Times New Roman"/>
          <w:sz w:val="24"/>
        </w:rPr>
      </w:pPr>
    </w:p>
    <w:p w:rsidR="00B071EA" w:rsidRDefault="00FD3142">
      <w:pPr>
        <w:pStyle w:val="PADRO"/>
        <w:keepNext w:val="0"/>
        <w:widowControl/>
        <w:numPr>
          <w:ilvl w:val="0"/>
          <w:numId w:val="1"/>
        </w:numPr>
        <w:shd w:val="clear" w:color="auto" w:fill="auto"/>
        <w:spacing w:before="120" w:after="120"/>
        <w:rPr>
          <w:rFonts w:ascii="Times New Roman" w:hAnsi="Times New Roman" w:cs="Times New Roman"/>
          <w:b/>
          <w:sz w:val="24"/>
        </w:rPr>
      </w:pPr>
      <w:r>
        <w:rPr>
          <w:rFonts w:ascii="Times New Roman" w:hAnsi="Times New Roman" w:cs="Times New Roman"/>
          <w:b/>
          <w:sz w:val="24"/>
        </w:rPr>
        <w:t>DAS DISPOSIÇÕES GERAIS</w:t>
      </w:r>
    </w:p>
    <w:p w:rsidR="00B071EA" w:rsidRDefault="00FD3142">
      <w:pPr>
        <w:numPr>
          <w:ilvl w:val="1"/>
          <w:numId w:val="1"/>
        </w:numPr>
        <w:autoSpaceDE w:val="0"/>
        <w:snapToGrid w:val="0"/>
        <w:spacing w:before="120" w:after="120" w:line="276" w:lineRule="auto"/>
        <w:ind w:left="425" w:firstLine="0"/>
        <w:jc w:val="both"/>
        <w:rPr>
          <w:rFonts w:ascii="Times New Roman" w:hAnsi="Times New Roman" w:cs="Times New Roman"/>
          <w:sz w:val="24"/>
        </w:rPr>
      </w:pPr>
      <w:r>
        <w:rPr>
          <w:rFonts w:ascii="Times New Roman" w:hAnsi="Times New Roman" w:cs="Times New Roman"/>
          <w:sz w:val="24"/>
        </w:rPr>
        <w:t>O procedimento será divulgado no Comprasnet 4.0 e no Portal Nacional de Contratações Públicas - PNCP, e encaminhado automaticamente aos fornecedores registrados no Sistema de Registro Cadastral Unificado - Sicaf, por mensagem eletrônica, na correspondente linha de fornecimento que pretende atender.</w:t>
      </w:r>
    </w:p>
    <w:p w:rsidR="00B071EA" w:rsidRDefault="00FD3142">
      <w:pPr>
        <w:numPr>
          <w:ilvl w:val="1"/>
          <w:numId w:val="1"/>
        </w:numPr>
        <w:spacing w:before="120" w:after="120" w:line="276" w:lineRule="auto"/>
        <w:ind w:left="425" w:firstLine="0"/>
        <w:jc w:val="both"/>
        <w:rPr>
          <w:rFonts w:ascii="Times New Roman" w:hAnsi="Times New Roman" w:cs="Times New Roman"/>
          <w:color w:val="000000"/>
          <w:sz w:val="24"/>
        </w:rPr>
      </w:pPr>
      <w:r>
        <w:rPr>
          <w:rFonts w:ascii="Times New Roman" w:hAnsi="Times New Roman" w:cs="Times New Roman"/>
          <w:color w:val="000000"/>
          <w:sz w:val="24"/>
        </w:rPr>
        <w:t>No caso de todos os fornecedores restarem desclassificados ou inabilitados (procedimento fracassado), a Administração poderá:</w:t>
      </w:r>
    </w:p>
    <w:p w:rsidR="00B071EA" w:rsidRDefault="00FD3142">
      <w:pPr>
        <w:numPr>
          <w:ilvl w:val="2"/>
          <w:numId w:val="1"/>
        </w:numPr>
        <w:spacing w:before="120" w:after="120" w:line="276" w:lineRule="auto"/>
        <w:jc w:val="both"/>
        <w:rPr>
          <w:rFonts w:ascii="Times New Roman" w:hAnsi="Times New Roman" w:cs="Times New Roman"/>
          <w:color w:val="000000"/>
          <w:sz w:val="24"/>
        </w:rPr>
      </w:pPr>
      <w:r>
        <w:rPr>
          <w:rFonts w:ascii="Times New Roman" w:hAnsi="Times New Roman" w:cs="Times New Roman"/>
          <w:color w:val="000000"/>
          <w:sz w:val="24"/>
        </w:rPr>
        <w:t>republicar o presente aviso com uma nova data;</w:t>
      </w:r>
    </w:p>
    <w:p w:rsidR="00B071EA" w:rsidRDefault="00FD3142">
      <w:pPr>
        <w:numPr>
          <w:ilvl w:val="2"/>
          <w:numId w:val="1"/>
        </w:numPr>
        <w:spacing w:before="120" w:after="120" w:line="276" w:lineRule="auto"/>
        <w:jc w:val="both"/>
        <w:rPr>
          <w:rFonts w:ascii="Times New Roman" w:hAnsi="Times New Roman" w:cs="Times New Roman"/>
          <w:color w:val="000000"/>
          <w:sz w:val="24"/>
        </w:rPr>
      </w:pPr>
      <w:r>
        <w:rPr>
          <w:rFonts w:ascii="Times New Roman" w:hAnsi="Times New Roman" w:cs="Times New Roman"/>
          <w:color w:val="000000"/>
          <w:sz w:val="24"/>
        </w:rPr>
        <w:t>valer-se, para a contratação, de proposta obtida na pesquisa de preços que serviu de base ao procedimento, se houver, privilegiando-se os menores preços, sempre que possível, e desde que atendidas às condições de habilitação exigidas.</w:t>
      </w:r>
    </w:p>
    <w:p w:rsidR="00B071EA" w:rsidRDefault="00FD3142">
      <w:pPr>
        <w:numPr>
          <w:ilvl w:val="3"/>
          <w:numId w:val="1"/>
        </w:numPr>
        <w:spacing w:before="120" w:after="120" w:line="276" w:lineRule="auto"/>
        <w:jc w:val="both"/>
        <w:rPr>
          <w:rFonts w:ascii="Times New Roman" w:hAnsi="Times New Roman" w:cs="Times New Roman"/>
          <w:color w:val="000000"/>
          <w:sz w:val="24"/>
        </w:rPr>
      </w:pPr>
      <w:r>
        <w:rPr>
          <w:rFonts w:ascii="Times New Roman" w:hAnsi="Times New Roman" w:cs="Times New Roman"/>
          <w:color w:val="000000"/>
          <w:sz w:val="24"/>
        </w:rPr>
        <w:t>No caso do subitem anterior, a contratação será operacionalizada fora deste procedimento.</w:t>
      </w:r>
    </w:p>
    <w:p w:rsidR="00B071EA" w:rsidRDefault="00FD3142">
      <w:pPr>
        <w:numPr>
          <w:ilvl w:val="2"/>
          <w:numId w:val="1"/>
        </w:numPr>
        <w:spacing w:before="120" w:after="120" w:line="276" w:lineRule="auto"/>
        <w:jc w:val="both"/>
        <w:rPr>
          <w:rFonts w:ascii="Times New Roman" w:hAnsi="Times New Roman" w:cs="Times New Roman"/>
          <w:color w:val="000000"/>
          <w:sz w:val="24"/>
        </w:rPr>
      </w:pPr>
      <w:r>
        <w:rPr>
          <w:rFonts w:ascii="Times New Roman" w:hAnsi="Times New Roman" w:cs="Times New Roman"/>
          <w:color w:val="000000"/>
          <w:sz w:val="24"/>
        </w:rPr>
        <w:t>fixar prazo para que possa haver adequação das propostas ou da documentação de habilitação, conforme o caso.</w:t>
      </w:r>
    </w:p>
    <w:p w:rsidR="00B071EA" w:rsidRDefault="00FD3142">
      <w:pPr>
        <w:numPr>
          <w:ilvl w:val="1"/>
          <w:numId w:val="1"/>
        </w:numPr>
        <w:spacing w:before="120" w:after="120" w:line="276" w:lineRule="auto"/>
        <w:ind w:left="425" w:firstLine="0"/>
        <w:jc w:val="both"/>
        <w:rPr>
          <w:rFonts w:ascii="Times New Roman" w:hAnsi="Times New Roman" w:cs="Times New Roman"/>
          <w:color w:val="000000"/>
          <w:sz w:val="24"/>
        </w:rPr>
      </w:pPr>
      <w:r>
        <w:rPr>
          <w:rFonts w:ascii="Times New Roman" w:hAnsi="Times New Roman" w:cs="Times New Roman"/>
          <w:color w:val="000000"/>
          <w:sz w:val="24"/>
        </w:rPr>
        <w:t>As providências dos subitens 9.2.1 e 9.2.2 acima poderão ser utilizadas se não houver o comparecimento de quaisquer fornecedores interessados (procedimento deserto)</w:t>
      </w:r>
    </w:p>
    <w:p w:rsidR="00B071EA" w:rsidRDefault="00FD3142">
      <w:pPr>
        <w:numPr>
          <w:ilvl w:val="1"/>
          <w:numId w:val="1"/>
        </w:numPr>
        <w:spacing w:before="120" w:after="120" w:line="276" w:lineRule="auto"/>
        <w:ind w:left="425" w:firstLine="0"/>
        <w:jc w:val="both"/>
        <w:rPr>
          <w:rFonts w:ascii="Times New Roman" w:hAnsi="Times New Roman" w:cs="Times New Roman"/>
          <w:color w:val="000000"/>
          <w:sz w:val="24"/>
        </w:rPr>
      </w:pPr>
      <w:r>
        <w:rPr>
          <w:rFonts w:ascii="Times New Roman" w:hAnsi="Times New Roman" w:cs="Times New Roman"/>
          <w:color w:val="000000"/>
          <w:sz w:val="24"/>
        </w:rPr>
        <w:t>Havendo a necessidade de realização de ato de qualquer natureza pelos fornecedores, cujo prazo não conste deste Aviso de Contratação Direta, deverá ser atendido o prazo indicado pelo agente competente da Administração na respectiva notificação.</w:t>
      </w:r>
    </w:p>
    <w:p w:rsidR="00B071EA" w:rsidRDefault="00FD3142">
      <w:pPr>
        <w:numPr>
          <w:ilvl w:val="1"/>
          <w:numId w:val="1"/>
        </w:numPr>
        <w:spacing w:before="120" w:after="120" w:line="276" w:lineRule="auto"/>
        <w:ind w:left="425" w:firstLine="0"/>
        <w:jc w:val="both"/>
        <w:rPr>
          <w:rFonts w:ascii="Times New Roman" w:hAnsi="Times New Roman" w:cs="Times New Roman"/>
          <w:color w:val="000000"/>
          <w:sz w:val="24"/>
        </w:rPr>
      </w:pPr>
      <w:r>
        <w:rPr>
          <w:rFonts w:ascii="Times New Roman" w:hAnsi="Times New Roman" w:cs="Times New Roman"/>
          <w:color w:val="000000"/>
          <w:sz w:val="24"/>
        </w:rPr>
        <w:t>Caberá ao fornecedor acompanhar as operações, ficando responsável pelo ônus decorrente da perda do negócio diante da inobservância de quaisquer mensagens emitidas pela Administração ou de sua desconexão.</w:t>
      </w:r>
    </w:p>
    <w:p w:rsidR="00B071EA" w:rsidRDefault="00FD3142">
      <w:pPr>
        <w:numPr>
          <w:ilvl w:val="1"/>
          <w:numId w:val="1"/>
        </w:numPr>
        <w:spacing w:before="120" w:after="120" w:line="276" w:lineRule="auto"/>
        <w:ind w:left="425" w:firstLine="0"/>
        <w:jc w:val="both"/>
        <w:rPr>
          <w:rFonts w:ascii="Times New Roman" w:hAnsi="Times New Roman" w:cs="Times New Roman"/>
          <w:color w:val="000000"/>
          <w:sz w:val="24"/>
        </w:rPr>
      </w:pPr>
      <w:r>
        <w:rPr>
          <w:rFonts w:ascii="Times New Roman" w:hAnsi="Times New Roman" w:cs="Times New Roman"/>
          <w:color w:val="000000"/>
          <w:sz w:val="24"/>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w:t>
      </w:r>
    </w:p>
    <w:p w:rsidR="00B071EA" w:rsidRDefault="00FD3142">
      <w:pPr>
        <w:numPr>
          <w:ilvl w:val="1"/>
          <w:numId w:val="1"/>
        </w:numPr>
        <w:spacing w:before="120" w:after="120" w:line="276" w:lineRule="auto"/>
        <w:ind w:left="425" w:firstLine="0"/>
        <w:jc w:val="both"/>
        <w:rPr>
          <w:rFonts w:ascii="Times New Roman" w:hAnsi="Times New Roman" w:cs="Times New Roman"/>
          <w:color w:val="000000"/>
          <w:sz w:val="24"/>
        </w:rPr>
      </w:pPr>
      <w:r>
        <w:rPr>
          <w:rFonts w:ascii="Times New Roman" w:hAnsi="Times New Roman" w:cs="Times New Roman"/>
          <w:color w:val="000000"/>
          <w:sz w:val="24"/>
        </w:rPr>
        <w:t>Os horários estabelecidos na divulgação deste procedimento e durante o envio de lances observarão o horário de Brasília-DF, inclusive para contagem de tempo e registro no Sistema e na documentação relativa ao procedimento.</w:t>
      </w:r>
    </w:p>
    <w:p w:rsidR="00B071EA" w:rsidRDefault="00FD3142">
      <w:pPr>
        <w:numPr>
          <w:ilvl w:val="1"/>
          <w:numId w:val="1"/>
        </w:numPr>
        <w:spacing w:before="120" w:after="120" w:line="276" w:lineRule="auto"/>
        <w:ind w:left="425" w:firstLine="0"/>
        <w:jc w:val="both"/>
        <w:rPr>
          <w:rFonts w:ascii="Times New Roman" w:hAnsi="Times New Roman" w:cs="Times New Roman"/>
          <w:color w:val="000000" w:themeColor="text1"/>
          <w:sz w:val="24"/>
        </w:rPr>
      </w:pPr>
      <w:r>
        <w:rPr>
          <w:rFonts w:ascii="Times New Roman" w:hAnsi="Times New Roman" w:cs="Times New Roman"/>
          <w:color w:val="000000" w:themeColor="text1"/>
          <w:sz w:val="24"/>
        </w:rPr>
        <w:t>No julgamento das propostas e da habilitação, a Administração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rsidR="00B071EA" w:rsidRDefault="00FD3142">
      <w:pPr>
        <w:numPr>
          <w:ilvl w:val="1"/>
          <w:numId w:val="1"/>
        </w:numPr>
        <w:spacing w:before="120" w:after="120" w:line="276" w:lineRule="auto"/>
        <w:ind w:left="425" w:firstLine="0"/>
        <w:jc w:val="both"/>
        <w:rPr>
          <w:rFonts w:ascii="Times New Roman" w:hAnsi="Times New Roman" w:cs="Times New Roman"/>
          <w:color w:val="000000"/>
          <w:sz w:val="24"/>
        </w:rPr>
      </w:pPr>
      <w:r>
        <w:rPr>
          <w:rFonts w:ascii="Times New Roman" w:hAnsi="Times New Roman" w:cs="Times New Roman"/>
          <w:color w:val="000000"/>
          <w:sz w:val="24"/>
        </w:rPr>
        <w:t xml:space="preserve">As normas disciplinadoras deste Aviso de Contratação Direta serão sempre interpretadas em favor da ampliação da disputa entre os interessados, desde que não comprometam o interesse da Administração, o princípio da isonomia, a finalidade e a segurança da contratação. </w:t>
      </w:r>
    </w:p>
    <w:p w:rsidR="00B071EA" w:rsidRDefault="00FD3142">
      <w:pPr>
        <w:numPr>
          <w:ilvl w:val="1"/>
          <w:numId w:val="1"/>
        </w:numPr>
        <w:spacing w:before="120" w:after="120" w:line="276" w:lineRule="auto"/>
        <w:ind w:left="425" w:firstLine="0"/>
        <w:jc w:val="both"/>
        <w:rPr>
          <w:rFonts w:ascii="Times New Roman" w:hAnsi="Times New Roman" w:cs="Times New Roman"/>
          <w:color w:val="000000"/>
          <w:sz w:val="24"/>
        </w:rPr>
      </w:pPr>
      <w:r>
        <w:rPr>
          <w:rFonts w:ascii="Times New Roman" w:hAnsi="Times New Roman" w:cs="Times New Roman"/>
          <w:color w:val="000000"/>
          <w:sz w:val="24"/>
        </w:rPr>
        <w:lastRenderedPageBreak/>
        <w:t>Os fornecedores assumem todos os custos de preparação e apresentação de suas propostas e a Administração não será, em nenhum caso, responsável por esses custos, independentemente da condução ou do resultado do processo de contratação.</w:t>
      </w:r>
    </w:p>
    <w:p w:rsidR="00B071EA" w:rsidRDefault="00FD3142">
      <w:pPr>
        <w:numPr>
          <w:ilvl w:val="1"/>
          <w:numId w:val="1"/>
        </w:numPr>
        <w:spacing w:before="120" w:after="120" w:line="276" w:lineRule="auto"/>
        <w:ind w:left="425" w:firstLine="0"/>
        <w:jc w:val="both"/>
        <w:rPr>
          <w:rFonts w:ascii="Times New Roman" w:hAnsi="Times New Roman" w:cs="Times New Roman"/>
          <w:color w:val="000000"/>
          <w:sz w:val="24"/>
        </w:rPr>
      </w:pPr>
      <w:r>
        <w:rPr>
          <w:rFonts w:ascii="Times New Roman" w:hAnsi="Times New Roman" w:cs="Times New Roman"/>
          <w:color w:val="000000"/>
          <w:sz w:val="24"/>
        </w:rPr>
        <w:t>Em caso de divergência entre disposições deste Aviso de Contratação Direta e de seus anexos ou demais peças que compõem o processo, prevalecerá as deste Aviso.</w:t>
      </w:r>
    </w:p>
    <w:p w:rsidR="00B071EA" w:rsidRDefault="00FD3142">
      <w:pPr>
        <w:numPr>
          <w:ilvl w:val="1"/>
          <w:numId w:val="1"/>
        </w:numPr>
        <w:spacing w:before="120" w:after="120" w:line="276" w:lineRule="auto"/>
        <w:ind w:left="425" w:firstLine="0"/>
        <w:jc w:val="both"/>
        <w:rPr>
          <w:rFonts w:ascii="Times New Roman" w:hAnsi="Times New Roman" w:cs="Times New Roman"/>
          <w:color w:val="000000"/>
          <w:sz w:val="24"/>
        </w:rPr>
      </w:pPr>
      <w:r>
        <w:rPr>
          <w:rFonts w:ascii="Times New Roman" w:hAnsi="Times New Roman" w:cs="Times New Roman"/>
          <w:color w:val="000000"/>
          <w:sz w:val="24"/>
        </w:rPr>
        <w:t>Da sessão pública será divulgada Ata no sistema eletrônico.</w:t>
      </w:r>
    </w:p>
    <w:p w:rsidR="00B071EA" w:rsidRDefault="00FD3142">
      <w:pPr>
        <w:numPr>
          <w:ilvl w:val="1"/>
          <w:numId w:val="1"/>
        </w:numPr>
        <w:spacing w:before="120" w:after="120" w:line="276" w:lineRule="auto"/>
        <w:ind w:left="425" w:firstLine="0"/>
        <w:jc w:val="both"/>
        <w:rPr>
          <w:rFonts w:ascii="Times New Roman" w:hAnsi="Times New Roman" w:cs="Times New Roman"/>
          <w:color w:val="000000"/>
          <w:sz w:val="24"/>
        </w:rPr>
      </w:pPr>
      <w:r>
        <w:rPr>
          <w:rFonts w:ascii="Times New Roman" w:hAnsi="Times New Roman" w:cs="Times New Roman"/>
          <w:color w:val="000000"/>
          <w:sz w:val="24"/>
        </w:rPr>
        <w:t>Integram este Aviso de Contratação Direta, para todos os fins e efeitos, os seguintes anexos:</w:t>
      </w:r>
    </w:p>
    <w:p w:rsidR="00B071EA" w:rsidRDefault="00FD3142">
      <w:pPr>
        <w:numPr>
          <w:ilvl w:val="2"/>
          <w:numId w:val="1"/>
        </w:numPr>
        <w:spacing w:before="120" w:after="120" w:line="276" w:lineRule="auto"/>
        <w:jc w:val="both"/>
        <w:rPr>
          <w:rFonts w:cs="Arial"/>
          <w:color w:val="000000"/>
          <w:szCs w:val="20"/>
        </w:rPr>
      </w:pPr>
      <w:r>
        <w:rPr>
          <w:rFonts w:cs="Arial"/>
          <w:color w:val="000000"/>
          <w:szCs w:val="20"/>
        </w:rPr>
        <w:t>ANEXO I – Documentação exigida para Habilitação</w:t>
      </w:r>
    </w:p>
    <w:p w:rsidR="00B071EA" w:rsidRDefault="00FD3142">
      <w:pPr>
        <w:numPr>
          <w:ilvl w:val="2"/>
          <w:numId w:val="1"/>
        </w:numPr>
        <w:spacing w:before="120" w:after="120" w:line="276" w:lineRule="auto"/>
        <w:jc w:val="both"/>
        <w:rPr>
          <w:rFonts w:cs="Arial"/>
          <w:color w:val="000000"/>
          <w:szCs w:val="20"/>
        </w:rPr>
      </w:pPr>
      <w:r>
        <w:rPr>
          <w:rFonts w:cs="Arial"/>
          <w:color w:val="000000"/>
          <w:szCs w:val="20"/>
        </w:rPr>
        <w:t>ANEXO II - Estudo Técnico Preliminar</w:t>
      </w:r>
    </w:p>
    <w:p w:rsidR="00B071EA" w:rsidRDefault="00FD3142">
      <w:pPr>
        <w:numPr>
          <w:ilvl w:val="2"/>
          <w:numId w:val="1"/>
        </w:numPr>
        <w:spacing w:before="120" w:after="120" w:line="276" w:lineRule="auto"/>
        <w:jc w:val="both"/>
        <w:rPr>
          <w:rFonts w:cs="Arial"/>
          <w:color w:val="000000"/>
          <w:szCs w:val="20"/>
        </w:rPr>
      </w:pPr>
      <w:r>
        <w:rPr>
          <w:rFonts w:cs="Arial"/>
          <w:color w:val="000000"/>
          <w:szCs w:val="20"/>
        </w:rPr>
        <w:t>ANEXO III – Manual com Orientações para Instalação;</w:t>
      </w:r>
    </w:p>
    <w:p w:rsidR="00B071EA" w:rsidRDefault="00B071EA">
      <w:pPr>
        <w:spacing w:before="120" w:after="120" w:line="276" w:lineRule="auto"/>
        <w:ind w:left="1224"/>
        <w:jc w:val="both"/>
        <w:rPr>
          <w:rFonts w:cs="Arial"/>
          <w:color w:val="000000"/>
          <w:szCs w:val="20"/>
        </w:rPr>
      </w:pPr>
    </w:p>
    <w:p w:rsidR="00B071EA" w:rsidRDefault="00FD3142">
      <w:pPr>
        <w:spacing w:line="360" w:lineRule="auto"/>
        <w:jc w:val="right"/>
        <w:rPr>
          <w:rFonts w:ascii="Times New Roman" w:hAnsi="Times New Roman" w:cs="Times New Roman"/>
          <w:color w:val="000000" w:themeColor="text1"/>
          <w:sz w:val="24"/>
        </w:rPr>
      </w:pPr>
      <w:r>
        <w:rPr>
          <w:rFonts w:ascii="Times New Roman" w:hAnsi="Times New Roman" w:cs="Times New Roman"/>
          <w:color w:val="000000" w:themeColor="text1"/>
          <w:sz w:val="24"/>
        </w:rPr>
        <w:t xml:space="preserve">Brasília, </w:t>
      </w:r>
      <w:r w:rsidR="007F23EB">
        <w:rPr>
          <w:rFonts w:ascii="Times New Roman" w:hAnsi="Times New Roman" w:cs="Times New Roman"/>
          <w:bCs/>
          <w:sz w:val="24"/>
        </w:rPr>
        <w:t>08</w:t>
      </w:r>
      <w:r>
        <w:rPr>
          <w:rFonts w:ascii="Times New Roman" w:hAnsi="Times New Roman" w:cs="Times New Roman"/>
          <w:bCs/>
          <w:sz w:val="24"/>
        </w:rPr>
        <w:t xml:space="preserve"> de </w:t>
      </w:r>
      <w:r w:rsidR="007F23EB">
        <w:rPr>
          <w:rFonts w:ascii="Times New Roman" w:hAnsi="Times New Roman" w:cs="Times New Roman"/>
          <w:bCs/>
          <w:sz w:val="24"/>
        </w:rPr>
        <w:t>agosto</w:t>
      </w:r>
      <w:r>
        <w:rPr>
          <w:rFonts w:ascii="Times New Roman" w:hAnsi="Times New Roman" w:cs="Times New Roman"/>
          <w:bCs/>
          <w:sz w:val="24"/>
        </w:rPr>
        <w:t xml:space="preserve"> de 202</w:t>
      </w:r>
      <w:r w:rsidR="007F23EB">
        <w:rPr>
          <w:rFonts w:ascii="Times New Roman" w:hAnsi="Times New Roman" w:cs="Times New Roman"/>
          <w:bCs/>
          <w:sz w:val="24"/>
        </w:rPr>
        <w:t>3</w:t>
      </w:r>
      <w:r>
        <w:rPr>
          <w:rFonts w:ascii="Times New Roman" w:hAnsi="Times New Roman" w:cs="Times New Roman"/>
          <w:color w:val="000000" w:themeColor="text1"/>
          <w:sz w:val="24"/>
        </w:rPr>
        <w:t>.</w:t>
      </w:r>
    </w:p>
    <w:p w:rsidR="00B071EA" w:rsidRDefault="00B071EA">
      <w:pPr>
        <w:rPr>
          <w:rFonts w:ascii="Times New Roman" w:hAnsi="Times New Roman" w:cs="Times New Roman"/>
          <w:sz w:val="24"/>
          <w:lang w:eastAsia="en-US"/>
        </w:rPr>
      </w:pPr>
    </w:p>
    <w:p w:rsidR="00B071EA" w:rsidRDefault="00B071EA">
      <w:pPr>
        <w:spacing w:line="360" w:lineRule="auto"/>
        <w:rPr>
          <w:rFonts w:ascii="Times New Roman" w:hAnsi="Times New Roman" w:cs="Times New Roman"/>
          <w:color w:val="000000" w:themeColor="text1"/>
          <w:sz w:val="24"/>
        </w:rPr>
      </w:pPr>
    </w:p>
    <w:p w:rsidR="00B071EA" w:rsidRPr="007F23EB" w:rsidRDefault="00B071EA">
      <w:pPr>
        <w:spacing w:line="360" w:lineRule="auto"/>
        <w:rPr>
          <w:rFonts w:ascii="Times New Roman" w:hAnsi="Times New Roman" w:cs="Times New Roman"/>
          <w:color w:val="000000" w:themeColor="text1"/>
          <w:sz w:val="24"/>
        </w:rPr>
      </w:pPr>
    </w:p>
    <w:p w:rsidR="00B071EA" w:rsidRDefault="007F23EB">
      <w:pPr>
        <w:pStyle w:val="Normal1"/>
        <w:widowControl w:val="0"/>
        <w:spacing w:line="360" w:lineRule="auto"/>
        <w:jc w:val="center"/>
        <w:rPr>
          <w:rFonts w:ascii="Times New Roman" w:hAnsi="Times New Roman" w:cs="Times New Roman"/>
          <w:b/>
          <w:bCs/>
          <w:sz w:val="24"/>
          <w:szCs w:val="24"/>
        </w:rPr>
      </w:pPr>
      <w:r w:rsidRPr="007F23EB">
        <w:rPr>
          <w:rFonts w:ascii="Times New Roman" w:hAnsi="Times New Roman" w:cs="Times New Roman"/>
          <w:bCs/>
          <w:sz w:val="24"/>
          <w:szCs w:val="24"/>
        </w:rPr>
        <w:t>NILVA</w:t>
      </w:r>
      <w:r>
        <w:rPr>
          <w:rFonts w:ascii="Times New Roman" w:hAnsi="Times New Roman" w:cs="Times New Roman"/>
          <w:b/>
          <w:bCs/>
          <w:sz w:val="24"/>
          <w:szCs w:val="24"/>
        </w:rPr>
        <w:t xml:space="preserve"> GRAZIELA </w:t>
      </w:r>
      <w:r w:rsidRPr="007F23EB">
        <w:rPr>
          <w:rFonts w:ascii="Times New Roman" w:hAnsi="Times New Roman" w:cs="Times New Roman"/>
          <w:bCs/>
          <w:sz w:val="24"/>
          <w:szCs w:val="24"/>
        </w:rPr>
        <w:t>DE O. L. SMAMANIOTO</w:t>
      </w:r>
      <w:r w:rsidR="00FD3142" w:rsidRPr="007F23EB">
        <w:rPr>
          <w:rFonts w:ascii="Times New Roman" w:hAnsi="Times New Roman" w:cs="Times New Roman"/>
          <w:bCs/>
          <w:sz w:val="24"/>
          <w:szCs w:val="24"/>
        </w:rPr>
        <w:t xml:space="preserve"> –</w:t>
      </w:r>
      <w:r w:rsidR="00FD3142">
        <w:rPr>
          <w:rFonts w:ascii="Times New Roman" w:hAnsi="Times New Roman" w:cs="Times New Roman"/>
          <w:b/>
          <w:bCs/>
          <w:sz w:val="24"/>
          <w:szCs w:val="24"/>
        </w:rPr>
        <w:t xml:space="preserve"> </w:t>
      </w:r>
      <w:r>
        <w:rPr>
          <w:rFonts w:ascii="Times New Roman" w:hAnsi="Times New Roman" w:cs="Times New Roman"/>
          <w:bCs/>
          <w:sz w:val="24"/>
          <w:szCs w:val="24"/>
        </w:rPr>
        <w:t>1º Ten</w:t>
      </w:r>
    </w:p>
    <w:p w:rsidR="00B071EA" w:rsidRDefault="00FD3142">
      <w:pPr>
        <w:pStyle w:val="Normal1"/>
        <w:widowControl w:val="0"/>
        <w:spacing w:line="360" w:lineRule="auto"/>
        <w:jc w:val="center"/>
        <w:rPr>
          <w:rFonts w:ascii="Times New Roman" w:hAnsi="Times New Roman" w:cs="Times New Roman"/>
          <w:sz w:val="24"/>
          <w:szCs w:val="24"/>
        </w:rPr>
      </w:pPr>
      <w:r>
        <w:rPr>
          <w:rFonts w:ascii="Times New Roman" w:hAnsi="Times New Roman" w:cs="Times New Roman"/>
          <w:sz w:val="24"/>
          <w:szCs w:val="24"/>
        </w:rPr>
        <w:t xml:space="preserve">Chefe da </w:t>
      </w:r>
      <w:r w:rsidR="007F23EB">
        <w:rPr>
          <w:rFonts w:ascii="Times New Roman" w:hAnsi="Times New Roman" w:cs="Times New Roman"/>
          <w:sz w:val="24"/>
          <w:szCs w:val="24"/>
        </w:rPr>
        <w:t>Clínica de Fisioterapia</w:t>
      </w:r>
    </w:p>
    <w:p w:rsidR="00B071EA" w:rsidRDefault="00B071EA">
      <w:pPr>
        <w:jc w:val="center"/>
        <w:rPr>
          <w:rFonts w:ascii="Times New Roman" w:hAnsi="Times New Roman" w:cs="Times New Roman"/>
          <w:color w:val="000000" w:themeColor="text1"/>
          <w:sz w:val="24"/>
          <w:lang w:eastAsia="zh-CN"/>
        </w:rPr>
      </w:pPr>
    </w:p>
    <w:p w:rsidR="00B071EA" w:rsidRDefault="00B071EA">
      <w:pPr>
        <w:jc w:val="center"/>
        <w:rPr>
          <w:rFonts w:ascii="Times New Roman" w:hAnsi="Times New Roman" w:cs="Times New Roman"/>
          <w:color w:val="000000" w:themeColor="text1"/>
          <w:sz w:val="24"/>
          <w:lang w:eastAsia="zh-CN"/>
        </w:rPr>
      </w:pPr>
    </w:p>
    <w:p w:rsidR="00B071EA" w:rsidRDefault="00B071EA">
      <w:pPr>
        <w:jc w:val="center"/>
        <w:rPr>
          <w:rFonts w:ascii="Times New Roman" w:hAnsi="Times New Roman" w:cs="Times New Roman"/>
          <w:sz w:val="24"/>
        </w:rPr>
      </w:pPr>
    </w:p>
    <w:p w:rsidR="00B071EA" w:rsidRDefault="00FD3142">
      <w:pPr>
        <w:pStyle w:val="PargrafodaLista"/>
        <w:widowControl w:val="0"/>
        <w:suppressAutoHyphens/>
        <w:ind w:left="0"/>
        <w:contextualSpacing w:val="0"/>
        <w:rPr>
          <w:rFonts w:ascii="Times New Roman" w:hAnsi="Times New Roman" w:cs="Times New Roman"/>
          <w:sz w:val="24"/>
        </w:rPr>
      </w:pPr>
      <w:r>
        <w:rPr>
          <w:rFonts w:ascii="Times New Roman" w:hAnsi="Times New Roman" w:cs="Times New Roman"/>
          <w:sz w:val="24"/>
        </w:rPr>
        <w:t>Aprovo o presente Aviso de Dispensa Eletrônica:</w:t>
      </w:r>
    </w:p>
    <w:p w:rsidR="00B071EA" w:rsidRDefault="00B071EA">
      <w:pPr>
        <w:pStyle w:val="PargrafodaLista"/>
        <w:widowControl w:val="0"/>
        <w:suppressAutoHyphens/>
        <w:ind w:left="0"/>
        <w:contextualSpacing w:val="0"/>
        <w:rPr>
          <w:rFonts w:ascii="Times New Roman" w:hAnsi="Times New Roman" w:cs="Times New Roman"/>
          <w:sz w:val="24"/>
        </w:rPr>
      </w:pPr>
    </w:p>
    <w:p w:rsidR="00B071EA" w:rsidRDefault="00B071EA">
      <w:pPr>
        <w:pStyle w:val="PargrafodaLista"/>
        <w:widowControl w:val="0"/>
        <w:suppressAutoHyphens/>
        <w:ind w:left="0"/>
        <w:contextualSpacing w:val="0"/>
        <w:rPr>
          <w:rFonts w:ascii="Times New Roman" w:hAnsi="Times New Roman" w:cs="Times New Roman"/>
          <w:sz w:val="24"/>
        </w:rPr>
      </w:pPr>
    </w:p>
    <w:p w:rsidR="00B071EA" w:rsidRDefault="00B071EA">
      <w:pPr>
        <w:pStyle w:val="PargrafodaLista"/>
        <w:widowControl w:val="0"/>
        <w:suppressAutoHyphens/>
        <w:ind w:left="0"/>
        <w:contextualSpacing w:val="0"/>
        <w:rPr>
          <w:rFonts w:ascii="Times New Roman" w:hAnsi="Times New Roman" w:cs="Times New Roman"/>
          <w:sz w:val="24"/>
        </w:rPr>
      </w:pPr>
    </w:p>
    <w:p w:rsidR="00B071EA" w:rsidRDefault="00B071EA">
      <w:pPr>
        <w:pStyle w:val="PargrafodaLista"/>
        <w:widowControl w:val="0"/>
        <w:suppressAutoHyphens/>
        <w:ind w:left="0"/>
        <w:contextualSpacing w:val="0"/>
        <w:rPr>
          <w:rFonts w:ascii="Times New Roman" w:hAnsi="Times New Roman" w:cs="Times New Roman"/>
          <w:sz w:val="24"/>
        </w:rPr>
      </w:pPr>
    </w:p>
    <w:p w:rsidR="00B071EA" w:rsidRDefault="00B071EA">
      <w:pPr>
        <w:pStyle w:val="Normal1"/>
        <w:widowControl w:val="0"/>
        <w:spacing w:line="360" w:lineRule="auto"/>
        <w:jc w:val="center"/>
        <w:rPr>
          <w:rFonts w:ascii="Times New Roman" w:hAnsi="Times New Roman" w:cs="Times New Roman"/>
          <w:sz w:val="24"/>
          <w:szCs w:val="24"/>
        </w:rPr>
      </w:pPr>
    </w:p>
    <w:p w:rsidR="00B071EA" w:rsidRDefault="00C11DDC" w:rsidP="00C11DDC">
      <w:pPr>
        <w:pStyle w:val="Normal1"/>
        <w:widowControl w:val="0"/>
        <w:spacing w:line="360" w:lineRule="auto"/>
        <w:jc w:val="center"/>
        <w:rPr>
          <w:rFonts w:ascii="Times New Roman" w:hAnsi="Times New Roman" w:cs="Times New Roman"/>
          <w:sz w:val="24"/>
          <w:szCs w:val="24"/>
        </w:rPr>
      </w:pPr>
      <w:r>
        <w:rPr>
          <w:rFonts w:ascii="Times New Roman" w:hAnsi="Times New Roman" w:cs="Times New Roman"/>
          <w:sz w:val="24"/>
          <w:szCs w:val="24"/>
        </w:rPr>
        <w:t xml:space="preserve">EDGAR </w:t>
      </w:r>
      <w:r w:rsidRPr="00C11DDC">
        <w:rPr>
          <w:rFonts w:ascii="Times New Roman" w:hAnsi="Times New Roman" w:cs="Times New Roman"/>
          <w:b/>
          <w:sz w:val="24"/>
          <w:szCs w:val="24"/>
        </w:rPr>
        <w:t>PABLO MORAES</w:t>
      </w:r>
      <w:r>
        <w:rPr>
          <w:rFonts w:ascii="Times New Roman" w:hAnsi="Times New Roman" w:cs="Times New Roman"/>
          <w:sz w:val="24"/>
          <w:szCs w:val="24"/>
        </w:rPr>
        <w:t xml:space="preserve"> SANTOS – Cel</w:t>
      </w:r>
    </w:p>
    <w:p w:rsidR="00B071EA" w:rsidRDefault="00FD3142">
      <w:pPr>
        <w:pStyle w:val="Normal1"/>
        <w:widowControl w:val="0"/>
        <w:spacing w:line="360" w:lineRule="auto"/>
        <w:jc w:val="center"/>
        <w:rPr>
          <w:rFonts w:ascii="Times New Roman" w:hAnsi="Times New Roman" w:cs="Times New Roman"/>
          <w:sz w:val="24"/>
          <w:szCs w:val="24"/>
        </w:rPr>
      </w:pPr>
      <w:r>
        <w:rPr>
          <w:rFonts w:ascii="Times New Roman" w:hAnsi="Times New Roman" w:cs="Times New Roman"/>
          <w:sz w:val="24"/>
          <w:szCs w:val="24"/>
        </w:rPr>
        <w:t>Ordenador de Despesas do HMAB</w:t>
      </w:r>
    </w:p>
    <w:p w:rsidR="00B071EA" w:rsidRDefault="00B071EA">
      <w:pPr>
        <w:jc w:val="center"/>
        <w:rPr>
          <w:rFonts w:ascii="Times New Roman" w:hAnsi="Times New Roman" w:cs="Times New Roman"/>
          <w:b/>
          <w:bCs/>
          <w:sz w:val="24"/>
          <w:lang w:eastAsia="en-US"/>
        </w:rPr>
      </w:pPr>
    </w:p>
    <w:p w:rsidR="00B071EA" w:rsidRDefault="00B071EA">
      <w:pPr>
        <w:jc w:val="center"/>
        <w:rPr>
          <w:rFonts w:ascii="Times New Roman" w:hAnsi="Times New Roman" w:cs="Times New Roman"/>
          <w:b/>
          <w:bCs/>
          <w:sz w:val="24"/>
          <w:lang w:eastAsia="en-US"/>
        </w:rPr>
      </w:pPr>
    </w:p>
    <w:p w:rsidR="00B071EA" w:rsidRDefault="00B071EA">
      <w:pPr>
        <w:jc w:val="center"/>
        <w:rPr>
          <w:rFonts w:ascii="Times New Roman" w:hAnsi="Times New Roman" w:cs="Times New Roman"/>
          <w:b/>
          <w:bCs/>
          <w:sz w:val="24"/>
          <w:lang w:eastAsia="en-US"/>
        </w:rPr>
      </w:pPr>
    </w:p>
    <w:p w:rsidR="00C11DDC" w:rsidRDefault="00C11DDC" w:rsidP="00C11DDC">
      <w:pPr>
        <w:rPr>
          <w:rFonts w:ascii="Times New Roman" w:hAnsi="Times New Roman" w:cs="Times New Roman"/>
          <w:b/>
          <w:bCs/>
          <w:sz w:val="24"/>
          <w:lang w:eastAsia="en-US"/>
        </w:rPr>
      </w:pPr>
    </w:p>
    <w:p w:rsidR="00C11DDC" w:rsidRDefault="00C11DDC">
      <w:pPr>
        <w:jc w:val="center"/>
        <w:rPr>
          <w:rFonts w:ascii="Times New Roman" w:hAnsi="Times New Roman" w:cs="Times New Roman"/>
          <w:b/>
          <w:bCs/>
          <w:sz w:val="24"/>
          <w:lang w:eastAsia="en-US"/>
        </w:rPr>
      </w:pPr>
    </w:p>
    <w:p w:rsidR="00C11DDC" w:rsidRDefault="00C11DDC">
      <w:pPr>
        <w:jc w:val="center"/>
        <w:rPr>
          <w:rFonts w:ascii="Times New Roman" w:hAnsi="Times New Roman" w:cs="Times New Roman"/>
          <w:b/>
          <w:bCs/>
          <w:sz w:val="24"/>
          <w:lang w:eastAsia="en-US"/>
        </w:rPr>
      </w:pPr>
    </w:p>
    <w:p w:rsidR="00C11DDC" w:rsidRDefault="00C11DDC">
      <w:pPr>
        <w:jc w:val="center"/>
        <w:rPr>
          <w:rFonts w:ascii="Times New Roman" w:hAnsi="Times New Roman" w:cs="Times New Roman"/>
          <w:b/>
          <w:bCs/>
          <w:sz w:val="24"/>
          <w:lang w:eastAsia="en-US"/>
        </w:rPr>
      </w:pPr>
    </w:p>
    <w:p w:rsidR="00C11DDC" w:rsidRDefault="00C11DDC">
      <w:pPr>
        <w:jc w:val="center"/>
        <w:rPr>
          <w:rFonts w:ascii="Times New Roman" w:hAnsi="Times New Roman" w:cs="Times New Roman"/>
          <w:b/>
          <w:bCs/>
          <w:sz w:val="24"/>
          <w:lang w:eastAsia="en-US"/>
        </w:rPr>
      </w:pPr>
    </w:p>
    <w:p w:rsidR="00C11DDC" w:rsidRDefault="00C11DDC">
      <w:pPr>
        <w:jc w:val="center"/>
        <w:rPr>
          <w:rFonts w:ascii="Times New Roman" w:hAnsi="Times New Roman" w:cs="Times New Roman"/>
          <w:b/>
          <w:bCs/>
          <w:sz w:val="24"/>
          <w:lang w:eastAsia="en-US"/>
        </w:rPr>
      </w:pPr>
    </w:p>
    <w:p w:rsidR="00C11DDC" w:rsidRDefault="00C11DDC">
      <w:pPr>
        <w:jc w:val="center"/>
        <w:rPr>
          <w:rFonts w:ascii="Times New Roman" w:hAnsi="Times New Roman" w:cs="Times New Roman"/>
          <w:b/>
          <w:bCs/>
          <w:sz w:val="24"/>
          <w:lang w:eastAsia="en-US"/>
        </w:rPr>
      </w:pPr>
    </w:p>
    <w:p w:rsidR="00C11DDC" w:rsidRDefault="00C11DDC">
      <w:pPr>
        <w:jc w:val="center"/>
        <w:rPr>
          <w:rFonts w:ascii="Times New Roman" w:hAnsi="Times New Roman" w:cs="Times New Roman"/>
          <w:b/>
          <w:bCs/>
          <w:sz w:val="24"/>
          <w:lang w:eastAsia="en-US"/>
        </w:rPr>
      </w:pPr>
    </w:p>
    <w:p w:rsidR="00C11DDC" w:rsidRDefault="00C11DDC">
      <w:pPr>
        <w:jc w:val="center"/>
        <w:rPr>
          <w:rFonts w:ascii="Times New Roman" w:hAnsi="Times New Roman" w:cs="Times New Roman"/>
          <w:b/>
          <w:bCs/>
          <w:sz w:val="24"/>
          <w:lang w:eastAsia="en-US"/>
        </w:rPr>
      </w:pPr>
    </w:p>
    <w:p w:rsidR="00C11DDC" w:rsidRDefault="00C11DDC">
      <w:pPr>
        <w:jc w:val="center"/>
        <w:rPr>
          <w:rFonts w:ascii="Times New Roman" w:hAnsi="Times New Roman" w:cs="Times New Roman"/>
          <w:b/>
          <w:bCs/>
          <w:sz w:val="24"/>
          <w:lang w:eastAsia="en-US"/>
        </w:rPr>
      </w:pPr>
    </w:p>
    <w:p w:rsidR="00C11DDC" w:rsidRDefault="00C11DDC">
      <w:pPr>
        <w:jc w:val="center"/>
        <w:rPr>
          <w:rFonts w:ascii="Times New Roman" w:hAnsi="Times New Roman" w:cs="Times New Roman"/>
          <w:b/>
          <w:bCs/>
          <w:sz w:val="24"/>
          <w:lang w:eastAsia="en-US"/>
        </w:rPr>
      </w:pPr>
    </w:p>
    <w:p w:rsidR="00C11DDC" w:rsidRDefault="00C11DDC">
      <w:pPr>
        <w:jc w:val="center"/>
        <w:rPr>
          <w:rFonts w:ascii="Times New Roman" w:hAnsi="Times New Roman" w:cs="Times New Roman"/>
          <w:b/>
          <w:bCs/>
          <w:sz w:val="24"/>
          <w:lang w:eastAsia="en-US"/>
        </w:rPr>
      </w:pPr>
    </w:p>
    <w:p w:rsidR="00B071EA" w:rsidRDefault="00B071EA">
      <w:pPr>
        <w:jc w:val="center"/>
        <w:rPr>
          <w:rFonts w:ascii="Times New Roman" w:hAnsi="Times New Roman" w:cs="Times New Roman"/>
          <w:b/>
          <w:bCs/>
          <w:sz w:val="24"/>
          <w:lang w:eastAsia="en-US"/>
        </w:rPr>
      </w:pPr>
    </w:p>
    <w:p w:rsidR="00B071EA" w:rsidRDefault="00B071EA">
      <w:pPr>
        <w:jc w:val="center"/>
        <w:rPr>
          <w:rFonts w:ascii="Times New Roman" w:hAnsi="Times New Roman" w:cs="Times New Roman"/>
          <w:b/>
          <w:bCs/>
          <w:sz w:val="24"/>
          <w:lang w:eastAsia="en-US"/>
        </w:rPr>
      </w:pPr>
    </w:p>
    <w:p w:rsidR="00B071EA" w:rsidRDefault="00FD3142">
      <w:pPr>
        <w:jc w:val="center"/>
        <w:rPr>
          <w:rFonts w:ascii="Times New Roman" w:hAnsi="Times New Roman" w:cs="Times New Roman"/>
          <w:b/>
          <w:bCs/>
          <w:sz w:val="24"/>
          <w:lang w:eastAsia="en-US"/>
        </w:rPr>
      </w:pPr>
      <w:r>
        <w:rPr>
          <w:rFonts w:ascii="Times New Roman" w:hAnsi="Times New Roman" w:cs="Times New Roman"/>
          <w:b/>
          <w:bCs/>
          <w:sz w:val="24"/>
          <w:lang w:eastAsia="en-US"/>
        </w:rPr>
        <w:t>ANEXO I – DOCUMENTAÇÃO EXIGIDA PARA HABILITAÇÃO</w:t>
      </w:r>
    </w:p>
    <w:p w:rsidR="00B071EA" w:rsidRDefault="00B071EA">
      <w:pPr>
        <w:rPr>
          <w:rFonts w:ascii="Times New Roman" w:hAnsi="Times New Roman" w:cs="Times New Roman"/>
          <w:sz w:val="24"/>
          <w:lang w:eastAsia="en-US"/>
        </w:rPr>
      </w:pPr>
    </w:p>
    <w:p w:rsidR="00B071EA" w:rsidRDefault="00B071EA">
      <w:pPr>
        <w:rPr>
          <w:rFonts w:ascii="Times New Roman" w:hAnsi="Times New Roman" w:cs="Times New Roman"/>
          <w:sz w:val="24"/>
          <w:lang w:eastAsia="en-US"/>
        </w:rPr>
      </w:pPr>
    </w:p>
    <w:p w:rsidR="00B071EA" w:rsidRDefault="00FD3142">
      <w:pPr>
        <w:pStyle w:val="PADRO"/>
        <w:keepNext w:val="0"/>
        <w:widowControl/>
        <w:numPr>
          <w:ilvl w:val="0"/>
          <w:numId w:val="16"/>
        </w:numPr>
        <w:spacing w:before="120" w:after="120"/>
        <w:rPr>
          <w:rFonts w:ascii="Times New Roman" w:hAnsi="Times New Roman" w:cs="Times New Roman"/>
          <w:sz w:val="24"/>
        </w:rPr>
      </w:pPr>
      <w:r>
        <w:rPr>
          <w:rFonts w:ascii="Times New Roman" w:hAnsi="Times New Roman" w:cs="Times New Roman"/>
          <w:b/>
          <w:bCs/>
          <w:color w:val="000000"/>
          <w:sz w:val="24"/>
        </w:rPr>
        <w:t xml:space="preserve">Habilitação jurídica: </w:t>
      </w:r>
    </w:p>
    <w:p w:rsidR="00B071EA" w:rsidRDefault="00FD3142">
      <w:pPr>
        <w:numPr>
          <w:ilvl w:val="1"/>
          <w:numId w:val="16"/>
        </w:numPr>
        <w:tabs>
          <w:tab w:val="left" w:pos="1440"/>
        </w:tabs>
        <w:autoSpaceDE w:val="0"/>
        <w:snapToGrid w:val="0"/>
        <w:spacing w:before="120" w:after="120" w:line="276" w:lineRule="auto"/>
        <w:jc w:val="both"/>
        <w:rPr>
          <w:rFonts w:ascii="Times New Roman" w:hAnsi="Times New Roman" w:cs="Times New Roman"/>
          <w:sz w:val="24"/>
        </w:rPr>
      </w:pPr>
      <w:r>
        <w:rPr>
          <w:rFonts w:ascii="Times New Roman" w:hAnsi="Times New Roman" w:cs="Times New Roman"/>
          <w:sz w:val="24"/>
        </w:rPr>
        <w:t>no caso de empresário individual, inscrição no Registro Público de Empresas Mercantis, a cargo da Junta Comercial da respectiva sede;</w:t>
      </w:r>
    </w:p>
    <w:p w:rsidR="00B071EA" w:rsidRDefault="00FD3142">
      <w:pPr>
        <w:pStyle w:val="PargrafodaLista"/>
        <w:numPr>
          <w:ilvl w:val="1"/>
          <w:numId w:val="16"/>
        </w:numPr>
        <w:tabs>
          <w:tab w:val="left" w:pos="1440"/>
        </w:tabs>
        <w:autoSpaceDE w:val="0"/>
        <w:snapToGrid w:val="0"/>
        <w:spacing w:before="120" w:after="120" w:line="276" w:lineRule="auto"/>
        <w:jc w:val="both"/>
        <w:rPr>
          <w:rFonts w:ascii="Times New Roman" w:hAnsi="Times New Roman" w:cs="Times New Roman"/>
          <w:color w:val="000000"/>
          <w:sz w:val="24"/>
        </w:rPr>
      </w:pPr>
      <w:r>
        <w:rPr>
          <w:rFonts w:ascii="Times New Roman" w:hAnsi="Times New Roman" w:cs="Times New Roman"/>
          <w:color w:val="000000"/>
          <w:sz w:val="24"/>
        </w:rPr>
        <w:t>Em se tratando de Microempreendedor Individual – MEI: Certificado da Condição de Microempreendedor Individual - CCMEI, cuja aceitação ficará condicionada à verificação da autenticidade no sítio www.portaldoempreendedor.gov.br;</w:t>
      </w:r>
    </w:p>
    <w:p w:rsidR="00B071EA" w:rsidRDefault="00FD3142">
      <w:pPr>
        <w:numPr>
          <w:ilvl w:val="1"/>
          <w:numId w:val="16"/>
        </w:numPr>
        <w:tabs>
          <w:tab w:val="left" w:pos="1440"/>
        </w:tabs>
        <w:autoSpaceDE w:val="0"/>
        <w:snapToGrid w:val="0"/>
        <w:spacing w:before="120" w:after="120" w:line="276" w:lineRule="auto"/>
        <w:jc w:val="both"/>
        <w:rPr>
          <w:rFonts w:ascii="Times New Roman" w:hAnsi="Times New Roman" w:cs="Times New Roman"/>
          <w:color w:val="000000"/>
          <w:sz w:val="24"/>
        </w:rPr>
      </w:pPr>
      <w:r>
        <w:rPr>
          <w:rFonts w:ascii="Times New Roman" w:hAnsi="Times New Roman" w:cs="Times New Roman"/>
          <w:color w:val="000000"/>
          <w:sz w:val="24"/>
        </w:rPr>
        <w:t>No caso de sociedade empresária ou empresa individual de responsabilidade limitada - EIRELI: ato constitutivo, estatuto ou contrato social em vigor, devidamente registrado na Junta Comercial da respectiva sede, acompanhado de documento comprobatório de seus administradores;</w:t>
      </w:r>
    </w:p>
    <w:p w:rsidR="00B071EA" w:rsidRDefault="00FD3142">
      <w:pPr>
        <w:numPr>
          <w:ilvl w:val="1"/>
          <w:numId w:val="16"/>
        </w:numPr>
        <w:tabs>
          <w:tab w:val="left" w:pos="1440"/>
        </w:tabs>
        <w:autoSpaceDE w:val="0"/>
        <w:snapToGrid w:val="0"/>
        <w:spacing w:before="120" w:after="120" w:line="276" w:lineRule="auto"/>
        <w:jc w:val="both"/>
        <w:rPr>
          <w:rFonts w:ascii="Times New Roman" w:hAnsi="Times New Roman" w:cs="Times New Roman"/>
          <w:color w:val="000000"/>
          <w:sz w:val="24"/>
        </w:rPr>
      </w:pPr>
      <w:r>
        <w:rPr>
          <w:rFonts w:ascii="Times New Roman" w:hAnsi="Times New Roman" w:cs="Times New Roman"/>
          <w:color w:val="000000"/>
          <w:sz w:val="24"/>
        </w:rPr>
        <w:t>Inscrição no Registro Público de Empresas Mercantis onde opera, com averbação no Registro onde tem sede a matriz, no caso de ser o participante sucursal, filial ou agência;</w:t>
      </w:r>
    </w:p>
    <w:p w:rsidR="00B071EA" w:rsidRDefault="00FD3142">
      <w:pPr>
        <w:numPr>
          <w:ilvl w:val="1"/>
          <w:numId w:val="16"/>
        </w:numPr>
        <w:tabs>
          <w:tab w:val="left" w:pos="1440"/>
        </w:tabs>
        <w:autoSpaceDE w:val="0"/>
        <w:snapToGrid w:val="0"/>
        <w:spacing w:before="120" w:after="120" w:line="276" w:lineRule="auto"/>
        <w:jc w:val="both"/>
        <w:rPr>
          <w:rFonts w:ascii="Times New Roman" w:hAnsi="Times New Roman" w:cs="Times New Roman"/>
          <w:sz w:val="24"/>
        </w:rPr>
      </w:pPr>
      <w:r>
        <w:rPr>
          <w:rFonts w:ascii="Times New Roman" w:hAnsi="Times New Roman" w:cs="Times New Roman"/>
          <w:color w:val="000000"/>
          <w:sz w:val="24"/>
        </w:rPr>
        <w:t>No caso de sociedade simples: inscrição do ato constitutivo no Registro Civil das Pessoas Jurídicas do local de sua sede, acompanhada de prova da indicação dos seus administradores;</w:t>
      </w:r>
    </w:p>
    <w:p w:rsidR="00B071EA" w:rsidRDefault="00FD3142">
      <w:pPr>
        <w:numPr>
          <w:ilvl w:val="1"/>
          <w:numId w:val="16"/>
        </w:numPr>
        <w:tabs>
          <w:tab w:val="left" w:pos="1440"/>
        </w:tabs>
        <w:autoSpaceDE w:val="0"/>
        <w:snapToGrid w:val="0"/>
        <w:spacing w:before="120" w:after="120" w:line="276" w:lineRule="auto"/>
        <w:jc w:val="both"/>
        <w:rPr>
          <w:rFonts w:ascii="Times New Roman" w:hAnsi="Times New Roman" w:cs="Times New Roman"/>
          <w:color w:val="000000"/>
          <w:sz w:val="24"/>
        </w:rPr>
      </w:pPr>
      <w:r>
        <w:rPr>
          <w:rFonts w:ascii="Times New Roman" w:hAnsi="Times New Roman" w:cs="Times New Roman"/>
          <w:color w:val="000000"/>
          <w:sz w:val="24"/>
        </w:rPr>
        <w:t>decreto de autorização, em se tratando de sociedade empresária estrangeira em funcionamento no País;</w:t>
      </w:r>
    </w:p>
    <w:p w:rsidR="00B071EA" w:rsidRDefault="00FD3142">
      <w:pPr>
        <w:pStyle w:val="PargrafodaLista"/>
        <w:numPr>
          <w:ilvl w:val="1"/>
          <w:numId w:val="16"/>
        </w:numPr>
        <w:spacing w:before="120" w:after="120" w:line="276" w:lineRule="auto"/>
        <w:jc w:val="both"/>
        <w:rPr>
          <w:rFonts w:ascii="Times New Roman" w:hAnsi="Times New Roman" w:cs="Times New Roman"/>
          <w:bCs/>
          <w:color w:val="000000"/>
          <w:sz w:val="24"/>
        </w:rPr>
      </w:pPr>
      <w:r>
        <w:rPr>
          <w:rFonts w:ascii="Times New Roman" w:hAnsi="Times New Roman" w:cs="Times New Roman"/>
          <w:bCs/>
          <w:color w:val="000000"/>
          <w:sz w:val="24"/>
        </w:rPr>
        <w:t>Os documentos acima deverão estar acompanhados de todas as alterações ou da consolidação respectiva.</w:t>
      </w:r>
    </w:p>
    <w:p w:rsidR="00B071EA" w:rsidRDefault="00B071EA">
      <w:pPr>
        <w:pStyle w:val="PargrafodaLista"/>
        <w:spacing w:before="120" w:after="120" w:line="276" w:lineRule="auto"/>
        <w:ind w:left="1134"/>
        <w:jc w:val="both"/>
        <w:rPr>
          <w:rFonts w:ascii="Times New Roman" w:hAnsi="Times New Roman" w:cs="Times New Roman"/>
          <w:bCs/>
          <w:color w:val="000000"/>
          <w:sz w:val="24"/>
        </w:rPr>
      </w:pPr>
    </w:p>
    <w:p w:rsidR="00B071EA" w:rsidRDefault="00FD3142">
      <w:pPr>
        <w:pStyle w:val="PADRO"/>
        <w:keepNext w:val="0"/>
        <w:widowControl/>
        <w:numPr>
          <w:ilvl w:val="0"/>
          <w:numId w:val="16"/>
        </w:numPr>
        <w:spacing w:before="120" w:after="120"/>
        <w:rPr>
          <w:rFonts w:ascii="Times New Roman" w:hAnsi="Times New Roman" w:cs="Times New Roman"/>
          <w:sz w:val="24"/>
        </w:rPr>
      </w:pPr>
      <w:r>
        <w:rPr>
          <w:rFonts w:ascii="Times New Roman" w:hAnsi="Times New Roman" w:cs="Times New Roman"/>
          <w:b/>
          <w:bCs/>
          <w:color w:val="000000"/>
          <w:sz w:val="24"/>
        </w:rPr>
        <w:t xml:space="preserve"> Regularidade fiscal, social e trabalhista:</w:t>
      </w:r>
    </w:p>
    <w:p w:rsidR="00B071EA" w:rsidRDefault="00FD3142">
      <w:pPr>
        <w:numPr>
          <w:ilvl w:val="1"/>
          <w:numId w:val="16"/>
        </w:numPr>
        <w:tabs>
          <w:tab w:val="left" w:pos="1440"/>
        </w:tabs>
        <w:autoSpaceDE w:val="0"/>
        <w:snapToGrid w:val="0"/>
        <w:spacing w:before="120" w:after="120" w:line="276" w:lineRule="auto"/>
        <w:jc w:val="both"/>
        <w:rPr>
          <w:rFonts w:ascii="Times New Roman" w:hAnsi="Times New Roman" w:cs="Times New Roman"/>
          <w:sz w:val="24"/>
        </w:rPr>
      </w:pPr>
      <w:r>
        <w:rPr>
          <w:rFonts w:ascii="Times New Roman" w:hAnsi="Times New Roman" w:cs="Times New Roman"/>
          <w:sz w:val="24"/>
          <w:lang w:eastAsia="en-US"/>
        </w:rPr>
        <w:t>prova de inscrição no Cadastro Nacional de Pessoas Jurídicas ou no Cadastro de Pessoas Físicas, conforme o caso;</w:t>
      </w:r>
    </w:p>
    <w:p w:rsidR="00B071EA" w:rsidRDefault="00FD3142">
      <w:pPr>
        <w:numPr>
          <w:ilvl w:val="1"/>
          <w:numId w:val="16"/>
        </w:numPr>
        <w:tabs>
          <w:tab w:val="left" w:pos="1440"/>
        </w:tabs>
        <w:autoSpaceDE w:val="0"/>
        <w:snapToGrid w:val="0"/>
        <w:spacing w:before="120" w:after="120" w:line="276" w:lineRule="auto"/>
        <w:jc w:val="both"/>
        <w:rPr>
          <w:rFonts w:ascii="Times New Roman" w:hAnsi="Times New Roman" w:cs="Times New Roman"/>
          <w:sz w:val="24"/>
        </w:rPr>
      </w:pPr>
      <w:r>
        <w:rPr>
          <w:rFonts w:ascii="Times New Roman" w:hAnsi="Times New Roman" w:cs="Times New Roman"/>
          <w:sz w:val="24"/>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w:t>
      </w:r>
    </w:p>
    <w:p w:rsidR="00B071EA" w:rsidRDefault="00FD3142">
      <w:pPr>
        <w:numPr>
          <w:ilvl w:val="1"/>
          <w:numId w:val="16"/>
        </w:numPr>
        <w:tabs>
          <w:tab w:val="left" w:pos="1440"/>
        </w:tabs>
        <w:autoSpaceDE w:val="0"/>
        <w:snapToGrid w:val="0"/>
        <w:spacing w:before="120" w:after="120" w:line="276" w:lineRule="auto"/>
        <w:jc w:val="both"/>
        <w:rPr>
          <w:rFonts w:ascii="Times New Roman" w:hAnsi="Times New Roman" w:cs="Times New Roman"/>
          <w:color w:val="000000"/>
          <w:sz w:val="24"/>
        </w:rPr>
      </w:pPr>
      <w:r>
        <w:rPr>
          <w:rFonts w:ascii="Times New Roman" w:hAnsi="Times New Roman" w:cs="Times New Roman"/>
          <w:color w:val="000000"/>
          <w:sz w:val="24"/>
          <w:lang w:eastAsia="en-US"/>
        </w:rPr>
        <w:t>prova de regularidade com o Fundo de Garantia do Tempo de Serviço (FGTS);</w:t>
      </w:r>
    </w:p>
    <w:p w:rsidR="00B071EA" w:rsidRDefault="00FD3142">
      <w:pPr>
        <w:numPr>
          <w:ilvl w:val="1"/>
          <w:numId w:val="16"/>
        </w:numPr>
        <w:tabs>
          <w:tab w:val="left" w:pos="1440"/>
        </w:tabs>
        <w:autoSpaceDE w:val="0"/>
        <w:snapToGrid w:val="0"/>
        <w:spacing w:before="120" w:after="120" w:line="276" w:lineRule="auto"/>
        <w:jc w:val="both"/>
        <w:rPr>
          <w:rFonts w:ascii="Times New Roman" w:hAnsi="Times New Roman" w:cs="Times New Roman"/>
          <w:sz w:val="24"/>
        </w:rPr>
      </w:pPr>
      <w:r>
        <w:rPr>
          <w:rFonts w:ascii="Times New Roman" w:hAnsi="Times New Roman" w:cs="Times New Roman"/>
          <w:sz w:val="24"/>
          <w:lang w:eastAsia="en-US"/>
        </w:rPr>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rsidR="00B071EA" w:rsidRDefault="00FD3142">
      <w:pPr>
        <w:numPr>
          <w:ilvl w:val="1"/>
          <w:numId w:val="16"/>
        </w:numPr>
        <w:tabs>
          <w:tab w:val="left" w:pos="1440"/>
        </w:tabs>
        <w:autoSpaceDE w:val="0"/>
        <w:snapToGrid w:val="0"/>
        <w:spacing w:before="120" w:after="120" w:line="276" w:lineRule="auto"/>
        <w:jc w:val="both"/>
        <w:rPr>
          <w:rFonts w:ascii="Times New Roman" w:hAnsi="Times New Roman" w:cs="Times New Roman"/>
          <w:bCs/>
          <w:sz w:val="24"/>
        </w:rPr>
      </w:pPr>
      <w:r>
        <w:rPr>
          <w:rFonts w:ascii="Times New Roman" w:hAnsi="Times New Roman" w:cs="Times New Roman"/>
          <w:bCs/>
          <w:sz w:val="24"/>
        </w:rPr>
        <w:t xml:space="preserve">prova de </w:t>
      </w:r>
      <w:r>
        <w:rPr>
          <w:rFonts w:ascii="Times New Roman" w:hAnsi="Times New Roman" w:cs="Times New Roman"/>
          <w:color w:val="000000"/>
          <w:sz w:val="24"/>
        </w:rPr>
        <w:t xml:space="preserve">inscrição no cadastro de contribuintes </w:t>
      </w:r>
      <w:r>
        <w:rPr>
          <w:rFonts w:ascii="Times New Roman" w:hAnsi="Times New Roman" w:cs="Times New Roman"/>
          <w:iCs/>
          <w:sz w:val="24"/>
        </w:rPr>
        <w:t>estadual e/ou municipal</w:t>
      </w:r>
      <w:r>
        <w:rPr>
          <w:rFonts w:ascii="Times New Roman" w:hAnsi="Times New Roman" w:cs="Times New Roman"/>
          <w:sz w:val="24"/>
        </w:rPr>
        <w:t xml:space="preserve">, relativo </w:t>
      </w:r>
      <w:r>
        <w:rPr>
          <w:rFonts w:ascii="Times New Roman" w:hAnsi="Times New Roman" w:cs="Times New Roman"/>
          <w:color w:val="000000"/>
          <w:sz w:val="24"/>
        </w:rPr>
        <w:t>ao domicílio ou sede do fornecedor, pertinente ao seu ramo de atividade e compatível com o objeto contratual</w:t>
      </w:r>
      <w:r>
        <w:rPr>
          <w:rFonts w:ascii="Times New Roman" w:hAnsi="Times New Roman" w:cs="Times New Roman"/>
          <w:bCs/>
          <w:sz w:val="24"/>
        </w:rPr>
        <w:t xml:space="preserve">; </w:t>
      </w:r>
    </w:p>
    <w:p w:rsidR="00B071EA" w:rsidRDefault="00FD3142">
      <w:pPr>
        <w:numPr>
          <w:ilvl w:val="1"/>
          <w:numId w:val="16"/>
        </w:numPr>
        <w:tabs>
          <w:tab w:val="left" w:pos="1440"/>
        </w:tabs>
        <w:autoSpaceDE w:val="0"/>
        <w:snapToGrid w:val="0"/>
        <w:spacing w:before="120" w:after="120" w:line="276" w:lineRule="auto"/>
        <w:jc w:val="both"/>
        <w:rPr>
          <w:rFonts w:ascii="Times New Roman" w:hAnsi="Times New Roman" w:cs="Times New Roman"/>
          <w:b/>
          <w:sz w:val="24"/>
        </w:rPr>
      </w:pPr>
      <w:r>
        <w:rPr>
          <w:rFonts w:ascii="Times New Roman" w:hAnsi="Times New Roman" w:cs="Times New Roman"/>
          <w:sz w:val="24"/>
        </w:rPr>
        <w:lastRenderedPageBreak/>
        <w:t xml:space="preserve">prova de regularidade com a Fazenda </w:t>
      </w:r>
      <w:r>
        <w:rPr>
          <w:rFonts w:ascii="Times New Roman" w:hAnsi="Times New Roman" w:cs="Times New Roman"/>
          <w:iCs/>
          <w:sz w:val="24"/>
        </w:rPr>
        <w:t>Estadual e/ou Municipal</w:t>
      </w:r>
      <w:r>
        <w:rPr>
          <w:rFonts w:ascii="Times New Roman" w:hAnsi="Times New Roman" w:cs="Times New Roman"/>
          <w:sz w:val="24"/>
        </w:rPr>
        <w:t xml:space="preserve"> do domicílio ou sede do fornecedor, relativa à atividade em cujo exercício contrata ou concorre; </w:t>
      </w:r>
    </w:p>
    <w:p w:rsidR="00B071EA" w:rsidRDefault="00FD3142">
      <w:pPr>
        <w:numPr>
          <w:ilvl w:val="1"/>
          <w:numId w:val="16"/>
        </w:numPr>
        <w:tabs>
          <w:tab w:val="left" w:pos="1440"/>
        </w:tabs>
        <w:autoSpaceDE w:val="0"/>
        <w:snapToGrid w:val="0"/>
        <w:spacing w:before="120" w:after="120" w:line="276" w:lineRule="auto"/>
        <w:jc w:val="both"/>
        <w:rPr>
          <w:rFonts w:ascii="Times New Roman" w:hAnsi="Times New Roman" w:cs="Times New Roman"/>
          <w:b/>
          <w:sz w:val="24"/>
        </w:rPr>
      </w:pPr>
      <w:r>
        <w:rPr>
          <w:rFonts w:ascii="Times New Roman" w:hAnsi="Times New Roman" w:cs="Times New Roman"/>
          <w:sz w:val="24"/>
        </w:rPr>
        <w:t xml:space="preserve">caso o fornecedor seja considerado isento dos tributos estaduais </w:t>
      </w:r>
      <w:r>
        <w:rPr>
          <w:rFonts w:ascii="Times New Roman" w:hAnsi="Times New Roman" w:cs="Times New Roman"/>
          <w:sz w:val="24"/>
          <w:u w:val="single"/>
        </w:rPr>
        <w:t>ou</w:t>
      </w:r>
      <w:r>
        <w:rPr>
          <w:rFonts w:ascii="Times New Roman" w:hAnsi="Times New Roman" w:cs="Times New Roman"/>
          <w:sz w:val="24"/>
        </w:rPr>
        <w:t xml:space="preserve"> municipais relacionados ao objeto contratual, deverá comprovar tal condição mediante a apresentação de declaração da Fazenda respectiva do seu domicílio ou sede, ou outra equivalente, na forma da lei; </w:t>
      </w:r>
    </w:p>
    <w:p w:rsidR="00B071EA" w:rsidRDefault="00FD3142">
      <w:pPr>
        <w:pStyle w:val="PADRO"/>
        <w:keepNext w:val="0"/>
        <w:widowControl/>
        <w:numPr>
          <w:ilvl w:val="0"/>
          <w:numId w:val="16"/>
        </w:numPr>
        <w:spacing w:before="120" w:after="120"/>
        <w:rPr>
          <w:rFonts w:ascii="Times New Roman" w:hAnsi="Times New Roman" w:cs="Times New Roman"/>
          <w:sz w:val="24"/>
        </w:rPr>
      </w:pPr>
      <w:r>
        <w:rPr>
          <w:rFonts w:ascii="Times New Roman" w:hAnsi="Times New Roman" w:cs="Times New Roman"/>
          <w:b/>
          <w:color w:val="000000"/>
          <w:sz w:val="24"/>
        </w:rPr>
        <w:t>Qualificação Econômico-Financeira:</w:t>
      </w:r>
      <w:r>
        <w:rPr>
          <w:rFonts w:ascii="Times New Roman" w:hAnsi="Times New Roman" w:cs="Times New Roman"/>
          <w:b/>
          <w:bCs/>
          <w:iCs/>
          <w:color w:val="000000"/>
          <w:sz w:val="24"/>
        </w:rPr>
        <w:t xml:space="preserve"> </w:t>
      </w:r>
    </w:p>
    <w:p w:rsidR="00B071EA" w:rsidRDefault="00FD3142">
      <w:pPr>
        <w:pStyle w:val="PargrafodaLista"/>
        <w:numPr>
          <w:ilvl w:val="1"/>
          <w:numId w:val="16"/>
        </w:numPr>
        <w:tabs>
          <w:tab w:val="left" w:pos="1440"/>
        </w:tabs>
        <w:autoSpaceDE w:val="0"/>
        <w:snapToGrid w:val="0"/>
        <w:spacing w:before="120" w:after="120" w:line="276" w:lineRule="auto"/>
        <w:jc w:val="both"/>
        <w:rPr>
          <w:rFonts w:ascii="Times New Roman" w:hAnsi="Times New Roman" w:cs="Times New Roman"/>
          <w:color w:val="000000"/>
          <w:sz w:val="24"/>
        </w:rPr>
      </w:pPr>
      <w:r>
        <w:rPr>
          <w:rFonts w:ascii="Times New Roman" w:hAnsi="Times New Roman" w:cs="Times New Roman"/>
          <w:color w:val="000000"/>
          <w:sz w:val="24"/>
        </w:rPr>
        <w:t>certidão negativa de falência expedida pelo distribuidor da sede do fornecedor;</w:t>
      </w:r>
    </w:p>
    <w:p w:rsidR="00B071EA" w:rsidRDefault="00FD3142">
      <w:pPr>
        <w:numPr>
          <w:ilvl w:val="1"/>
          <w:numId w:val="16"/>
        </w:numPr>
        <w:tabs>
          <w:tab w:val="left" w:pos="1440"/>
        </w:tabs>
        <w:autoSpaceDE w:val="0"/>
        <w:snapToGrid w:val="0"/>
        <w:spacing w:before="120" w:after="120" w:line="276" w:lineRule="auto"/>
        <w:jc w:val="both"/>
        <w:rPr>
          <w:rFonts w:ascii="Times New Roman" w:hAnsi="Times New Roman" w:cs="Times New Roman"/>
          <w:color w:val="000000"/>
          <w:sz w:val="24"/>
        </w:rPr>
      </w:pPr>
      <w:r>
        <w:rPr>
          <w:rFonts w:ascii="Times New Roman" w:hAnsi="Times New Roman" w:cs="Times New Roman"/>
          <w:color w:val="000000"/>
          <w:sz w:val="24"/>
        </w:rPr>
        <w:t>balanço patrimonial, demonstração de resultado de exercício e demais demonstrações contábeis dos 2 (dois) últimos exercícios sociais;</w:t>
      </w:r>
    </w:p>
    <w:p w:rsidR="00B071EA" w:rsidRDefault="00FD3142">
      <w:pPr>
        <w:numPr>
          <w:ilvl w:val="2"/>
          <w:numId w:val="16"/>
        </w:numPr>
        <w:spacing w:before="120" w:after="120" w:line="276" w:lineRule="auto"/>
        <w:jc w:val="both"/>
        <w:rPr>
          <w:rFonts w:ascii="Times New Roman" w:hAnsi="Times New Roman" w:cs="Times New Roman"/>
          <w:color w:val="000000"/>
          <w:sz w:val="24"/>
        </w:rPr>
      </w:pPr>
      <w:r>
        <w:rPr>
          <w:rFonts w:ascii="Times New Roman" w:hAnsi="Times New Roman" w:cs="Times New Roman"/>
          <w:color w:val="000000"/>
          <w:sz w:val="24"/>
        </w:rPr>
        <w:t>As empresas criadas no exercício financeiro da dispensa deverão atender a todas as exigências da habilitação e poderão substituir os demonstrativos contábeis pelo balanço de abertura.</w:t>
      </w:r>
    </w:p>
    <w:p w:rsidR="00B071EA" w:rsidRDefault="00FD3142">
      <w:pPr>
        <w:numPr>
          <w:ilvl w:val="2"/>
          <w:numId w:val="16"/>
        </w:numPr>
        <w:spacing w:before="120" w:after="120" w:line="276" w:lineRule="auto"/>
        <w:jc w:val="both"/>
        <w:rPr>
          <w:rFonts w:ascii="Times New Roman" w:hAnsi="Times New Roman" w:cs="Times New Roman"/>
          <w:color w:val="000000"/>
          <w:sz w:val="24"/>
        </w:rPr>
      </w:pPr>
      <w:r>
        <w:rPr>
          <w:rFonts w:ascii="Times New Roman" w:hAnsi="Times New Roman" w:cs="Times New Roman"/>
          <w:color w:val="000000"/>
          <w:sz w:val="24"/>
        </w:rPr>
        <w:t>Os documentos referidos acima limitar-se-ão ao último exercício no caso de a pessoa jurídica ter sido constituída há menos de 2 (dois) anos.</w:t>
      </w:r>
    </w:p>
    <w:p w:rsidR="00B071EA" w:rsidRDefault="00FD3142">
      <w:pPr>
        <w:pStyle w:val="Nivel4"/>
        <w:numPr>
          <w:ilvl w:val="2"/>
          <w:numId w:val="16"/>
        </w:numPr>
        <w:rPr>
          <w:rFonts w:ascii="Times New Roman" w:hAnsi="Times New Roman" w:cs="Times New Roman"/>
          <w:sz w:val="24"/>
          <w:szCs w:val="24"/>
        </w:rPr>
      </w:pPr>
      <w:r>
        <w:rPr>
          <w:rFonts w:ascii="Times New Roman" w:hAnsi="Times New Roman" w:cs="Times New Roman"/>
          <w:sz w:val="24"/>
          <w:szCs w:val="24"/>
        </w:rPr>
        <w:t>Caso o fornecedor seja cooperativa, tais documentos deverão ser acompanhados da última auditoria contábil-financeira, conforme dispõe o artigo 112 da Lei nº 5.764, de 1971, ou de uma declaração, sob as penas da lei, de que tal auditoria não foi exigida pelo órgão fiscalizador;</w:t>
      </w:r>
    </w:p>
    <w:p w:rsidR="00B071EA" w:rsidRDefault="00FD3142">
      <w:pPr>
        <w:numPr>
          <w:ilvl w:val="1"/>
          <w:numId w:val="16"/>
        </w:numPr>
        <w:tabs>
          <w:tab w:val="left" w:pos="1440"/>
        </w:tabs>
        <w:autoSpaceDE w:val="0"/>
        <w:snapToGrid w:val="0"/>
        <w:spacing w:before="120" w:after="120" w:line="276" w:lineRule="auto"/>
        <w:jc w:val="both"/>
        <w:rPr>
          <w:rFonts w:ascii="Times New Roman" w:hAnsi="Times New Roman" w:cs="Times New Roman"/>
          <w:color w:val="000000"/>
          <w:sz w:val="24"/>
        </w:rPr>
      </w:pPr>
      <w:r>
        <w:rPr>
          <w:rFonts w:ascii="Times New Roman" w:hAnsi="Times New Roman" w:cs="Times New Roman"/>
          <w:color w:val="000000"/>
          <w:sz w:val="24"/>
        </w:rPr>
        <w:t xml:space="preserve">comprovação da boa situação financeira da empresa mediante obtenção de índices de Liquidez Geral (LG), Solvência Geral (SG) e Liquidez Corrente (LC), superiores a 1 (um), obtidos pela aplicação das seguintes fórmulas: </w:t>
      </w:r>
    </w:p>
    <w:tbl>
      <w:tblPr>
        <w:tblStyle w:val="Tabelacomgrade"/>
        <w:tblW w:w="0" w:type="auto"/>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35"/>
        <w:gridCol w:w="4252"/>
      </w:tblGrid>
      <w:tr w:rsidR="00B071EA">
        <w:tc>
          <w:tcPr>
            <w:tcW w:w="2235" w:type="dxa"/>
            <w:vMerge w:val="restart"/>
            <w:vAlign w:val="center"/>
          </w:tcPr>
          <w:p w:rsidR="00B071EA" w:rsidRDefault="00FD3142">
            <w:pPr>
              <w:tabs>
                <w:tab w:val="left" w:pos="1440"/>
              </w:tabs>
              <w:autoSpaceDE w:val="0"/>
              <w:snapToGrid w:val="0"/>
              <w:spacing w:line="276" w:lineRule="auto"/>
              <w:jc w:val="both"/>
              <w:rPr>
                <w:rFonts w:ascii="Times New Roman" w:hAnsi="Times New Roman" w:cs="Times New Roman"/>
                <w:color w:val="000000"/>
                <w:sz w:val="24"/>
              </w:rPr>
            </w:pPr>
            <w:r>
              <w:rPr>
                <w:rFonts w:ascii="Times New Roman" w:hAnsi="Times New Roman" w:cs="Times New Roman"/>
                <w:color w:val="000000"/>
                <w:sz w:val="24"/>
              </w:rPr>
              <w:t>LG =</w:t>
            </w:r>
          </w:p>
        </w:tc>
        <w:tc>
          <w:tcPr>
            <w:tcW w:w="4252" w:type="dxa"/>
            <w:tcBorders>
              <w:bottom w:val="single" w:sz="4" w:space="0" w:color="auto"/>
            </w:tcBorders>
            <w:vAlign w:val="bottom"/>
          </w:tcPr>
          <w:p w:rsidR="00B071EA" w:rsidRDefault="00FD3142">
            <w:pPr>
              <w:tabs>
                <w:tab w:val="left" w:pos="1440"/>
              </w:tabs>
              <w:autoSpaceDE w:val="0"/>
              <w:snapToGrid w:val="0"/>
              <w:spacing w:line="276" w:lineRule="auto"/>
              <w:jc w:val="both"/>
              <w:rPr>
                <w:rFonts w:ascii="Times New Roman" w:hAnsi="Times New Roman" w:cs="Times New Roman"/>
                <w:color w:val="000000"/>
                <w:sz w:val="24"/>
              </w:rPr>
            </w:pPr>
            <w:r>
              <w:rPr>
                <w:rFonts w:ascii="Times New Roman" w:hAnsi="Times New Roman" w:cs="Times New Roman"/>
                <w:color w:val="000000"/>
                <w:sz w:val="24"/>
              </w:rPr>
              <w:t>Ativo Circulante + Realizável a Longo Prazo</w:t>
            </w:r>
          </w:p>
        </w:tc>
      </w:tr>
      <w:tr w:rsidR="00B071EA">
        <w:tc>
          <w:tcPr>
            <w:tcW w:w="2235" w:type="dxa"/>
            <w:vMerge/>
          </w:tcPr>
          <w:p w:rsidR="00B071EA" w:rsidRDefault="00B071EA">
            <w:pPr>
              <w:tabs>
                <w:tab w:val="left" w:pos="1440"/>
              </w:tabs>
              <w:autoSpaceDE w:val="0"/>
              <w:snapToGrid w:val="0"/>
              <w:spacing w:line="276" w:lineRule="auto"/>
              <w:jc w:val="both"/>
              <w:rPr>
                <w:rFonts w:ascii="Times New Roman" w:hAnsi="Times New Roman" w:cs="Times New Roman"/>
                <w:color w:val="000000"/>
                <w:sz w:val="24"/>
              </w:rPr>
            </w:pPr>
          </w:p>
        </w:tc>
        <w:tc>
          <w:tcPr>
            <w:tcW w:w="4252" w:type="dxa"/>
            <w:tcBorders>
              <w:top w:val="single" w:sz="4" w:space="0" w:color="auto"/>
            </w:tcBorders>
          </w:tcPr>
          <w:p w:rsidR="00B071EA" w:rsidRDefault="00FD3142">
            <w:pPr>
              <w:tabs>
                <w:tab w:val="left" w:pos="1440"/>
              </w:tabs>
              <w:autoSpaceDE w:val="0"/>
              <w:snapToGrid w:val="0"/>
              <w:spacing w:line="276" w:lineRule="auto"/>
              <w:jc w:val="both"/>
              <w:rPr>
                <w:rFonts w:ascii="Times New Roman" w:hAnsi="Times New Roman" w:cs="Times New Roman"/>
                <w:color w:val="000000"/>
                <w:sz w:val="24"/>
              </w:rPr>
            </w:pPr>
            <w:r>
              <w:rPr>
                <w:rFonts w:ascii="Times New Roman" w:hAnsi="Times New Roman" w:cs="Times New Roman"/>
                <w:color w:val="000000"/>
                <w:sz w:val="24"/>
              </w:rPr>
              <w:t>Passivo Circulante + Passivo Não Circulante</w:t>
            </w:r>
          </w:p>
        </w:tc>
      </w:tr>
    </w:tbl>
    <w:p w:rsidR="00B071EA" w:rsidRDefault="00B071EA">
      <w:pPr>
        <w:tabs>
          <w:tab w:val="left" w:pos="1440"/>
        </w:tabs>
        <w:autoSpaceDE w:val="0"/>
        <w:snapToGrid w:val="0"/>
        <w:spacing w:line="276" w:lineRule="auto"/>
        <w:ind w:left="1134"/>
        <w:jc w:val="both"/>
        <w:rPr>
          <w:rFonts w:ascii="Times New Roman" w:hAnsi="Times New Roman" w:cs="Times New Roman"/>
          <w:color w:val="000000"/>
          <w:sz w:val="24"/>
        </w:rPr>
      </w:pPr>
    </w:p>
    <w:tbl>
      <w:tblPr>
        <w:tblStyle w:val="Tabelacomgrade"/>
        <w:tblW w:w="0" w:type="auto"/>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35"/>
        <w:gridCol w:w="4394"/>
      </w:tblGrid>
      <w:tr w:rsidR="00B071EA">
        <w:trPr>
          <w:cantSplit/>
        </w:trPr>
        <w:tc>
          <w:tcPr>
            <w:tcW w:w="2235" w:type="dxa"/>
            <w:vMerge w:val="restart"/>
            <w:vAlign w:val="center"/>
          </w:tcPr>
          <w:p w:rsidR="00B071EA" w:rsidRDefault="00FD3142">
            <w:pPr>
              <w:tabs>
                <w:tab w:val="left" w:pos="1440"/>
              </w:tabs>
              <w:autoSpaceDE w:val="0"/>
              <w:snapToGrid w:val="0"/>
              <w:spacing w:line="276" w:lineRule="auto"/>
              <w:jc w:val="both"/>
              <w:rPr>
                <w:rFonts w:ascii="Times New Roman" w:hAnsi="Times New Roman" w:cs="Times New Roman"/>
                <w:color w:val="000000"/>
                <w:sz w:val="24"/>
              </w:rPr>
            </w:pPr>
            <w:r>
              <w:rPr>
                <w:rFonts w:ascii="Times New Roman" w:hAnsi="Times New Roman" w:cs="Times New Roman"/>
                <w:color w:val="000000"/>
                <w:sz w:val="24"/>
              </w:rPr>
              <w:t>SG =</w:t>
            </w:r>
          </w:p>
        </w:tc>
        <w:tc>
          <w:tcPr>
            <w:tcW w:w="4394" w:type="dxa"/>
            <w:tcBorders>
              <w:bottom w:val="single" w:sz="4" w:space="0" w:color="auto"/>
            </w:tcBorders>
            <w:vAlign w:val="bottom"/>
          </w:tcPr>
          <w:p w:rsidR="00B071EA" w:rsidRDefault="00FD3142">
            <w:pPr>
              <w:tabs>
                <w:tab w:val="left" w:pos="1440"/>
              </w:tabs>
              <w:autoSpaceDE w:val="0"/>
              <w:snapToGrid w:val="0"/>
              <w:spacing w:line="276" w:lineRule="auto"/>
              <w:jc w:val="both"/>
              <w:rPr>
                <w:rFonts w:ascii="Times New Roman" w:hAnsi="Times New Roman" w:cs="Times New Roman"/>
                <w:color w:val="000000"/>
                <w:sz w:val="24"/>
              </w:rPr>
            </w:pPr>
            <w:r>
              <w:rPr>
                <w:rFonts w:ascii="Times New Roman" w:hAnsi="Times New Roman" w:cs="Times New Roman"/>
                <w:color w:val="000000"/>
                <w:sz w:val="24"/>
              </w:rPr>
              <w:t>Ativo Total</w:t>
            </w:r>
          </w:p>
        </w:tc>
      </w:tr>
      <w:tr w:rsidR="00B071EA">
        <w:trPr>
          <w:cantSplit/>
        </w:trPr>
        <w:tc>
          <w:tcPr>
            <w:tcW w:w="2235" w:type="dxa"/>
            <w:vMerge/>
          </w:tcPr>
          <w:p w:rsidR="00B071EA" w:rsidRDefault="00B071EA">
            <w:pPr>
              <w:tabs>
                <w:tab w:val="left" w:pos="1440"/>
              </w:tabs>
              <w:autoSpaceDE w:val="0"/>
              <w:snapToGrid w:val="0"/>
              <w:spacing w:line="276" w:lineRule="auto"/>
              <w:jc w:val="both"/>
              <w:rPr>
                <w:rFonts w:ascii="Times New Roman" w:hAnsi="Times New Roman" w:cs="Times New Roman"/>
                <w:color w:val="000000"/>
                <w:sz w:val="24"/>
              </w:rPr>
            </w:pPr>
          </w:p>
        </w:tc>
        <w:tc>
          <w:tcPr>
            <w:tcW w:w="4394" w:type="dxa"/>
            <w:tcBorders>
              <w:top w:val="single" w:sz="4" w:space="0" w:color="auto"/>
            </w:tcBorders>
          </w:tcPr>
          <w:p w:rsidR="00B071EA" w:rsidRDefault="00FD3142">
            <w:pPr>
              <w:tabs>
                <w:tab w:val="left" w:pos="1440"/>
              </w:tabs>
              <w:autoSpaceDE w:val="0"/>
              <w:snapToGrid w:val="0"/>
              <w:spacing w:line="276" w:lineRule="auto"/>
              <w:jc w:val="both"/>
              <w:rPr>
                <w:rFonts w:ascii="Times New Roman" w:hAnsi="Times New Roman" w:cs="Times New Roman"/>
                <w:color w:val="000000"/>
                <w:sz w:val="24"/>
              </w:rPr>
            </w:pPr>
            <w:r>
              <w:rPr>
                <w:rFonts w:ascii="Times New Roman" w:hAnsi="Times New Roman" w:cs="Times New Roman"/>
                <w:color w:val="000000"/>
                <w:sz w:val="24"/>
              </w:rPr>
              <w:t>Passivo Circulante + Passivo Não Circulante</w:t>
            </w:r>
          </w:p>
        </w:tc>
      </w:tr>
    </w:tbl>
    <w:p w:rsidR="00B071EA" w:rsidRDefault="00B071EA">
      <w:pPr>
        <w:tabs>
          <w:tab w:val="left" w:pos="1440"/>
        </w:tabs>
        <w:autoSpaceDE w:val="0"/>
        <w:snapToGrid w:val="0"/>
        <w:spacing w:line="276" w:lineRule="auto"/>
        <w:ind w:left="1134"/>
        <w:jc w:val="both"/>
        <w:rPr>
          <w:rFonts w:ascii="Times New Roman" w:hAnsi="Times New Roman" w:cs="Times New Roman"/>
          <w:color w:val="000000"/>
          <w:sz w:val="24"/>
        </w:rPr>
      </w:pPr>
    </w:p>
    <w:tbl>
      <w:tblPr>
        <w:tblStyle w:val="Tabelacomgrade"/>
        <w:tblW w:w="0" w:type="auto"/>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35"/>
        <w:gridCol w:w="2551"/>
      </w:tblGrid>
      <w:tr w:rsidR="00B071EA">
        <w:tc>
          <w:tcPr>
            <w:tcW w:w="2235" w:type="dxa"/>
            <w:vMerge w:val="restart"/>
            <w:vAlign w:val="center"/>
          </w:tcPr>
          <w:p w:rsidR="00B071EA" w:rsidRDefault="00FD3142">
            <w:pPr>
              <w:tabs>
                <w:tab w:val="left" w:pos="1440"/>
              </w:tabs>
              <w:autoSpaceDE w:val="0"/>
              <w:snapToGrid w:val="0"/>
              <w:spacing w:line="276" w:lineRule="auto"/>
              <w:jc w:val="both"/>
              <w:rPr>
                <w:rFonts w:ascii="Times New Roman" w:hAnsi="Times New Roman" w:cs="Times New Roman"/>
                <w:color w:val="000000"/>
                <w:sz w:val="24"/>
              </w:rPr>
            </w:pPr>
            <w:r>
              <w:rPr>
                <w:rFonts w:ascii="Times New Roman" w:hAnsi="Times New Roman" w:cs="Times New Roman"/>
                <w:color w:val="000000"/>
                <w:sz w:val="24"/>
              </w:rPr>
              <w:t>LC =</w:t>
            </w:r>
          </w:p>
        </w:tc>
        <w:tc>
          <w:tcPr>
            <w:tcW w:w="2551" w:type="dxa"/>
            <w:tcBorders>
              <w:bottom w:val="single" w:sz="4" w:space="0" w:color="auto"/>
            </w:tcBorders>
            <w:vAlign w:val="bottom"/>
          </w:tcPr>
          <w:p w:rsidR="00B071EA" w:rsidRDefault="00FD3142">
            <w:pPr>
              <w:tabs>
                <w:tab w:val="left" w:pos="1440"/>
              </w:tabs>
              <w:autoSpaceDE w:val="0"/>
              <w:snapToGrid w:val="0"/>
              <w:spacing w:line="276" w:lineRule="auto"/>
              <w:jc w:val="both"/>
              <w:rPr>
                <w:rFonts w:ascii="Times New Roman" w:hAnsi="Times New Roman" w:cs="Times New Roman"/>
                <w:color w:val="000000"/>
                <w:sz w:val="24"/>
              </w:rPr>
            </w:pPr>
            <w:r>
              <w:rPr>
                <w:rFonts w:ascii="Times New Roman" w:hAnsi="Times New Roman" w:cs="Times New Roman"/>
                <w:color w:val="000000"/>
                <w:sz w:val="24"/>
              </w:rPr>
              <w:t>Ativo Circulante</w:t>
            </w:r>
          </w:p>
        </w:tc>
      </w:tr>
      <w:tr w:rsidR="00B071EA">
        <w:tc>
          <w:tcPr>
            <w:tcW w:w="2235" w:type="dxa"/>
            <w:vMerge/>
          </w:tcPr>
          <w:p w:rsidR="00B071EA" w:rsidRDefault="00B071EA">
            <w:pPr>
              <w:tabs>
                <w:tab w:val="left" w:pos="1440"/>
              </w:tabs>
              <w:autoSpaceDE w:val="0"/>
              <w:snapToGrid w:val="0"/>
              <w:spacing w:line="276" w:lineRule="auto"/>
              <w:jc w:val="both"/>
              <w:rPr>
                <w:rFonts w:ascii="Times New Roman" w:hAnsi="Times New Roman" w:cs="Times New Roman"/>
                <w:color w:val="000000"/>
                <w:sz w:val="24"/>
              </w:rPr>
            </w:pPr>
          </w:p>
        </w:tc>
        <w:tc>
          <w:tcPr>
            <w:tcW w:w="2551" w:type="dxa"/>
            <w:tcBorders>
              <w:top w:val="single" w:sz="4" w:space="0" w:color="auto"/>
            </w:tcBorders>
          </w:tcPr>
          <w:p w:rsidR="00B071EA" w:rsidRDefault="00FD3142">
            <w:pPr>
              <w:tabs>
                <w:tab w:val="left" w:pos="1440"/>
              </w:tabs>
              <w:autoSpaceDE w:val="0"/>
              <w:snapToGrid w:val="0"/>
              <w:spacing w:line="276" w:lineRule="auto"/>
              <w:jc w:val="both"/>
              <w:rPr>
                <w:rFonts w:ascii="Times New Roman" w:hAnsi="Times New Roman" w:cs="Times New Roman"/>
                <w:color w:val="000000"/>
                <w:sz w:val="24"/>
              </w:rPr>
            </w:pPr>
            <w:r>
              <w:rPr>
                <w:rFonts w:ascii="Times New Roman" w:hAnsi="Times New Roman" w:cs="Times New Roman"/>
                <w:color w:val="000000"/>
                <w:sz w:val="24"/>
              </w:rPr>
              <w:t>Passivo Circulante</w:t>
            </w:r>
          </w:p>
        </w:tc>
      </w:tr>
    </w:tbl>
    <w:p w:rsidR="00B071EA" w:rsidRDefault="00FD3142">
      <w:pPr>
        <w:numPr>
          <w:ilvl w:val="2"/>
          <w:numId w:val="16"/>
        </w:numPr>
        <w:tabs>
          <w:tab w:val="left" w:pos="1440"/>
        </w:tabs>
        <w:autoSpaceDE w:val="0"/>
        <w:snapToGrid w:val="0"/>
        <w:spacing w:before="120" w:after="120" w:line="276" w:lineRule="auto"/>
        <w:jc w:val="both"/>
        <w:rPr>
          <w:rFonts w:ascii="Times New Roman" w:hAnsi="Times New Roman" w:cs="Times New Roman"/>
          <w:color w:val="000000"/>
          <w:sz w:val="24"/>
        </w:rPr>
      </w:pPr>
      <w:r>
        <w:rPr>
          <w:rFonts w:ascii="Times New Roman" w:hAnsi="Times New Roman" w:cs="Times New Roman"/>
          <w:color w:val="000000"/>
          <w:sz w:val="24"/>
        </w:rPr>
        <w:t>As empresas, que apresentarem resultado inferior ou igual a 1(um) em qualquer dos índices de Liquidez Geral (LG), Solvência Geral (SG) e Liquidez Corrente (LC), deverão comprovar capital ou patrimônio líquido mínimo de</w:t>
      </w:r>
      <w:r>
        <w:rPr>
          <w:rFonts w:ascii="Times New Roman" w:hAnsi="Times New Roman" w:cs="Times New Roman"/>
          <w:i/>
          <w:iCs/>
          <w:color w:val="FF0000"/>
          <w:sz w:val="24"/>
        </w:rPr>
        <w:t xml:space="preserve"> ...(....) </w:t>
      </w:r>
      <w:r>
        <w:rPr>
          <w:rFonts w:ascii="Times New Roman" w:hAnsi="Times New Roman" w:cs="Times New Roman"/>
          <w:color w:val="000000"/>
          <w:sz w:val="24"/>
        </w:rPr>
        <w:t xml:space="preserve">do valor total estimado da contratação ou do item pertinente. </w:t>
      </w:r>
    </w:p>
    <w:p w:rsidR="00B071EA" w:rsidRDefault="00FD3142">
      <w:pPr>
        <w:rPr>
          <w:rFonts w:ascii="Times New Roman" w:hAnsi="Times New Roman" w:cs="Times New Roman"/>
          <w:iCs/>
          <w:sz w:val="24"/>
          <w:lang w:eastAsia="en-US"/>
        </w:rPr>
      </w:pPr>
      <w:r>
        <w:rPr>
          <w:rFonts w:ascii="Times New Roman" w:hAnsi="Times New Roman" w:cs="Times New Roman"/>
          <w:iCs/>
          <w:sz w:val="24"/>
          <w:lang w:eastAsia="en-US"/>
        </w:rPr>
        <w:t>O atendimento dos índices econômicos previstos neste item deverá ser atestado mediante declaração assinada por profissional habilitado da área contábil, apresentada pelo fornecedor.</w:t>
      </w:r>
    </w:p>
    <w:p w:rsidR="00B071EA" w:rsidRDefault="00B071EA">
      <w:pPr>
        <w:rPr>
          <w:rFonts w:ascii="Times New Roman" w:hAnsi="Times New Roman" w:cs="Times New Roman"/>
          <w:sz w:val="24"/>
          <w:lang w:eastAsia="en-US"/>
        </w:rPr>
      </w:pPr>
    </w:p>
    <w:p w:rsidR="00B071EA" w:rsidRDefault="00FD3142">
      <w:pPr>
        <w:pStyle w:val="PADRO"/>
        <w:keepNext w:val="0"/>
        <w:widowControl/>
        <w:numPr>
          <w:ilvl w:val="0"/>
          <w:numId w:val="16"/>
        </w:numPr>
        <w:spacing w:before="120" w:after="120"/>
        <w:rPr>
          <w:rFonts w:ascii="Times New Roman" w:hAnsi="Times New Roman" w:cs="Times New Roman"/>
          <w:b/>
          <w:sz w:val="24"/>
        </w:rPr>
      </w:pPr>
      <w:r>
        <w:rPr>
          <w:rFonts w:ascii="Times New Roman" w:hAnsi="Times New Roman" w:cs="Times New Roman"/>
          <w:b/>
          <w:color w:val="000000"/>
          <w:sz w:val="24"/>
        </w:rPr>
        <w:t>Qualificação</w:t>
      </w:r>
      <w:r>
        <w:rPr>
          <w:rFonts w:ascii="Times New Roman" w:hAnsi="Times New Roman" w:cs="Times New Roman"/>
          <w:b/>
          <w:sz w:val="24"/>
        </w:rPr>
        <w:t xml:space="preserve"> Técnica</w:t>
      </w:r>
    </w:p>
    <w:p w:rsidR="00B071EA" w:rsidRDefault="00B071EA">
      <w:pPr>
        <w:jc w:val="both"/>
        <w:rPr>
          <w:rFonts w:ascii="Times New Roman" w:hAnsi="Times New Roman" w:cs="Times New Roman"/>
          <w:color w:val="000000"/>
          <w:sz w:val="24"/>
        </w:rPr>
      </w:pPr>
    </w:p>
    <w:p w:rsidR="00B071EA" w:rsidRDefault="00FD3142">
      <w:pPr>
        <w:pStyle w:val="PADRO"/>
        <w:keepNext w:val="0"/>
        <w:widowControl/>
        <w:numPr>
          <w:ilvl w:val="1"/>
          <w:numId w:val="16"/>
        </w:numPr>
        <w:spacing w:before="120" w:after="120"/>
        <w:rPr>
          <w:rFonts w:ascii="Times New Roman" w:hAnsi="Times New Roman" w:cs="Times New Roman"/>
          <w:bCs/>
          <w:color w:val="000000"/>
          <w:sz w:val="24"/>
        </w:rPr>
      </w:pPr>
      <w:bookmarkStart w:id="5" w:name="_Hlk519176340"/>
      <w:r>
        <w:rPr>
          <w:rFonts w:ascii="Times New Roman" w:hAnsi="Times New Roman" w:cs="Times New Roman"/>
          <w:color w:val="000000"/>
          <w:sz w:val="24"/>
        </w:rPr>
        <w:lastRenderedPageBreak/>
        <w:t>Registro ou inscrição da empresa na entidade profissional no Conselho Regional de Engenharia e Agronomia – CREA em plena validade;</w:t>
      </w:r>
    </w:p>
    <w:p w:rsidR="00B071EA" w:rsidRDefault="00FD3142">
      <w:pPr>
        <w:pStyle w:val="PADRO"/>
        <w:keepNext w:val="0"/>
        <w:widowControl/>
        <w:numPr>
          <w:ilvl w:val="1"/>
          <w:numId w:val="16"/>
        </w:numPr>
        <w:spacing w:before="120" w:after="120"/>
        <w:rPr>
          <w:rFonts w:ascii="Times New Roman" w:hAnsi="Times New Roman" w:cs="Times New Roman"/>
          <w:bCs/>
          <w:color w:val="000000"/>
          <w:sz w:val="24"/>
        </w:rPr>
      </w:pPr>
      <w:r>
        <w:rPr>
          <w:rFonts w:ascii="Times New Roman" w:hAnsi="Times New Roman" w:cs="Times New Roman"/>
          <w:color w:val="000000"/>
          <w:sz w:val="24"/>
        </w:rPr>
        <w:t xml:space="preserve">Comprovação de aptidão para a prestação dos serviços em características, quantidades e prazos </w:t>
      </w:r>
      <w:r>
        <w:rPr>
          <w:rFonts w:ascii="Times New Roman" w:hAnsi="Times New Roman" w:cs="Times New Roman"/>
          <w:sz w:val="24"/>
        </w:rPr>
        <w:t>compatíveis</w:t>
      </w:r>
      <w:r>
        <w:rPr>
          <w:rFonts w:ascii="Times New Roman" w:hAnsi="Times New Roman" w:cs="Times New Roman"/>
          <w:color w:val="000000"/>
          <w:sz w:val="24"/>
        </w:rPr>
        <w:t xml:space="preserve"> com o objeto desta dispensa, ou com o item pertinente, mediante a apresentação de atestado(s) fornecido(s) por pessoas jurídicas de direito público ou privado. </w:t>
      </w:r>
    </w:p>
    <w:p w:rsidR="00B071EA" w:rsidRDefault="00FD3142">
      <w:pPr>
        <w:pStyle w:val="PADRO"/>
        <w:keepNext w:val="0"/>
        <w:widowControl/>
        <w:numPr>
          <w:ilvl w:val="2"/>
          <w:numId w:val="16"/>
        </w:numPr>
        <w:spacing w:before="120" w:after="120"/>
        <w:rPr>
          <w:rFonts w:ascii="Times New Roman" w:hAnsi="Times New Roman" w:cs="Times New Roman"/>
          <w:bCs/>
          <w:color w:val="000000"/>
          <w:sz w:val="24"/>
        </w:rPr>
      </w:pPr>
      <w:r>
        <w:rPr>
          <w:rFonts w:ascii="Times New Roman" w:hAnsi="Times New Roman" w:cs="Times New Roman"/>
          <w:color w:val="000000"/>
          <w:sz w:val="24"/>
        </w:rPr>
        <w:t>Para fins da comprovação de que trata este subitem, os atestados deverão dizer respeito a contratos executados com as seguintes características mínimas:</w:t>
      </w:r>
    </w:p>
    <w:p w:rsidR="00B071EA" w:rsidRDefault="00FD3142">
      <w:pPr>
        <w:pStyle w:val="PADRO"/>
        <w:keepNext w:val="0"/>
        <w:widowControl/>
        <w:numPr>
          <w:ilvl w:val="3"/>
          <w:numId w:val="16"/>
        </w:numPr>
        <w:spacing w:before="120" w:after="120"/>
        <w:rPr>
          <w:rFonts w:ascii="Times New Roman" w:hAnsi="Times New Roman" w:cs="Times New Roman"/>
          <w:color w:val="000000"/>
          <w:sz w:val="24"/>
        </w:rPr>
      </w:pPr>
      <w:r>
        <w:rPr>
          <w:rFonts w:ascii="Times New Roman" w:hAnsi="Times New Roman" w:cs="Times New Roman"/>
          <w:color w:val="000000"/>
          <w:sz w:val="24"/>
        </w:rPr>
        <w:t>Deverá haver a comprovação da experiência mínima de 01 ano na prestação dos serviços, sendo aceito o somatório de atestados de períodos diferentes, não havendo obrigatoriedade de serem ininterruptos.</w:t>
      </w:r>
    </w:p>
    <w:p w:rsidR="00B071EA" w:rsidRDefault="00FD3142">
      <w:pPr>
        <w:pStyle w:val="PADRO"/>
        <w:keepNext w:val="0"/>
        <w:widowControl/>
        <w:numPr>
          <w:ilvl w:val="3"/>
          <w:numId w:val="16"/>
        </w:numPr>
        <w:spacing w:before="120" w:after="120"/>
        <w:rPr>
          <w:rFonts w:ascii="Times New Roman" w:hAnsi="Times New Roman" w:cs="Times New Roman"/>
          <w:color w:val="000000"/>
          <w:sz w:val="24"/>
        </w:rPr>
      </w:pPr>
      <w:bookmarkStart w:id="6" w:name="_Hlk519177818"/>
      <w:bookmarkEnd w:id="5"/>
      <w:r>
        <w:rPr>
          <w:rFonts w:ascii="Times New Roman" w:hAnsi="Times New Roman" w:cs="Times New Roman"/>
          <w:color w:val="000000"/>
          <w:sz w:val="24"/>
        </w:rPr>
        <w:t xml:space="preserve">Os atestados deverão referir-se a serviços prestados no âmbito de sua atividade econômica principal ou secundária especificadas no contrato social vigente; </w:t>
      </w:r>
    </w:p>
    <w:bookmarkEnd w:id="6"/>
    <w:p w:rsidR="00B071EA" w:rsidRDefault="00FD3142">
      <w:pPr>
        <w:pStyle w:val="PADRO"/>
        <w:keepNext w:val="0"/>
        <w:widowControl/>
        <w:numPr>
          <w:ilvl w:val="3"/>
          <w:numId w:val="16"/>
        </w:numPr>
        <w:spacing w:before="120" w:after="120"/>
        <w:rPr>
          <w:rFonts w:ascii="Times New Roman" w:hAnsi="Times New Roman" w:cs="Times New Roman"/>
          <w:sz w:val="24"/>
        </w:rPr>
      </w:pPr>
      <w:r>
        <w:rPr>
          <w:rFonts w:ascii="Times New Roman" w:hAnsi="Times New Roman" w:cs="Times New Roman"/>
          <w:sz w:val="24"/>
        </w:rPr>
        <w:t>Poderá ser admitida, para fins de comprovação de quantitativo mínimo do serviço, a apresentação de diferentes atestados de serviços executados de forma concomitante, pois essa situação se equivale, para fins de comprovação de capacidade técnico-operacional, a uma única contratação</w:t>
      </w:r>
      <w:bookmarkStart w:id="7" w:name="_Hlk519177062"/>
      <w:r>
        <w:rPr>
          <w:rFonts w:ascii="Times New Roman" w:hAnsi="Times New Roman" w:cs="Times New Roman"/>
          <w:sz w:val="24"/>
        </w:rPr>
        <w:t>.</w:t>
      </w:r>
    </w:p>
    <w:bookmarkEnd w:id="7"/>
    <w:p w:rsidR="00B071EA" w:rsidRDefault="00FD3142">
      <w:pPr>
        <w:pStyle w:val="PADRO"/>
        <w:keepNext w:val="0"/>
        <w:widowControl/>
        <w:numPr>
          <w:ilvl w:val="3"/>
          <w:numId w:val="16"/>
        </w:numPr>
        <w:spacing w:before="120" w:after="120"/>
        <w:rPr>
          <w:rFonts w:ascii="Times New Roman" w:hAnsi="Times New Roman" w:cs="Times New Roman"/>
          <w:color w:val="000000"/>
          <w:sz w:val="24"/>
        </w:rPr>
      </w:pPr>
      <w:r>
        <w:rPr>
          <w:rFonts w:ascii="Times New Roman" w:hAnsi="Times New Roman" w:cs="Times New Roman"/>
          <w:color w:val="000000"/>
          <w:sz w:val="24"/>
        </w:rPr>
        <w:t>O fornecedor disponibilizará todas as informações necessárias à comprovação da legitimidade dos atestados, apresentando, dentre outros documentos, cópia do contrato que deu suporte à contratação, endereço atual da contratante e local em que foram prestados os serviços.</w:t>
      </w:r>
    </w:p>
    <w:p w:rsidR="00B071EA" w:rsidRDefault="00FD3142">
      <w:pPr>
        <w:pStyle w:val="PADRO"/>
        <w:keepNext w:val="0"/>
        <w:widowControl/>
        <w:numPr>
          <w:ilvl w:val="1"/>
          <w:numId w:val="16"/>
        </w:numPr>
        <w:spacing w:before="120" w:after="120"/>
        <w:rPr>
          <w:rFonts w:ascii="Times New Roman" w:hAnsi="Times New Roman" w:cs="Times New Roman"/>
          <w:sz w:val="24"/>
        </w:rPr>
      </w:pPr>
      <w:r>
        <w:rPr>
          <w:rFonts w:ascii="Times New Roman" w:hAnsi="Times New Roman" w:cs="Times New Roman"/>
          <w:sz w:val="24"/>
        </w:rPr>
        <w:t>apresentação de profissional(is), devidamente registrado(s) no conselho profissional competente, quando for o caso, detentor(es) de atestado de responsabilidade técnica por execução de objeto de características semelhantes, para fins de contratação.</w:t>
      </w:r>
    </w:p>
    <w:p w:rsidR="00B071EA" w:rsidRDefault="00FD3142">
      <w:pPr>
        <w:pStyle w:val="PADRO"/>
        <w:keepNext w:val="0"/>
        <w:widowControl/>
        <w:numPr>
          <w:ilvl w:val="2"/>
          <w:numId w:val="16"/>
        </w:numPr>
        <w:spacing w:before="120" w:after="120"/>
        <w:rPr>
          <w:rFonts w:ascii="Times New Roman" w:hAnsi="Times New Roman" w:cs="Times New Roman"/>
          <w:sz w:val="24"/>
        </w:rPr>
      </w:pPr>
      <w:r>
        <w:rPr>
          <w:rFonts w:ascii="Times New Roman" w:hAnsi="Times New Roman" w:cs="Times New Roman"/>
          <w:sz w:val="24"/>
        </w:rPr>
        <w:t>No decorrer da execução do serviço, os profissionais de que trata este subitem deverão participar da execução do objeto e poderão ser substituídos, nos termos do 67, §6º, por profissionais de experiência equivalente ou superior, desde que a substituição seja aprovada pela Administração.</w:t>
      </w:r>
    </w:p>
    <w:p w:rsidR="00B071EA" w:rsidRDefault="00FD3142">
      <w:pPr>
        <w:pStyle w:val="PADRO"/>
        <w:keepNext w:val="0"/>
        <w:widowControl/>
        <w:numPr>
          <w:ilvl w:val="1"/>
          <w:numId w:val="16"/>
        </w:numPr>
        <w:spacing w:before="120" w:after="120"/>
        <w:rPr>
          <w:rFonts w:ascii="Times New Roman" w:hAnsi="Times New Roman" w:cs="Times New Roman"/>
          <w:bCs/>
          <w:sz w:val="24"/>
        </w:rPr>
      </w:pPr>
      <w:r>
        <w:rPr>
          <w:rFonts w:ascii="Times New Roman" w:hAnsi="Times New Roman" w:cs="Times New Roman"/>
          <w:bCs/>
          <w:sz w:val="24"/>
        </w:rPr>
        <w:t xml:space="preserve">Declaração do fornecedor atestando que conhece </w:t>
      </w:r>
      <w:r>
        <w:rPr>
          <w:rFonts w:ascii="Times New Roman" w:hAnsi="Times New Roman" w:cs="Times New Roman"/>
          <w:sz w:val="24"/>
        </w:rPr>
        <w:t>todas as informações e condições locais para o cumprimento das obrigações objeto da contratação</w:t>
      </w:r>
      <w:r>
        <w:rPr>
          <w:rFonts w:ascii="Times New Roman" w:hAnsi="Times New Roman" w:cs="Times New Roman"/>
          <w:bCs/>
          <w:sz w:val="24"/>
        </w:rPr>
        <w:t>.</w:t>
      </w:r>
    </w:p>
    <w:p w:rsidR="00B071EA" w:rsidRDefault="00FD3142">
      <w:pPr>
        <w:pStyle w:val="PADRO"/>
        <w:keepNext w:val="0"/>
        <w:widowControl/>
        <w:numPr>
          <w:ilvl w:val="1"/>
          <w:numId w:val="16"/>
        </w:numPr>
        <w:spacing w:before="120" w:after="120"/>
        <w:rPr>
          <w:rFonts w:ascii="Times New Roman" w:hAnsi="Times New Roman" w:cs="Times New Roman"/>
          <w:sz w:val="24"/>
        </w:rPr>
      </w:pPr>
      <w:r>
        <w:rPr>
          <w:rFonts w:ascii="Times New Roman" w:hAnsi="Times New Roman" w:cs="Times New Roman"/>
          <w:sz w:val="24"/>
        </w:rPr>
        <w:t>Em relação às fornecedoras cooperativas será, ainda, exigida a seguinte documentação complementar:</w:t>
      </w:r>
    </w:p>
    <w:p w:rsidR="00B071EA" w:rsidRDefault="00FD3142">
      <w:pPr>
        <w:pStyle w:val="PADRO"/>
        <w:keepNext w:val="0"/>
        <w:widowControl/>
        <w:numPr>
          <w:ilvl w:val="2"/>
          <w:numId w:val="16"/>
        </w:numPr>
        <w:spacing w:before="120" w:after="120"/>
        <w:rPr>
          <w:rFonts w:ascii="Times New Roman" w:hAnsi="Times New Roman" w:cs="Times New Roman"/>
          <w:sz w:val="24"/>
        </w:rPr>
      </w:pPr>
      <w:r>
        <w:rPr>
          <w:rFonts w:ascii="Times New Roman" w:hAnsi="Times New Roman" w:cs="Times New Roman"/>
          <w:sz w:val="24"/>
        </w:rPr>
        <w:t>A relação dos cooperados que atendem aos requisitos técnicos exigidos para a contratação e que executarão o contrato, com as respectivas atas de inscrição e a comprovação de que estão domiciliados na localidade da sede da cooperativa, respeitado o disposto nos arts. 4º, inciso XI, 21, inciso I e 42, §§2º a 6º da Lei n. 5.764 de 1971;</w:t>
      </w:r>
    </w:p>
    <w:p w:rsidR="00B071EA" w:rsidRDefault="00FD3142">
      <w:pPr>
        <w:pStyle w:val="PADRO"/>
        <w:keepNext w:val="0"/>
        <w:widowControl/>
        <w:numPr>
          <w:ilvl w:val="2"/>
          <w:numId w:val="16"/>
        </w:numPr>
        <w:spacing w:before="120" w:after="120"/>
        <w:rPr>
          <w:rFonts w:ascii="Times New Roman" w:hAnsi="Times New Roman" w:cs="Times New Roman"/>
          <w:sz w:val="24"/>
        </w:rPr>
      </w:pPr>
      <w:r>
        <w:rPr>
          <w:rFonts w:ascii="Times New Roman" w:hAnsi="Times New Roman" w:cs="Times New Roman"/>
          <w:sz w:val="24"/>
        </w:rPr>
        <w:t>A declaração de regularidade de situação do contribuinte individual – DRSCI, para cada um dos cooperados indicados;</w:t>
      </w:r>
    </w:p>
    <w:p w:rsidR="00B071EA" w:rsidRDefault="00FD3142">
      <w:pPr>
        <w:pStyle w:val="PADRO"/>
        <w:keepNext w:val="0"/>
        <w:widowControl/>
        <w:numPr>
          <w:ilvl w:val="2"/>
          <w:numId w:val="16"/>
        </w:numPr>
        <w:spacing w:before="120" w:after="120"/>
        <w:rPr>
          <w:rFonts w:ascii="Times New Roman" w:hAnsi="Times New Roman" w:cs="Times New Roman"/>
          <w:sz w:val="24"/>
        </w:rPr>
      </w:pPr>
      <w:r>
        <w:rPr>
          <w:rFonts w:ascii="Times New Roman" w:hAnsi="Times New Roman" w:cs="Times New Roman"/>
          <w:sz w:val="24"/>
        </w:rPr>
        <w:t xml:space="preserve">A comprovação do capital social proporcional ao número de cooperados necessários à prestação do serviço; </w:t>
      </w:r>
    </w:p>
    <w:p w:rsidR="00B071EA" w:rsidRDefault="00FD3142">
      <w:pPr>
        <w:pStyle w:val="PADRO"/>
        <w:keepNext w:val="0"/>
        <w:widowControl/>
        <w:numPr>
          <w:ilvl w:val="2"/>
          <w:numId w:val="16"/>
        </w:numPr>
        <w:spacing w:before="120" w:after="120"/>
        <w:rPr>
          <w:rFonts w:ascii="Times New Roman" w:hAnsi="Times New Roman" w:cs="Times New Roman"/>
          <w:sz w:val="24"/>
        </w:rPr>
      </w:pPr>
      <w:r>
        <w:rPr>
          <w:rFonts w:ascii="Times New Roman" w:hAnsi="Times New Roman" w:cs="Times New Roman"/>
          <w:sz w:val="24"/>
        </w:rPr>
        <w:lastRenderedPageBreak/>
        <w:t>O registro previsto na Lei n. 5.764/71, art. 107;</w:t>
      </w:r>
    </w:p>
    <w:p w:rsidR="00B071EA" w:rsidRDefault="00FD3142">
      <w:pPr>
        <w:pStyle w:val="PADRO"/>
        <w:keepNext w:val="0"/>
        <w:widowControl/>
        <w:numPr>
          <w:ilvl w:val="2"/>
          <w:numId w:val="16"/>
        </w:numPr>
        <w:spacing w:before="120" w:after="120"/>
        <w:rPr>
          <w:rFonts w:ascii="Times New Roman" w:hAnsi="Times New Roman" w:cs="Times New Roman"/>
          <w:sz w:val="24"/>
        </w:rPr>
      </w:pPr>
      <w:r>
        <w:rPr>
          <w:rFonts w:ascii="Times New Roman" w:hAnsi="Times New Roman" w:cs="Times New Roman"/>
          <w:sz w:val="24"/>
        </w:rPr>
        <w:t xml:space="preserve"> A comprovação de integração das respectivas quotas-partes por parte dos cooperados que executarão o contrato; e</w:t>
      </w:r>
    </w:p>
    <w:p w:rsidR="00B071EA" w:rsidRDefault="00FD3142">
      <w:pPr>
        <w:pStyle w:val="PADRO"/>
        <w:keepNext w:val="0"/>
        <w:widowControl/>
        <w:numPr>
          <w:ilvl w:val="2"/>
          <w:numId w:val="16"/>
        </w:numPr>
        <w:spacing w:before="120" w:after="120"/>
        <w:rPr>
          <w:rFonts w:ascii="Times New Roman" w:hAnsi="Times New Roman" w:cs="Times New Roman"/>
          <w:sz w:val="24"/>
        </w:rPr>
      </w:pPr>
      <w:r>
        <w:rPr>
          <w:rFonts w:ascii="Times New Roman" w:hAnsi="Times New Roman" w:cs="Times New Roman"/>
          <w:sz w:val="24"/>
        </w:rPr>
        <w:t xml:space="preserve"> Os seguintes documentos para a comprovação da regularidade jurídica da cooperativa: a) ata de fundação; b) estatuto social com a ata da assembleia que o aprovou; c) regimento dos fundos instituídos pelos cooperados, com a ata da assembleia; d) editais de convocação das três últimas assembleias gerais extraordinárias; e) três registros de presença dos cooperados que executarão o contrato em assembleias gerais ou nas reuniões seccionais; e f) ata da sessão que os cooperados autorizaram a cooperativa a contratar o objeto da dispensa;</w:t>
      </w:r>
    </w:p>
    <w:p w:rsidR="00B071EA" w:rsidRDefault="00FD3142">
      <w:pPr>
        <w:pStyle w:val="PADRO"/>
        <w:keepNext w:val="0"/>
        <w:widowControl/>
        <w:numPr>
          <w:ilvl w:val="2"/>
          <w:numId w:val="16"/>
        </w:numPr>
        <w:spacing w:before="120" w:after="120"/>
        <w:rPr>
          <w:rFonts w:ascii="Times New Roman" w:hAnsi="Times New Roman" w:cs="Times New Roman"/>
          <w:sz w:val="24"/>
        </w:rPr>
      </w:pPr>
      <w:r>
        <w:rPr>
          <w:rFonts w:ascii="Times New Roman" w:hAnsi="Times New Roman" w:cs="Times New Roman"/>
          <w:sz w:val="24"/>
        </w:rPr>
        <w:t>A última auditoria contábil-financeira da cooperativa, conforme dispõe o art. 112 da Lei n. 5.764/71 ou uma declaração, sob as penas da lei, de que tal auditoria não foi exigida pelo órgão fiscalizador.</w:t>
      </w:r>
    </w:p>
    <w:sectPr w:rsidR="00B071EA">
      <w:footerReference w:type="default" r:id="rId15"/>
      <w:pgSz w:w="11906" w:h="16838"/>
      <w:pgMar w:top="567" w:right="1080" w:bottom="1440" w:left="1080" w:header="708" w:footer="708" w:gutter="0"/>
      <w:cols w:space="708"/>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ex:commentExtensible w16cex:durableId="24B52B00" w16cex:dateUtc="2021-08-04T18:04:00Z"/>
  <w16cex:commentExtensible w16cex:durableId="24B52B0C" w16cex:dateUtc="2021-08-04T18:04:00Z"/>
  <w16cex:commentExtensible w16cex:durableId="24B52B13" w16cex:dateUtc="2021-08-04T18:04:00Z"/>
  <w16cex:commentExtensible w16cex:durableId="24B52127" w16cex:dateUtc="2021-08-04T17:22:00Z"/>
  <w16cex:commentExtensible w16cex:durableId="24B51EF2" w16cex:dateUtc="2021-08-04T17:13:00Z"/>
  <w16cex:commentExtensible w16cex:durableId="24B52117" w16cex:dateUtc="2021-08-04T17:22:00Z"/>
  <w16cex:commentExtensible w16cex:durableId="24B52B25" w16cex:dateUtc="2021-08-04T18:05:00Z"/>
  <w16cex:commentExtensible w16cex:durableId="24B51152" w16cex:dateUtc="2021-08-04T16:14:00Z"/>
  <w16cex:commentExtensible w16cex:durableId="24B52B30" w16cex:dateUtc="2021-08-04T18:05:00Z"/>
  <w16cex:commentExtensible w16cex:durableId="24B5286C" w16cex:dateUtc="2021-08-04T17:53:00Z"/>
  <w16cex:commentExtensible w16cex:durableId="24B5174C" w16cex:dateUtc="2021-08-04T16:40:00Z"/>
  <w16cex:commentExtensible w16cex:durableId="24B51778" w16cex:dateUtc="2021-08-04T16:41:00Z"/>
  <w16cex:commentExtensible w16cex:durableId="24B51839" w16cex:dateUtc="2021-08-04T16:44:00Z"/>
  <w16cex:commentExtensible w16cex:durableId="24B51B75" w16cex:dateUtc="2021-08-04T16:58:00Z"/>
  <w16cex:commentExtensible w16cex:durableId="24B52B3F" w16cex:dateUtc="2021-08-04T18:05:00Z"/>
  <w16cex:commentExtensible w16cex:durableId="24B51BB4" w16cex:dateUtc="2021-08-04T16:59:00Z"/>
  <w16cex:commentExtensible w16cex:durableId="24B51BA4" w16cex:dateUtc="2021-08-04T16:59:00Z"/>
  <w16cex:commentExtensible w16cex:durableId="24B51E42" w16cex:dateUtc="2021-08-04T17:10:00Z"/>
  <w16cex:commentExtensible w16cex:durableId="24B52B4E" w16cex:dateUtc="2021-08-04T18:05:00Z"/>
  <w16cex:commentExtensible w16cex:durableId="24B520B1" w16cex:dateUtc="2021-08-04T17:20:00Z"/>
  <w16cex:commentExtensible w16cex:durableId="24AE5101" w16cex:dateUtc="2021-07-30T13:20:00Z"/>
  <w16cex:commentExtensible w16cex:durableId="24B52099" w16cex:dateUtc="2021-08-04T17:20:00Z"/>
  <w16cex:commentExtensible w16cex:durableId="24AE516F" w16cex:dateUtc="2021-07-30T13:22:00Z"/>
  <w16cex:commentExtensible w16cex:durableId="24B51FCC" w16cex:dateUtc="2021-08-04T17:16:00Z"/>
  <w16cex:commentExtensible w16cex:durableId="24B52B5B" w16cex:dateUtc="2021-08-04T18:06:00Z"/>
  <w16cex:commentExtensible w16cex:durableId="24B52151" w16cex:dateUtc="2021-08-04T17:23:00Z"/>
  <w16cex:commentExtensible w16cex:durableId="24B5273E" w16cex:dateUtc="2021-08-04T17:48:00Z"/>
  <w16cex:commentExtensible w16cex:durableId="24B5297D" w16cex:dateUtc="2021-08-04T17:58:00Z"/>
  <w16cex:commentExtensible w16cex:durableId="24B52B63" w16cex:dateUtc="2021-08-04T18:06:00Z"/>
  <w16cex:commentExtensible w16cex:durableId="24AE52B4" w16cex:dateUtc="2021-07-30T13:28:00Z"/>
  <w16cex:commentExtensible w16cex:durableId="24B52A90" w16cex:dateUtc="2021-08-04T18:02:00Z"/>
  <w16cex:commentExtensible w16cex:durableId="24B52B6C" w16cex:dateUtc="2021-08-04T18:06:00Z"/>
  <w16cex:commentExtensible w16cex:durableId="24B52C08" w16cex:dateUtc="2021-08-04T18:08:00Z"/>
  <w16cex:commentExtensible w16cex:durableId="24AE52EB" w16cex:dateUtc="2021-07-30T13:28:00Z"/>
  <w16cex:commentExtensible w16cex:durableId="24B52AEC" w16cex:dateUtc="2021-08-04T18:04:00Z"/>
  <w16cex:commentExtensible w16cex:durableId="24B52C61" w16cex:dateUtc="2021-08-04T18:10:00Z"/>
  <w16cex:commentExtensible w16cex:durableId="24B52D89" w16cex:dateUtc="2021-08-04T18:15:00Z"/>
  <w16cex:commentExtensible w16cex:durableId="24B52B1A" w16cex:dateUtc="2021-08-04T18:04:00Z"/>
  <w16cex:commentExtensible w16cex:durableId="24B52E37" w16cex:dateUtc="2021-08-04T18:18:00Z"/>
  <w16cex:commentExtensible w16cex:durableId="24B52FFA" w16cex:dateUtc="2021-08-04T18:25:00Z"/>
  <w16cex:commentExtensible w16cex:durableId="24B65BA0" w16cex:dateUtc="2021-08-05T15:44:00Z"/>
  <w16cex:commentExtensible w16cex:durableId="24B65B78" w16cex:dateUtc="2021-08-05T15:43:00Z"/>
  <w16cex:commentExtensible w16cex:durableId="24B52B79" w16cex:dateUtc="2021-08-04T18:06:00Z"/>
  <w16cex:commentExtensible w16cex:durableId="24B65D1A" w16cex:dateUtc="2021-08-05T15:50:00Z"/>
  <w16cex:commentExtensible w16cex:durableId="24B65D2B" w16cex:dateUtc="2021-08-05T15:50:00Z"/>
  <w16cex:commentExtensible w16cex:durableId="24B65D4B" w16cex:dateUtc="2021-08-05T15:51:00Z"/>
  <w16cex:commentExtensible w16cex:durableId="24AE56EA" w16cex:dateUtc="2021-07-30T13:46:00Z"/>
  <w16cex:commentExtensible w16cex:durableId="24B533C8" w16cex:dateUtc="2021-08-04T18:42:00Z"/>
  <w16cex:commentExtensible w16cex:durableId="24B52B82" w16cex:dateUtc="2021-08-04T18:06:00Z"/>
  <w16cex:commentExtensible w16cex:durableId="24B52B89" w16cex:dateUtc="2021-08-04T18:06:00Z"/>
  <w16cex:commentExtensible w16cex:durableId="24B52B90" w16cex:dateUtc="2021-08-04T18:06:00Z"/>
  <w16cex:commentExtensible w16cex:durableId="24B65DBE" w16cex:dateUtc="2021-08-05T15:53:00Z"/>
  <w16cex:commentExtensible w16cex:durableId="24B65DD1" w16cex:dateUtc="2021-08-05T15:53:00Z"/>
  <w16cex:commentExtensible w16cex:durableId="24B65E15" w16cex:dateUtc="2021-08-05T15:54:00Z"/>
  <w16cex:commentExtensible w16cex:durableId="24B65E4A" w16cex:dateUtc="2021-08-05T15:55:00Z"/>
  <w16cex:commentExtensible w16cex:durableId="24B52B95" w16cex:dateUtc="2021-08-04T18:07:00Z"/>
  <w16cex:commentExtensible w16cex:durableId="24B65FB8" w16cex:dateUtc="2021-08-05T16:01:00Z"/>
  <w16cex:commentExtensible w16cex:durableId="24B52B9B" w16cex:dateUtc="2021-08-04T18:07:00Z"/>
  <w16cex:commentExtensible w16cex:durableId="24B52BA0" w16cex:dateUtc="2021-08-04T18:07:00Z"/>
  <w16cex:commentExtensible w16cex:durableId="24B52BA5" w16cex:dateUtc="2021-08-04T18:07:00Z"/>
  <w16cex:commentExtensible w16cex:durableId="24B6607E" w16cex:dateUtc="2021-08-05T16:05:00Z"/>
  <w16cex:commentExtensible w16cex:durableId="24BB6B25" w16cex:dateUtc="2021-08-09T11:51:00Z"/>
  <w16cex:commentExtensible w16cex:durableId="24B661A0" w16cex:dateUtc="2021-08-05T16:09:00Z"/>
  <w16cex:commentExtensible w16cex:durableId="24BB6B2F" w16cex:dateUtc="2021-08-09T11:51:00Z"/>
  <w16cex:commentExtensible w16cex:durableId="24AE585E" w16cex:dateUtc="2021-07-30T13:52:00Z"/>
  <w16cex:commentExtensible w16cex:durableId="24B52BB2" w16cex:dateUtc="2021-08-04T18:07:00Z"/>
  <w16cex:commentExtensible w16cex:durableId="24B66313" w16cex:dateUtc="2021-08-05T16:16:00Z"/>
  <w16cex:commentExtensible w16cex:durableId="24B52BAF" w16cex:dateUtc="2021-08-04T18:07:00Z"/>
  <w16cex:commentExtensible w16cex:durableId="24B66380" w16cex:dateUtc="2021-08-05T16:17:00Z"/>
  <w16cex:commentExtensible w16cex:durableId="24B52BBC" w16cex:dateUtc="2021-08-04T18:07:00Z"/>
  <w16cex:commentExtensible w16cex:durableId="24B52BC0" w16cex:dateUtc="2021-08-04T18:07:00Z"/>
  <w16cex:commentExtensible w16cex:durableId="24B52BC4" w16cex:dateUtc="2021-08-04T18:07:00Z"/>
  <w16cex:commentExtensible w16cex:durableId="24B52BC9" w16cex:dateUtc="2021-08-04T18:07:00Z"/>
  <w16cex:commentExtensible w16cex:durableId="24BB6AFC" w16cex:dateUtc="2021-08-09T11:51:00Z"/>
  <w16cex:commentExtensible w16cex:durableId="24BB6B6D" w16cex:dateUtc="2021-08-09T11:53:00Z"/>
  <w16cex:commentExtensible w16cex:durableId="24B52BDF" w16cex:dateUtc="2021-08-04T18:08: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id:commentId w16cid:paraId="18E65796" w16cid:durableId="24B52B00"/>
  <w16cid:commentId w16cid:paraId="4E8F40CB" w16cid:durableId="24B52B0C"/>
  <w16cid:commentId w16cid:paraId="3D769D73" w16cid:durableId="24B52B13"/>
  <w16cid:commentId w16cid:paraId="4F48755E" w16cid:durableId="24B52127"/>
  <w16cid:commentId w16cid:paraId="524210F9" w16cid:durableId="24B51EF2"/>
  <w16cid:commentId w16cid:paraId="630EA152" w16cid:durableId="24B52117"/>
  <w16cid:commentId w16cid:paraId="3E6D0A5C" w16cid:durableId="24B52B25"/>
  <w16cid:commentId w16cid:paraId="197972EA" w16cid:durableId="24B51152"/>
  <w16cid:commentId w16cid:paraId="43610271" w16cid:durableId="24B52B30"/>
  <w16cid:commentId w16cid:paraId="318924EE" w16cid:durableId="24B5286C"/>
  <w16cid:commentId w16cid:paraId="18C951F3" w16cid:durableId="24B5174C"/>
  <w16cid:commentId w16cid:paraId="34F66123" w16cid:durableId="24B51778"/>
  <w16cid:commentId w16cid:paraId="3412794A" w16cid:durableId="24B51839"/>
  <w16cid:commentId w16cid:paraId="30EF973C" w16cid:durableId="24B51B75"/>
  <w16cid:commentId w16cid:paraId="1521336B" w16cid:durableId="24B52B3F"/>
  <w16cid:commentId w16cid:paraId="1A5DAC58" w16cid:durableId="24B51BB4"/>
  <w16cid:commentId w16cid:paraId="035DEC40" w16cid:durableId="24B51BA4"/>
  <w16cid:commentId w16cid:paraId="7F17B0F8" w16cid:durableId="24B51E42"/>
  <w16cid:commentId w16cid:paraId="6B1716D3" w16cid:durableId="24B52B4E"/>
  <w16cid:commentId w16cid:paraId="057BFB3C" w16cid:durableId="24B520B1"/>
  <w16cid:commentId w16cid:paraId="34EC0A39" w16cid:durableId="24AE5101"/>
  <w16cid:commentId w16cid:paraId="252749A5" w16cid:durableId="24B52099"/>
  <w16cid:commentId w16cid:paraId="6DA09903" w16cid:durableId="24AE516F"/>
  <w16cid:commentId w16cid:paraId="7DEF7C2B" w16cid:durableId="24B51FCC"/>
  <w16cid:commentId w16cid:paraId="50638AB0" w16cid:durableId="24B52B5B"/>
  <w16cid:commentId w16cid:paraId="3BC34D64" w16cid:durableId="24B52151"/>
  <w16cid:commentId w16cid:paraId="2CC25515" w16cid:durableId="24B5273E"/>
  <w16cid:commentId w16cid:paraId="28F89026" w16cid:durableId="24B5297D"/>
  <w16cid:commentId w16cid:paraId="05539FC3" w16cid:durableId="24B52B63"/>
  <w16cid:commentId w16cid:paraId="2FE2896E" w16cid:durableId="24AE52B4"/>
  <w16cid:commentId w16cid:paraId="7ED8C6EF" w16cid:durableId="24B52A90"/>
  <w16cid:commentId w16cid:paraId="366A21EA" w16cid:durableId="24B52B6C"/>
  <w16cid:commentId w16cid:paraId="07B9392F" w16cid:durableId="24B52C08"/>
  <w16cid:commentId w16cid:paraId="030BE37C" w16cid:durableId="24AE52EB"/>
  <w16cid:commentId w16cid:paraId="53A1FCF9" w16cid:durableId="24B52AEC"/>
  <w16cid:commentId w16cid:paraId="776FFF06" w16cid:durableId="24B52C61"/>
  <w16cid:commentId w16cid:paraId="12E3B959" w16cid:durableId="24B52D89"/>
  <w16cid:commentId w16cid:paraId="1A80BD55" w16cid:durableId="24B52B1A"/>
  <w16cid:commentId w16cid:paraId="19696678" w16cid:durableId="24B52E37"/>
  <w16cid:commentId w16cid:paraId="0D0179A3" w16cid:durableId="24B52FFA"/>
  <w16cid:commentId w16cid:paraId="65A02DCE" w16cid:durableId="24B65BA0"/>
  <w16cid:commentId w16cid:paraId="624597CD" w16cid:durableId="24B65B78"/>
  <w16cid:commentId w16cid:paraId="142C9F1E" w16cid:durableId="24B52B79"/>
  <w16cid:commentId w16cid:paraId="654C56D7" w16cid:durableId="24B65D1A"/>
  <w16cid:commentId w16cid:paraId="41E48295" w16cid:durableId="24B65D2B"/>
  <w16cid:commentId w16cid:paraId="3457E946" w16cid:durableId="24B65D4B"/>
  <w16cid:commentId w16cid:paraId="5B89BD33" w16cid:durableId="24AE56EA"/>
  <w16cid:commentId w16cid:paraId="7DCFDCE3" w16cid:durableId="24B533C8"/>
  <w16cid:commentId w16cid:paraId="1B8DB585" w16cid:durableId="24B52B82"/>
  <w16cid:commentId w16cid:paraId="1451A472" w16cid:durableId="24B52B89"/>
  <w16cid:commentId w16cid:paraId="4E6A1BE8" w16cid:durableId="24B52B90"/>
  <w16cid:commentId w16cid:paraId="18AC3CD8" w16cid:durableId="24B65DBE"/>
  <w16cid:commentId w16cid:paraId="2A163E98" w16cid:durableId="24B65DD1"/>
  <w16cid:commentId w16cid:paraId="03C1A727" w16cid:durableId="24B65E15"/>
  <w16cid:commentId w16cid:paraId="69BF06DA" w16cid:durableId="24B65E4A"/>
  <w16cid:commentId w16cid:paraId="79D2F5A0" w16cid:durableId="24B52B95"/>
  <w16cid:commentId w16cid:paraId="487CD021" w16cid:durableId="24B65FB8"/>
  <w16cid:commentId w16cid:paraId="392F22D0" w16cid:durableId="24B52B9B"/>
  <w16cid:commentId w16cid:paraId="4B3CADCF" w16cid:durableId="24B52BA0"/>
  <w16cid:commentId w16cid:paraId="22E2CE9A" w16cid:durableId="24B52BA5"/>
  <w16cid:commentId w16cid:paraId="23FEC1BD" w16cid:durableId="24B6607E"/>
  <w16cid:commentId w16cid:paraId="6F2334BA" w16cid:durableId="24BB6B25"/>
  <w16cid:commentId w16cid:paraId="3A1CE476" w16cid:durableId="24B661A0"/>
  <w16cid:commentId w16cid:paraId="42913F9B" w16cid:durableId="24BB6B2F"/>
  <w16cid:commentId w16cid:paraId="0E5CCC54" w16cid:durableId="24AE585E"/>
  <w16cid:commentId w16cid:paraId="3A12938B" w16cid:durableId="24B52BB2"/>
  <w16cid:commentId w16cid:paraId="0F65F6CA" w16cid:durableId="24B66313"/>
  <w16cid:commentId w16cid:paraId="2938FD0D" w16cid:durableId="24B52BAF"/>
  <w16cid:commentId w16cid:paraId="16A26ACB" w16cid:durableId="24B66380"/>
  <w16cid:commentId w16cid:paraId="6A62AD5D" w16cid:durableId="24B52BBC"/>
  <w16cid:commentId w16cid:paraId="466639CB" w16cid:durableId="24B52BC0"/>
  <w16cid:commentId w16cid:paraId="11CBFC55" w16cid:durableId="24B52BC4"/>
  <w16cid:commentId w16cid:paraId="6C91ED19" w16cid:durableId="24B52BC9"/>
  <w16cid:commentId w16cid:paraId="22EBB781" w16cid:durableId="24BB6AFC"/>
  <w16cid:commentId w16cid:paraId="38D27810" w16cid:durableId="24BB6B6D"/>
  <w16cid:commentId w16cid:paraId="4F631920" w16cid:durableId="24B52BDF"/>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12F41" w:rsidRDefault="00912F41">
      <w:r>
        <w:separator/>
      </w:r>
    </w:p>
  </w:endnote>
  <w:endnote w:type="continuationSeparator" w:id="0">
    <w:p w:rsidR="00912F41" w:rsidRDefault="00912F4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A0002AEF" w:usb1="4000207B" w:usb2="00000000" w:usb3="00000000" w:csb0="000001FF" w:csb1="00000000"/>
  </w:font>
  <w:font w:name="Ecofont_Spranq_eco_Sans">
    <w:altName w:val="Malgun Gothic"/>
    <w:charset w:val="00"/>
    <w:family w:val="swiss"/>
    <w:pitch w:val="variable"/>
    <w:sig w:usb0="800000AF" w:usb1="1000204A" w:usb2="00000000" w:usb3="00000000" w:csb0="00000001"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Arial Unicode MS">
    <w:panose1 w:val="020B0604020202020204"/>
    <w:charset w:val="00"/>
    <w:family w:val="swiss"/>
    <w:pitch w:val="variable"/>
  </w:font>
  <w:font w:name="Segoe UI">
    <w:panose1 w:val="020B0502040204020203"/>
    <w:charset w:val="00"/>
    <w:family w:val="swiss"/>
    <w:pitch w:val="variable"/>
    <w:sig w:usb0="E4002EFF" w:usb1="C000E47F" w:usb2="00000009" w:usb3="00000000" w:csb0="000001FF" w:csb1="00000000"/>
  </w:font>
  <w:font w:name="Zurich BT">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D3142" w:rsidRDefault="00FD3142">
    <w:pPr>
      <w:pStyle w:val="Rodap"/>
      <w:rPr>
        <w:sz w:val="12"/>
        <w:szCs w:val="12"/>
      </w:rPr>
    </w:pPr>
    <w:r>
      <w:rPr>
        <w:sz w:val="12"/>
        <w:szCs w:val="12"/>
      </w:rPr>
      <w:t>Câmara Nacional de Modelos de Licitações e Contratos – CNMLC/CGU/AGU</w:t>
    </w:r>
  </w:p>
  <w:p w:rsidR="00FD3142" w:rsidRDefault="00FD3142">
    <w:pPr>
      <w:pStyle w:val="Rodap"/>
      <w:rPr>
        <w:sz w:val="12"/>
        <w:szCs w:val="12"/>
      </w:rPr>
    </w:pPr>
    <w:r>
      <w:rPr>
        <w:sz w:val="12"/>
        <w:szCs w:val="12"/>
      </w:rPr>
      <w:t>Aviso de Dispensa Eletrônica – Lei nº 14.133/21 e IN SEGES/ME nº 67/2021</w:t>
    </w:r>
  </w:p>
  <w:p w:rsidR="00FD3142" w:rsidRDefault="00FD3142">
    <w:pPr>
      <w:pStyle w:val="Rodap"/>
    </w:pPr>
    <w:r>
      <w:rPr>
        <w:sz w:val="12"/>
        <w:szCs w:val="12"/>
      </w:rPr>
      <w:t>Versão: Agosto/2021</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12F41" w:rsidRDefault="00912F41">
      <w:r>
        <w:separator/>
      </w:r>
    </w:p>
  </w:footnote>
  <w:footnote w:type="continuationSeparator" w:id="0">
    <w:p w:rsidR="00912F41" w:rsidRDefault="00912F4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10E017A0"/>
    <w:multiLevelType w:val="multilevel"/>
    <w:tmpl w:val="1E341640"/>
    <w:lvl w:ilvl="0">
      <w:start w:val="8"/>
      <w:numFmt w:val="decimal"/>
      <w:lvlText w:val="%1"/>
      <w:lvlJc w:val="left"/>
      <w:pPr>
        <w:ind w:left="360" w:hanging="360"/>
      </w:pPr>
      <w:rPr>
        <w:rFonts w:hint="default"/>
        <w:i w:val="0"/>
        <w:color w:val="000000"/>
      </w:rPr>
    </w:lvl>
    <w:lvl w:ilvl="1">
      <w:start w:val="1"/>
      <w:numFmt w:val="decimal"/>
      <w:lvlText w:val="%1.%2"/>
      <w:lvlJc w:val="left"/>
      <w:pPr>
        <w:ind w:left="360" w:hanging="360"/>
      </w:pPr>
      <w:rPr>
        <w:rFonts w:hint="default"/>
        <w:i w:val="0"/>
        <w:color w:val="000000"/>
      </w:rPr>
    </w:lvl>
    <w:lvl w:ilvl="2">
      <w:start w:val="1"/>
      <w:numFmt w:val="decimal"/>
      <w:lvlText w:val="%1.%2.%3"/>
      <w:lvlJc w:val="left"/>
      <w:pPr>
        <w:ind w:left="720" w:hanging="720"/>
      </w:pPr>
      <w:rPr>
        <w:rFonts w:hint="default"/>
        <w:i w:val="0"/>
        <w:color w:val="000000"/>
      </w:rPr>
    </w:lvl>
    <w:lvl w:ilvl="3">
      <w:start w:val="1"/>
      <w:numFmt w:val="decimal"/>
      <w:lvlText w:val="%1.%2.%3.%4"/>
      <w:lvlJc w:val="left"/>
      <w:pPr>
        <w:ind w:left="2137" w:hanging="720"/>
      </w:pPr>
      <w:rPr>
        <w:rFonts w:hint="default"/>
        <w:i w:val="0"/>
        <w:color w:val="000000"/>
      </w:rPr>
    </w:lvl>
    <w:lvl w:ilvl="4">
      <w:start w:val="1"/>
      <w:numFmt w:val="decimal"/>
      <w:lvlText w:val="%1.%2.%3.%4.%5"/>
      <w:lvlJc w:val="left"/>
      <w:pPr>
        <w:ind w:left="3490" w:hanging="1080"/>
      </w:pPr>
      <w:rPr>
        <w:rFonts w:hint="default"/>
        <w:i w:val="0"/>
        <w:color w:val="000000"/>
      </w:rPr>
    </w:lvl>
    <w:lvl w:ilvl="5">
      <w:start w:val="1"/>
      <w:numFmt w:val="decimal"/>
      <w:lvlText w:val="%1.%2.%3.%4.%5.%6"/>
      <w:lvlJc w:val="left"/>
      <w:pPr>
        <w:ind w:left="1080" w:hanging="1080"/>
      </w:pPr>
      <w:rPr>
        <w:rFonts w:hint="default"/>
        <w:i w:val="0"/>
        <w:color w:val="000000"/>
      </w:rPr>
    </w:lvl>
    <w:lvl w:ilvl="6">
      <w:start w:val="1"/>
      <w:numFmt w:val="decimal"/>
      <w:lvlText w:val="%1.%2.%3.%4.%5.%6.%7"/>
      <w:lvlJc w:val="left"/>
      <w:pPr>
        <w:ind w:left="1440" w:hanging="1440"/>
      </w:pPr>
      <w:rPr>
        <w:rFonts w:hint="default"/>
        <w:i w:val="0"/>
        <w:color w:val="000000"/>
      </w:rPr>
    </w:lvl>
    <w:lvl w:ilvl="7">
      <w:start w:val="1"/>
      <w:numFmt w:val="decimal"/>
      <w:lvlText w:val="%1.%2.%3.%4.%5.%6.%7.%8"/>
      <w:lvlJc w:val="left"/>
      <w:pPr>
        <w:ind w:left="1440" w:hanging="1440"/>
      </w:pPr>
      <w:rPr>
        <w:rFonts w:hint="default"/>
        <w:i w:val="0"/>
        <w:color w:val="000000"/>
      </w:rPr>
    </w:lvl>
    <w:lvl w:ilvl="8">
      <w:start w:val="1"/>
      <w:numFmt w:val="decimal"/>
      <w:lvlText w:val="%1.%2.%3.%4.%5.%6.%7.%8.%9"/>
      <w:lvlJc w:val="left"/>
      <w:pPr>
        <w:ind w:left="1800" w:hanging="1800"/>
      </w:pPr>
      <w:rPr>
        <w:rFonts w:hint="default"/>
        <w:i w:val="0"/>
        <w:color w:val="000000"/>
      </w:rPr>
    </w:lvl>
  </w:abstractNum>
  <w:abstractNum w:abstractNumId="2" w15:restartNumberingAfterBreak="0">
    <w:nsid w:val="1D5C100D"/>
    <w:multiLevelType w:val="multilevel"/>
    <w:tmpl w:val="B8C62052"/>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val="0"/>
        <w:i w:val="0"/>
        <w:iCs/>
      </w:rPr>
    </w:lvl>
    <w:lvl w:ilvl="2">
      <w:start w:val="1"/>
      <w:numFmt w:val="decimal"/>
      <w:lvlText w:val="%1.%2.%3."/>
      <w:lvlJc w:val="left"/>
      <w:pPr>
        <w:ind w:left="1224" w:hanging="504"/>
      </w:pPr>
      <w:rPr>
        <w:rFonts w:ascii="Arial" w:hAnsi="Arial" w:cs="Arial" w:hint="default"/>
        <w:b w:val="0"/>
        <w:i w:val="0"/>
        <w:iCs/>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 w15:restartNumberingAfterBreak="0">
    <w:nsid w:val="279C4BEC"/>
    <w:multiLevelType w:val="multilevel"/>
    <w:tmpl w:val="148CA39E"/>
    <w:lvl w:ilvl="0">
      <w:start w:val="9"/>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b w:val="0"/>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4" w15:restartNumberingAfterBreak="0">
    <w:nsid w:val="294D3837"/>
    <w:multiLevelType w:val="multilevel"/>
    <w:tmpl w:val="B3208B08"/>
    <w:lvl w:ilvl="0">
      <w:start w:val="9"/>
      <w:numFmt w:val="decimal"/>
      <w:lvlText w:val="%1"/>
      <w:lvlJc w:val="left"/>
      <w:pPr>
        <w:ind w:left="735" w:hanging="360"/>
      </w:pPr>
    </w:lvl>
    <w:lvl w:ilvl="1">
      <w:start w:val="1"/>
      <w:numFmt w:val="decimal"/>
      <w:isLgl/>
      <w:lvlText w:val="%1.%2."/>
      <w:lvlJc w:val="left"/>
      <w:pPr>
        <w:ind w:left="1287" w:hanging="360"/>
      </w:pPr>
      <w:rPr>
        <w:b w:val="0"/>
      </w:rPr>
    </w:lvl>
    <w:lvl w:ilvl="2">
      <w:start w:val="1"/>
      <w:numFmt w:val="decimal"/>
      <w:isLgl/>
      <w:lvlText w:val="%1.%2.%3."/>
      <w:lvlJc w:val="left"/>
      <w:pPr>
        <w:ind w:left="2199" w:hanging="720"/>
      </w:pPr>
      <w:rPr>
        <w:b w:val="0"/>
      </w:rPr>
    </w:lvl>
    <w:lvl w:ilvl="3">
      <w:start w:val="1"/>
      <w:numFmt w:val="decimal"/>
      <w:isLgl/>
      <w:lvlText w:val="%1.%2.%3.%4."/>
      <w:lvlJc w:val="left"/>
      <w:pPr>
        <w:ind w:left="2751" w:hanging="720"/>
      </w:pPr>
    </w:lvl>
    <w:lvl w:ilvl="4">
      <w:start w:val="1"/>
      <w:numFmt w:val="decimal"/>
      <w:isLgl/>
      <w:lvlText w:val="%1.%2.%3.%4.%5."/>
      <w:lvlJc w:val="left"/>
      <w:pPr>
        <w:ind w:left="3663" w:hanging="1080"/>
      </w:pPr>
    </w:lvl>
    <w:lvl w:ilvl="5">
      <w:start w:val="1"/>
      <w:numFmt w:val="decimal"/>
      <w:isLgl/>
      <w:lvlText w:val="%1.%2.%3.%4.%5.%6."/>
      <w:lvlJc w:val="left"/>
      <w:pPr>
        <w:ind w:left="4215" w:hanging="1080"/>
      </w:pPr>
    </w:lvl>
    <w:lvl w:ilvl="6">
      <w:start w:val="1"/>
      <w:numFmt w:val="decimal"/>
      <w:isLgl/>
      <w:lvlText w:val="%1.%2.%3.%4.%5.%6.%7."/>
      <w:lvlJc w:val="left"/>
      <w:pPr>
        <w:ind w:left="5127" w:hanging="1440"/>
      </w:pPr>
    </w:lvl>
    <w:lvl w:ilvl="7">
      <w:start w:val="1"/>
      <w:numFmt w:val="decimal"/>
      <w:isLgl/>
      <w:lvlText w:val="%1.%2.%3.%4.%5.%6.%7.%8."/>
      <w:lvlJc w:val="left"/>
      <w:pPr>
        <w:ind w:left="5679" w:hanging="1440"/>
      </w:pPr>
    </w:lvl>
    <w:lvl w:ilvl="8">
      <w:start w:val="1"/>
      <w:numFmt w:val="decimal"/>
      <w:isLgl/>
      <w:lvlText w:val="%1.%2.%3.%4.%5.%6.%7.%8.%9."/>
      <w:lvlJc w:val="left"/>
      <w:pPr>
        <w:ind w:left="6591" w:hanging="1800"/>
      </w:pPr>
    </w:lvl>
  </w:abstractNum>
  <w:abstractNum w:abstractNumId="5" w15:restartNumberingAfterBreak="0">
    <w:nsid w:val="2C5315C3"/>
    <w:multiLevelType w:val="multilevel"/>
    <w:tmpl w:val="11EE5E1E"/>
    <w:lvl w:ilvl="0">
      <w:start w:val="7"/>
      <w:numFmt w:val="decimal"/>
      <w:lvlText w:val="%1"/>
      <w:lvlJc w:val="left"/>
      <w:pPr>
        <w:ind w:left="360" w:hanging="360"/>
      </w:pPr>
      <w:rPr>
        <w:rFonts w:hint="default"/>
        <w:color w:val="auto"/>
      </w:rPr>
    </w:lvl>
    <w:lvl w:ilvl="1">
      <w:start w:val="1"/>
      <w:numFmt w:val="decimal"/>
      <w:lvlText w:val="%1.%2"/>
      <w:lvlJc w:val="left"/>
      <w:pPr>
        <w:ind w:left="785" w:hanging="360"/>
      </w:pPr>
      <w:rPr>
        <w:rFonts w:hint="default"/>
        <w:color w:val="auto"/>
      </w:rPr>
    </w:lvl>
    <w:lvl w:ilvl="2">
      <w:start w:val="1"/>
      <w:numFmt w:val="decimal"/>
      <w:lvlText w:val="%1.%2.%3"/>
      <w:lvlJc w:val="left"/>
      <w:pPr>
        <w:ind w:left="1570" w:hanging="720"/>
      </w:pPr>
      <w:rPr>
        <w:rFonts w:hint="default"/>
        <w:color w:val="auto"/>
      </w:rPr>
    </w:lvl>
    <w:lvl w:ilvl="3">
      <w:start w:val="1"/>
      <w:numFmt w:val="decimal"/>
      <w:lvlText w:val="%1.%2.%3.%4"/>
      <w:lvlJc w:val="left"/>
      <w:pPr>
        <w:ind w:left="1995" w:hanging="720"/>
      </w:pPr>
      <w:rPr>
        <w:rFonts w:hint="default"/>
        <w:color w:val="auto"/>
      </w:rPr>
    </w:lvl>
    <w:lvl w:ilvl="4">
      <w:start w:val="1"/>
      <w:numFmt w:val="decimal"/>
      <w:lvlText w:val="%1.%2.%3.%4.%5"/>
      <w:lvlJc w:val="left"/>
      <w:pPr>
        <w:ind w:left="2780" w:hanging="1080"/>
      </w:pPr>
      <w:rPr>
        <w:rFonts w:hint="default"/>
        <w:color w:val="auto"/>
      </w:rPr>
    </w:lvl>
    <w:lvl w:ilvl="5">
      <w:start w:val="1"/>
      <w:numFmt w:val="decimal"/>
      <w:lvlText w:val="%1.%2.%3.%4.%5.%6"/>
      <w:lvlJc w:val="left"/>
      <w:pPr>
        <w:ind w:left="3205" w:hanging="1080"/>
      </w:pPr>
      <w:rPr>
        <w:rFonts w:hint="default"/>
        <w:color w:val="auto"/>
      </w:rPr>
    </w:lvl>
    <w:lvl w:ilvl="6">
      <w:start w:val="1"/>
      <w:numFmt w:val="decimal"/>
      <w:lvlText w:val="%1.%2.%3.%4.%5.%6.%7"/>
      <w:lvlJc w:val="left"/>
      <w:pPr>
        <w:ind w:left="3990" w:hanging="1440"/>
      </w:pPr>
      <w:rPr>
        <w:rFonts w:hint="default"/>
        <w:color w:val="auto"/>
      </w:rPr>
    </w:lvl>
    <w:lvl w:ilvl="7">
      <w:start w:val="1"/>
      <w:numFmt w:val="decimal"/>
      <w:lvlText w:val="%1.%2.%3.%4.%5.%6.%7.%8"/>
      <w:lvlJc w:val="left"/>
      <w:pPr>
        <w:ind w:left="4415" w:hanging="1440"/>
      </w:pPr>
      <w:rPr>
        <w:rFonts w:hint="default"/>
        <w:color w:val="auto"/>
      </w:rPr>
    </w:lvl>
    <w:lvl w:ilvl="8">
      <w:start w:val="1"/>
      <w:numFmt w:val="decimal"/>
      <w:lvlText w:val="%1.%2.%3.%4.%5.%6.%7.%8.%9"/>
      <w:lvlJc w:val="left"/>
      <w:pPr>
        <w:ind w:left="5200" w:hanging="1800"/>
      </w:pPr>
      <w:rPr>
        <w:rFonts w:hint="default"/>
        <w:color w:val="auto"/>
      </w:rPr>
    </w:lvl>
  </w:abstractNum>
  <w:abstractNum w:abstractNumId="6" w15:restartNumberingAfterBreak="0">
    <w:nsid w:val="31AE10C0"/>
    <w:multiLevelType w:val="multilevel"/>
    <w:tmpl w:val="862259B8"/>
    <w:lvl w:ilvl="0">
      <w:start w:val="1"/>
      <w:numFmt w:val="decimal"/>
      <w:lvlText w:val="%1."/>
      <w:lvlJc w:val="left"/>
      <w:pPr>
        <w:ind w:left="360" w:hanging="360"/>
      </w:pPr>
      <w:rPr>
        <w:rFonts w:ascii="Arial" w:eastAsiaTheme="majorEastAsia" w:hAnsi="Arial" w:cs="Arial" w:hint="default"/>
        <w:b/>
      </w:rPr>
    </w:lvl>
    <w:lvl w:ilvl="1">
      <w:start w:val="1"/>
      <w:numFmt w:val="decimal"/>
      <w:lvlText w:val="%1.%2."/>
      <w:lvlJc w:val="left"/>
      <w:pPr>
        <w:ind w:left="1141" w:hanging="432"/>
      </w:pPr>
      <w:rPr>
        <w:rFonts w:hint="default"/>
        <w:b w:val="0"/>
        <w:i w:val="0"/>
        <w:iCs/>
      </w:rPr>
    </w:lvl>
    <w:lvl w:ilvl="2">
      <w:start w:val="1"/>
      <w:numFmt w:val="decimal"/>
      <w:lvlText w:val="%3."/>
      <w:lvlJc w:val="left"/>
      <w:pPr>
        <w:ind w:left="1922" w:hanging="504"/>
      </w:pPr>
      <w:rPr>
        <w:rFonts w:hint="default"/>
        <w:b w:val="0"/>
        <w:i w:val="0"/>
        <w:iCs/>
        <w:color w:val="auto"/>
      </w:rPr>
    </w:lvl>
    <w:lvl w:ilvl="3">
      <w:start w:val="1"/>
      <w:numFmt w:val="decimal"/>
      <w:lvlText w:val="%1.%2.%3.%4."/>
      <w:lvlJc w:val="left"/>
      <w:pPr>
        <w:ind w:left="2775"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15:restartNumberingAfterBreak="0">
    <w:nsid w:val="3F1371D0"/>
    <w:multiLevelType w:val="hybridMultilevel"/>
    <w:tmpl w:val="2E4EC1F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8" w15:restartNumberingAfterBreak="0">
    <w:nsid w:val="43BB2443"/>
    <w:multiLevelType w:val="multilevel"/>
    <w:tmpl w:val="D0805BFC"/>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val="0"/>
        <w:i w:val="0"/>
        <w:iCs/>
      </w:rPr>
    </w:lvl>
    <w:lvl w:ilvl="2">
      <w:start w:val="1"/>
      <w:numFmt w:val="lowerLetter"/>
      <w:lvlText w:val="%3)"/>
      <w:lvlJc w:val="left"/>
      <w:pPr>
        <w:ind w:left="1224" w:hanging="504"/>
      </w:pPr>
      <w:rPr>
        <w:rFonts w:hint="default"/>
        <w:b w:val="0"/>
        <w:i w:val="0"/>
        <w:iCs/>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 w15:restartNumberingAfterBreak="0">
    <w:nsid w:val="528F119C"/>
    <w:multiLevelType w:val="multilevel"/>
    <w:tmpl w:val="148CA39E"/>
    <w:lvl w:ilvl="0">
      <w:start w:val="9"/>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b w:val="0"/>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0" w15:restartNumberingAfterBreak="0">
    <w:nsid w:val="57EC30AA"/>
    <w:multiLevelType w:val="multilevel"/>
    <w:tmpl w:val="69DEE5E2"/>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val="0"/>
        <w:i w:val="0"/>
        <w:iCs/>
      </w:rPr>
    </w:lvl>
    <w:lvl w:ilvl="2">
      <w:start w:val="1"/>
      <w:numFmt w:val="decimal"/>
      <w:lvlText w:val="%1.%2.%3."/>
      <w:lvlJc w:val="left"/>
      <w:pPr>
        <w:ind w:left="1224" w:hanging="504"/>
      </w:pPr>
      <w:rPr>
        <w:rFonts w:ascii="Arial" w:hAnsi="Arial" w:cs="Arial" w:hint="default"/>
        <w:b w:val="0"/>
        <w:i w:val="0"/>
        <w:iCs/>
        <w:color w:val="auto"/>
      </w:rPr>
    </w:lvl>
    <w:lvl w:ilvl="3">
      <w:start w:val="1"/>
      <w:numFmt w:val="lowerLetter"/>
      <w:lvlText w:val="%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1" w15:restartNumberingAfterBreak="0">
    <w:nsid w:val="58C70088"/>
    <w:multiLevelType w:val="multilevel"/>
    <w:tmpl w:val="2334FDA2"/>
    <w:lvl w:ilvl="0">
      <w:start w:val="1"/>
      <w:numFmt w:val="decimal"/>
      <w:pStyle w:val="Nivel1"/>
      <w:lvlText w:val="%1."/>
      <w:lvlJc w:val="left"/>
      <w:pPr>
        <w:ind w:left="502" w:hanging="360"/>
      </w:pPr>
      <w:rPr>
        <w:b/>
        <w:i w:val="0"/>
        <w:strike w:val="0"/>
        <w:dstrike w:val="0"/>
      </w:rPr>
    </w:lvl>
    <w:lvl w:ilvl="1">
      <w:start w:val="1"/>
      <w:numFmt w:val="decimal"/>
      <w:pStyle w:val="Nivel2"/>
      <w:lvlText w:val="%1.%2."/>
      <w:lvlJc w:val="left"/>
      <w:pPr>
        <w:ind w:left="858" w:hanging="432"/>
      </w:pPr>
      <w:rPr>
        <w:b w:val="0"/>
        <w:strike w:val="0"/>
      </w:rPr>
    </w:lvl>
    <w:lvl w:ilvl="2">
      <w:start w:val="1"/>
      <w:numFmt w:val="decimal"/>
      <w:pStyle w:val="Nivel3"/>
      <w:lvlText w:val="%1.%2.%3."/>
      <w:lvlJc w:val="left"/>
      <w:pPr>
        <w:ind w:left="1224" w:hanging="504"/>
      </w:pPr>
      <w:rPr>
        <w:i w:val="0"/>
        <w:strike w:val="0"/>
      </w:rPr>
    </w:lvl>
    <w:lvl w:ilvl="3">
      <w:start w:val="1"/>
      <w:numFmt w:val="decimal"/>
      <w:pStyle w:val="Nivel4"/>
      <w:lvlText w:val="%1.%2.%3.%4."/>
      <w:lvlJc w:val="left"/>
      <w:pPr>
        <w:ind w:left="1728" w:hanging="648"/>
      </w:pPr>
    </w:lvl>
    <w:lvl w:ilvl="4">
      <w:start w:val="1"/>
      <w:numFmt w:val="decimal"/>
      <w:pStyle w:val="Nivel5"/>
      <w:lvlText w:val="%1.%2.%3.%4.%5."/>
      <w:lvlJc w:val="left"/>
      <w:pPr>
        <w:ind w:left="4053"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5F5A3D08"/>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653F6489"/>
    <w:multiLevelType w:val="multilevel"/>
    <w:tmpl w:val="3EE2DBEE"/>
    <w:lvl w:ilvl="0">
      <w:start w:val="1"/>
      <w:numFmt w:val="decimal"/>
      <w:lvlText w:val="%1"/>
      <w:lvlJc w:val="left"/>
      <w:pPr>
        <w:ind w:left="360" w:hanging="360"/>
      </w:pPr>
      <w:rPr>
        <w:rFonts w:hint="default"/>
      </w:rPr>
    </w:lvl>
    <w:lvl w:ilvl="1">
      <w:start w:val="1"/>
      <w:numFmt w:val="decimal"/>
      <w:lvlText w:val="%1.%2"/>
      <w:lvlJc w:val="left"/>
      <w:pPr>
        <w:ind w:left="927" w:hanging="360"/>
      </w:pPr>
      <w:rPr>
        <w:rFonts w:hint="default"/>
        <w:b w:val="0"/>
      </w:rPr>
    </w:lvl>
    <w:lvl w:ilvl="2">
      <w:start w:val="1"/>
      <w:numFmt w:val="decimal"/>
      <w:lvlText w:val="%1.%2.%3"/>
      <w:lvlJc w:val="left"/>
      <w:pPr>
        <w:ind w:left="1854" w:hanging="720"/>
      </w:pPr>
      <w:rPr>
        <w:rFonts w:hint="default"/>
        <w:b w:val="0"/>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4" w15:restartNumberingAfterBreak="0">
    <w:nsid w:val="6B416A47"/>
    <w:multiLevelType w:val="multilevel"/>
    <w:tmpl w:val="0792D278"/>
    <w:lvl w:ilvl="0">
      <w:start w:val="4"/>
      <w:numFmt w:val="decimal"/>
      <w:lvlText w:val="%1"/>
      <w:lvlJc w:val="left"/>
      <w:pPr>
        <w:ind w:left="435" w:hanging="435"/>
      </w:pPr>
      <w:rPr>
        <w:rFonts w:hint="default"/>
      </w:rPr>
    </w:lvl>
    <w:lvl w:ilvl="1">
      <w:start w:val="4"/>
      <w:numFmt w:val="decimal"/>
      <w:lvlText w:val="%1.%2"/>
      <w:lvlJc w:val="left"/>
      <w:pPr>
        <w:ind w:left="1002" w:hanging="43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5" w15:restartNumberingAfterBreak="0">
    <w:nsid w:val="6C2D4641"/>
    <w:multiLevelType w:val="multilevel"/>
    <w:tmpl w:val="A45265DE"/>
    <w:lvl w:ilvl="0">
      <w:start w:val="4"/>
      <w:numFmt w:val="decimal"/>
      <w:lvlText w:val="%1"/>
      <w:lvlJc w:val="left"/>
      <w:pPr>
        <w:ind w:left="405" w:hanging="405"/>
      </w:pPr>
      <w:rPr>
        <w:rFonts w:hint="default"/>
      </w:rPr>
    </w:lvl>
    <w:lvl w:ilvl="1">
      <w:start w:val="2"/>
      <w:numFmt w:val="decimal"/>
      <w:lvlText w:val="%1.%2"/>
      <w:lvlJc w:val="left"/>
      <w:pPr>
        <w:ind w:left="1153" w:hanging="405"/>
      </w:pPr>
      <w:rPr>
        <w:rFonts w:hint="default"/>
      </w:rPr>
    </w:lvl>
    <w:lvl w:ilvl="2">
      <w:start w:val="1"/>
      <w:numFmt w:val="decimal"/>
      <w:lvlText w:val="%1.%2.%3"/>
      <w:lvlJc w:val="left"/>
      <w:pPr>
        <w:ind w:left="2216" w:hanging="720"/>
      </w:pPr>
      <w:rPr>
        <w:rFonts w:ascii="Arial" w:hAnsi="Arial" w:cs="Arial" w:hint="default"/>
      </w:rPr>
    </w:lvl>
    <w:lvl w:ilvl="3">
      <w:start w:val="1"/>
      <w:numFmt w:val="decimal"/>
      <w:lvlText w:val="%1.%2.%3.%4"/>
      <w:lvlJc w:val="left"/>
      <w:pPr>
        <w:ind w:left="2964" w:hanging="720"/>
      </w:pPr>
      <w:rPr>
        <w:rFonts w:hint="default"/>
      </w:rPr>
    </w:lvl>
    <w:lvl w:ilvl="4">
      <w:start w:val="1"/>
      <w:numFmt w:val="decimal"/>
      <w:lvlText w:val="%1.%2.%3.%4.%5"/>
      <w:lvlJc w:val="left"/>
      <w:pPr>
        <w:ind w:left="3712" w:hanging="720"/>
      </w:pPr>
      <w:rPr>
        <w:rFonts w:hint="default"/>
      </w:rPr>
    </w:lvl>
    <w:lvl w:ilvl="5">
      <w:start w:val="1"/>
      <w:numFmt w:val="decimal"/>
      <w:lvlText w:val="%1.%2.%3.%4.%5.%6"/>
      <w:lvlJc w:val="left"/>
      <w:pPr>
        <w:ind w:left="4820" w:hanging="1080"/>
      </w:pPr>
      <w:rPr>
        <w:rFonts w:hint="default"/>
      </w:rPr>
    </w:lvl>
    <w:lvl w:ilvl="6">
      <w:start w:val="1"/>
      <w:numFmt w:val="decimal"/>
      <w:lvlText w:val="%1.%2.%3.%4.%5.%6.%7"/>
      <w:lvlJc w:val="left"/>
      <w:pPr>
        <w:ind w:left="5568" w:hanging="1080"/>
      </w:pPr>
      <w:rPr>
        <w:rFonts w:hint="default"/>
      </w:rPr>
    </w:lvl>
    <w:lvl w:ilvl="7">
      <w:start w:val="1"/>
      <w:numFmt w:val="decimal"/>
      <w:lvlText w:val="%1.%2.%3.%4.%5.%6.%7.%8"/>
      <w:lvlJc w:val="left"/>
      <w:pPr>
        <w:ind w:left="6676" w:hanging="1440"/>
      </w:pPr>
      <w:rPr>
        <w:rFonts w:hint="default"/>
      </w:rPr>
    </w:lvl>
    <w:lvl w:ilvl="8">
      <w:start w:val="1"/>
      <w:numFmt w:val="decimal"/>
      <w:lvlText w:val="%1.%2.%3.%4.%5.%6.%7.%8.%9"/>
      <w:lvlJc w:val="left"/>
      <w:pPr>
        <w:ind w:left="7424" w:hanging="1440"/>
      </w:pPr>
      <w:rPr>
        <w:rFonts w:hint="default"/>
      </w:rPr>
    </w:lvl>
  </w:abstractNum>
  <w:abstractNum w:abstractNumId="16" w15:restartNumberingAfterBreak="0">
    <w:nsid w:val="71C56233"/>
    <w:multiLevelType w:val="multilevel"/>
    <w:tmpl w:val="32D45B68"/>
    <w:styleLink w:val="WW8Num1"/>
    <w:lvl w:ilvl="0">
      <w:start w:val="1"/>
      <w:numFmt w:val="none"/>
      <w:suff w:val="nothing"/>
      <w:lvlText w:val="%1"/>
      <w:lvlJc w:val="left"/>
    </w:lvl>
    <w:lvl w:ilvl="1">
      <w:start w:val="1"/>
      <w:numFmt w:val="none"/>
      <w:suff w:val="nothing"/>
      <w:lvlText w:val="%2"/>
      <w:lvlJc w:val="left"/>
    </w:lvl>
    <w:lvl w:ilvl="2">
      <w:start w:val="1"/>
      <w:numFmt w:val="none"/>
      <w:suff w:val="nothing"/>
      <w:lvlText w:val="%3"/>
      <w:lvlJc w:val="left"/>
    </w:lvl>
    <w:lvl w:ilvl="3">
      <w:start w:val="1"/>
      <w:numFmt w:val="none"/>
      <w:suff w:val="nothing"/>
      <w:lvlText w:val="%4"/>
      <w:lvlJc w:val="left"/>
    </w:lvl>
    <w:lvl w:ilvl="4">
      <w:start w:val="1"/>
      <w:numFmt w:val="none"/>
      <w:suff w:val="nothing"/>
      <w:lvlText w:val="%5"/>
      <w:lvlJc w:val="left"/>
    </w:lvl>
    <w:lvl w:ilvl="5">
      <w:start w:val="1"/>
      <w:numFmt w:val="none"/>
      <w:suff w:val="nothing"/>
      <w:lvlText w:val="%6"/>
      <w:lvlJc w:val="left"/>
    </w:lvl>
    <w:lvl w:ilvl="6">
      <w:start w:val="1"/>
      <w:numFmt w:val="none"/>
      <w:suff w:val="nothing"/>
      <w:lvlText w:val="%7"/>
      <w:lvlJc w:val="left"/>
    </w:lvl>
    <w:lvl w:ilvl="7">
      <w:start w:val="1"/>
      <w:numFmt w:val="none"/>
      <w:suff w:val="nothing"/>
      <w:lvlText w:val="%8"/>
      <w:lvlJc w:val="left"/>
    </w:lvl>
    <w:lvl w:ilvl="8">
      <w:start w:val="1"/>
      <w:numFmt w:val="none"/>
      <w:suff w:val="nothing"/>
      <w:lvlText w:val="%9"/>
      <w:lvlJc w:val="left"/>
    </w:lvl>
  </w:abstractNum>
  <w:abstractNum w:abstractNumId="17" w15:restartNumberingAfterBreak="0">
    <w:nsid w:val="7E1539BC"/>
    <w:multiLevelType w:val="multilevel"/>
    <w:tmpl w:val="B8C62052"/>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val="0"/>
        <w:i w:val="0"/>
        <w:iCs/>
      </w:rPr>
    </w:lvl>
    <w:lvl w:ilvl="2">
      <w:start w:val="1"/>
      <w:numFmt w:val="decimal"/>
      <w:lvlText w:val="%1.%2.%3."/>
      <w:lvlJc w:val="left"/>
      <w:pPr>
        <w:ind w:left="1224" w:hanging="504"/>
      </w:pPr>
      <w:rPr>
        <w:rFonts w:ascii="Arial" w:hAnsi="Arial" w:cs="Arial" w:hint="default"/>
        <w:b w:val="0"/>
        <w:i w:val="0"/>
        <w:iCs/>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abstractNumId w:val="2"/>
  </w:num>
  <w:num w:numId="2">
    <w:abstractNumId w:val="15"/>
  </w:num>
  <w:num w:numId="3">
    <w:abstractNumId w:val="14"/>
  </w:num>
  <w:num w:numId="4">
    <w:abstractNumId w:val="5"/>
  </w:num>
  <w:num w:numId="5">
    <w:abstractNumId w:val="2"/>
  </w:num>
  <w:num w:numId="6">
    <w:abstractNumId w:val="1"/>
  </w:num>
  <w:num w:numId="7">
    <w:abstractNumId w:val="2"/>
  </w:num>
  <w:num w:numId="8">
    <w:abstractNumId w:val="2"/>
  </w:num>
  <w:num w:numId="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
  </w:num>
  <w:num w:numId="11">
    <w:abstractNumId w:val="2"/>
    <w:lvlOverride w:ilvl="0">
      <w:startOverride w:val="6"/>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1"/>
  </w:num>
  <w:num w:numId="13">
    <w:abstractNumId w:val="3"/>
  </w:num>
  <w:num w:numId="14">
    <w:abstractNumId w:val="4"/>
  </w:num>
  <w:num w:numId="15">
    <w:abstractNumId w:val="9"/>
  </w:num>
  <w:num w:numId="16">
    <w:abstractNumId w:val="13"/>
  </w:num>
  <w:num w:numId="17">
    <w:abstractNumId w:val="2"/>
    <w:lvlOverride w:ilvl="0">
      <w:startOverride w:val="5"/>
    </w:lvlOverride>
    <w:lvlOverride w:ilvl="1">
      <w:startOverride w:val="1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7"/>
  </w:num>
  <w:num w:numId="19">
    <w:abstractNumId w:val="2"/>
    <w:lvlOverride w:ilvl="0">
      <w:startOverride w:val="5"/>
    </w:lvlOverride>
    <w:lvlOverride w:ilvl="1">
      <w:startOverride w:val="1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2"/>
  </w:num>
  <w:num w:numId="21">
    <w:abstractNumId w:val="6"/>
  </w:num>
  <w:num w:numId="22">
    <w:abstractNumId w:val="10"/>
  </w:num>
  <w:num w:numId="23">
    <w:abstractNumId w:val="17"/>
  </w:num>
  <w:num w:numId="24">
    <w:abstractNumId w:val="8"/>
  </w:num>
  <w:num w:numId="25">
    <w:abstractNumId w:val="16"/>
  </w:num>
  <w:num w:numId="2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071EA"/>
    <w:rsid w:val="001C02C2"/>
    <w:rsid w:val="00214B4E"/>
    <w:rsid w:val="00375F58"/>
    <w:rsid w:val="003931C5"/>
    <w:rsid w:val="003A6A65"/>
    <w:rsid w:val="005B3246"/>
    <w:rsid w:val="007F23EB"/>
    <w:rsid w:val="00912F41"/>
    <w:rsid w:val="00A71D3F"/>
    <w:rsid w:val="00AB3CBC"/>
    <w:rsid w:val="00AD7C30"/>
    <w:rsid w:val="00B071EA"/>
    <w:rsid w:val="00B753C7"/>
    <w:rsid w:val="00C11DDC"/>
    <w:rsid w:val="00C15815"/>
    <w:rsid w:val="00FD3142"/>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C369EC"/>
  <w15:chartTrackingRefBased/>
  <w15:docId w15:val="{2E946B1C-0AE3-4E67-B945-66F1F3E9A0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0" w:line="240" w:lineRule="auto"/>
    </w:pPr>
    <w:rPr>
      <w:rFonts w:ascii="Arial" w:eastAsia="Times New Roman" w:hAnsi="Arial" w:cs="Tahoma"/>
      <w:sz w:val="20"/>
      <w:szCs w:val="24"/>
      <w:lang w:eastAsia="pt-BR"/>
    </w:rPr>
  </w:style>
  <w:style w:type="paragraph" w:styleId="Ttulo1">
    <w:name w:val="heading 1"/>
    <w:basedOn w:val="Normal"/>
    <w:next w:val="Normal"/>
    <w:link w:val="Ttulo1Char"/>
    <w:uiPriority w:val="9"/>
    <w:qFormat/>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Ttulo2">
    <w:name w:val="heading 2"/>
    <w:basedOn w:val="Normal"/>
    <w:next w:val="Normal"/>
    <w:link w:val="Ttulo2Char"/>
    <w:uiPriority w:val="9"/>
    <w:semiHidden/>
    <w:unhideWhenUsed/>
    <w:qFormat/>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Ttulo3">
    <w:name w:val="heading 3"/>
    <w:basedOn w:val="Normal"/>
    <w:next w:val="Normal"/>
    <w:link w:val="Ttulo3Char"/>
    <w:uiPriority w:val="9"/>
    <w:semiHidden/>
    <w:unhideWhenUsed/>
    <w:qFormat/>
    <w:pPr>
      <w:keepNext/>
      <w:keepLines/>
      <w:spacing w:before="40"/>
      <w:outlineLvl w:val="2"/>
    </w:pPr>
    <w:rPr>
      <w:rFonts w:asciiTheme="majorHAnsi" w:eastAsiaTheme="majorEastAsia" w:hAnsiTheme="majorHAnsi" w:cstheme="majorBidi"/>
      <w:color w:val="1F3763" w:themeColor="accent1" w:themeShade="7F"/>
      <w:sz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itao">
    <w:name w:val="Quote"/>
    <w:basedOn w:val="Normal"/>
    <w:next w:val="Normal"/>
    <w:link w:val="CitaoChar"/>
    <w:qFormat/>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lang w:eastAsia="en-US"/>
    </w:rPr>
  </w:style>
  <w:style w:type="character" w:customStyle="1" w:styleId="CitaoChar">
    <w:name w:val="Citação Char"/>
    <w:basedOn w:val="Fontepargpadro"/>
    <w:link w:val="Citao"/>
    <w:rPr>
      <w:rFonts w:ascii="Arial" w:eastAsia="Calibri" w:hAnsi="Arial" w:cs="Tahoma"/>
      <w:i/>
      <w:iCs/>
      <w:color w:val="000000"/>
      <w:sz w:val="20"/>
      <w:szCs w:val="24"/>
      <w:shd w:val="clear" w:color="auto" w:fill="FFFFCC"/>
    </w:rPr>
  </w:style>
  <w:style w:type="paragraph" w:customStyle="1" w:styleId="Nivel01">
    <w:name w:val="Nivel 01"/>
    <w:basedOn w:val="Ttulo1"/>
    <w:next w:val="Normal"/>
    <w:link w:val="Nivel01Char"/>
    <w:qFormat/>
    <w:pPr>
      <w:spacing w:before="480" w:after="120" w:line="276" w:lineRule="auto"/>
      <w:ind w:right="-15"/>
      <w:jc w:val="both"/>
    </w:pPr>
    <w:rPr>
      <w:rFonts w:ascii="Arial" w:hAnsi="Arial" w:cs="Times New Roman"/>
      <w:b/>
      <w:bCs/>
      <w:color w:val="000000"/>
      <w:sz w:val="20"/>
      <w:szCs w:val="20"/>
    </w:rPr>
  </w:style>
  <w:style w:type="character" w:customStyle="1" w:styleId="Nivel01Char">
    <w:name w:val="Nivel 01 Char"/>
    <w:basedOn w:val="Ttulo1Char"/>
    <w:link w:val="Nivel01"/>
    <w:rPr>
      <w:rFonts w:ascii="Arial" w:eastAsiaTheme="majorEastAsia" w:hAnsi="Arial" w:cs="Times New Roman"/>
      <w:b/>
      <w:bCs/>
      <w:color w:val="000000"/>
      <w:sz w:val="20"/>
      <w:szCs w:val="20"/>
      <w:lang w:eastAsia="pt-BR"/>
    </w:rPr>
  </w:style>
  <w:style w:type="paragraph" w:customStyle="1" w:styleId="PADRO">
    <w:name w:val="PADRÃO"/>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 w:val="20"/>
      <w:szCs w:val="24"/>
      <w:lang w:eastAsia="zh-CN" w:bidi="hi-IN"/>
    </w:rPr>
  </w:style>
  <w:style w:type="character" w:customStyle="1" w:styleId="Ttulo1Char">
    <w:name w:val="Título 1 Char"/>
    <w:basedOn w:val="Fontepargpadro"/>
    <w:link w:val="Ttulo1"/>
    <w:uiPriority w:val="9"/>
    <w:rPr>
      <w:rFonts w:asciiTheme="majorHAnsi" w:eastAsiaTheme="majorEastAsia" w:hAnsiTheme="majorHAnsi" w:cstheme="majorBidi"/>
      <w:color w:val="2F5496" w:themeColor="accent1" w:themeShade="BF"/>
      <w:sz w:val="32"/>
      <w:szCs w:val="32"/>
      <w:lang w:eastAsia="pt-BR"/>
    </w:rPr>
  </w:style>
  <w:style w:type="paragraph" w:styleId="PargrafodaLista">
    <w:name w:val="List Paragraph"/>
    <w:basedOn w:val="Normal"/>
    <w:uiPriority w:val="34"/>
    <w:qFormat/>
    <w:pPr>
      <w:ind w:left="720"/>
      <w:contextualSpacing/>
    </w:pPr>
  </w:style>
  <w:style w:type="paragraph" w:customStyle="1" w:styleId="citao2">
    <w:name w:val="citação 2"/>
    <w:basedOn w:val="Citao"/>
    <w:link w:val="citao2Char"/>
    <w:qFormat/>
    <w:rPr>
      <w:szCs w:val="20"/>
    </w:rPr>
  </w:style>
  <w:style w:type="character" w:customStyle="1" w:styleId="citao2Char">
    <w:name w:val="citação 2 Char"/>
    <w:basedOn w:val="CitaoChar"/>
    <w:link w:val="citao2"/>
    <w:rPr>
      <w:rFonts w:ascii="Arial" w:eastAsia="Calibri" w:hAnsi="Arial" w:cs="Tahoma"/>
      <w:i/>
      <w:iCs/>
      <w:color w:val="000000"/>
      <w:sz w:val="20"/>
      <w:szCs w:val="20"/>
      <w:shd w:val="clear" w:color="auto" w:fill="FFFFCC"/>
    </w:rPr>
  </w:style>
  <w:style w:type="character" w:customStyle="1" w:styleId="QuoteChar">
    <w:name w:val="Quote Char"/>
    <w:basedOn w:val="Fontepargpadro"/>
    <w:link w:val="Citao1"/>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i/>
      <w:iCs/>
      <w:color w:val="000000"/>
      <w:sz w:val="22"/>
      <w:szCs w:val="22"/>
      <w:lang w:eastAsia="en-US"/>
    </w:rPr>
  </w:style>
  <w:style w:type="character" w:styleId="Refdecomentrio">
    <w:name w:val="annotation reference"/>
    <w:basedOn w:val="Fontepargpadro"/>
    <w:semiHidden/>
    <w:unhideWhenUsed/>
    <w:rPr>
      <w:sz w:val="16"/>
      <w:szCs w:val="16"/>
    </w:rPr>
  </w:style>
  <w:style w:type="paragraph" w:styleId="Textodecomentrio">
    <w:name w:val="annotation text"/>
    <w:basedOn w:val="Normal"/>
    <w:link w:val="TextodecomentrioChar"/>
    <w:unhideWhenUsed/>
    <w:rPr>
      <w:szCs w:val="20"/>
    </w:rPr>
  </w:style>
  <w:style w:type="character" w:customStyle="1" w:styleId="TextodecomentrioChar">
    <w:name w:val="Texto de comentário Char"/>
    <w:basedOn w:val="Fontepargpadro"/>
    <w:link w:val="Textodecomentrio"/>
    <w:rPr>
      <w:rFonts w:ascii="Arial" w:eastAsia="Times New Roman" w:hAnsi="Arial" w:cs="Tahoma"/>
      <w:sz w:val="20"/>
      <w:szCs w:val="20"/>
      <w:lang w:eastAsia="pt-BR"/>
    </w:rPr>
  </w:style>
  <w:style w:type="paragraph" w:styleId="Assuntodocomentrio">
    <w:name w:val="annotation subject"/>
    <w:basedOn w:val="Textodecomentrio"/>
    <w:next w:val="Textodecomentrio"/>
    <w:link w:val="AssuntodocomentrioChar"/>
    <w:uiPriority w:val="99"/>
    <w:semiHidden/>
    <w:unhideWhenUsed/>
    <w:rPr>
      <w:b/>
      <w:bCs/>
    </w:rPr>
  </w:style>
  <w:style w:type="character" w:customStyle="1" w:styleId="AssuntodocomentrioChar">
    <w:name w:val="Assunto do comentário Char"/>
    <w:basedOn w:val="TextodecomentrioChar"/>
    <w:link w:val="Assuntodocomentrio"/>
    <w:uiPriority w:val="99"/>
    <w:semiHidden/>
    <w:rPr>
      <w:rFonts w:ascii="Arial" w:eastAsia="Times New Roman" w:hAnsi="Arial" w:cs="Tahoma"/>
      <w:b/>
      <w:bCs/>
      <w:sz w:val="20"/>
      <w:szCs w:val="20"/>
      <w:lang w:eastAsia="pt-BR"/>
    </w:rPr>
  </w:style>
  <w:style w:type="paragraph" w:customStyle="1" w:styleId="Nivel10">
    <w:name w:val="Nivel1"/>
    <w:basedOn w:val="Ttulo1"/>
    <w:qFormat/>
    <w:pPr>
      <w:spacing w:before="480" w:line="276" w:lineRule="auto"/>
      <w:ind w:left="644" w:hanging="360"/>
      <w:jc w:val="both"/>
    </w:pPr>
    <w:rPr>
      <w:rFonts w:ascii="Arial" w:hAnsi="Arial" w:cs="Times New Roman"/>
      <w:b/>
      <w:color w:val="000000"/>
      <w:sz w:val="20"/>
      <w:szCs w:val="20"/>
    </w:rPr>
  </w:style>
  <w:style w:type="character" w:styleId="Hyperlink">
    <w:name w:val="Hyperlink"/>
    <w:rPr>
      <w:color w:val="000080"/>
      <w:u w:val="single"/>
    </w:rPr>
  </w:style>
  <w:style w:type="table" w:styleId="Tabelacomgrade">
    <w:name w:val="Table Grid"/>
    <w:basedOn w:val="Tabelanormal"/>
    <w:pPr>
      <w:spacing w:after="0" w:line="240" w:lineRule="auto"/>
    </w:pPr>
    <w:rPr>
      <w:rFonts w:ascii="Times New Roman" w:eastAsiaTheme="minorEastAsia"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ivel2">
    <w:name w:val="Nivel 2"/>
    <w:qFormat/>
    <w:pPr>
      <w:numPr>
        <w:ilvl w:val="1"/>
        <w:numId w:val="12"/>
      </w:numPr>
      <w:spacing w:before="120" w:after="120" w:line="276" w:lineRule="auto"/>
      <w:jc w:val="both"/>
    </w:pPr>
    <w:rPr>
      <w:rFonts w:ascii="Ecofont_Spranq_eco_Sans" w:eastAsia="Arial Unicode MS" w:hAnsi="Ecofont_Spranq_eco_Sans" w:cs="Times New Roman"/>
      <w:sz w:val="20"/>
      <w:szCs w:val="20"/>
      <w:lang w:eastAsia="pt-BR"/>
    </w:rPr>
  </w:style>
  <w:style w:type="paragraph" w:customStyle="1" w:styleId="Nivel1">
    <w:name w:val="Nivel 1"/>
    <w:basedOn w:val="Nivel2"/>
    <w:next w:val="Nivel2"/>
    <w:qFormat/>
    <w:pPr>
      <w:numPr>
        <w:ilvl w:val="0"/>
      </w:numPr>
    </w:pPr>
    <w:rPr>
      <w:rFonts w:cs="Arial"/>
      <w:b/>
    </w:rPr>
  </w:style>
  <w:style w:type="paragraph" w:customStyle="1" w:styleId="Nivel3">
    <w:name w:val="Nivel 3"/>
    <w:basedOn w:val="Nivel2"/>
    <w:qFormat/>
    <w:pPr>
      <w:numPr>
        <w:ilvl w:val="2"/>
      </w:numPr>
    </w:pPr>
    <w:rPr>
      <w:rFonts w:cs="Arial"/>
      <w:color w:val="000000"/>
    </w:rPr>
  </w:style>
  <w:style w:type="paragraph" w:customStyle="1" w:styleId="Nivel4">
    <w:name w:val="Nivel 4"/>
    <w:basedOn w:val="Nivel3"/>
    <w:link w:val="Nivel4Char"/>
    <w:qFormat/>
    <w:pPr>
      <w:numPr>
        <w:ilvl w:val="3"/>
      </w:numPr>
    </w:pPr>
    <w:rPr>
      <w:color w:val="auto"/>
    </w:rPr>
  </w:style>
  <w:style w:type="paragraph" w:customStyle="1" w:styleId="Nivel5">
    <w:name w:val="Nivel 5"/>
    <w:basedOn w:val="Nivel4"/>
    <w:qFormat/>
    <w:pPr>
      <w:numPr>
        <w:ilvl w:val="4"/>
      </w:numPr>
      <w:tabs>
        <w:tab w:val="num" w:pos="360"/>
      </w:tabs>
    </w:pPr>
  </w:style>
  <w:style w:type="character" w:customStyle="1" w:styleId="Nivel4Char">
    <w:name w:val="Nivel 4 Char"/>
    <w:basedOn w:val="Fontepargpadro"/>
    <w:link w:val="Nivel4"/>
    <w:rPr>
      <w:rFonts w:ascii="Ecofont_Spranq_eco_Sans" w:eastAsia="Arial Unicode MS" w:hAnsi="Ecofont_Spranq_eco_Sans" w:cs="Arial"/>
      <w:sz w:val="20"/>
      <w:szCs w:val="20"/>
      <w:lang w:eastAsia="pt-BR"/>
    </w:rPr>
  </w:style>
  <w:style w:type="paragraph" w:styleId="Textodebalo">
    <w:name w:val="Balloon Text"/>
    <w:basedOn w:val="Normal"/>
    <w:link w:val="TextodebaloChar"/>
    <w:uiPriority w:val="99"/>
    <w:semiHidden/>
    <w:unhideWhenUsed/>
    <w:rPr>
      <w:rFonts w:ascii="Segoe UI" w:hAnsi="Segoe UI" w:cs="Segoe UI"/>
      <w:sz w:val="18"/>
      <w:szCs w:val="18"/>
    </w:rPr>
  </w:style>
  <w:style w:type="character" w:customStyle="1" w:styleId="TextodebaloChar">
    <w:name w:val="Texto de balão Char"/>
    <w:basedOn w:val="Fontepargpadro"/>
    <w:link w:val="Textodebalo"/>
    <w:uiPriority w:val="99"/>
    <w:semiHidden/>
    <w:rPr>
      <w:rFonts w:ascii="Segoe UI" w:eastAsia="Times New Roman" w:hAnsi="Segoe UI" w:cs="Segoe UI"/>
      <w:sz w:val="18"/>
      <w:szCs w:val="18"/>
      <w:lang w:eastAsia="pt-BR"/>
    </w:rPr>
  </w:style>
  <w:style w:type="paragraph" w:styleId="Cabealho">
    <w:name w:val="header"/>
    <w:basedOn w:val="Normal"/>
    <w:link w:val="CabealhoChar"/>
    <w:uiPriority w:val="99"/>
    <w:unhideWhenUsed/>
    <w:pPr>
      <w:tabs>
        <w:tab w:val="center" w:pos="4252"/>
        <w:tab w:val="right" w:pos="8504"/>
      </w:tabs>
    </w:pPr>
  </w:style>
  <w:style w:type="character" w:customStyle="1" w:styleId="CabealhoChar">
    <w:name w:val="Cabeçalho Char"/>
    <w:basedOn w:val="Fontepargpadro"/>
    <w:link w:val="Cabealho"/>
    <w:uiPriority w:val="99"/>
    <w:rPr>
      <w:rFonts w:ascii="Arial" w:eastAsia="Times New Roman" w:hAnsi="Arial" w:cs="Tahoma"/>
      <w:sz w:val="20"/>
      <w:szCs w:val="24"/>
      <w:lang w:eastAsia="pt-BR"/>
    </w:rPr>
  </w:style>
  <w:style w:type="paragraph" w:styleId="Rodap">
    <w:name w:val="footer"/>
    <w:basedOn w:val="Normal"/>
    <w:link w:val="RodapChar"/>
    <w:uiPriority w:val="99"/>
    <w:unhideWhenUsed/>
    <w:pPr>
      <w:tabs>
        <w:tab w:val="center" w:pos="4252"/>
        <w:tab w:val="right" w:pos="8504"/>
      </w:tabs>
    </w:pPr>
  </w:style>
  <w:style w:type="character" w:customStyle="1" w:styleId="RodapChar">
    <w:name w:val="Rodapé Char"/>
    <w:basedOn w:val="Fontepargpadro"/>
    <w:link w:val="Rodap"/>
    <w:uiPriority w:val="99"/>
    <w:rPr>
      <w:rFonts w:ascii="Arial" w:eastAsia="Times New Roman" w:hAnsi="Arial" w:cs="Tahoma"/>
      <w:sz w:val="20"/>
      <w:szCs w:val="24"/>
      <w:lang w:eastAsia="pt-BR"/>
    </w:rPr>
  </w:style>
  <w:style w:type="character" w:customStyle="1" w:styleId="Ttulo2Char">
    <w:name w:val="Título 2 Char"/>
    <w:basedOn w:val="Fontepargpadro"/>
    <w:link w:val="Ttulo2"/>
    <w:uiPriority w:val="9"/>
    <w:semiHidden/>
    <w:rPr>
      <w:rFonts w:asciiTheme="majorHAnsi" w:eastAsiaTheme="majorEastAsia" w:hAnsiTheme="majorHAnsi" w:cstheme="majorBidi"/>
      <w:color w:val="2F5496" w:themeColor="accent1" w:themeShade="BF"/>
      <w:sz w:val="26"/>
      <w:szCs w:val="26"/>
      <w:lang w:eastAsia="pt-BR"/>
    </w:rPr>
  </w:style>
  <w:style w:type="paragraph" w:styleId="SemEspaamento">
    <w:name w:val="No Spacing"/>
    <w:uiPriority w:val="1"/>
    <w:qFormat/>
    <w:pPr>
      <w:spacing w:after="0" w:line="240" w:lineRule="auto"/>
    </w:pPr>
    <w:rPr>
      <w:rFonts w:ascii="Arial" w:eastAsia="Times New Roman" w:hAnsi="Arial" w:cs="Tahoma"/>
      <w:sz w:val="20"/>
      <w:szCs w:val="24"/>
      <w:lang w:eastAsia="pt-BR"/>
    </w:rPr>
  </w:style>
  <w:style w:type="paragraph" w:customStyle="1" w:styleId="Standard">
    <w:name w:val="Standard"/>
    <w:pPr>
      <w:suppressAutoHyphens/>
      <w:autoSpaceDN w:val="0"/>
      <w:spacing w:after="0" w:line="240" w:lineRule="auto"/>
      <w:textAlignment w:val="baseline"/>
    </w:pPr>
    <w:rPr>
      <w:rFonts w:ascii="Times New Roman" w:eastAsia="Times New Roman" w:hAnsi="Times New Roman" w:cs="Times New Roman"/>
      <w:kern w:val="3"/>
      <w:sz w:val="24"/>
      <w:szCs w:val="24"/>
      <w:lang w:eastAsia="zh-CN"/>
    </w:rPr>
  </w:style>
  <w:style w:type="paragraph" w:customStyle="1" w:styleId="WW-Padro">
    <w:name w:val="WW-Padrão"/>
    <w:pPr>
      <w:suppressAutoHyphens/>
      <w:autoSpaceDN w:val="0"/>
      <w:spacing w:after="0" w:line="240" w:lineRule="auto"/>
      <w:textAlignment w:val="baseline"/>
    </w:pPr>
    <w:rPr>
      <w:rFonts w:ascii="Times New Roman" w:eastAsia="Arial" w:hAnsi="Times New Roman" w:cs="Times New Roman"/>
      <w:kern w:val="3"/>
      <w:sz w:val="24"/>
      <w:szCs w:val="20"/>
      <w:lang w:val="en-US" w:eastAsia="zh-CN"/>
    </w:rPr>
  </w:style>
  <w:style w:type="numbering" w:customStyle="1" w:styleId="WW8Num1">
    <w:name w:val="WW8Num1"/>
    <w:basedOn w:val="Semlista"/>
    <w:pPr>
      <w:numPr>
        <w:numId w:val="25"/>
      </w:numPr>
    </w:pPr>
  </w:style>
  <w:style w:type="paragraph" w:customStyle="1" w:styleId="Normal1">
    <w:name w:val="Normal1"/>
    <w:pPr>
      <w:suppressAutoHyphens/>
      <w:autoSpaceDN w:val="0"/>
      <w:spacing w:after="0" w:line="276" w:lineRule="auto"/>
      <w:textAlignment w:val="baseline"/>
    </w:pPr>
    <w:rPr>
      <w:rFonts w:ascii="Arial" w:eastAsia="Arial" w:hAnsi="Arial" w:cs="Arial"/>
      <w:color w:val="000000"/>
      <w:kern w:val="3"/>
      <w:lang w:eastAsia="zh-CN"/>
    </w:rPr>
  </w:style>
  <w:style w:type="character" w:customStyle="1" w:styleId="Ttulo3Char">
    <w:name w:val="Título 3 Char"/>
    <w:basedOn w:val="Fontepargpadro"/>
    <w:link w:val="Ttulo3"/>
    <w:uiPriority w:val="9"/>
    <w:semiHidden/>
    <w:rPr>
      <w:rFonts w:asciiTheme="majorHAnsi" w:eastAsiaTheme="majorEastAsia" w:hAnsiTheme="majorHAnsi" w:cstheme="majorBidi"/>
      <w:color w:val="1F3763" w:themeColor="accent1" w:themeShade="7F"/>
      <w:sz w:val="24"/>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97885575">
      <w:bodyDiv w:val="1"/>
      <w:marLeft w:val="0"/>
      <w:marRight w:val="0"/>
      <w:marTop w:val="0"/>
      <w:marBottom w:val="0"/>
      <w:divBdr>
        <w:top w:val="none" w:sz="0" w:space="0" w:color="auto"/>
        <w:left w:val="none" w:sz="0" w:space="0" w:color="auto"/>
        <w:bottom w:val="none" w:sz="0" w:space="0" w:color="auto"/>
        <w:right w:val="none" w:sz="0" w:space="0" w:color="auto"/>
      </w:divBdr>
    </w:div>
    <w:div w:id="20928481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www.cnj.jus.br/improbidade_adm/consultar_requerido.php" TargetMode="External"/><Relationship Id="rId3" Type="http://schemas.openxmlformats.org/officeDocument/2006/relationships/styles" Target="styles.xml"/><Relationship Id="rId21" Type="http://schemas.microsoft.com/office/2016/09/relationships/commentsIds" Target="commentsIds.xml"/><Relationship Id="rId7" Type="http://schemas.openxmlformats.org/officeDocument/2006/relationships/endnotes" Target="endnotes.xml"/><Relationship Id="rId12" Type="http://schemas.openxmlformats.org/officeDocument/2006/relationships/hyperlink" Target="http://www.portaldatransparencia.gov.br/ceis"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planalto.gov.br/ccivil_03/LEIS/L6404consol.htm"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comprasnet.gov.br/acesso.asp?url=/cotacao/menu.asp?filtro=livre_andamento" TargetMode="External"/><Relationship Id="rId4" Type="http://schemas.openxmlformats.org/officeDocument/2006/relationships/settings" Target="settings.xml"/><Relationship Id="rId9" Type="http://schemas.openxmlformats.org/officeDocument/2006/relationships/hyperlink" Target="http://comprasnet.gov.br/acesso.asp?url=/cotacao/menu.asp?filtro=livre_andamento" TargetMode="External"/><Relationship Id="rId14" Type="http://schemas.openxmlformats.org/officeDocument/2006/relationships/hyperlink" Target="http://www.planalto.gov.br/ccivil_03/_Ato2011-2014/2013/Lei/L12846.htm" TargetMode="External"/><Relationship Id="rId22" Type="http://schemas.microsoft.com/office/2018/08/relationships/commentsExtensible" Target="commentsExtensible.xm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2C88D13-8834-4F74-A726-8B0603D6A4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TotalTime>
  <Pages>18</Pages>
  <Words>6562</Words>
  <Characters>35435</Characters>
  <Application>Microsoft Office Word</Application>
  <DocSecurity>0</DocSecurity>
  <Lines>295</Lines>
  <Paragraphs>83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41914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Hugo Sales</dc:creator>
  <cp:keywords/>
  <dc:description/>
  <cp:lastModifiedBy>Ten Angela de Almeida Gomes</cp:lastModifiedBy>
  <cp:revision>4</cp:revision>
  <cp:lastPrinted>2023-09-08T12:05:00Z</cp:lastPrinted>
  <dcterms:created xsi:type="dcterms:W3CDTF">2023-09-06T17:55:00Z</dcterms:created>
  <dcterms:modified xsi:type="dcterms:W3CDTF">2023-09-08T12:05:00Z</dcterms:modified>
</cp:coreProperties>
</file>