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2.xml.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png" ContentType="image/png"/>
  <Override PartName="/word/header2.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oter1.xml" ContentType="application/vnd.openxmlformats-officedocument.wordprocessingml.footer+xml"/>
  <Override PartName="/word/settings.xml" ContentType="application/vnd.openxmlformats-officedocument.wordprocessingml.settings+xml"/>
  <Override PartName="/word/header3.xml" ContentType="application/vnd.openxmlformats-officedocument.wordprocessingml.header+xml"/>
  <Override PartName="/word/fontTable.xml" ContentType="application/vnd.openxmlformats-officedocument.wordprocessingml.fontTable+xml"/>
  <Override PartName="/word/footer2.xml" ContentType="application/vnd.openxmlformats-officedocument.wordprocessingml.footer+xml"/>
  <Override PartName="/word/numbering.xml" ContentType="application/vnd.openxmlformats-officedocument.wordprocessingml.numbering+xml"/>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rPr>
          <w:rFonts w:cs="Arial"/>
          <w:b/>
          <w:b/>
          <w:bCs/>
          <w:i/>
          <w:i/>
          <w:iCs/>
          <w:color w:val="FF0000"/>
          <w:szCs w:val="18"/>
        </w:rPr>
      </w:pPr>
      <w:r>
        <w:rPr>
          <w:rFonts w:cs="Arial"/>
          <w:color w:val="5B5B5F"/>
          <w:sz w:val="36"/>
          <w:szCs w:val="36"/>
        </w:rPr>
        <w:t>Aviso de</w:t>
      </w:r>
      <w:r>
        <w:rPr>
          <w:rFonts w:cs="Arial"/>
          <w:color w:val="FF0000"/>
          <w:szCs w:val="18"/>
        </w:rPr>
        <w:t xml:space="preserve"> </w:t>
      </w:r>
    </w:p>
    <w:p>
      <w:pPr>
        <w:pStyle w:val="Normal"/>
        <w:rPr>
          <w:rFonts w:cs="Arial"/>
          <w:color w:val="405CA1"/>
          <w:sz w:val="56"/>
          <w:szCs w:val="56"/>
        </w:rPr>
      </w:pPr>
      <w:r>
        <w:rPr>
          <w:rFonts w:cs="Arial"/>
          <w:color w:val="405CA1"/>
          <w:sz w:val="56"/>
          <w:szCs w:val="56"/>
        </w:rPr>
        <w:t>CONTRATAÇÃO</w:t>
      </w:r>
    </w:p>
    <w:p>
      <w:pPr>
        <w:pStyle w:val="Normal"/>
        <w:rPr>
          <w:rFonts w:cs="Arial"/>
          <w:color w:val="405CA1"/>
          <w:sz w:val="56"/>
          <w:szCs w:val="56"/>
        </w:rPr>
      </w:pPr>
      <w:r>
        <w:rPr>
          <w:rFonts w:cs="Arial"/>
          <w:color w:val="405CA1"/>
          <w:sz w:val="56"/>
          <w:szCs w:val="56"/>
        </w:rPr>
        <w:t>DIRETA</w:t>
      </w:r>
    </w:p>
    <w:p>
      <w:pPr>
        <w:pStyle w:val="Normal"/>
        <w:rPr>
          <w:rFonts w:ascii="Arial" w:hAnsi="Arial" w:eastAsia="Times New Roman" w:cs="Arial"/>
          <w:bCs/>
          <w:color w:val="5B5B5F"/>
          <w:kern w:val="0"/>
          <w:sz w:val="28"/>
          <w:szCs w:val="28"/>
          <w:lang w:val="pt-BR" w:eastAsia="pt-BR" w:bidi="ar-SA"/>
        </w:rPr>
      </w:pPr>
      <w:r>
        <w:rPr>
          <w:rFonts w:eastAsia="Times New Roman" w:cs="Arial"/>
          <w:bCs/>
          <w:color w:val="5B5B5F"/>
          <w:kern w:val="0"/>
          <w:sz w:val="28"/>
          <w:szCs w:val="28"/>
          <w:lang w:val="pt-BR" w:eastAsia="pt-BR" w:bidi="ar-SA"/>
        </w:rPr>
        <w:t>43/2023</w:t>
      </w:r>
    </w:p>
    <w:p>
      <w:pPr>
        <w:pStyle w:val="Normal"/>
        <w:spacing w:lineRule="auto" w:line="259"/>
        <w:rPr>
          <w:rFonts w:cs="Arial"/>
          <w:b/>
          <w:b/>
          <w:bCs/>
          <w:color w:val="405CA1"/>
          <w:sz w:val="32"/>
          <w:szCs w:val="32"/>
        </w:rPr>
      </w:pPr>
      <w:r>
        <w:rPr>
          <w:rFonts w:cs="Arial"/>
          <w:b/>
          <w:bCs/>
          <w:color w:val="405CA1"/>
          <w:sz w:val="32"/>
          <w:szCs w:val="32"/>
        </w:rPr>
      </w:r>
    </w:p>
    <w:p>
      <w:pPr>
        <w:pStyle w:val="Normal"/>
        <w:spacing w:lineRule="auto" w:line="259"/>
        <w:rPr>
          <w:rFonts w:cs="Arial"/>
          <w:b/>
          <w:b/>
          <w:bCs/>
          <w:color w:val="405CA1"/>
          <w:sz w:val="32"/>
          <w:szCs w:val="32"/>
        </w:rPr>
      </w:pPr>
      <w:r>
        <w:rPr>
          <w:rFonts w:cs="Arial"/>
          <w:b/>
          <w:bCs/>
          <w:color w:val="405CA1"/>
          <w:sz w:val="32"/>
          <w:szCs w:val="32"/>
        </w:rPr>
        <w:t>CONTRATANTE (UASG)</w:t>
      </w:r>
    </w:p>
    <w:p>
      <w:pPr>
        <w:pStyle w:val="Normal"/>
        <w:rPr>
          <w:rFonts w:cs="Arial"/>
          <w:bCs/>
          <w:color w:val="5B5B5F"/>
          <w:sz w:val="28"/>
          <w:szCs w:val="28"/>
        </w:rPr>
      </w:pPr>
      <w:r>
        <w:rPr>
          <w:rFonts w:cs="Arial"/>
          <w:bCs/>
          <w:color w:val="5B5B5F"/>
          <w:sz w:val="28"/>
          <w:szCs w:val="28"/>
        </w:rPr>
        <w:t>4º BATALHÃO LOGÍSTICO - 4º B LOG(160410)</w:t>
      </w:r>
    </w:p>
    <w:p>
      <w:pPr>
        <w:pStyle w:val="Normal"/>
        <w:rPr>
          <w:rFonts w:cs="Arial"/>
          <w:b/>
          <w:b/>
          <w:bCs/>
          <w:color w:val="405CA1"/>
          <w:sz w:val="32"/>
          <w:szCs w:val="32"/>
        </w:rPr>
      </w:pPr>
      <w:r>
        <w:rPr>
          <w:rFonts w:cs="Arial"/>
          <w:b/>
          <w:bCs/>
          <w:color w:val="405CA1"/>
          <w:sz w:val="32"/>
          <w:szCs w:val="32"/>
        </w:rPr>
      </w:r>
    </w:p>
    <w:p>
      <w:pPr>
        <w:pStyle w:val="Normal"/>
        <w:rPr>
          <w:rFonts w:cs="Arial"/>
          <w:b/>
          <w:b/>
          <w:bCs/>
          <w:color w:val="5B5B5F"/>
          <w:szCs w:val="20"/>
        </w:rPr>
      </w:pPr>
      <w:r>
        <w:rPr>
          <w:rFonts w:cs="Arial"/>
          <w:b/>
          <w:bCs/>
          <w:color w:val="405CA1"/>
          <w:sz w:val="32"/>
          <w:szCs w:val="32"/>
        </w:rPr>
        <w:t>OBJETO</w:t>
      </w:r>
    </w:p>
    <w:p>
      <w:pPr>
        <w:pStyle w:val="Normal"/>
        <w:jc w:val="both"/>
        <w:rPr>
          <w:rFonts w:ascii="Liberation Serif" w:hAnsi="Liberation Serif"/>
          <w:sz w:val="28"/>
          <w:szCs w:val="28"/>
        </w:rPr>
      </w:pPr>
      <w:r>
        <w:rPr>
          <w:rFonts w:ascii="Liberation Serif" w:hAnsi="Liberation Serif"/>
          <w:sz w:val="28"/>
          <w:szCs w:val="28"/>
        </w:rPr>
        <w:t>Contratação: Curso de Diretor de Ensino, a fim de atender as demandas de formação de Quadro de Pessoal do CFC Verde Oliva em proveito  do 4º Batalhão Logístico e unidades apoiadas, conforme Requisição/Diex nº 210 – CFC/4º B Log, de 0</w:t>
      </w:r>
      <w:r>
        <w:rPr>
          <w:rFonts w:ascii="Liberation Serif" w:hAnsi="Liberation Serif"/>
          <w:sz w:val="28"/>
          <w:szCs w:val="28"/>
        </w:rPr>
        <w:t>6</w:t>
      </w:r>
      <w:r>
        <w:rPr>
          <w:rFonts w:ascii="Liberation Serif" w:hAnsi="Liberation Serif"/>
          <w:sz w:val="28"/>
          <w:szCs w:val="28"/>
        </w:rPr>
        <w:t>Set23.</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r>
        <w:rPr>
          <w:rFonts w:cs="Arial"/>
          <w:b/>
          <w:bCs/>
          <w:color w:val="405CA1"/>
          <w:sz w:val="32"/>
          <w:szCs w:val="32"/>
        </w:rPr>
        <w:t>VALOR TOTAL DA CONTRATAÇÃO</w:t>
      </w:r>
    </w:p>
    <w:p>
      <w:pPr>
        <w:pStyle w:val="Normal"/>
        <w:rPr>
          <w:rFonts w:cs="Arial"/>
          <w:b/>
          <w:b/>
          <w:bCs/>
          <w:color w:val="5B5B5F"/>
          <w:sz w:val="28"/>
          <w:szCs w:val="28"/>
        </w:rPr>
      </w:pPr>
      <w:r>
        <w:rPr>
          <w:rFonts w:cs="Arial"/>
          <w:b/>
          <w:bCs/>
          <w:color w:val="5B5B5F"/>
          <w:sz w:val="28"/>
          <w:szCs w:val="28"/>
        </w:rPr>
        <w:t>R$ 588,00</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r>
        <w:rPr>
          <w:rFonts w:cs="Arial"/>
          <w:b/>
          <w:bCs/>
          <w:color w:val="405CA1"/>
          <w:sz w:val="32"/>
          <w:szCs w:val="32"/>
        </w:rPr>
        <w:t xml:space="preserve">DATA DA SESSÃO </w:t>
      </w:r>
    </w:p>
    <w:p>
      <w:pPr>
        <w:pStyle w:val="Normal"/>
        <w:rPr/>
      </w:pPr>
      <w:r>
        <w:rPr>
          <w:rFonts w:eastAsia="Times New Roman" w:cs="Arial"/>
          <w:b/>
          <w:bCs/>
          <w:color w:val="5B5B5F"/>
          <w:kern w:val="0"/>
          <w:sz w:val="28"/>
          <w:szCs w:val="28"/>
          <w:lang w:val="pt-BR" w:eastAsia="pt-BR" w:bidi="ar-SA"/>
        </w:rPr>
        <w:t>19</w:t>
      </w:r>
      <w:r>
        <w:rPr>
          <w:rFonts w:cs="Arial"/>
          <w:b/>
          <w:bCs/>
          <w:color w:val="5B5B5F"/>
          <w:sz w:val="28"/>
          <w:szCs w:val="28"/>
        </w:rPr>
        <w:t>/</w:t>
      </w:r>
      <w:r>
        <w:rPr>
          <w:rFonts w:eastAsia="Times New Roman" w:cs="Arial"/>
          <w:b/>
          <w:bCs/>
          <w:color w:val="5B5B5F"/>
          <w:kern w:val="0"/>
          <w:sz w:val="28"/>
          <w:szCs w:val="28"/>
          <w:lang w:val="pt-BR" w:eastAsia="pt-BR" w:bidi="ar-SA"/>
        </w:rPr>
        <w:t>08</w:t>
      </w:r>
      <w:r>
        <w:rPr>
          <w:rFonts w:cs="Arial"/>
          <w:b/>
          <w:bCs/>
          <w:color w:val="5B5B5F"/>
          <w:sz w:val="28"/>
          <w:szCs w:val="28"/>
        </w:rPr>
        <w:t>/2023</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r>
        <w:rPr>
          <w:rFonts w:cs="Arial"/>
          <w:b/>
          <w:bCs/>
          <w:color w:val="405CA1"/>
          <w:sz w:val="32"/>
          <w:szCs w:val="32"/>
        </w:rPr>
        <w:t>HORÁRIO DA FASE DE LANCES</w:t>
      </w:r>
    </w:p>
    <w:p>
      <w:pPr>
        <w:pStyle w:val="Normal"/>
        <w:rPr>
          <w:rFonts w:cs="Arial"/>
          <w:color w:val="5B5B5F"/>
          <w:sz w:val="28"/>
          <w:szCs w:val="28"/>
        </w:rPr>
      </w:pPr>
      <w:r>
        <w:rPr>
          <w:rFonts w:cs="Arial"/>
          <w:color w:val="5B5B5F"/>
          <w:sz w:val="28"/>
          <w:szCs w:val="28"/>
        </w:rPr>
        <w:t>Das 08h até 14h.</w:t>
      </w:r>
    </w:p>
    <w:p>
      <w:pPr>
        <w:pStyle w:val="Normal"/>
        <w:rPr>
          <w:rFonts w:cs="Arial"/>
          <w:b/>
          <w:b/>
          <w:bCs/>
          <w:color w:val="405CA1"/>
          <w:sz w:val="32"/>
          <w:szCs w:val="32"/>
        </w:rPr>
      </w:pPr>
      <w:r>
        <w:rPr>
          <w:rFonts w:cs="Arial"/>
          <w:b/>
          <w:bCs/>
          <w:color w:val="405CA1"/>
          <w:sz w:val="32"/>
          <w:szCs w:val="32"/>
        </w:rPr>
      </w:r>
    </w:p>
    <w:p>
      <w:pPr>
        <w:pStyle w:val="Normal"/>
        <w:suppressAutoHyphens w:val="false"/>
        <w:spacing w:lineRule="auto" w:line="259" w:before="0" w:after="160"/>
        <w:rPr>
          <w:rFonts w:cs="Arial"/>
          <w:b/>
          <w:b/>
          <w:bCs/>
          <w:color w:val="405CA1"/>
          <w:sz w:val="32"/>
          <w:szCs w:val="32"/>
        </w:rPr>
      </w:pPr>
      <w:r>
        <w:rPr>
          <w:rFonts w:cs="Arial"/>
          <w:b/>
          <w:bCs/>
          <w:color w:val="405CA1"/>
          <w:sz w:val="32"/>
          <w:szCs w:val="32"/>
        </w:rPr>
        <w:t>PREFERÊNCIA ME/EPP/EQUIPARADAS</w:t>
        <w:br/>
      </w:r>
      <w:r>
        <w:rPr>
          <w:rFonts w:cs="Arial"/>
          <w:b/>
          <w:bCs/>
          <w:color w:val="5B5B5F"/>
          <w:sz w:val="28"/>
          <w:szCs w:val="28"/>
        </w:rPr>
        <w:t>SIM</w:t>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r>
        <w:br w:type="page"/>
      </w:r>
    </w:p>
    <w:p>
      <w:pPr>
        <w:pStyle w:val="Normal"/>
        <w:spacing w:lineRule="auto" w:line="276"/>
        <w:jc w:val="center"/>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sdt>
      <w:sdtPr>
        <w:docPartObj>
          <w:docPartGallery w:val="Table of Contents"/>
          <w:docPartUnique w:val="true"/>
        </w:docPartObj>
      </w:sdtPr>
      <w:sdtContent>
        <w:p>
          <w:pPr>
            <w:pStyle w:val="TOCHeading"/>
            <w:ind w:firstLine="567"/>
            <w:rPr/>
          </w:pPr>
          <w:r>
            <w:rPr/>
            <w:t>Sumário</w:t>
          </w:r>
        </w:p>
        <w:p>
          <w:pPr>
            <w:pStyle w:val="Sumrio1"/>
            <w:tabs>
              <w:tab w:val="clear" w:pos="708"/>
              <w:tab w:val="left" w:pos="440" w:leader="none"/>
              <w:tab w:val="right" w:pos="8494" w:leader="dot"/>
            </w:tabs>
            <w:rPr/>
          </w:pPr>
          <w:r>
            <w:fldChar w:fldCharType="begin"/>
          </w:r>
          <w:r>
            <w:rPr>
              <w:webHidden/>
              <w:rStyle w:val="Vnculodendice"/>
              <w:vanish w:val="false"/>
              <w:rFonts w:eastAsia="Arial Unicode MS"/>
              <w:lang w:bidi="hi-IN"/>
            </w:rPr>
            <w:instrText> TOC \z \o "1-3" \u \h</w:instrText>
          </w:r>
          <w:r>
            <w:rPr>
              <w:webHidden/>
              <w:rStyle w:val="Vnculodendice"/>
              <w:vanish w:val="false"/>
              <w:rFonts w:eastAsia="Arial Unicode MS"/>
              <w:lang w:bidi="hi-IN"/>
            </w:rPr>
            <w:fldChar w:fldCharType="separate"/>
          </w:r>
          <w:hyperlink w:anchor="_Toc118380899">
            <w:r>
              <w:rPr>
                <w:webHidden/>
                <w:rStyle w:val="Vnculodendice"/>
                <w:rFonts w:eastAsia="Arial Unicode MS"/>
                <w:vanish w:val="false"/>
                <w:lang w:bidi="hi-IN"/>
              </w:rPr>
              <w:t>1.</w:t>
            </w:r>
            <w:r>
              <w:rPr>
                <w:rStyle w:val="Vnculodendice"/>
              </w:rPr>
              <w:tab/>
            </w:r>
            <w:r>
              <w:rPr>
                <w:rStyle w:val="Vnculodendice"/>
                <w:rFonts w:eastAsia="Arial Unicode MS"/>
                <w:lang w:bidi="hi-IN"/>
              </w:rPr>
              <w:t>OBJETO DA CONTRATAÇÃO DIRETA</w:t>
            </w:r>
            <w:r>
              <w:rPr>
                <w:webHidden/>
              </w:rPr>
              <w:fldChar w:fldCharType="begin"/>
            </w:r>
            <w:r>
              <w:rPr>
                <w:webHidden/>
              </w:rPr>
              <w:instrText>PAGEREF _Toc118380899 \h</w:instrText>
            </w:r>
            <w:r>
              <w:rPr>
                <w:webHidden/>
              </w:rPr>
              <w:fldChar w:fldCharType="separate"/>
            </w:r>
            <w:r>
              <w:rPr>
                <w:rStyle w:val="Vnculodendice"/>
                <w:vanish w:val="false"/>
              </w:rPr>
              <w:tab/>
              <w:t>3</w:t>
            </w:r>
            <w:r>
              <w:rPr>
                <w:webHidden/>
              </w:rPr>
              <w:fldChar w:fldCharType="end"/>
            </w:r>
          </w:hyperlink>
        </w:p>
        <w:p>
          <w:pPr>
            <w:pStyle w:val="Sumrio1"/>
            <w:tabs>
              <w:tab w:val="clear" w:pos="708"/>
              <w:tab w:val="left" w:pos="440" w:leader="none"/>
              <w:tab w:val="right" w:pos="8494" w:leader="dot"/>
            </w:tabs>
            <w:rPr/>
          </w:pPr>
          <w:hyperlink w:anchor="_Toc118380900">
            <w:r>
              <w:rPr>
                <w:webHidden/>
                <w:rStyle w:val="Vnculodendice"/>
                <w:rFonts w:eastAsia="Arial Unicode MS"/>
                <w:vanish w:val="false"/>
                <w:lang w:bidi="hi-IN"/>
              </w:rPr>
              <w:t>2.</w:t>
            </w:r>
            <w:r>
              <w:rPr>
                <w:rStyle w:val="Vnculodendice"/>
              </w:rPr>
              <w:tab/>
            </w:r>
            <w:r>
              <w:rPr>
                <w:rStyle w:val="Vnculodendice"/>
                <w:rFonts w:eastAsia="Arial Unicode MS"/>
                <w:lang w:bidi="hi-IN"/>
              </w:rPr>
              <w:t>PARTICIPAÇÃO NA DISPENSA ELETRÔNICA.</w:t>
            </w:r>
            <w:r>
              <w:rPr>
                <w:rStyle w:val="Vnculodendice"/>
                <w:vanish w:val="false"/>
              </w:rPr>
              <w:tab/>
            </w:r>
          </w:hyperlink>
          <w:r>
            <w:rPr>
              <w:vanish w:val="false"/>
            </w:rPr>
            <w:t>5</w:t>
          </w:r>
        </w:p>
        <w:p>
          <w:pPr>
            <w:pStyle w:val="Sumrio1"/>
            <w:tabs>
              <w:tab w:val="clear" w:pos="708"/>
              <w:tab w:val="left" w:pos="440" w:leader="none"/>
              <w:tab w:val="right" w:pos="8494" w:leader="dot"/>
            </w:tabs>
            <w:rPr/>
          </w:pPr>
          <w:hyperlink w:anchor="_Toc118380901">
            <w:r>
              <w:rPr>
                <w:webHidden/>
                <w:rStyle w:val="Vnculodendice"/>
                <w:rFonts w:eastAsia="Arial Unicode MS"/>
                <w:vanish w:val="false"/>
                <w:lang w:bidi="hi-IN"/>
              </w:rPr>
              <w:t>3.</w:t>
            </w:r>
            <w:r>
              <w:rPr>
                <w:rStyle w:val="Vnculodendice"/>
              </w:rPr>
              <w:tab/>
            </w:r>
            <w:r>
              <w:rPr>
                <w:rStyle w:val="Vnculodendice"/>
                <w:rFonts w:eastAsia="Arial Unicode MS"/>
                <w:lang w:bidi="hi-IN"/>
              </w:rPr>
              <w:t>INGRESSO NA DISPENSA ELETRÔNICA E CADASTRAMENTO DA PROPOSTA INICIAL</w:t>
            </w:r>
            <w:r>
              <w:rPr>
                <w:rStyle w:val="Vnculodendice"/>
                <w:vanish w:val="false"/>
              </w:rPr>
              <w:tab/>
            </w:r>
          </w:hyperlink>
          <w:r>
            <w:rPr>
              <w:vanish w:val="false"/>
            </w:rPr>
            <w:t>6</w:t>
          </w:r>
        </w:p>
        <w:p>
          <w:pPr>
            <w:pStyle w:val="Sumrio1"/>
            <w:tabs>
              <w:tab w:val="clear" w:pos="708"/>
              <w:tab w:val="left" w:pos="440" w:leader="none"/>
              <w:tab w:val="right" w:pos="8494" w:leader="dot"/>
            </w:tabs>
            <w:rPr/>
          </w:pPr>
          <w:hyperlink w:anchor="_Toc118380902">
            <w:r>
              <w:rPr>
                <w:webHidden/>
                <w:rStyle w:val="Vnculodendice"/>
                <w:rFonts w:eastAsia="Arial Unicode MS"/>
                <w:vanish w:val="false"/>
                <w:lang w:bidi="hi-IN"/>
              </w:rPr>
              <w:t>4.</w:t>
            </w:r>
            <w:r>
              <w:rPr>
                <w:rStyle w:val="Vnculodendice"/>
              </w:rPr>
              <w:tab/>
            </w:r>
            <w:r>
              <w:rPr>
                <w:rStyle w:val="Vnculodendice"/>
                <w:rFonts w:eastAsia="Arial Unicode MS"/>
                <w:lang w:bidi="hi-IN"/>
              </w:rPr>
              <w:t>FASE DE LANCES</w:t>
            </w:r>
            <w:r>
              <w:rPr>
                <w:rStyle w:val="Vnculodendice"/>
                <w:vanish w:val="false"/>
              </w:rPr>
              <w:tab/>
            </w:r>
          </w:hyperlink>
          <w:r>
            <w:rPr>
              <w:vanish w:val="false"/>
            </w:rPr>
            <w:t>8</w:t>
          </w:r>
        </w:p>
        <w:p>
          <w:pPr>
            <w:pStyle w:val="Sumrio1"/>
            <w:tabs>
              <w:tab w:val="clear" w:pos="708"/>
              <w:tab w:val="left" w:pos="440" w:leader="none"/>
              <w:tab w:val="right" w:pos="8494" w:leader="dot"/>
            </w:tabs>
            <w:rPr/>
          </w:pPr>
          <w:hyperlink w:anchor="_Toc118380903">
            <w:r>
              <w:rPr>
                <w:webHidden/>
                <w:rStyle w:val="Vnculodendice"/>
                <w:rFonts w:eastAsia="Arial Unicode MS"/>
                <w:vanish w:val="false"/>
                <w:lang w:bidi="hi-IN"/>
              </w:rPr>
              <w:t>5.</w:t>
            </w:r>
            <w:r>
              <w:rPr>
                <w:rStyle w:val="Vnculodendice"/>
              </w:rPr>
              <w:tab/>
            </w:r>
            <w:r>
              <w:rPr>
                <w:rStyle w:val="Vnculodendice"/>
                <w:rFonts w:eastAsia="Arial Unicode MS"/>
                <w:lang w:bidi="hi-IN"/>
              </w:rPr>
              <w:t>JULGAMENTO DAS PROPOSTAS DE PREÇO</w:t>
            </w:r>
            <w:r>
              <w:rPr>
                <w:rStyle w:val="Vnculodendice"/>
                <w:vanish w:val="false"/>
              </w:rPr>
              <w:tab/>
            </w:r>
          </w:hyperlink>
          <w:r>
            <w:rPr>
              <w:vanish w:val="false"/>
            </w:rPr>
            <w:t>8</w:t>
          </w:r>
        </w:p>
        <w:p>
          <w:pPr>
            <w:pStyle w:val="Sumrio1"/>
            <w:tabs>
              <w:tab w:val="clear" w:pos="708"/>
              <w:tab w:val="left" w:pos="440" w:leader="none"/>
              <w:tab w:val="right" w:pos="8494" w:leader="dot"/>
            </w:tabs>
            <w:rPr/>
          </w:pPr>
          <w:hyperlink w:anchor="_Toc118380904">
            <w:r>
              <w:rPr>
                <w:webHidden/>
                <w:rStyle w:val="Vnculodendice"/>
                <w:rFonts w:eastAsia="Arial Unicode MS"/>
                <w:vanish w:val="false"/>
                <w:lang w:bidi="hi-IN"/>
              </w:rPr>
              <w:t>6.</w:t>
            </w:r>
            <w:r>
              <w:rPr>
                <w:rStyle w:val="Vnculodendice"/>
              </w:rPr>
              <w:tab/>
            </w:r>
            <w:r>
              <w:rPr>
                <w:rStyle w:val="Vnculodendice"/>
                <w:rFonts w:eastAsia="Arial Unicode MS"/>
                <w:lang w:bidi="hi-IN"/>
              </w:rPr>
              <w:t>HABILITAÇÃO</w:t>
            </w:r>
            <w:r>
              <w:rPr>
                <w:rStyle w:val="Vnculodendice"/>
                <w:vanish w:val="false"/>
              </w:rPr>
              <w:tab/>
            </w:r>
          </w:hyperlink>
          <w:r>
            <w:rPr>
              <w:vanish w:val="false"/>
            </w:rPr>
            <w:t>10</w:t>
          </w:r>
        </w:p>
        <w:p>
          <w:pPr>
            <w:pStyle w:val="Sumrio1"/>
            <w:tabs>
              <w:tab w:val="clear" w:pos="708"/>
              <w:tab w:val="left" w:pos="440" w:leader="none"/>
              <w:tab w:val="right" w:pos="8494" w:leader="dot"/>
            </w:tabs>
            <w:rPr/>
          </w:pPr>
          <w:hyperlink w:anchor="_Toc118380905">
            <w:r>
              <w:rPr>
                <w:webHidden/>
                <w:rStyle w:val="Vnculodendice"/>
                <w:rFonts w:eastAsia="Arial Unicode MS"/>
                <w:vanish w:val="false"/>
                <w:lang w:bidi="hi-IN"/>
              </w:rPr>
              <w:t>7.</w:t>
            </w:r>
            <w:r>
              <w:rPr>
                <w:rStyle w:val="Vnculodendice"/>
              </w:rPr>
              <w:tab/>
            </w:r>
            <w:r>
              <w:rPr>
                <w:rStyle w:val="Vnculodendice"/>
                <w:rFonts w:eastAsia="Arial Unicode MS"/>
                <w:lang w:bidi="hi-IN"/>
              </w:rPr>
              <w:t>CONTRATAÇÃO</w:t>
            </w:r>
            <w:r>
              <w:rPr>
                <w:webHidden/>
              </w:rPr>
              <w:fldChar w:fldCharType="begin"/>
            </w:r>
            <w:r>
              <w:rPr>
                <w:webHidden/>
              </w:rPr>
              <w:instrText>PAGEREF _Toc118380905 \h</w:instrText>
            </w:r>
            <w:r>
              <w:rPr>
                <w:webHidden/>
              </w:rPr>
              <w:fldChar w:fldCharType="separate"/>
            </w:r>
            <w:r>
              <w:rPr>
                <w:rStyle w:val="Vnculodendice"/>
                <w:vanish w:val="false"/>
              </w:rPr>
              <w:tab/>
              <w:t>11</w:t>
            </w:r>
            <w:r>
              <w:rPr>
                <w:webHidden/>
              </w:rPr>
              <w:fldChar w:fldCharType="end"/>
            </w:r>
          </w:hyperlink>
        </w:p>
        <w:p>
          <w:pPr>
            <w:pStyle w:val="Sumrio1"/>
            <w:tabs>
              <w:tab w:val="clear" w:pos="708"/>
              <w:tab w:val="left" w:pos="440" w:leader="none"/>
              <w:tab w:val="right" w:pos="8494" w:leader="dot"/>
            </w:tabs>
            <w:rPr/>
          </w:pPr>
          <w:hyperlink w:anchor="_Toc118380906">
            <w:r>
              <w:rPr>
                <w:webHidden/>
                <w:rStyle w:val="Vnculodendice"/>
                <w:rFonts w:eastAsia="Arial Unicode MS"/>
                <w:vanish w:val="false"/>
                <w:lang w:bidi="hi-IN"/>
              </w:rPr>
              <w:t>8.</w:t>
            </w:r>
            <w:r>
              <w:rPr>
                <w:rStyle w:val="Vnculodendice"/>
              </w:rPr>
              <w:tab/>
            </w:r>
            <w:r>
              <w:rPr>
                <w:rStyle w:val="Vnculodendice"/>
                <w:rFonts w:eastAsia="Arial Unicode MS"/>
                <w:lang w:bidi="hi-IN"/>
              </w:rPr>
              <w:t>INFRAÇÕES E SANÇÕES ADMINISTRATIVAS</w:t>
            </w:r>
            <w:r>
              <w:rPr>
                <w:rStyle w:val="Vnculodendice"/>
                <w:vanish w:val="false"/>
              </w:rPr>
              <w:tab/>
              <w:t>1</w:t>
            </w:r>
          </w:hyperlink>
          <w:r>
            <w:rPr>
              <w:vanish w:val="false"/>
            </w:rPr>
            <w:t>2</w:t>
          </w:r>
        </w:p>
        <w:p>
          <w:pPr>
            <w:pStyle w:val="Sumrio1"/>
            <w:tabs>
              <w:tab w:val="clear" w:pos="708"/>
              <w:tab w:val="left" w:pos="440" w:leader="none"/>
              <w:tab w:val="right" w:pos="8494" w:leader="dot"/>
            </w:tabs>
            <w:rPr/>
          </w:pPr>
          <w:hyperlink w:anchor="_Toc118380907">
            <w:r>
              <w:rPr>
                <w:webHidden/>
                <w:rStyle w:val="Vnculodendice"/>
                <w:rFonts w:eastAsia="Arial Unicode MS"/>
                <w:vanish w:val="false"/>
                <w:lang w:bidi="hi-IN"/>
              </w:rPr>
              <w:t>9.</w:t>
            </w:r>
            <w:r>
              <w:rPr>
                <w:rStyle w:val="Vnculodendice"/>
              </w:rPr>
              <w:tab/>
            </w:r>
            <w:r>
              <w:rPr>
                <w:rStyle w:val="Vnculodendice"/>
                <w:rFonts w:eastAsia="Arial Unicode MS"/>
                <w:lang w:bidi="hi-IN"/>
              </w:rPr>
              <w:t>DAS DISPOSIÇÕES GERAIS</w:t>
            </w:r>
            <w:r>
              <w:rPr>
                <w:rStyle w:val="Vnculodendice"/>
                <w:vanish w:val="false"/>
              </w:rPr>
              <w:tab/>
              <w:t>1</w:t>
            </w:r>
          </w:hyperlink>
          <w:r>
            <w:rPr>
              <w:vanish w:val="false"/>
            </w:rPr>
            <w:t>4</w:t>
          </w:r>
        </w:p>
        <w:p>
          <w:pPr>
            <w:pStyle w:val="Normal"/>
            <w:rPr/>
          </w:pPr>
          <w:r>
            <w:rPr/>
          </w:r>
          <w:r>
            <w:rPr/>
            <w:fldChar w:fldCharType="end"/>
          </w:r>
        </w:p>
      </w:sdtContent>
    </w:sdt>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r>
        <w:br w:type="page"/>
      </w:r>
    </w:p>
    <w:p>
      <w:pPr>
        <w:pStyle w:val="Normal"/>
        <w:spacing w:lineRule="auto" w:line="276"/>
        <w:jc w:val="center"/>
        <w:rPr>
          <w:rFonts w:cs="Arial"/>
          <w:b/>
          <w:b/>
          <w:bCs/>
          <w:i/>
          <w:i/>
          <w:iCs/>
          <w:color w:val="FF0000"/>
          <w:szCs w:val="20"/>
        </w:rPr>
      </w:pPr>
      <w:r>
        <w:rPr>
          <w:rFonts w:cs="Arial"/>
          <w:b/>
          <w:bCs/>
          <w:i/>
          <w:iCs/>
          <w:color w:val="FF0000"/>
          <w:szCs w:val="20"/>
        </w:rPr>
      </w:r>
    </w:p>
    <w:p>
      <w:pPr>
        <w:pStyle w:val="Normal"/>
        <w:spacing w:lineRule="auto" w:line="276"/>
        <w:jc w:val="center"/>
        <w:rPr>
          <w:rFonts w:cs="Arial"/>
          <w:b/>
          <w:b/>
          <w:bCs/>
          <w:i/>
          <w:i/>
          <w:iCs/>
          <w:color w:val="FF0000"/>
          <w:szCs w:val="20"/>
        </w:rPr>
      </w:pPr>
      <w:r>
        <w:rPr>
          <w:rFonts w:cs="Arial"/>
          <w:b/>
          <w:bCs/>
          <w:i/>
          <w:iCs/>
          <w:color w:val="FF0000"/>
          <w:szCs w:val="20"/>
        </w:rPr>
        <w:drawing>
          <wp:anchor behindDoc="0" distT="0" distB="0" distL="0" distR="0" simplePos="0" locked="0" layoutInCell="1" allowOverlap="1" relativeHeight="3">
            <wp:simplePos x="0" y="0"/>
            <wp:positionH relativeFrom="character">
              <wp:posOffset>-424180</wp:posOffset>
            </wp:positionH>
            <wp:positionV relativeFrom="paragraph">
              <wp:posOffset>-9525</wp:posOffset>
            </wp:positionV>
            <wp:extent cx="848995" cy="759460"/>
            <wp:effectExtent l="0" t="0" r="0" b="0"/>
            <wp:wrapNone/>
            <wp:docPr id="1" name="Figura2"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2" descr="A description..."/>
                    <pic:cNvPicPr>
                      <a:picLocks noChangeAspect="1" noChangeArrowheads="1"/>
                    </pic:cNvPicPr>
                  </pic:nvPicPr>
                  <pic:blipFill>
                    <a:blip r:embed="rId2"/>
                    <a:stretch>
                      <a:fillRect/>
                    </a:stretch>
                  </pic:blipFill>
                  <pic:spPr bwMode="auto">
                    <a:xfrm>
                      <a:off x="0" y="0"/>
                      <a:ext cx="848995" cy="759460"/>
                    </a:xfrm>
                    <a:prstGeom prst="rect">
                      <a:avLst/>
                    </a:prstGeom>
                  </pic:spPr>
                </pic:pic>
              </a:graphicData>
            </a:graphic>
          </wp:anchor>
        </w:drawing>
      </w:r>
    </w:p>
    <w:p>
      <w:pPr>
        <w:pStyle w:val="Normal"/>
        <w:spacing w:lineRule="auto" w:line="276"/>
        <w:jc w:val="center"/>
        <w:rPr>
          <w:rFonts w:cs="Arial"/>
          <w:b/>
          <w:b/>
          <w:bCs/>
          <w:i/>
          <w:i/>
          <w:iCs/>
          <w:color w:val="FF0000"/>
          <w:szCs w:val="20"/>
        </w:rPr>
      </w:pPr>
      <w:r>
        <w:rPr>
          <w:rFonts w:cs="Arial"/>
          <w:b/>
          <w:bCs/>
          <w:i/>
          <w:iCs/>
          <w:color w:val="FF0000"/>
          <w:szCs w:val="20"/>
        </w:rPr>
      </w:r>
    </w:p>
    <w:p>
      <w:pPr>
        <w:pStyle w:val="Normal"/>
        <w:spacing w:lineRule="auto" w:line="276"/>
        <w:jc w:val="center"/>
        <w:rPr>
          <w:rFonts w:cs="Arial"/>
          <w:b/>
          <w:b/>
          <w:bCs/>
          <w:i/>
          <w:i/>
          <w:iCs/>
          <w:color w:val="FF0000"/>
          <w:szCs w:val="20"/>
        </w:rPr>
      </w:pPr>
      <w:r>
        <w:rPr>
          <w:rFonts w:cs="Arial"/>
          <w:b/>
          <w:bCs/>
          <w:i/>
          <w:iCs/>
          <w:color w:val="FF0000"/>
          <w:szCs w:val="20"/>
        </w:rPr>
      </w:r>
    </w:p>
    <w:p>
      <w:pPr>
        <w:pStyle w:val="Normal"/>
        <w:spacing w:lineRule="auto" w:line="276"/>
        <w:jc w:val="center"/>
        <w:rPr>
          <w:rFonts w:cs="Arial"/>
          <w:b/>
          <w:b/>
          <w:bCs/>
          <w:i/>
          <w:i/>
          <w:iCs/>
          <w:color w:val="FF0000"/>
          <w:szCs w:val="20"/>
        </w:rPr>
      </w:pPr>
      <w:r>
        <w:rPr>
          <w:rFonts w:cs="Arial"/>
          <w:b/>
          <w:bCs/>
          <w:i/>
          <w:iCs/>
          <w:color w:val="FF0000"/>
          <w:szCs w:val="20"/>
        </w:rPr>
      </w:r>
    </w:p>
    <w:p>
      <w:pPr>
        <w:pStyle w:val="Normal"/>
        <w:spacing w:lineRule="auto" w:line="276"/>
        <w:jc w:val="center"/>
        <w:rPr>
          <w:rFonts w:cs="Arial"/>
          <w:b/>
          <w:b/>
          <w:bCs/>
          <w:i/>
          <w:i/>
          <w:iCs/>
          <w:color w:val="FF0000"/>
          <w:szCs w:val="20"/>
        </w:rPr>
      </w:pPr>
      <w:r>
        <w:rPr>
          <w:rFonts w:cs="Arial"/>
          <w:b/>
          <w:bCs/>
          <w:i/>
          <w:iCs/>
          <w:color w:val="FF0000"/>
          <w:szCs w:val="20"/>
        </w:rPr>
      </w:r>
    </w:p>
    <w:p>
      <w:pPr>
        <w:pStyle w:val="Padro1"/>
        <w:spacing w:before="0" w:after="0"/>
        <w:ind w:left="0" w:right="0" w:hanging="0"/>
        <w:jc w:val="center"/>
        <w:rPr>
          <w:rFonts w:eastAsia="Times New Roman" w:cs="Times New Roman"/>
          <w:b/>
          <w:b/>
          <w:bCs/>
          <w:i w:val="false"/>
          <w:i w:val="false"/>
          <w:iCs w:val="false"/>
          <w:color w:val="00000A"/>
          <w:sz w:val="20"/>
          <w:szCs w:val="20"/>
          <w:u w:val="none"/>
          <w:lang w:val="pt-BR" w:eastAsia="pt-BR" w:bidi="ar-SA"/>
        </w:rPr>
      </w:pPr>
      <w:r>
        <w:rPr>
          <w:rFonts w:eastAsia="Times New Roman" w:cs="Times New Roman"/>
          <w:b/>
          <w:bCs/>
          <w:i w:val="false"/>
          <w:iCs w:val="false"/>
          <w:color w:val="00000A"/>
          <w:sz w:val="20"/>
          <w:szCs w:val="20"/>
          <w:u w:val="none"/>
          <w:lang w:val="pt-BR" w:eastAsia="pt-BR" w:bidi="ar-SA"/>
        </w:rPr>
        <w:t>MINISTÉRIO DA DEFESA</w:t>
      </w:r>
    </w:p>
    <w:p>
      <w:pPr>
        <w:pStyle w:val="Padro1"/>
        <w:spacing w:before="0" w:after="0"/>
        <w:ind w:left="0" w:right="0" w:hanging="0"/>
        <w:jc w:val="center"/>
        <w:rPr>
          <w:b/>
          <w:b/>
          <w:bCs/>
          <w:sz w:val="20"/>
          <w:szCs w:val="20"/>
        </w:rPr>
      </w:pPr>
      <w:r>
        <w:rPr>
          <w:b/>
          <w:bCs/>
          <w:sz w:val="20"/>
          <w:szCs w:val="20"/>
        </w:rPr>
        <w:t>EXÉRCITO BRASILEIRO</w:t>
      </w:r>
    </w:p>
    <w:p>
      <w:pPr>
        <w:pStyle w:val="Padro1"/>
        <w:spacing w:before="0" w:after="0"/>
        <w:ind w:left="0" w:right="0" w:hanging="0"/>
        <w:jc w:val="center"/>
        <w:rPr>
          <w:rFonts w:eastAsia="Times New Roman" w:cs="Times New Roman"/>
          <w:b/>
          <w:b/>
          <w:bCs/>
          <w:i w:val="false"/>
          <w:i w:val="false"/>
          <w:iCs w:val="false"/>
          <w:color w:val="00000A"/>
          <w:sz w:val="20"/>
          <w:szCs w:val="20"/>
          <w:u w:val="none"/>
          <w:lang w:val="pt-BR" w:eastAsia="pt-BR" w:bidi="ar-SA"/>
        </w:rPr>
      </w:pPr>
      <w:r>
        <w:rPr>
          <w:rFonts w:eastAsia="Times New Roman" w:cs="Times New Roman"/>
          <w:b/>
          <w:bCs/>
          <w:i w:val="false"/>
          <w:iCs w:val="false"/>
          <w:color w:val="00000A"/>
          <w:sz w:val="20"/>
          <w:szCs w:val="20"/>
          <w:u w:val="none"/>
          <w:lang w:val="pt-BR" w:eastAsia="pt-BR" w:bidi="ar-SA"/>
        </w:rPr>
        <w:t>4º BATALHÃO LOGÍSTICO</w:t>
      </w:r>
    </w:p>
    <w:p>
      <w:pPr>
        <w:pStyle w:val="Padro1"/>
        <w:widowControl/>
        <w:overflowPunct w:val="false"/>
        <w:spacing w:before="0" w:after="0"/>
        <w:ind w:left="0" w:right="0" w:hanging="0"/>
        <w:jc w:val="center"/>
        <w:rPr>
          <w:rFonts w:eastAsia="Times New Roman" w:cs="Times New Roman"/>
          <w:b/>
          <w:b/>
          <w:bCs/>
          <w:i w:val="false"/>
          <w:i w:val="false"/>
          <w:iCs w:val="false"/>
          <w:color w:val="00000A"/>
          <w:sz w:val="20"/>
          <w:szCs w:val="20"/>
          <w:u w:val="none"/>
          <w:lang w:val="pt-BR" w:eastAsia="pt-BR" w:bidi="ar-SA"/>
        </w:rPr>
      </w:pPr>
      <w:r>
        <w:rPr>
          <w:rFonts w:eastAsia="Times New Roman" w:cs="Times New Roman"/>
          <w:b/>
          <w:bCs/>
          <w:i w:val="false"/>
          <w:iCs w:val="false"/>
          <w:color w:val="00000A"/>
          <w:sz w:val="20"/>
          <w:szCs w:val="20"/>
          <w:u w:val="none"/>
          <w:lang w:val="pt-BR" w:eastAsia="pt-BR" w:bidi="ar-SA"/>
        </w:rPr>
        <w:t>(NU 4ª Cia Esp Mnt /1944)</w:t>
      </w:r>
    </w:p>
    <w:p>
      <w:pPr>
        <w:pStyle w:val="Padro1"/>
        <w:widowControl/>
        <w:overflowPunct w:val="false"/>
        <w:spacing w:before="0" w:after="0"/>
        <w:ind w:left="0" w:right="0" w:hanging="0"/>
        <w:jc w:val="center"/>
        <w:rPr>
          <w:rFonts w:eastAsia="Times New Roman" w:cs="Times New Roman"/>
          <w:b/>
          <w:b/>
          <w:bCs/>
          <w:i w:val="false"/>
          <w:i w:val="false"/>
          <w:iCs w:val="false"/>
          <w:color w:val="00000A"/>
          <w:sz w:val="20"/>
          <w:szCs w:val="20"/>
          <w:u w:val="none"/>
          <w:lang w:val="pt-BR" w:eastAsia="pt-BR" w:bidi="ar-SA"/>
        </w:rPr>
      </w:pPr>
      <w:r>
        <w:rPr>
          <w:rFonts w:eastAsia="Times New Roman" w:cs="Times New Roman"/>
          <w:b/>
          <w:bCs/>
          <w:i w:val="false"/>
          <w:iCs w:val="false"/>
          <w:color w:val="00000A"/>
          <w:sz w:val="20"/>
          <w:szCs w:val="20"/>
          <w:u w:val="none"/>
          <w:lang w:val="pt-BR" w:eastAsia="pt-BR" w:bidi="ar-SA"/>
        </w:rPr>
        <w:t xml:space="preserve">“ </w:t>
      </w:r>
      <w:r>
        <w:rPr>
          <w:rFonts w:eastAsia="Times New Roman" w:cs="Times New Roman"/>
          <w:b/>
          <w:bCs/>
          <w:i w:val="false"/>
          <w:iCs w:val="false"/>
          <w:color w:val="00000A"/>
          <w:sz w:val="20"/>
          <w:szCs w:val="20"/>
          <w:u w:val="none"/>
          <w:lang w:val="pt-BR" w:eastAsia="pt-BR" w:bidi="ar-SA"/>
        </w:rPr>
        <w:t>BATALHÃO CAPITÃO CIRILO COSTABEBER”</w:t>
      </w:r>
    </w:p>
    <w:p>
      <w:pPr>
        <w:pStyle w:val="Padro1"/>
        <w:widowControl/>
        <w:overflowPunct w:val="false"/>
        <w:ind w:left="-1134" w:right="-1134" w:hanging="0"/>
        <w:jc w:val="center"/>
        <w:rPr>
          <w:rFonts w:ascii="Times New Roman" w:hAnsi="Times New Roman" w:eastAsia="Times New Roman" w:cs="Times New Roman"/>
          <w:b w:val="false"/>
          <w:b w:val="false"/>
          <w:bCs w:val="false"/>
          <w:i w:val="false"/>
          <w:i w:val="false"/>
          <w:iCs w:val="false"/>
          <w:color w:val="00000A"/>
          <w:kern w:val="0"/>
          <w:sz w:val="20"/>
          <w:szCs w:val="20"/>
          <w:u w:val="none"/>
          <w:lang w:val="pt-BR" w:eastAsia="pt-BR" w:bidi="ar-SA"/>
        </w:rPr>
      </w:pPr>
      <w:bookmarkStart w:id="0" w:name="cabecalho11"/>
      <w:bookmarkEnd w:id="0"/>
      <w:r>
        <w:rPr>
          <w:rFonts w:eastAsia="Times New Roman" w:cs="Times New Roman"/>
          <w:b w:val="false"/>
          <w:bCs w:val="false"/>
          <w:i w:val="false"/>
          <w:iCs w:val="false"/>
          <w:color w:val="00000A"/>
          <w:kern w:val="0"/>
          <w:sz w:val="20"/>
          <w:szCs w:val="20"/>
          <w:u w:val="none"/>
          <w:lang w:val="pt-BR" w:eastAsia="pt-BR" w:bidi="ar-SA"/>
        </w:rPr>
        <w:t>AV. DO EXÉRCITO, SN – BOI MORTO – SANTA MARIA – RS – CEP 97030 – 110</w:t>
      </w:r>
    </w:p>
    <w:p>
      <w:pPr>
        <w:pStyle w:val="Padro1"/>
        <w:widowControl/>
        <w:overflowPunct w:val="false"/>
        <w:bidi w:val="0"/>
        <w:spacing w:lineRule="exact" w:line="240" w:before="0" w:after="0"/>
        <w:ind w:left="-1134" w:right="-1134" w:hanging="0"/>
        <w:contextualSpacing/>
        <w:jc w:val="center"/>
        <w:rPr>
          <w:rFonts w:cs="Arial"/>
          <w:b/>
          <w:b/>
          <w:bCs/>
          <w:i/>
          <w:i/>
          <w:iCs/>
          <w:color w:val="FF0000"/>
          <w:szCs w:val="20"/>
        </w:rPr>
      </w:pPr>
      <w:r>
        <w:rPr>
          <w:rFonts w:eastAsia="Times New Roman" w:cs="Times New Roman"/>
          <w:b w:val="false"/>
          <w:bCs w:val="false"/>
          <w:i w:val="false"/>
          <w:iCs w:val="false"/>
          <w:color w:val="00000A"/>
          <w:kern w:val="0"/>
          <w:sz w:val="20"/>
          <w:szCs w:val="20"/>
          <w:u w:val="none"/>
          <w:lang w:val="pt-BR" w:eastAsia="pt-BR" w:bidi="ar-SA"/>
        </w:rPr>
        <w:t>FONE:</w:t>
      </w:r>
      <w:bookmarkStart w:id="1" w:name="__DdeLink__251_7511086711"/>
      <w:r>
        <w:rPr>
          <w:rFonts w:eastAsia="Times New Roman" w:cs="Times New Roman"/>
          <w:b w:val="false"/>
          <w:bCs w:val="false"/>
          <w:i w:val="false"/>
          <w:iCs w:val="false"/>
          <w:color w:val="00000A"/>
          <w:kern w:val="0"/>
          <w:sz w:val="20"/>
          <w:szCs w:val="20"/>
          <w:u w:val="none"/>
          <w:lang w:val="pt-BR" w:eastAsia="pt-BR" w:bidi="ar-SA"/>
        </w:rPr>
        <w:t xml:space="preserve"> (55)</w:t>
      </w:r>
      <w:bookmarkEnd w:id="1"/>
      <w:r>
        <w:rPr>
          <w:rFonts w:eastAsia="Times New Roman" w:cs="Times New Roman"/>
          <w:b w:val="false"/>
          <w:bCs w:val="false"/>
          <w:i w:val="false"/>
          <w:iCs w:val="false"/>
          <w:color w:val="00000A"/>
          <w:kern w:val="0"/>
          <w:sz w:val="20"/>
          <w:szCs w:val="20"/>
          <w:u w:val="none"/>
          <w:lang w:val="pt-BR" w:eastAsia="pt-BR" w:bidi="ar-SA"/>
        </w:rPr>
        <w:t xml:space="preserve"> 3112 – 0264 ou (55) 3112 – 0265</w:t>
      </w:r>
    </w:p>
    <w:p>
      <w:pPr>
        <w:pStyle w:val="Padro1"/>
        <w:widowControl/>
        <w:overflowPunct w:val="false"/>
        <w:bidi w:val="0"/>
        <w:spacing w:lineRule="exact" w:line="240" w:before="0" w:after="0"/>
        <w:ind w:left="-1134" w:right="-1134" w:hanging="0"/>
        <w:contextualSpacing/>
        <w:jc w:val="center"/>
        <w:rPr>
          <w:rFonts w:cs="Arial"/>
          <w:b/>
          <w:b/>
          <w:bCs/>
          <w:i/>
          <w:i/>
          <w:iCs/>
          <w:color w:val="FF0000"/>
          <w:szCs w:val="20"/>
        </w:rPr>
      </w:pPr>
      <w:r>
        <w:rPr>
          <w:rFonts w:cs="Arial"/>
          <w:b/>
          <w:bCs/>
          <w:i/>
          <w:iCs/>
          <w:color w:val="FF0000"/>
          <w:szCs w:val="20"/>
        </w:rPr>
      </w:r>
    </w:p>
    <w:p>
      <w:pPr>
        <w:pStyle w:val="Normal"/>
        <w:jc w:val="center"/>
        <w:rPr/>
      </w:pPr>
      <w:r>
        <w:rPr>
          <w:rFonts w:cs="Arial"/>
          <w:b/>
          <w:bCs/>
          <w:color w:val="000000" w:themeColor="text1"/>
          <w:szCs w:val="20"/>
        </w:rPr>
        <w:t xml:space="preserve">AVISO DE CONTRATAÇÃO DIRETA   Nº </w:t>
      </w:r>
      <w:r>
        <w:rPr>
          <w:rFonts w:eastAsia="Times New Roman" w:cs="Arial"/>
          <w:b/>
          <w:bCs/>
          <w:color w:val="000000" w:themeColor="text1"/>
          <w:kern w:val="0"/>
          <w:sz w:val="20"/>
          <w:szCs w:val="20"/>
          <w:lang w:val="pt-BR" w:eastAsia="pt-BR" w:bidi="ar-SA"/>
        </w:rPr>
        <w:t>43</w:t>
      </w:r>
      <w:r>
        <w:rPr>
          <w:rFonts w:eastAsia="Times New Roman" w:cs="Arial"/>
          <w:b/>
          <w:bCs/>
          <w:color w:val="000000" w:themeColor="text1"/>
          <w:sz w:val="20"/>
          <w:szCs w:val="20"/>
          <w:lang w:eastAsia="pt-BR"/>
        </w:rPr>
        <w:t>/2023</w:t>
      </w:r>
    </w:p>
    <w:p>
      <w:pPr>
        <w:pStyle w:val="Normal"/>
        <w:jc w:val="center"/>
        <w:rPr/>
      </w:pPr>
      <w:r>
        <w:rPr>
          <w:rFonts w:eastAsia="Times New Roman" w:cs="Arial"/>
          <w:b/>
          <w:bCs/>
          <w:color w:val="000000" w:themeColor="text1"/>
          <w:sz w:val="20"/>
          <w:szCs w:val="20"/>
          <w:lang w:eastAsia="pt-BR"/>
        </w:rPr>
        <w:t>(Processo Administrativo n.° 64127.006923/2023-26)</w:t>
      </w:r>
    </w:p>
    <w:p>
      <w:pPr>
        <w:pStyle w:val="Normal"/>
        <w:rPr>
          <w:rFonts w:cs="Arial"/>
        </w:rPr>
      </w:pPr>
      <w:r>
        <w:rPr>
          <w:rFonts w:cs="Arial"/>
        </w:rPr>
      </w:r>
    </w:p>
    <w:p>
      <w:pPr>
        <w:pStyle w:val="Normal"/>
        <w:snapToGrid w:val="false"/>
        <w:spacing w:lineRule="auto" w:line="276" w:before="0" w:after="120"/>
        <w:ind w:right="-30" w:firstLine="540"/>
        <w:jc w:val="both"/>
        <w:rPr>
          <w:rFonts w:cs="Arial"/>
          <w:color w:val="000000"/>
          <w:szCs w:val="20"/>
        </w:rPr>
      </w:pPr>
      <w:r>
        <w:rPr>
          <w:rFonts w:cs="Arial"/>
          <w:color w:val="000000" w:themeColor="text1"/>
          <w:szCs w:val="20"/>
        </w:rPr>
        <w:t>Torna-se público que o(a)</w:t>
      </w:r>
      <w:r>
        <w:rPr>
          <w:rFonts w:eastAsia="Arial" w:cs="Arial"/>
          <w:color w:val="000000" w:themeColor="text1"/>
          <w:szCs w:val="20"/>
        </w:rPr>
        <w:t xml:space="preserve"> Comando do Exército Brasileiro</w:t>
      </w:r>
      <w:r>
        <w:rPr>
          <w:rFonts w:cs="Arial"/>
          <w:color w:val="000000" w:themeColor="text1"/>
          <w:szCs w:val="20"/>
        </w:rPr>
        <w:t>, por meio do(a)</w:t>
      </w:r>
      <w:r>
        <w:rPr>
          <w:rFonts w:eastAsia="Arial" w:cs="Arial"/>
          <w:color w:val="000000" w:themeColor="text1"/>
          <w:szCs w:val="20"/>
        </w:rPr>
        <w:t xml:space="preserve"> Seção de Aquisições, Licitações e Contratos do 4º Batalhão Logístico, sediado na Avenida Capitão Vasco da Cunha, s/nº, Bairro Boi Morto, CEP: 97030-110, Santa Maria, RS, realizará </w:t>
      </w:r>
      <w:r>
        <w:rPr>
          <w:rFonts w:cs="Arial"/>
          <w:color w:val="000000" w:themeColor="text1"/>
          <w:szCs w:val="20"/>
        </w:rPr>
        <w:t xml:space="preserve">Dispensa Eletrônica, </w:t>
      </w:r>
      <w:r>
        <w:rPr>
          <w:rFonts w:cs="Arial"/>
          <w:bCs/>
          <w:color w:val="000000" w:themeColor="text1"/>
          <w:szCs w:val="20"/>
        </w:rPr>
        <w:t xml:space="preserve">com critério de julgamento </w:t>
      </w:r>
      <w:r>
        <w:rPr>
          <w:rFonts w:cs="Arial"/>
          <w:b/>
          <w:bCs/>
          <w:color w:val="000000" w:themeColor="text1"/>
          <w:szCs w:val="20"/>
        </w:rPr>
        <w:t>MENOR PREÇO,</w:t>
      </w:r>
      <w:r>
        <w:rPr>
          <w:rFonts w:cs="Arial"/>
          <w:b/>
          <w:bCs/>
          <w:i/>
          <w:color w:val="FF0000"/>
          <w:szCs w:val="20"/>
        </w:rPr>
        <w:t xml:space="preserve"> </w:t>
      </w:r>
      <w:r>
        <w:rPr>
          <w:rFonts w:cs="Arial"/>
          <w:color w:val="000000" w:themeColor="text1"/>
          <w:szCs w:val="20"/>
        </w:rPr>
        <w:t xml:space="preserve">na hipótese do </w:t>
      </w:r>
      <w:r>
        <w:fldChar w:fldCharType="begin"/>
      </w:r>
      <w:r>
        <w:rPr>
          <w:rStyle w:val="LinkdaInternet"/>
          <w:szCs w:val="20"/>
          <w:rFonts w:cs="Arial"/>
        </w:rPr>
        <w:instrText> HYPERLINK "http://www.planalto.gov.br/ccivil_03/_ato2019-2022/2021/lei/L14133.htm" \l "art75"</w:instrText>
      </w:r>
      <w:r>
        <w:rPr>
          <w:rStyle w:val="LinkdaInternet"/>
          <w:szCs w:val="20"/>
          <w:rFonts w:cs="Arial"/>
        </w:rPr>
        <w:fldChar w:fldCharType="separate"/>
      </w:r>
      <w:r>
        <w:rPr>
          <w:rStyle w:val="LinkdaInternet"/>
          <w:rFonts w:cs="Arial"/>
          <w:szCs w:val="20"/>
        </w:rPr>
        <w:t>art. 75</w:t>
      </w:r>
      <w:r>
        <w:rPr>
          <w:rStyle w:val="LinkdaInternet"/>
          <w:szCs w:val="20"/>
          <w:rFonts w:cs="Arial"/>
        </w:rPr>
        <w:fldChar w:fldCharType="end"/>
      </w:r>
      <w:r>
        <w:rPr>
          <w:rFonts w:cs="Arial"/>
          <w:i/>
          <w:iCs/>
          <w:color w:val="000000" w:themeColor="text1"/>
          <w:szCs w:val="20"/>
        </w:rPr>
        <w:t>, inciso</w:t>
      </w:r>
      <w:r>
        <w:rPr>
          <w:rFonts w:cs="Arial"/>
          <w:i/>
          <w:iCs/>
          <w:color w:val="auto"/>
          <w:szCs w:val="20"/>
        </w:rPr>
        <w:t xml:space="preserve"> </w:t>
      </w:r>
      <w:r>
        <w:rPr>
          <w:rFonts w:eastAsia="Times New Roman" w:cs="Arial"/>
          <w:i/>
          <w:iCs/>
          <w:color w:val="auto"/>
          <w:kern w:val="0"/>
          <w:sz w:val="20"/>
          <w:szCs w:val="20"/>
          <w:lang w:val="pt-BR" w:eastAsia="pt-BR" w:bidi="ar-SA"/>
        </w:rPr>
        <w:t>II</w:t>
      </w:r>
      <w:r>
        <w:rPr>
          <w:rFonts w:cs="Arial"/>
          <w:bCs/>
          <w:i/>
          <w:iCs/>
          <w:color w:val="auto"/>
          <w:szCs w:val="20"/>
        </w:rPr>
        <w:t>,</w:t>
      </w:r>
      <w:r>
        <w:rPr>
          <w:rFonts w:cs="Arial"/>
          <w:bCs/>
          <w:i/>
          <w:iCs/>
          <w:color w:val="FF0000"/>
          <w:szCs w:val="20"/>
        </w:rPr>
        <w:t xml:space="preserve"> </w:t>
      </w:r>
      <w:r>
        <w:rPr>
          <w:rFonts w:cs="Arial"/>
          <w:color w:val="FF0000"/>
          <w:szCs w:val="20"/>
        </w:rPr>
        <w:t xml:space="preserve"> </w:t>
      </w:r>
      <w:r>
        <w:rPr>
          <w:rFonts w:cs="Arial"/>
          <w:bCs/>
          <w:color w:val="000000"/>
          <w:szCs w:val="20"/>
        </w:rPr>
        <w:t xml:space="preserve">nos termos da </w:t>
      </w:r>
      <w:hyperlink r:id="rId3">
        <w:r>
          <w:rPr>
            <w:rStyle w:val="LinkdaInternet"/>
            <w:rFonts w:cs="Arial"/>
            <w:bCs/>
            <w:szCs w:val="20"/>
          </w:rPr>
          <w:t>Lei n.º 14.133, de 1º de abril de 2021</w:t>
        </w:r>
      </w:hyperlink>
      <w:r>
        <w:rPr>
          <w:rFonts w:cs="Arial"/>
          <w:bCs/>
          <w:color w:val="000000"/>
          <w:szCs w:val="20"/>
        </w:rPr>
        <w:t xml:space="preserve">, da </w:t>
      </w:r>
      <w:hyperlink r:id="rId4">
        <w:r>
          <w:rPr>
            <w:rStyle w:val="LinkdaInternet"/>
            <w:rFonts w:cs="Arial"/>
            <w:bCs/>
            <w:szCs w:val="20"/>
          </w:rPr>
          <w:t>Instrução Normativa Seges/ME nº 67, de 2021</w:t>
        </w:r>
      </w:hyperlink>
      <w:r>
        <w:rPr>
          <w:rFonts w:cs="Arial"/>
          <w:bCs/>
          <w:color w:val="000000"/>
          <w:szCs w:val="20"/>
        </w:rPr>
        <w:t>, e demais normas aplicáveis</w:t>
      </w:r>
      <w:r>
        <w:rPr>
          <w:rFonts w:cs="Arial"/>
          <w:color w:val="000000"/>
          <w:szCs w:val="20"/>
        </w:rPr>
        <w:t>.</w:t>
      </w:r>
    </w:p>
    <w:p>
      <w:pPr>
        <w:pStyle w:val="Normal"/>
        <w:spacing w:lineRule="auto" w:line="276"/>
        <w:jc w:val="both"/>
        <w:rPr>
          <w:rFonts w:cs="Arial"/>
          <w:color w:val="000000" w:themeColor="text1"/>
          <w:szCs w:val="20"/>
        </w:rPr>
      </w:pPr>
      <w:r>
        <w:rPr>
          <w:rFonts w:cs="Arial"/>
          <w:color w:val="000000" w:themeColor="text1"/>
          <w:szCs w:val="20"/>
        </w:rPr>
      </w:r>
    </w:p>
    <w:p>
      <w:pPr>
        <w:pStyle w:val="Normal"/>
        <w:spacing w:lineRule="auto" w:line="276"/>
        <w:jc w:val="both"/>
        <w:rPr>
          <w:rFonts w:cs="Arial"/>
          <w:color w:val="000000" w:themeColor="text1"/>
          <w:szCs w:val="20"/>
        </w:rPr>
      </w:pPr>
      <w:r>
        <w:rPr>
          <w:rFonts w:cs="Arial"/>
          <w:color w:val="000000" w:themeColor="text1"/>
          <w:szCs w:val="20"/>
        </w:rPr>
      </w:r>
    </w:p>
    <w:p>
      <w:pPr>
        <w:pStyle w:val="Normal"/>
        <w:spacing w:lineRule="auto" w:line="276"/>
        <w:jc w:val="both"/>
        <w:rPr>
          <w:rFonts w:cs="Arial"/>
          <w:b/>
          <w:b/>
          <w:bCs/>
          <w:szCs w:val="20"/>
        </w:rPr>
      </w:pPr>
      <w:r>
        <w:rPr>
          <w:rFonts w:cs="Arial"/>
          <w:b/>
          <w:bCs/>
          <w:color w:val="000000" w:themeColor="text1"/>
          <w:szCs w:val="20"/>
        </w:rPr>
        <w:t xml:space="preserve">Data da sessão: </w:t>
      </w:r>
      <w:r>
        <w:rPr>
          <w:rFonts w:cs="Arial"/>
          <w:b/>
          <w:bCs/>
          <w:color w:val="000000" w:themeColor="text1"/>
          <w:szCs w:val="20"/>
        </w:rPr>
        <w:t>19</w:t>
      </w:r>
      <w:r>
        <w:rPr>
          <w:rFonts w:cs="Arial"/>
          <w:b/>
          <w:bCs/>
          <w:color w:val="000000" w:themeColor="text1"/>
          <w:szCs w:val="20"/>
        </w:rPr>
        <w:t>/</w:t>
      </w:r>
      <w:r>
        <w:rPr>
          <w:rFonts w:eastAsia="Times New Roman" w:cs="Arial"/>
          <w:b/>
          <w:bCs/>
          <w:color w:val="000000" w:themeColor="text1"/>
          <w:kern w:val="0"/>
          <w:sz w:val="20"/>
          <w:szCs w:val="20"/>
          <w:lang w:val="pt-BR" w:eastAsia="pt-BR" w:bidi="ar-SA"/>
        </w:rPr>
        <w:t>08</w:t>
      </w:r>
      <w:r>
        <w:rPr>
          <w:rFonts w:cs="Arial"/>
          <w:b/>
          <w:bCs/>
          <w:color w:val="000000" w:themeColor="text1"/>
          <w:szCs w:val="20"/>
        </w:rPr>
        <w:t>/2023</w:t>
      </w:r>
    </w:p>
    <w:p>
      <w:pPr>
        <w:pStyle w:val="Normal"/>
        <w:rPr>
          <w:rFonts w:cs="Arial"/>
          <w:color w:val="000000" w:themeColor="text1"/>
          <w:szCs w:val="20"/>
        </w:rPr>
      </w:pPr>
      <w:r>
        <w:rPr>
          <w:rFonts w:cs="Arial"/>
          <w:b/>
          <w:bCs/>
          <w:color w:val="000000" w:themeColor="text1"/>
          <w:szCs w:val="20"/>
        </w:rPr>
        <w:t>Horário da Fase de Lances:</w:t>
      </w:r>
      <w:r>
        <w:rPr>
          <w:rFonts w:cs="Arial"/>
          <w:color w:val="000000" w:themeColor="text1"/>
          <w:szCs w:val="20"/>
        </w:rPr>
        <w:t xml:space="preserve"> </w:t>
      </w:r>
      <w:r>
        <w:rPr>
          <w:rFonts w:cs="Arial"/>
          <w:i/>
          <w:color w:val="000000" w:themeColor="text1"/>
          <w:szCs w:val="20"/>
        </w:rPr>
        <w:t>08:00</w:t>
      </w:r>
      <w:r>
        <w:rPr>
          <w:rFonts w:cs="Arial"/>
          <w:i/>
          <w:color w:val="FF0000"/>
          <w:szCs w:val="20"/>
        </w:rPr>
        <w:t xml:space="preserve"> </w:t>
      </w:r>
      <w:r>
        <w:rPr>
          <w:rFonts w:cs="Arial"/>
          <w:i/>
          <w:color w:val="000000" w:themeColor="text1"/>
          <w:szCs w:val="20"/>
        </w:rPr>
        <w:t>às 14:00.</w:t>
      </w:r>
    </w:p>
    <w:p>
      <w:pPr>
        <w:pStyle w:val="Normal"/>
        <w:rPr>
          <w:rFonts w:cs="Arial"/>
          <w:color w:val="000000" w:themeColor="text1"/>
          <w:szCs w:val="20"/>
        </w:rPr>
      </w:pPr>
      <w:r>
        <w:rPr>
          <w:rFonts w:cs="Arial"/>
          <w:b/>
          <w:bCs/>
          <w:color w:val="000000" w:themeColor="text1"/>
          <w:szCs w:val="20"/>
        </w:rPr>
        <w:t>Link</w:t>
      </w:r>
      <w:r>
        <w:rPr>
          <w:rFonts w:cs="Arial"/>
          <w:color w:val="000000" w:themeColor="text1"/>
          <w:szCs w:val="20"/>
        </w:rPr>
        <w:t xml:space="preserve">: </w:t>
      </w:r>
      <w:hyperlink r:id="rId5">
        <w:r>
          <w:rPr>
            <w:rStyle w:val="LinkdaInternet"/>
            <w:rFonts w:cs="Arial"/>
            <w:color w:val="000000" w:themeColor="text1"/>
            <w:szCs w:val="20"/>
          </w:rPr>
          <w:t>https://www.comprasnet.gov.br/seguro/loginPortalFornecedor.asp</w:t>
        </w:r>
      </w:hyperlink>
      <w:r>
        <w:rPr>
          <w:rFonts w:cs="Arial"/>
          <w:color w:val="000000" w:themeColor="text1"/>
          <w:szCs w:val="20"/>
        </w:rPr>
        <w:t xml:space="preserve"> </w:t>
      </w:r>
    </w:p>
    <w:p>
      <w:pPr>
        <w:pStyle w:val="Normal"/>
        <w:spacing w:lineRule="auto" w:line="276"/>
        <w:ind w:right="-15" w:hanging="0"/>
        <w:jc w:val="both"/>
        <w:rPr>
          <w:rFonts w:cs="Arial"/>
          <w:i/>
          <w:i/>
          <w:iCs/>
          <w:color w:val="FF0000"/>
          <w:szCs w:val="20"/>
        </w:rPr>
      </w:pPr>
      <w:r>
        <w:rPr>
          <w:rFonts w:cs="Arial"/>
          <w:b/>
          <w:bCs/>
          <w:i/>
          <w:iCs/>
          <w:szCs w:val="20"/>
        </w:rPr>
        <w:t>Critério de Julgamento:</w:t>
      </w:r>
      <w:r>
        <w:rPr>
          <w:rFonts w:cs="Arial"/>
          <w:szCs w:val="20"/>
        </w:rPr>
        <w:t xml:space="preserve"> </w:t>
      </w:r>
      <w:r>
        <w:rPr>
          <w:rFonts w:cs="Arial"/>
          <w:i/>
          <w:iCs/>
          <w:color w:val="FF0000"/>
          <w:szCs w:val="20"/>
        </w:rPr>
        <w:t>menor preço</w:t>
      </w:r>
    </w:p>
    <w:p>
      <w:pPr>
        <w:pStyle w:val="Ttulo1"/>
        <w:numPr>
          <w:ilvl w:val="0"/>
          <w:numId w:val="2"/>
        </w:numPr>
        <w:rPr/>
      </w:pPr>
      <w:bookmarkStart w:id="2" w:name="_Toc118380899"/>
      <w:r>
        <w:rPr/>
        <w:t>OBJETO DA CONTRATAÇÃO DIRETA</w:t>
      </w:r>
      <w:bookmarkEnd w:id="2"/>
    </w:p>
    <w:p>
      <w:pPr>
        <w:pStyle w:val="PADRO"/>
        <w:keepNext w:val="false"/>
        <w:widowControl/>
        <w:numPr>
          <w:ilvl w:val="1"/>
          <w:numId w:val="2"/>
        </w:numPr>
        <w:shd w:val="clear" w:color="auto" w:fill="auto"/>
        <w:spacing w:before="120" w:after="120"/>
        <w:rPr>
          <w:rFonts w:ascii="Arial" w:hAnsi="Arial" w:cs="Arial"/>
          <w:szCs w:val="20"/>
        </w:rPr>
      </w:pPr>
      <w:r>
        <w:rPr>
          <w:rFonts w:cs="Arial" w:ascii="Arial" w:hAnsi="Arial"/>
          <w:color w:val="000000" w:themeColor="text1"/>
          <w:szCs w:val="20"/>
        </w:rPr>
        <w:t xml:space="preserve">O objeto da presente dispensa é a escolha da proposta mais vantajosa para a </w:t>
      </w:r>
      <w:r>
        <w:rPr>
          <w:rFonts w:cs="Arial" w:ascii="Arial" w:hAnsi="Arial"/>
          <w:szCs w:val="20"/>
        </w:rPr>
        <w:t xml:space="preserve">contratação, </w:t>
      </w:r>
      <w:r>
        <w:rPr>
          <w:rFonts w:cs="Arial" w:ascii="Arial" w:hAnsi="Arial"/>
          <w:color w:val="000000" w:themeColor="text1"/>
          <w:szCs w:val="20"/>
        </w:rPr>
        <w:t xml:space="preserve">por dispensa de licitação, </w:t>
      </w:r>
      <w:r>
        <w:rPr>
          <w:rFonts w:eastAsia="WenQuanYi Micro Hei" w:cs="Arial" w:ascii="Arial" w:hAnsi="Arial"/>
          <w:color w:val="000000" w:themeColor="text1"/>
          <w:kern w:val="0"/>
          <w:sz w:val="20"/>
          <w:szCs w:val="20"/>
          <w:lang w:val="pt-BR" w:eastAsia="zh-CN" w:bidi="hi-IN"/>
        </w:rPr>
        <w:t xml:space="preserve">Curso de Diretor de Ensino, a fim de atender as demandas de formação de Quadro de Pessoal do CFC Verde Oliva em proveito  do 4º Batalhão Logístico e unidades apoiadas, conforme Requisição/Diex nº </w:t>
      </w:r>
      <w:r>
        <w:rPr>
          <w:rFonts w:eastAsia="WenQuanYi Micro Hei" w:cs="Arial" w:ascii="Arial" w:hAnsi="Arial"/>
          <w:color w:val="000000" w:themeColor="text1"/>
          <w:kern w:val="0"/>
          <w:sz w:val="20"/>
          <w:szCs w:val="20"/>
          <w:lang w:val="pt-BR" w:eastAsia="zh-CN" w:bidi="hi-IN"/>
        </w:rPr>
        <w:t>210</w:t>
      </w:r>
      <w:r>
        <w:rPr>
          <w:rFonts w:eastAsia="WenQuanYi Micro Hei" w:cs="Arial" w:ascii="Arial" w:hAnsi="Arial"/>
          <w:color w:val="000000" w:themeColor="text1"/>
          <w:kern w:val="0"/>
          <w:sz w:val="20"/>
          <w:szCs w:val="20"/>
          <w:lang w:val="pt-BR" w:eastAsia="zh-CN" w:bidi="hi-IN"/>
        </w:rPr>
        <w:t xml:space="preserve"> – CFC/4º B Log, de </w:t>
      </w:r>
      <w:r>
        <w:rPr>
          <w:rFonts w:eastAsia="WenQuanYi Micro Hei" w:cs="Arial" w:ascii="Arial" w:hAnsi="Arial"/>
          <w:color w:val="000000" w:themeColor="text1"/>
          <w:kern w:val="0"/>
          <w:sz w:val="20"/>
          <w:szCs w:val="20"/>
          <w:lang w:val="pt-BR" w:eastAsia="zh-CN" w:bidi="hi-IN"/>
        </w:rPr>
        <w:t>06Set</w:t>
      </w:r>
      <w:r>
        <w:rPr>
          <w:rFonts w:eastAsia="WenQuanYi Micro Hei" w:cs="Arial" w:ascii="Arial" w:hAnsi="Arial"/>
          <w:color w:val="000000" w:themeColor="text1"/>
          <w:kern w:val="0"/>
          <w:sz w:val="20"/>
          <w:szCs w:val="20"/>
          <w:lang w:val="pt-BR" w:eastAsia="zh-CN" w:bidi="hi-IN"/>
        </w:rPr>
        <w:t>23, condições, quantidades e exigências estabelecidas neste Aviso de Contratação Direta e seus anexos.</w:t>
      </w:r>
    </w:p>
    <w:p>
      <w:pPr>
        <w:pStyle w:val="PADRO"/>
        <w:keepNext w:val="false"/>
        <w:widowControl/>
        <w:numPr>
          <w:ilvl w:val="1"/>
          <w:numId w:val="2"/>
        </w:numPr>
        <w:shd w:val="clear" w:color="auto" w:fill="auto"/>
        <w:spacing w:before="120" w:after="120"/>
        <w:rPr>
          <w:rFonts w:ascii="Arial" w:hAnsi="Arial" w:cs="Arial"/>
          <w:szCs w:val="20"/>
        </w:rPr>
      </w:pPr>
      <w:r>
        <w:rPr>
          <w:rFonts w:cs="Arial" w:ascii="Arial" w:hAnsi="Arial"/>
          <w:szCs w:val="20"/>
        </w:rPr>
        <w:t>A contratação ocorrerá conforme tabela abaixo.</w:t>
      </w:r>
    </w:p>
    <w:tbl>
      <w:tblPr>
        <w:tblW w:w="8222" w:type="dxa"/>
        <w:jc w:val="left"/>
        <w:tblInd w:w="137" w:type="dxa"/>
        <w:tblCellMar>
          <w:top w:w="0" w:type="dxa"/>
          <w:left w:w="103" w:type="dxa"/>
          <w:bottom w:w="0" w:type="dxa"/>
          <w:right w:w="108" w:type="dxa"/>
        </w:tblCellMar>
        <w:tblLook w:val="04a0" w:noHBand="0" w:noVBand="1" w:firstColumn="1" w:lastRow="0" w:lastColumn="0" w:firstRow="1"/>
      </w:tblPr>
      <w:tblGrid>
        <w:gridCol w:w="726"/>
        <w:gridCol w:w="2459"/>
        <w:gridCol w:w="919"/>
        <w:gridCol w:w="1223"/>
        <w:gridCol w:w="633"/>
        <w:gridCol w:w="1133"/>
        <w:gridCol w:w="1128"/>
      </w:tblGrid>
      <w:tr>
        <w:trPr/>
        <w:tc>
          <w:tcPr>
            <w:tcW w:w="72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pacing w:lineRule="auto" w:line="276"/>
              <w:jc w:val="center"/>
              <w:rPr>
                <w:rFonts w:cs="Arial"/>
                <w:b/>
                <w:b/>
                <w:bCs/>
                <w:color w:val="000000"/>
                <w:szCs w:val="20"/>
              </w:rPr>
            </w:pPr>
            <w:r>
              <w:rPr>
                <w:rFonts w:cs="Arial"/>
                <w:b/>
                <w:bCs/>
                <w:color w:val="000000"/>
                <w:szCs w:val="20"/>
              </w:rPr>
              <w:t>ITEM</w:t>
            </w:r>
          </w:p>
          <w:p>
            <w:pPr>
              <w:pStyle w:val="Normal"/>
              <w:widowControl w:val="false"/>
              <w:spacing w:lineRule="auto" w:line="276"/>
              <w:jc w:val="center"/>
              <w:rPr>
                <w:rFonts w:cs="Arial"/>
                <w:b/>
                <w:b/>
                <w:color w:val="000000"/>
                <w:szCs w:val="20"/>
              </w:rPr>
            </w:pPr>
            <w:r>
              <w:rPr>
                <w:rFonts w:cs="Arial"/>
                <w:b/>
                <w:color w:val="000000"/>
                <w:szCs w:val="20"/>
              </w:rPr>
            </w:r>
          </w:p>
        </w:tc>
        <w:tc>
          <w:tcPr>
            <w:tcW w:w="245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pacing w:lineRule="auto" w:line="276"/>
              <w:jc w:val="center"/>
              <w:rPr>
                <w:rFonts w:cs="Arial"/>
                <w:color w:val="000000"/>
                <w:szCs w:val="20"/>
              </w:rPr>
            </w:pPr>
            <w:r>
              <w:rPr>
                <w:rFonts w:cs="Arial"/>
                <w:b/>
                <w:bCs/>
                <w:color w:val="000000"/>
                <w:szCs w:val="20"/>
              </w:rPr>
              <w:t>ESPECIFICAÇÃO</w:t>
            </w:r>
          </w:p>
        </w:tc>
        <w:tc>
          <w:tcPr>
            <w:tcW w:w="91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pacing w:lineRule="auto" w:line="276"/>
              <w:jc w:val="center"/>
              <w:rPr>
                <w:rFonts w:cs="Arial"/>
                <w:color w:val="000000"/>
                <w:szCs w:val="20"/>
              </w:rPr>
            </w:pPr>
            <w:r>
              <w:rPr>
                <w:rFonts w:cs="Arial"/>
                <w:b/>
                <w:bCs/>
                <w:color w:val="000000"/>
                <w:szCs w:val="20"/>
              </w:rPr>
              <w:t>CATSER/CATMAT</w:t>
            </w:r>
          </w:p>
        </w:tc>
        <w:tc>
          <w:tcPr>
            <w:tcW w:w="1223"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pacing w:lineRule="auto" w:line="276"/>
              <w:jc w:val="center"/>
              <w:rPr>
                <w:rFonts w:cs="Arial"/>
                <w:color w:val="000000"/>
                <w:szCs w:val="20"/>
              </w:rPr>
            </w:pPr>
            <w:r>
              <w:rPr>
                <w:rFonts w:cs="Arial"/>
                <w:b/>
                <w:bCs/>
                <w:color w:val="000000"/>
                <w:szCs w:val="20"/>
              </w:rPr>
              <w:t>UNIDADE DE MEDIDA</w:t>
            </w:r>
          </w:p>
        </w:tc>
        <w:tc>
          <w:tcPr>
            <w:tcW w:w="633"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pacing w:lineRule="auto" w:line="276"/>
              <w:jc w:val="center"/>
              <w:rPr>
                <w:rFonts w:cs="Arial"/>
                <w:b/>
                <w:b/>
                <w:bCs/>
                <w:szCs w:val="20"/>
              </w:rPr>
            </w:pPr>
            <w:r>
              <w:rPr>
                <w:rFonts w:cs="Arial"/>
                <w:b/>
                <w:bCs/>
                <w:szCs w:val="20"/>
              </w:rPr>
              <w:t>QNT</w:t>
            </w:r>
          </w:p>
        </w:tc>
        <w:tc>
          <w:tcPr>
            <w:tcW w:w="1133"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pacing w:lineRule="auto" w:line="276"/>
              <w:jc w:val="center"/>
              <w:rPr>
                <w:b/>
                <w:b/>
                <w:bCs/>
                <w:color w:val="auto"/>
              </w:rPr>
            </w:pPr>
            <w:r>
              <w:rPr>
                <w:b/>
                <w:bCs/>
                <w:color w:val="auto"/>
              </w:rPr>
              <w:t>VALOR UNITÁRIO R$</w:t>
            </w:r>
          </w:p>
        </w:tc>
        <w:tc>
          <w:tcPr>
            <w:tcW w:w="112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pacing w:lineRule="auto" w:line="276"/>
              <w:jc w:val="center"/>
              <w:rPr>
                <w:b/>
                <w:b/>
                <w:bCs/>
              </w:rPr>
            </w:pPr>
            <w:r>
              <w:rPr>
                <w:b/>
                <w:bCs/>
              </w:rPr>
              <w:t>VALOR TOTAL</w:t>
            </w:r>
          </w:p>
        </w:tc>
      </w:tr>
      <w:tr>
        <w:trPr/>
        <w:tc>
          <w:tcPr>
            <w:tcW w:w="72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pacing w:lineRule="auto" w:line="276"/>
              <w:jc w:val="center"/>
              <w:rPr/>
            </w:pPr>
            <w:r>
              <w:rPr>
                <w:rFonts w:cs="Arial"/>
                <w:b/>
                <w:color w:val="000000"/>
                <w:szCs w:val="20"/>
              </w:rPr>
              <w:t>1</w:t>
            </w:r>
          </w:p>
        </w:tc>
        <w:tc>
          <w:tcPr>
            <w:tcW w:w="245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keepNext w:val="false"/>
              <w:widowControl/>
              <w:shd w:val="clear" w:color="auto" w:fill="auto"/>
              <w:spacing w:lineRule="auto" w:line="276" w:before="120" w:after="120"/>
              <w:ind w:hanging="0"/>
              <w:jc w:val="both"/>
              <w:rPr>
                <w:rFonts w:ascii="Arial" w:hAnsi="Arial" w:eastAsia="WenQuanYi Micro Hei" w:cs="Arial"/>
                <w:color w:val="000000" w:themeColor="text1"/>
                <w:kern w:val="0"/>
                <w:sz w:val="20"/>
                <w:szCs w:val="20"/>
                <w:lang w:val="pt-BR" w:eastAsia="zh-CN" w:bidi="hi-IN"/>
              </w:rPr>
            </w:pPr>
            <w:r>
              <w:rPr>
                <w:rFonts w:eastAsia="WenQuanYi Micro Hei" w:cs="Arial"/>
                <w:color w:val="000000" w:themeColor="text1"/>
                <w:kern w:val="0"/>
                <w:sz w:val="20"/>
                <w:szCs w:val="20"/>
                <w:lang w:val="pt-BR" w:eastAsia="zh-CN" w:bidi="hi-IN"/>
              </w:rPr>
              <w:t>Contratação: Curso de Diretor de Ensino, a fim de atender as demandas de formação de Quadro de Pessoal do CFC Verde Oliva em proveito  do 4º Batalhão Logístico e unidades apoiadas, conforme Requisição/Diex nº 210 – CFC/4º B Log, de 06Set23.</w:t>
            </w:r>
          </w:p>
        </w:tc>
        <w:tc>
          <w:tcPr>
            <w:tcW w:w="91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pacing w:lineRule="auto" w:line="276"/>
              <w:jc w:val="center"/>
              <w:rPr>
                <w:rFonts w:ascii="Arial" w:hAnsi="Arial" w:eastAsia="Times New Roman" w:cs="Arial"/>
                <w:color w:val="000000"/>
                <w:kern w:val="0"/>
                <w:sz w:val="20"/>
                <w:szCs w:val="20"/>
                <w:lang w:val="pt-BR" w:eastAsia="pt-BR" w:bidi="ar-SA"/>
              </w:rPr>
            </w:pPr>
            <w:r>
              <w:rPr>
                <w:rFonts w:eastAsia="Times New Roman" w:cs="Arial"/>
                <w:color w:val="000000"/>
                <w:kern w:val="0"/>
                <w:sz w:val="20"/>
                <w:szCs w:val="20"/>
                <w:lang w:val="pt-BR" w:eastAsia="pt-BR" w:bidi="ar-SA"/>
              </w:rPr>
              <w:t>16853</w:t>
            </w:r>
          </w:p>
        </w:tc>
        <w:tc>
          <w:tcPr>
            <w:tcW w:w="1223"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pacing w:lineRule="auto" w:line="276"/>
              <w:jc w:val="center"/>
              <w:rPr>
                <w:rFonts w:cs="Arial"/>
                <w:color w:val="000000"/>
                <w:szCs w:val="20"/>
              </w:rPr>
            </w:pPr>
            <w:r>
              <w:rPr>
                <w:rFonts w:cs="Arial"/>
                <w:color w:val="000000"/>
                <w:szCs w:val="20"/>
              </w:rPr>
              <w:t>Und</w:t>
            </w:r>
          </w:p>
        </w:tc>
        <w:tc>
          <w:tcPr>
            <w:tcW w:w="633"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pacing w:lineRule="auto" w:line="276"/>
              <w:jc w:val="center"/>
              <w:rPr>
                <w:rFonts w:ascii="Arial" w:hAnsi="Arial" w:eastAsia="Times New Roman" w:cs="Arial"/>
                <w:color w:val="000000"/>
                <w:kern w:val="0"/>
                <w:sz w:val="20"/>
                <w:szCs w:val="20"/>
                <w:lang w:val="pt-BR" w:eastAsia="pt-BR" w:bidi="ar-SA"/>
              </w:rPr>
            </w:pPr>
            <w:r>
              <w:rPr>
                <w:rFonts w:eastAsia="Times New Roman" w:cs="Arial"/>
                <w:color w:val="000000"/>
                <w:kern w:val="0"/>
                <w:sz w:val="20"/>
                <w:szCs w:val="20"/>
                <w:lang w:val="pt-BR" w:eastAsia="pt-BR" w:bidi="ar-SA"/>
              </w:rPr>
              <w:t>1</w:t>
            </w:r>
          </w:p>
        </w:tc>
        <w:tc>
          <w:tcPr>
            <w:tcW w:w="1133"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pacing w:lineRule="auto" w:line="276"/>
              <w:jc w:val="center"/>
              <w:rPr>
                <w:rFonts w:cs="Arial"/>
                <w:color w:val="000000"/>
                <w:szCs w:val="20"/>
              </w:rPr>
            </w:pPr>
            <w:r>
              <w:rPr>
                <w:rFonts w:cs="Arial"/>
                <w:color w:val="000000"/>
                <w:szCs w:val="20"/>
              </w:rPr>
              <w:t>R$ 588,00</w:t>
            </w:r>
          </w:p>
        </w:tc>
        <w:tc>
          <w:tcPr>
            <w:tcW w:w="112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pacing w:lineRule="auto" w:line="276"/>
              <w:jc w:val="center"/>
              <w:rPr>
                <w:rFonts w:cs="Arial"/>
                <w:color w:val="000000"/>
                <w:szCs w:val="20"/>
              </w:rPr>
            </w:pPr>
            <w:r>
              <w:rPr/>
              <w:t xml:space="preserve">R$ </w:t>
            </w:r>
            <w:r>
              <w:rPr>
                <w:rFonts w:cs="Arial"/>
                <w:color w:val="000000"/>
                <w:szCs w:val="20"/>
              </w:rPr>
              <w:t>588,00</w:t>
            </w:r>
          </w:p>
        </w:tc>
      </w:tr>
    </w:tbl>
    <w:p>
      <w:pPr>
        <w:pStyle w:val="PADRO"/>
        <w:keepNext w:val="false"/>
        <w:widowControl/>
        <w:shd w:val="clear" w:color="auto" w:fill="auto"/>
        <w:spacing w:before="120" w:after="120"/>
        <w:rPr>
          <w:rFonts w:ascii="Arial" w:hAnsi="Arial" w:cs="Arial"/>
          <w:szCs w:val="20"/>
        </w:rPr>
      </w:pPr>
      <w:r>
        <w:rPr>
          <w:rFonts w:cs="Arial" w:ascii="Arial" w:hAnsi="Arial"/>
          <w:szCs w:val="20"/>
        </w:rPr>
      </w:r>
    </w:p>
    <w:p>
      <w:pPr>
        <w:pStyle w:val="PADRO"/>
        <w:keepNext w:val="false"/>
        <w:widowControl/>
        <w:numPr>
          <w:ilvl w:val="2"/>
          <w:numId w:val="2"/>
        </w:numPr>
        <w:shd w:val="clear" w:color="auto" w:fill="auto"/>
        <w:spacing w:before="120" w:after="120"/>
        <w:rPr>
          <w:rFonts w:ascii="Arial" w:hAnsi="Arial" w:cs="Arial"/>
        </w:rPr>
      </w:pPr>
      <w:r>
        <w:rPr>
          <w:rFonts w:cs="Arial" w:ascii="Arial" w:hAnsi="Arial"/>
          <w:szCs w:val="20"/>
        </w:rPr>
        <w:t>Havendo mais de um item, faculta-se ao fornecedor a participação em quantos forem de seu interesse.</w:t>
      </w:r>
    </w:p>
    <w:p>
      <w:pPr>
        <w:pStyle w:val="PADRO"/>
        <w:keepNext w:val="false"/>
        <w:widowControl/>
        <w:numPr>
          <w:ilvl w:val="1"/>
          <w:numId w:val="2"/>
        </w:numPr>
        <w:shd w:val="clear" w:color="auto" w:fill="auto"/>
        <w:spacing w:before="120" w:after="120"/>
        <w:rPr>
          <w:rFonts w:ascii="Arial" w:hAnsi="Arial" w:cs="Arial"/>
          <w:color w:val="000000" w:themeColor="text1"/>
          <w:szCs w:val="20"/>
        </w:rPr>
      </w:pPr>
      <w:r>
        <w:rPr>
          <w:rFonts w:cs="Arial" w:ascii="Arial" w:hAnsi="Arial"/>
          <w:szCs w:val="20"/>
        </w:rPr>
        <w:t>O critério de julgamento adotado será o</w:t>
      </w:r>
      <w:r>
        <w:rPr>
          <w:rFonts w:cs="Arial" w:ascii="Arial" w:hAnsi="Arial"/>
          <w:i/>
          <w:iCs/>
          <w:szCs w:val="20"/>
        </w:rPr>
        <w:t xml:space="preserve"> </w:t>
      </w:r>
      <w:r>
        <w:rPr>
          <w:rFonts w:cs="Arial" w:ascii="Arial" w:hAnsi="Arial"/>
          <w:i/>
          <w:iCs/>
          <w:color w:val="FF0000"/>
          <w:szCs w:val="20"/>
        </w:rPr>
        <w:t>menor preço,</w:t>
      </w:r>
      <w:r>
        <w:rPr>
          <w:rFonts w:cs="Arial" w:ascii="Arial" w:hAnsi="Arial"/>
          <w:color w:val="FF0000"/>
          <w:szCs w:val="20"/>
        </w:rPr>
        <w:t xml:space="preserve"> </w:t>
      </w:r>
      <w:r>
        <w:rPr>
          <w:rFonts w:cs="Arial" w:ascii="Arial" w:hAnsi="Arial"/>
          <w:szCs w:val="20"/>
        </w:rPr>
        <w:t>observadas as exigências contidas neste Aviso de Contratação Direta e seus Anexos quanto às especificações do objeto.</w:t>
      </w:r>
    </w:p>
    <w:p>
      <w:pPr>
        <w:pStyle w:val="Normal"/>
        <w:suppressAutoHyphens w:val="false"/>
        <w:spacing w:lineRule="auto" w:line="259" w:before="0" w:after="160"/>
        <w:rPr>
          <w:rFonts w:eastAsia="WenQuanYi Micro Hei" w:cs="Arial"/>
          <w:b/>
          <w:b/>
          <w:lang w:eastAsia="zh-CN" w:bidi="hi-IN"/>
        </w:rPr>
      </w:pPr>
      <w:r>
        <w:rPr>
          <w:rFonts w:eastAsia="WenQuanYi Micro Hei" w:cs="Arial"/>
          <w:b/>
          <w:lang w:eastAsia="zh-CN" w:bidi="hi-IN"/>
        </w:rPr>
      </w:r>
      <w:r>
        <w:br w:type="page"/>
      </w:r>
    </w:p>
    <w:p>
      <w:pPr>
        <w:pStyle w:val="Ttulo1"/>
        <w:numPr>
          <w:ilvl w:val="0"/>
          <w:numId w:val="2"/>
        </w:numPr>
        <w:rPr/>
      </w:pPr>
      <w:bookmarkStart w:id="3" w:name="_Toc118380900"/>
      <w:r>
        <w:rPr/>
        <w:t>PARTICIPAÇÃO NA DISPENSA ELETRÔNICA.</w:t>
      </w:r>
      <w:bookmarkEnd w:id="3"/>
    </w:p>
    <w:p>
      <w:pPr>
        <w:pStyle w:val="Normal"/>
        <w:numPr>
          <w:ilvl w:val="1"/>
          <w:numId w:val="2"/>
        </w:numPr>
        <w:spacing w:lineRule="auto" w:line="276" w:before="120" w:after="120"/>
        <w:ind w:left="425" w:hanging="0"/>
        <w:jc w:val="both"/>
        <w:rPr>
          <w:rFonts w:cs="Arial"/>
          <w:szCs w:val="20"/>
        </w:rPr>
      </w:pPr>
      <w:r>
        <w:rPr>
          <w:rFonts w:cs="Arial"/>
          <w:szCs w:val="20"/>
        </w:rPr>
        <w:t xml:space="preserve">A </w:t>
      </w:r>
      <w:r>
        <w:rPr>
          <w:rFonts w:cs="Arial"/>
          <w:color w:val="000000" w:themeColor="text1"/>
          <w:szCs w:val="20"/>
        </w:rPr>
        <w:t>participação</w:t>
      </w:r>
      <w:r>
        <w:rPr>
          <w:rFonts w:cs="Arial"/>
          <w:szCs w:val="20"/>
        </w:rPr>
        <w:t xml:space="preserve"> na presente dispensa eletrônica ocorrerá por meio do </w:t>
      </w:r>
      <w:r>
        <w:rPr>
          <w:rFonts w:cs="Arial"/>
          <w:bCs/>
          <w:szCs w:val="20"/>
        </w:rPr>
        <w:t>Sistema de Dispensa Eletrônica, ferramenta informatizada</w:t>
      </w:r>
      <w:r>
        <w:rPr>
          <w:rFonts w:cs="Arial"/>
          <w:szCs w:val="20"/>
        </w:rPr>
        <w:t xml:space="preserve"> integrante do Sistema de Compras do Governo Federal – Compras.gov.br, disponível no </w:t>
      </w:r>
      <w:r>
        <w:rPr>
          <w:rFonts w:cs="Arial"/>
          <w:bCs/>
          <w:szCs w:val="20"/>
        </w:rPr>
        <w:t xml:space="preserve">Portal de Compras do Governo Federal, no endereço eletrônico </w:t>
      </w:r>
      <w:hyperlink r:id="rId6">
        <w:r>
          <w:rPr>
            <w:rStyle w:val="LinkdaInternet"/>
            <w:rFonts w:cs="Arial"/>
            <w:bCs/>
            <w:szCs w:val="20"/>
          </w:rPr>
          <w:t>www.gov.br/compras</w:t>
        </w:r>
      </w:hyperlink>
      <w:r>
        <w:rPr>
          <w:rFonts w:cs="Arial"/>
          <w:bCs/>
          <w:szCs w:val="20"/>
        </w:rPr>
        <w:t>.</w:t>
      </w:r>
      <w:r>
        <w:rPr>
          <w:rFonts w:cs="Arial"/>
          <w:szCs w:val="20"/>
        </w:rPr>
        <w:t xml:space="preserve"> </w:t>
      </w:r>
    </w:p>
    <w:p>
      <w:pPr>
        <w:pStyle w:val="Normal"/>
        <w:numPr>
          <w:ilvl w:val="2"/>
          <w:numId w:val="2"/>
        </w:numPr>
        <w:spacing w:lineRule="auto" w:line="276" w:before="120" w:after="120"/>
        <w:jc w:val="both"/>
        <w:rPr>
          <w:rFonts w:cs="Arial"/>
          <w:szCs w:val="20"/>
        </w:rPr>
      </w:pPr>
      <w:r>
        <w:rPr>
          <w:rFonts w:cs="Arial"/>
          <w:szCs w:val="20"/>
        </w:rPr>
        <w:t xml:space="preserve">O procedimento será divulgado no Compras.gov.br e no </w:t>
      </w:r>
      <w:hyperlink r:id="rId7">
        <w:r>
          <w:rPr>
            <w:rStyle w:val="LinkdaInternet"/>
            <w:rFonts w:cs="Arial"/>
            <w:szCs w:val="20"/>
          </w:rPr>
          <w:t>Portal Nacional de Contratações Públicas - PNCP</w:t>
        </w:r>
      </w:hyperlink>
      <w:r>
        <w:rPr>
          <w:rFonts w:cs="Arial"/>
          <w:szCs w:val="20"/>
        </w:rPr>
        <w:t>, e encaminhado automaticamente aos fornecedores registrados no Sistema de Registro Cadastral Unificado - Sicaf, por mensagem eletrônica, na correspondente linha de fornecimento que pretende atender.</w:t>
      </w:r>
    </w:p>
    <w:p>
      <w:pPr>
        <w:pStyle w:val="Normal"/>
        <w:numPr>
          <w:ilvl w:val="2"/>
          <w:numId w:val="2"/>
        </w:numPr>
        <w:spacing w:lineRule="auto" w:line="276" w:before="120" w:after="120"/>
        <w:jc w:val="both"/>
        <w:rPr>
          <w:rFonts w:cs="Arial"/>
          <w:szCs w:val="20"/>
        </w:rPr>
      </w:pPr>
      <w:r>
        <w:rPr>
          <w:rFonts w:cs="Arial"/>
          <w:szCs w:val="20"/>
        </w:rPr>
        <w:t xml:space="preserve">O Compras.gov.br poderá ser acessado pela web ou pelo </w:t>
      </w:r>
      <w:hyperlink r:id="rId8">
        <w:r>
          <w:rPr>
            <w:rStyle w:val="LinkdaInternet"/>
            <w:rFonts w:cs="Arial"/>
            <w:szCs w:val="20"/>
          </w:rPr>
          <w:t>aplicativo Compras.gov.br.</w:t>
        </w:r>
      </w:hyperlink>
    </w:p>
    <w:p>
      <w:pPr>
        <w:pStyle w:val="Normal"/>
        <w:numPr>
          <w:ilvl w:val="2"/>
          <w:numId w:val="2"/>
        </w:numPr>
        <w:snapToGrid w:val="false"/>
        <w:spacing w:lineRule="auto" w:line="276" w:before="120" w:after="120"/>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2"/>
        </w:numPr>
        <w:spacing w:lineRule="auto" w:line="276" w:before="120" w:after="120"/>
        <w:ind w:left="425" w:hanging="0"/>
        <w:jc w:val="both"/>
        <w:rPr>
          <w:rFonts w:cs="Arial"/>
          <w:color w:val="000000" w:themeColor="text1"/>
          <w:szCs w:val="20"/>
        </w:rPr>
      </w:pPr>
      <w:r>
        <w:rPr>
          <w:rFonts w:cs="Arial"/>
          <w:color w:val="000000" w:themeColor="text1"/>
          <w:szCs w:val="20"/>
        </w:rPr>
        <w:t>Não poderão participar desta dispensa de licitação os fornecedores:</w:t>
      </w:r>
    </w:p>
    <w:p>
      <w:pPr>
        <w:pStyle w:val="Normal"/>
        <w:numPr>
          <w:ilvl w:val="2"/>
          <w:numId w:val="2"/>
        </w:numPr>
        <w:spacing w:lineRule="auto" w:line="276" w:before="120" w:after="120"/>
        <w:jc w:val="both"/>
        <w:rPr>
          <w:rFonts w:cs="Arial"/>
          <w:color w:val="000000" w:themeColor="text1"/>
          <w:szCs w:val="20"/>
        </w:rPr>
      </w:pPr>
      <w:r>
        <w:rPr>
          <w:rFonts w:cs="Arial"/>
          <w:color w:val="000000" w:themeColor="text1"/>
          <w:szCs w:val="20"/>
        </w:rPr>
        <w:t>que não atendam às condições deste Aviso de Contratação Direta e seu(s) anexo(s);</w:t>
      </w:r>
    </w:p>
    <w:p>
      <w:pPr>
        <w:pStyle w:val="Normal"/>
        <w:numPr>
          <w:ilvl w:val="2"/>
          <w:numId w:val="2"/>
        </w:numPr>
        <w:spacing w:lineRule="auto" w:line="276" w:before="120" w:after="120"/>
        <w:jc w:val="both"/>
        <w:rPr>
          <w:rFonts w:cs="Arial"/>
          <w:color w:val="000000" w:themeColor="text1"/>
          <w:szCs w:val="20"/>
        </w:rPr>
      </w:pPr>
      <w:r>
        <w:rPr>
          <w:rFonts w:cs="Arial"/>
          <w:color w:val="000000" w:themeColor="text1"/>
          <w:szCs w:val="20"/>
        </w:rPr>
        <w:t>estrangeiros que não tenham representação legal no Brasil com poderes expressos para receber citação e responder administrativa ou judicialmente;</w:t>
      </w:r>
    </w:p>
    <w:p>
      <w:pPr>
        <w:pStyle w:val="Normal"/>
        <w:numPr>
          <w:ilvl w:val="2"/>
          <w:numId w:val="2"/>
        </w:numPr>
        <w:spacing w:lineRule="auto" w:line="276" w:before="120" w:after="120"/>
        <w:jc w:val="both"/>
        <w:rPr>
          <w:rFonts w:cs="Arial"/>
          <w:color w:val="000000" w:themeColor="text1"/>
          <w:szCs w:val="20"/>
        </w:rPr>
      </w:pPr>
      <w:r>
        <w:rPr>
          <w:rFonts w:cs="Arial"/>
          <w:color w:val="000000" w:themeColor="text1"/>
          <w:szCs w:val="20"/>
        </w:rPr>
        <w:t>que se enquadrem nas seguintes vedações:</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empresas controladoras, controladas ou coligadas, nos termos da </w:t>
      </w:r>
      <w:hyperlink r:id="rId9">
        <w:r>
          <w:rPr>
            <w:rStyle w:val="LinkdaInternet"/>
            <w:rFonts w:eastAsia="Calibri" w:cs="Arial"/>
            <w:szCs w:val="20"/>
          </w:rPr>
          <w:t>Lei nº 6.404, de 15 de dezembro de 1976</w:t>
        </w:r>
      </w:hyperlink>
      <w:r>
        <w:rPr>
          <w:rFonts w:cs="Arial"/>
          <w:color w:val="000000"/>
          <w:szCs w:val="20"/>
        </w:rPr>
        <w:t>, concorrendo entre si;</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2"/>
        </w:numPr>
        <w:spacing w:lineRule="auto" w:line="276" w:before="120" w:after="120"/>
        <w:jc w:val="both"/>
        <w:rPr>
          <w:rFonts w:cs="Arial"/>
          <w:color w:val="000000" w:themeColor="text1"/>
          <w:szCs w:val="20"/>
        </w:rPr>
      </w:pPr>
      <w:r>
        <w:rPr>
          <w:rFonts w:cs="Arial"/>
          <w:color w:val="000000"/>
          <w:szCs w:val="20"/>
        </w:rPr>
        <w:t>Equiparam-se aos autores do projeto as empresas integrantes do mesmo grupo econômico;</w:t>
      </w:r>
    </w:p>
    <w:p>
      <w:pPr>
        <w:pStyle w:val="Normal"/>
        <w:numPr>
          <w:ilvl w:val="3"/>
          <w:numId w:val="2"/>
        </w:numPr>
        <w:spacing w:lineRule="auto" w:line="276" w:before="120" w:after="120"/>
        <w:jc w:val="both"/>
        <w:rPr>
          <w:rFonts w:cs="Arial"/>
          <w:color w:val="000000" w:themeColor="text1"/>
          <w:szCs w:val="20"/>
        </w:rPr>
      </w:pPr>
      <w:r>
        <w:rPr>
          <w:rFonts w:cs="Arial"/>
          <w:color w:val="000000"/>
          <w:szCs w:val="20"/>
        </w:rPr>
        <w:t xml:space="preserve"> </w:t>
      </w:r>
      <w:r>
        <w:rPr>
          <w:rFonts w:cs="Arial"/>
          <w:color w:val="000000"/>
          <w:szCs w:val="20"/>
        </w:rPr>
        <w:t>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2"/>
        </w:numPr>
        <w:spacing w:lineRule="auto" w:line="276" w:before="120" w:after="120"/>
        <w:jc w:val="both"/>
        <w:rPr>
          <w:rFonts w:cs="Arial"/>
          <w:color w:val="000000" w:themeColor="text1"/>
          <w:szCs w:val="20"/>
        </w:rPr>
      </w:pPr>
      <w:r>
        <w:rPr>
          <w:rFonts w:cs="Arial"/>
          <w:color w:val="000000"/>
          <w:szCs w:val="20"/>
        </w:rPr>
        <w:t>organizações da Sociedade Civil de Interesse Público - OSCIP, atuando nessa condição (Acórdão nº 746/2014-TCU-Plenário); e</w:t>
      </w:r>
    </w:p>
    <w:p>
      <w:pPr>
        <w:pStyle w:val="Normal"/>
        <w:numPr>
          <w:ilvl w:val="2"/>
          <w:numId w:val="2"/>
        </w:numPr>
        <w:spacing w:lineRule="auto" w:line="276" w:before="120" w:after="120"/>
        <w:jc w:val="both"/>
        <w:rPr/>
      </w:pPr>
      <w:r>
        <w:rPr>
          <w:rFonts w:cs="Arial"/>
          <w:i/>
          <w:color w:val="auto"/>
          <w:szCs w:val="20"/>
        </w:rPr>
        <w:t>sociedades cooperativas.</w:t>
      </w:r>
    </w:p>
    <w:p>
      <w:pPr>
        <w:pStyle w:val="Normal"/>
        <w:numPr>
          <w:ilvl w:val="1"/>
          <w:numId w:val="2"/>
        </w:numPr>
        <w:spacing w:lineRule="auto" w:line="276" w:before="120" w:after="120"/>
        <w:ind w:left="425" w:hanging="0"/>
        <w:jc w:val="both"/>
        <w:rPr>
          <w:rFonts w:cs="Arial"/>
          <w:bCs/>
        </w:rPr>
      </w:pPr>
      <w:r>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LinkdaInternet"/>
          <w:bCs/>
          <w:rFonts w:cs="Arial"/>
        </w:rPr>
        <w:instrText> HYPERLINK "http://www.planalto.gov.br/ccivil_03/_ato2019-2022/2021/lei/L14133.htm" \l "art9§1"</w:instrText>
      </w:r>
      <w:r>
        <w:rPr>
          <w:rStyle w:val="LinkdaInternet"/>
          <w:bCs/>
          <w:rFonts w:cs="Arial"/>
        </w:rPr>
        <w:fldChar w:fldCharType="separate"/>
      </w:r>
      <w:r>
        <w:rPr>
          <w:rStyle w:val="LinkdaInternet"/>
          <w:rFonts w:cs="Arial"/>
          <w:bCs/>
        </w:rPr>
        <w:t>§ 1º do art. 9º da Lei n.º 14.133, de 2021</w:t>
      </w:r>
      <w:r>
        <w:rPr>
          <w:rStyle w:val="LinkdaInternet"/>
          <w:bCs/>
          <w:rFonts w:cs="Arial"/>
        </w:rPr>
        <w:fldChar w:fldCharType="end"/>
      </w:r>
      <w:r>
        <w:rPr>
          <w:rFonts w:cs="Arial"/>
          <w:bCs/>
        </w:rPr>
        <w:t>.</w:t>
      </w:r>
    </w:p>
    <w:p>
      <w:pPr>
        <w:pStyle w:val="Normal"/>
        <w:spacing w:lineRule="auto" w:line="276" w:before="120" w:after="120"/>
        <w:ind w:left="425" w:hanging="0"/>
        <w:jc w:val="both"/>
        <w:rPr>
          <w:rFonts w:cs="Arial"/>
          <w:bCs/>
        </w:rPr>
      </w:pPr>
      <w:r>
        <w:rPr>
          <w:rFonts w:cs="Arial"/>
          <w:bCs/>
        </w:rPr>
      </w:r>
    </w:p>
    <w:p>
      <w:pPr>
        <w:pStyle w:val="Ttulo1"/>
        <w:numPr>
          <w:ilvl w:val="0"/>
          <w:numId w:val="2"/>
        </w:numPr>
        <w:rPr/>
      </w:pPr>
      <w:bookmarkStart w:id="4" w:name="_Toc118380901"/>
      <w:r>
        <w:rPr/>
        <w:t>INGRESSO NA DISPENSA ELETRÔNICA E CADASTRAMENTO DA PROPOSTA INICIAL</w:t>
      </w:r>
      <w:bookmarkEnd w:id="4"/>
    </w:p>
    <w:p>
      <w:pPr>
        <w:pStyle w:val="Normal"/>
        <w:numPr>
          <w:ilvl w:val="1"/>
          <w:numId w:val="2"/>
        </w:numPr>
        <w:snapToGrid w:val="false"/>
        <w:spacing w:lineRule="auto" w:line="276" w:before="120" w:after="120"/>
        <w:ind w:left="425" w:hanging="0"/>
        <w:jc w:val="both"/>
        <w:rPr>
          <w:rFonts w:cs="Arial"/>
        </w:rPr>
      </w:pPr>
      <w:r>
        <w:rPr>
          <w:rFonts w:cs="Arial"/>
          <w:color w:val="000000" w:themeColor="text1"/>
          <w:szCs w:val="20"/>
        </w:rPr>
        <w:t>O ingresso do fornecedor na disputa da dispensa eletrônica ocorrerá com o cadastramento de sua proposta inicial, na forma deste item.</w:t>
      </w:r>
    </w:p>
    <w:p>
      <w:pPr>
        <w:pStyle w:val="Normal"/>
        <w:numPr>
          <w:ilvl w:val="1"/>
          <w:numId w:val="2"/>
        </w:numPr>
        <w:snapToGrid w:val="false"/>
        <w:spacing w:lineRule="auto" w:line="276" w:before="120" w:after="120"/>
        <w:ind w:left="425" w:hanging="0"/>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Normal"/>
        <w:numPr>
          <w:ilvl w:val="1"/>
          <w:numId w:val="2"/>
        </w:numPr>
        <w:spacing w:lineRule="auto" w:line="276" w:before="120" w:after="120"/>
        <w:ind w:left="425" w:hanging="0"/>
        <w:jc w:val="both"/>
        <w:rPr>
          <w:rFonts w:cs="Arial"/>
          <w:szCs w:val="20"/>
        </w:rPr>
      </w:pPr>
      <w:r>
        <w:rPr>
          <w:rFonts w:cs="Arial"/>
          <w:szCs w:val="20"/>
        </w:rPr>
        <w:t xml:space="preserve">Todas as especificações do </w:t>
      </w:r>
      <w:r>
        <w:rPr>
          <w:rFonts w:cs="Arial"/>
          <w:color w:val="000000" w:themeColor="text1"/>
          <w:szCs w:val="20"/>
        </w:rPr>
        <w:t>objeto</w:t>
      </w:r>
      <w:r>
        <w:rPr>
          <w:rFonts w:cs="Arial"/>
          <w:szCs w:val="20"/>
        </w:rPr>
        <w:t xml:space="preserve"> contidas na proposta, em especial o preço ou o desconto ofertados, vinculam a Contratada.</w:t>
      </w:r>
    </w:p>
    <w:p>
      <w:pPr>
        <w:pStyle w:val="Normal"/>
        <w:numPr>
          <w:ilvl w:val="1"/>
          <w:numId w:val="2"/>
        </w:numPr>
        <w:spacing w:lineRule="auto" w:line="276" w:before="120" w:after="120"/>
        <w:ind w:left="425" w:hanging="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ormal"/>
        <w:numPr>
          <w:ilvl w:val="2"/>
          <w:numId w:val="2"/>
        </w:numPr>
        <w:spacing w:lineRule="auto" w:line="276" w:before="120" w:after="120"/>
        <w:jc w:val="both"/>
        <w:rPr>
          <w:rFonts w:cs="Arial"/>
          <w:szCs w:val="20"/>
        </w:rPr>
      </w:pPr>
      <w:r>
        <w:rPr>
          <w:rFonts w:cs="Arial"/>
          <w:szCs w:val="20"/>
        </w:rPr>
        <w:t xml:space="preserve"> </w:t>
      </w:r>
      <w:r>
        <w:rPr>
          <w:rFonts w:cs="Arial"/>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2"/>
          <w:numId w:val="2"/>
        </w:numPr>
        <w:spacing w:lineRule="auto" w:line="276" w:before="120" w:after="120"/>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2"/>
        </w:numPr>
        <w:spacing w:lineRule="auto" w:line="276" w:before="120" w:after="120"/>
        <w:ind w:left="425" w:hanging="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pPr>
        <w:pStyle w:val="Normal"/>
        <w:numPr>
          <w:ilvl w:val="1"/>
          <w:numId w:val="2"/>
        </w:numPr>
        <w:spacing w:lineRule="auto" w:line="276" w:before="120" w:after="120"/>
        <w:ind w:left="425" w:hanging="0"/>
        <w:jc w:val="both"/>
        <w:rPr>
          <w:rFonts w:cs="Arial"/>
          <w:szCs w:val="20"/>
        </w:rPr>
      </w:pPr>
      <w:r>
        <w:rPr>
          <w:rFonts w:cs="Arial"/>
          <w:szCs w:val="20"/>
        </w:rPr>
        <w:t>Independentemente do percentual do tributo que constar da planilha, no pagamento serão retidos na fonte os percentuais estabelecidos pela legislação vigente.</w:t>
      </w:r>
    </w:p>
    <w:p>
      <w:pPr>
        <w:pStyle w:val="Normal"/>
        <w:numPr>
          <w:ilvl w:val="1"/>
          <w:numId w:val="2"/>
        </w:numPr>
        <w:spacing w:lineRule="auto" w:line="276" w:before="120" w:after="120"/>
        <w:ind w:left="425" w:hanging="0"/>
        <w:jc w:val="both"/>
        <w:rPr>
          <w:rFonts w:cs="Arial"/>
          <w:szCs w:val="20"/>
        </w:rPr>
      </w:pPr>
      <w:r>
        <w:rPr>
          <w:rFonts w:cs="Arial"/>
          <w:szCs w:val="20"/>
        </w:rPr>
        <w:t>A apresentação das propostas implica obrigatoriedade do cumprimento das disposições nelas contidas, em conformidade com o que dispõe o Documento de Formalização da Demanda</w:t>
      </w:r>
      <w:r>
        <w:rPr>
          <w:rFonts w:cs="Arial"/>
          <w:i/>
          <w:szCs w:val="20"/>
        </w:rPr>
        <w:t xml:space="preserve">, </w:t>
      </w:r>
      <w:r>
        <w:rPr>
          <w:rFonts w:cs="Arial"/>
          <w:szCs w:val="20"/>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2"/>
        </w:numPr>
        <w:spacing w:lineRule="auto" w:line="276" w:before="120" w:after="120"/>
        <w:ind w:left="425" w:hanging="0"/>
        <w:jc w:val="both"/>
        <w:rPr>
          <w:rFonts w:cs="Arial"/>
          <w:color w:val="000000" w:themeColor="text1"/>
          <w:szCs w:val="20"/>
        </w:rPr>
      </w:pPr>
      <w:r>
        <w:rPr>
          <w:rFonts w:cs="Arial"/>
          <w:color w:val="000000" w:themeColor="text1"/>
          <w:szCs w:val="20"/>
        </w:rPr>
        <w:t>No cadastramento da proposta inicial, o fornecedor deverá, também, assinalar Termo de Aceitação, em campo próprio do sistema eletrônico, relativo às seguintes declarações:</w:t>
      </w:r>
      <w:r>
        <w:rPr>
          <w:rFonts w:eastAsia="Zurich BT" w:cs="Arial"/>
          <w:color w:val="000000" w:themeColor="text1"/>
          <w:szCs w:val="20"/>
        </w:rPr>
        <w:t xml:space="preserve"> </w:t>
      </w:r>
    </w:p>
    <w:p>
      <w:pPr>
        <w:pStyle w:val="ListParagraph"/>
        <w:numPr>
          <w:ilvl w:val="0"/>
          <w:numId w:val="3"/>
        </w:numPr>
        <w:tabs>
          <w:tab w:val="clear" w:pos="708"/>
          <w:tab w:val="left" w:pos="1440" w:leader="none"/>
        </w:tabs>
        <w:snapToGrid w:val="false"/>
        <w:spacing w:lineRule="auto" w:line="276" w:before="120" w:after="120"/>
        <w:contextualSpacing/>
        <w:jc w:val="both"/>
        <w:rPr>
          <w:rFonts w:cs="Arial"/>
          <w:bCs/>
          <w:vanish/>
          <w:color w:val="000000" w:themeColor="text1"/>
          <w:szCs w:val="20"/>
        </w:rPr>
      </w:pPr>
      <w:r>
        <w:rPr>
          <w:rFonts w:cs="Arial"/>
          <w:bCs/>
          <w:vanish/>
          <w:color w:val="000000" w:themeColor="text1"/>
          <w:szCs w:val="20"/>
        </w:rPr>
      </w:r>
    </w:p>
    <w:p>
      <w:pPr>
        <w:pStyle w:val="ListParagraph"/>
        <w:numPr>
          <w:ilvl w:val="1"/>
          <w:numId w:val="3"/>
        </w:numPr>
        <w:tabs>
          <w:tab w:val="clear" w:pos="708"/>
          <w:tab w:val="left" w:pos="1440" w:leader="none"/>
        </w:tabs>
        <w:snapToGrid w:val="false"/>
        <w:spacing w:lineRule="auto" w:line="276" w:before="120" w:after="120"/>
        <w:contextualSpacing/>
        <w:jc w:val="both"/>
        <w:rPr>
          <w:rFonts w:cs="Arial"/>
          <w:bCs/>
          <w:vanish/>
          <w:color w:val="000000" w:themeColor="text1"/>
          <w:szCs w:val="20"/>
        </w:rPr>
      </w:pPr>
      <w:r>
        <w:rPr>
          <w:rFonts w:cs="Arial"/>
          <w:bCs/>
          <w:vanish/>
          <w:color w:val="000000" w:themeColor="text1"/>
          <w:szCs w:val="20"/>
        </w:rPr>
      </w:r>
    </w:p>
    <w:p>
      <w:pPr>
        <w:pStyle w:val="ListParagraph"/>
        <w:numPr>
          <w:ilvl w:val="1"/>
          <w:numId w:val="3"/>
        </w:numPr>
        <w:tabs>
          <w:tab w:val="clear" w:pos="708"/>
          <w:tab w:val="left" w:pos="1440" w:leader="none"/>
        </w:tabs>
        <w:snapToGrid w:val="false"/>
        <w:spacing w:lineRule="auto" w:line="276" w:before="120" w:after="120"/>
        <w:contextualSpacing/>
        <w:jc w:val="both"/>
        <w:rPr>
          <w:rFonts w:cs="Arial"/>
          <w:bCs/>
          <w:vanish/>
          <w:color w:val="000000" w:themeColor="text1"/>
          <w:szCs w:val="20"/>
        </w:rPr>
      </w:pPr>
      <w:r>
        <w:rPr>
          <w:rFonts w:cs="Arial"/>
          <w:bCs/>
          <w:vanish/>
          <w:color w:val="000000" w:themeColor="text1"/>
          <w:szCs w:val="20"/>
        </w:rPr>
      </w:r>
    </w:p>
    <w:p>
      <w:pPr>
        <w:pStyle w:val="ListParagraph"/>
        <w:numPr>
          <w:ilvl w:val="1"/>
          <w:numId w:val="3"/>
        </w:numPr>
        <w:tabs>
          <w:tab w:val="clear" w:pos="708"/>
          <w:tab w:val="left" w:pos="1440" w:leader="none"/>
        </w:tabs>
        <w:snapToGrid w:val="false"/>
        <w:spacing w:lineRule="auto" w:line="276" w:before="120" w:after="120"/>
        <w:contextualSpacing/>
        <w:jc w:val="both"/>
        <w:rPr>
          <w:rFonts w:cs="Arial"/>
          <w:bCs/>
          <w:vanish/>
          <w:color w:val="000000" w:themeColor="text1"/>
          <w:szCs w:val="20"/>
        </w:rPr>
      </w:pPr>
      <w:r>
        <w:rPr>
          <w:rFonts w:cs="Arial"/>
          <w:bCs/>
          <w:vanish/>
          <w:color w:val="000000" w:themeColor="text1"/>
          <w:szCs w:val="20"/>
        </w:rPr>
      </w:r>
    </w:p>
    <w:p>
      <w:pPr>
        <w:pStyle w:val="Normal"/>
        <w:numPr>
          <w:ilvl w:val="2"/>
          <w:numId w:val="2"/>
        </w:numPr>
        <w:spacing w:lineRule="auto" w:line="276" w:before="120" w:after="120"/>
        <w:jc w:val="both"/>
        <w:rPr>
          <w:rFonts w:cs="Arial"/>
          <w:color w:val="000000" w:themeColor="text1"/>
          <w:szCs w:val="20"/>
        </w:rPr>
      </w:pPr>
      <w:r>
        <w:rPr>
          <w:rFonts w:cs="Arial"/>
          <w:color w:val="000000" w:themeColor="text1"/>
          <w:szCs w:val="20"/>
        </w:rPr>
        <w:t>que inexistem fatos impeditivos para sua habilitação no certame, ciente da obrigatoriedade de declarar ocorrências posteriores;</w:t>
      </w:r>
    </w:p>
    <w:p>
      <w:pPr>
        <w:pStyle w:val="Normal"/>
        <w:numPr>
          <w:ilvl w:val="2"/>
          <w:numId w:val="2"/>
        </w:numPr>
        <w:spacing w:lineRule="auto" w:line="276" w:before="120" w:after="120"/>
        <w:jc w:val="both"/>
        <w:rPr>
          <w:rFonts w:cs="Arial"/>
          <w:color w:val="000000" w:themeColor="text1"/>
          <w:szCs w:val="20"/>
        </w:rPr>
      </w:pPr>
      <w:r>
        <w:rPr>
          <w:rFonts w:cs="Arial"/>
          <w:color w:val="000000" w:themeColor="text1"/>
          <w:szCs w:val="20"/>
        </w:rPr>
        <w:t>que está ciente e concorda com as condições contidas no Aviso de Contratação Direta e seus anexos;</w:t>
      </w:r>
    </w:p>
    <w:p>
      <w:pPr>
        <w:pStyle w:val="Normal"/>
        <w:numPr>
          <w:ilvl w:val="2"/>
          <w:numId w:val="2"/>
        </w:numPr>
        <w:spacing w:lineRule="auto" w:line="276" w:before="120" w:after="120"/>
        <w:jc w:val="both"/>
        <w:rPr>
          <w:rFonts w:cs="Arial"/>
          <w:color w:val="000000" w:themeColor="text1"/>
          <w:szCs w:val="20"/>
        </w:rPr>
      </w:pPr>
      <w:r>
        <w:rPr>
          <w:rFonts w:cs="Arial"/>
          <w:color w:val="000000" w:themeColor="text1"/>
          <w:szCs w:val="20"/>
        </w:rPr>
        <w:t>que se responsabiliza pelas transações que forem efetuadas no sistema, assumindo-as como firmes e verdadeiras;</w:t>
      </w:r>
    </w:p>
    <w:p>
      <w:pPr>
        <w:pStyle w:val="Normal"/>
        <w:numPr>
          <w:ilvl w:val="2"/>
          <w:numId w:val="2"/>
        </w:numPr>
        <w:spacing w:lineRule="auto" w:line="276" w:before="120" w:after="120"/>
        <w:jc w:val="both"/>
        <w:rPr>
          <w:rFonts w:cs="Arial"/>
          <w:color w:val="000000" w:themeColor="text1"/>
          <w:szCs w:val="20"/>
        </w:rPr>
      </w:pPr>
      <w:r>
        <w:rPr>
          <w:rFonts w:cs="Arial"/>
          <w:color w:val="000000" w:themeColor="text1"/>
          <w:szCs w:val="20"/>
        </w:rPr>
        <w:t xml:space="preserve">que cumpre as exigências de reserva de cargos para pessoa com deficiência e para reabilitado da Previdência Social, de que trata </w:t>
      </w:r>
      <w:r>
        <w:fldChar w:fldCharType="begin"/>
      </w:r>
      <w:r>
        <w:rPr>
          <w:rStyle w:val="LinkdaInternet"/>
          <w:szCs w:val="20"/>
          <w:rFonts w:cs="Arial"/>
        </w:rPr>
        <w:instrText> HYPERLINK "https://www.planalto.gov.br/ccivil_03/leis/l8213cons.htm" \l "art93"</w:instrText>
      </w:r>
      <w:r>
        <w:rPr>
          <w:rStyle w:val="LinkdaInternet"/>
          <w:szCs w:val="20"/>
          <w:rFonts w:cs="Arial"/>
        </w:rPr>
        <w:fldChar w:fldCharType="separate"/>
      </w:r>
      <w:r>
        <w:rPr>
          <w:rStyle w:val="LinkdaInternet"/>
          <w:rFonts w:cs="Arial"/>
          <w:szCs w:val="20"/>
        </w:rPr>
        <w:t>o art. 93 da Lei nº 8.213/91</w:t>
      </w:r>
      <w:r>
        <w:rPr>
          <w:rStyle w:val="LinkdaInternet"/>
          <w:szCs w:val="20"/>
          <w:rFonts w:cs="Arial"/>
        </w:rPr>
        <w:fldChar w:fldCharType="end"/>
      </w:r>
      <w:r>
        <w:rPr>
          <w:rFonts w:cs="Arial"/>
          <w:color w:val="000000" w:themeColor="text1"/>
          <w:szCs w:val="20"/>
        </w:rPr>
        <w:t>.</w:t>
      </w:r>
    </w:p>
    <w:p>
      <w:pPr>
        <w:pStyle w:val="Normal"/>
        <w:numPr>
          <w:ilvl w:val="2"/>
          <w:numId w:val="2"/>
        </w:numPr>
        <w:spacing w:lineRule="auto" w:line="276" w:before="120" w:after="120"/>
        <w:jc w:val="both"/>
        <w:rPr>
          <w:rFonts w:cs="Arial"/>
          <w:color w:val="000000" w:themeColor="text1"/>
          <w:szCs w:val="20"/>
        </w:rPr>
      </w:pPr>
      <w:r>
        <w:rPr>
          <w:rFonts w:cs="Arial"/>
          <w:color w:val="000000" w:themeColor="text1"/>
          <w:szCs w:val="20"/>
        </w:rPr>
        <w:t xml:space="preserve">que não emprega menor de 18 anos em trabalho noturno, perigoso ou insalubre e não emprega menor de 16 anos, salvo menor, a partir de 14 anos, na condição de aprendiz, nos termos do </w:t>
      </w:r>
      <w:r>
        <w:fldChar w:fldCharType="begin"/>
      </w:r>
      <w:r>
        <w:rPr>
          <w:rStyle w:val="LinkdaInternet"/>
          <w:szCs w:val="20"/>
          <w:rFonts w:cs="Arial"/>
        </w:rPr>
        <w:instrText> HYPERLINK "https://normas.leg.br/?urn=urn:lex:br:federal:constituicao:1988-10-05;1988" \l "art7"</w:instrText>
      </w:r>
      <w:r>
        <w:rPr>
          <w:rStyle w:val="LinkdaInternet"/>
          <w:szCs w:val="20"/>
          <w:rFonts w:cs="Arial"/>
        </w:rPr>
        <w:fldChar w:fldCharType="separate"/>
      </w:r>
      <w:r>
        <w:rPr>
          <w:rStyle w:val="LinkdaInternet"/>
          <w:rFonts w:cs="Arial"/>
          <w:szCs w:val="20"/>
        </w:rPr>
        <w:t>artigo 7°, XXXIII, da Constituição</w:t>
      </w:r>
      <w:r>
        <w:rPr>
          <w:rStyle w:val="LinkdaInternet"/>
          <w:szCs w:val="20"/>
          <w:rFonts w:cs="Arial"/>
        </w:rPr>
        <w:fldChar w:fldCharType="end"/>
      </w:r>
      <w:r>
        <w:rPr>
          <w:rFonts w:cs="Arial"/>
          <w:color w:val="000000" w:themeColor="text1"/>
          <w:szCs w:val="20"/>
        </w:rPr>
        <w:t>;</w:t>
      </w:r>
    </w:p>
    <w:p>
      <w:pPr>
        <w:pStyle w:val="Normal"/>
        <w:numPr>
          <w:ilvl w:val="1"/>
          <w:numId w:val="2"/>
        </w:numPr>
        <w:spacing w:lineRule="auto" w:line="276" w:before="120" w:after="120"/>
        <w:jc w:val="both"/>
        <w:rPr>
          <w:rFonts w:cs="Arial"/>
          <w:color w:val="000000" w:themeColor="text1"/>
          <w:szCs w:val="20"/>
        </w:rPr>
      </w:pPr>
      <w:r>
        <w:rPr>
          <w:rFonts w:cs="Arial"/>
          <w:color w:val="000000" w:themeColor="text1"/>
          <w:szCs w:val="20"/>
        </w:rPr>
        <w:t xml:space="preserve">O licitante organizado em cooperativa deverá declarar, ainda, em campo próprio do sistema eletrônico, que cumpre os requisitos estabelecidos no </w:t>
      </w:r>
      <w:r>
        <w:fldChar w:fldCharType="begin"/>
      </w:r>
      <w:r>
        <w:rPr>
          <w:rStyle w:val="LinkdaInternet"/>
          <w:szCs w:val="20"/>
          <w:rFonts w:cs="Arial"/>
        </w:rPr>
        <w:instrText> HYPERLINK "http://www.planalto.gov.br/ccivil_03/_ato2019-2022/2021/lei/L14133.htm" \l "art16"</w:instrText>
      </w:r>
      <w:r>
        <w:rPr>
          <w:rStyle w:val="LinkdaInternet"/>
          <w:szCs w:val="20"/>
          <w:rFonts w:cs="Arial"/>
        </w:rPr>
        <w:fldChar w:fldCharType="separate"/>
      </w:r>
      <w:r>
        <w:rPr>
          <w:rStyle w:val="LinkdaInternet"/>
          <w:rFonts w:cs="Arial"/>
          <w:szCs w:val="20"/>
        </w:rPr>
        <w:t>artigo 16 da Lei nº 14.133, de 2021.</w:t>
      </w:r>
      <w:r>
        <w:rPr>
          <w:rStyle w:val="LinkdaInternet"/>
          <w:szCs w:val="20"/>
          <w:rFonts w:cs="Arial"/>
        </w:rPr>
        <w:fldChar w:fldCharType="end"/>
      </w:r>
    </w:p>
    <w:p>
      <w:pPr>
        <w:pStyle w:val="Normal"/>
        <w:numPr>
          <w:ilvl w:val="1"/>
          <w:numId w:val="2"/>
        </w:numPr>
        <w:spacing w:lineRule="auto" w:line="276" w:before="120" w:after="120"/>
        <w:jc w:val="both"/>
        <w:rPr>
          <w:rFonts w:cs="Arial"/>
          <w:color w:val="000000" w:themeColor="text1"/>
          <w:szCs w:val="20"/>
        </w:rPr>
      </w:pPr>
      <w:r>
        <w:rPr>
          <w:rFonts w:cs="Arial"/>
          <w:color w:val="000000" w:themeColor="text1"/>
          <w:szCs w:val="20"/>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LinkdaInternet"/>
          <w:szCs w:val="20"/>
          <w:rFonts w:cs="Arial"/>
        </w:rPr>
        <w:instrText> HYPERLINK "https://www.planalto.gov.br/ccivil_03/leis/lcp/lcp123.htm" \l "art3"</w:instrText>
      </w:r>
      <w:r>
        <w:rPr>
          <w:rStyle w:val="LinkdaInternet"/>
          <w:szCs w:val="20"/>
          <w:rFonts w:cs="Arial"/>
        </w:rPr>
        <w:fldChar w:fldCharType="separate"/>
      </w:r>
      <w:r>
        <w:rPr>
          <w:rStyle w:val="LinkdaInternet"/>
          <w:rFonts w:cs="Arial"/>
          <w:szCs w:val="20"/>
        </w:rPr>
        <w:t>artigo 3° da Lei Complementar nº 123, de 2006</w:t>
      </w:r>
      <w:r>
        <w:rPr>
          <w:rStyle w:val="LinkdaInternet"/>
          <w:szCs w:val="20"/>
          <w:rFonts w:cs="Arial"/>
        </w:rPr>
        <w:fldChar w:fldCharType="end"/>
      </w:r>
      <w:r>
        <w:rPr>
          <w:rFonts w:cs="Arial"/>
          <w:color w:val="000000" w:themeColor="text1"/>
          <w:szCs w:val="20"/>
        </w:rPr>
        <w:t xml:space="preserve">, estando apto a usufruir do tratamento favorecido estabelecido em seus arts. 42 a 49, observado o disposto nos </w:t>
      </w:r>
      <w:r>
        <w:fldChar w:fldCharType="begin"/>
      </w:r>
      <w:r>
        <w:rPr>
          <w:rStyle w:val="LinkdaInternet"/>
          <w:szCs w:val="20"/>
          <w:rFonts w:cs="Arial"/>
        </w:rPr>
        <w:instrText> HYPERLINK "http://www.planalto.gov.br/ccivil_03/_ato2019-2022/2021/lei/L14133.htm" \l "art4§1"</w:instrText>
      </w:r>
      <w:r>
        <w:rPr>
          <w:rStyle w:val="LinkdaInternet"/>
          <w:szCs w:val="20"/>
          <w:rFonts w:cs="Arial"/>
        </w:rPr>
        <w:fldChar w:fldCharType="separate"/>
      </w:r>
      <w:r>
        <w:rPr>
          <w:rStyle w:val="LinkdaInternet"/>
          <w:rFonts w:cs="Arial"/>
          <w:szCs w:val="20"/>
        </w:rPr>
        <w:t>§§ 1º ao 3º do art. 4º, da Lei n.º 14.133, de 2021.</w:t>
      </w:r>
      <w:r>
        <w:rPr>
          <w:rStyle w:val="LinkdaInternet"/>
          <w:szCs w:val="20"/>
          <w:rFonts w:cs="Arial"/>
        </w:rPr>
        <w:fldChar w:fldCharType="end"/>
      </w:r>
    </w:p>
    <w:p>
      <w:pPr>
        <w:pStyle w:val="Normal"/>
        <w:numPr>
          <w:ilvl w:val="1"/>
          <w:numId w:val="2"/>
        </w:numPr>
        <w:spacing w:lineRule="auto" w:line="276" w:before="120" w:after="120"/>
        <w:jc w:val="both"/>
        <w:rPr>
          <w:rFonts w:cs="Arial"/>
          <w:i/>
          <w:i/>
          <w:color w:val="FF0000"/>
          <w:szCs w:val="20"/>
        </w:rPr>
      </w:pPr>
      <w:r>
        <w:rPr>
          <w:rFonts w:cs="Arial"/>
          <w:i/>
          <w:color w:val="FF0000"/>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pPr>
        <w:pStyle w:val="Normal"/>
        <w:numPr>
          <w:ilvl w:val="2"/>
          <w:numId w:val="2"/>
        </w:numPr>
        <w:spacing w:lineRule="auto" w:line="276" w:before="120" w:after="120"/>
        <w:jc w:val="both"/>
        <w:rPr>
          <w:rFonts w:cs="Arial"/>
          <w:i/>
          <w:i/>
          <w:color w:val="FF0000"/>
          <w:szCs w:val="20"/>
        </w:rPr>
      </w:pPr>
      <w:r>
        <w:rPr>
          <w:rFonts w:cs="Arial"/>
          <w:i/>
          <w:color w:val="FF0000"/>
          <w:szCs w:val="20"/>
        </w:rPr>
        <w:t xml:space="preserve">Feita essa opção os lances serão enviados automaticamente pelo sistema, respeitados os limites cadastrados pelo fornecedor e o intervalo mínimo entre lances previsto neste aviso. </w:t>
      </w:r>
    </w:p>
    <w:p>
      <w:pPr>
        <w:pStyle w:val="Normal"/>
        <w:numPr>
          <w:ilvl w:val="3"/>
          <w:numId w:val="2"/>
        </w:numPr>
        <w:spacing w:lineRule="auto" w:line="276" w:before="120" w:after="120"/>
        <w:jc w:val="both"/>
        <w:rPr>
          <w:rFonts w:cs="Arial"/>
          <w:i/>
          <w:i/>
          <w:color w:val="FF0000"/>
          <w:szCs w:val="20"/>
        </w:rPr>
      </w:pPr>
      <w:r>
        <w:rPr>
          <w:rFonts w:cs="Arial"/>
          <w:i/>
          <w:color w:val="FF0000"/>
          <w:szCs w:val="20"/>
        </w:rPr>
        <w:t>Sem prejuízo do disposto acima, os lances poderão ser enviados manualmente, na forma da seção respectiva deste Aviso de Contratação Direta;</w:t>
      </w:r>
    </w:p>
    <w:p>
      <w:pPr>
        <w:pStyle w:val="Normal"/>
        <w:numPr>
          <w:ilvl w:val="2"/>
          <w:numId w:val="2"/>
        </w:numPr>
        <w:spacing w:lineRule="auto" w:line="276" w:before="120" w:after="120"/>
        <w:jc w:val="both"/>
        <w:rPr>
          <w:rFonts w:cs="Arial"/>
          <w:i/>
          <w:i/>
          <w:color w:val="FF0000"/>
          <w:szCs w:val="20"/>
        </w:rPr>
      </w:pPr>
      <w:r>
        <w:rPr>
          <w:rFonts w:cs="Arial"/>
          <w:i/>
          <w:color w:val="FF0000"/>
          <w:szCs w:val="20"/>
        </w:rPr>
        <w:t>O valor final mínimo poderá ser alterado pelo fornecedor durante a fase de disputa, desde que não assuma valor superior a lance já registrado por ele no sistema.</w:t>
      </w:r>
    </w:p>
    <w:p>
      <w:pPr>
        <w:pStyle w:val="Normal"/>
        <w:numPr>
          <w:ilvl w:val="2"/>
          <w:numId w:val="2"/>
        </w:numPr>
        <w:spacing w:lineRule="auto" w:line="276" w:before="120" w:after="120"/>
        <w:jc w:val="both"/>
        <w:rPr>
          <w:rFonts w:cs="Arial"/>
          <w:i/>
          <w:i/>
          <w:color w:val="FF0000"/>
          <w:szCs w:val="20"/>
        </w:rPr>
      </w:pPr>
      <w:r>
        <w:rPr>
          <w:rFonts w:cs="Arial"/>
          <w:i/>
          <w:color w:val="FF0000"/>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Ttulo1"/>
        <w:numPr>
          <w:ilvl w:val="0"/>
          <w:numId w:val="2"/>
        </w:numPr>
        <w:rPr/>
      </w:pPr>
      <w:bookmarkStart w:id="5" w:name="_Toc118380902"/>
      <w:r>
        <w:rPr/>
        <w:t>FASE DE LANCES</w:t>
      </w:r>
      <w:bookmarkEnd w:id="5"/>
    </w:p>
    <w:p>
      <w:pPr>
        <w:pStyle w:val="ListParagraph"/>
        <w:numPr>
          <w:ilvl w:val="1"/>
          <w:numId w:val="2"/>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pPr>
        <w:pStyle w:val="ListParagraph"/>
        <w:numPr>
          <w:ilvl w:val="1"/>
          <w:numId w:val="2"/>
        </w:numPr>
        <w:spacing w:lineRule="auto" w:line="276" w:before="120" w:after="120"/>
        <w:contextualSpacing/>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2"/>
        </w:numPr>
        <w:spacing w:lineRule="auto" w:line="276" w:before="120" w:after="120"/>
        <w:contextualSpacing/>
        <w:jc w:val="both"/>
        <w:rPr>
          <w:rFonts w:cs="Arial"/>
          <w:szCs w:val="20"/>
          <w:lang w:eastAsia="en-US"/>
        </w:rPr>
      </w:pPr>
      <w:r>
        <w:rPr>
          <w:rFonts w:cs="Arial"/>
          <w:szCs w:val="20"/>
        </w:rPr>
        <w:t xml:space="preserve">O lance </w:t>
      </w:r>
      <w:r>
        <w:rPr>
          <w:rFonts w:cs="Arial"/>
          <w:color w:val="000000" w:themeColor="text1"/>
          <w:szCs w:val="20"/>
          <w:lang w:eastAsia="en-US"/>
        </w:rPr>
        <w:t>deverá</w:t>
      </w:r>
      <w:r>
        <w:rPr>
          <w:rFonts w:cs="Arial"/>
          <w:szCs w:val="20"/>
        </w:rPr>
        <w:t xml:space="preserve"> ser ofertado pelo valor unitário do item.</w:t>
      </w:r>
    </w:p>
    <w:p>
      <w:pPr>
        <w:pStyle w:val="Quote"/>
        <w:numPr>
          <w:ilvl w:val="1"/>
          <w:numId w:val="2"/>
        </w:numPr>
        <w:shd w:val="clear" w:color="auto" w:fill="FFFFFF" w:themeFill="background1"/>
        <w:spacing w:lineRule="auto" w:line="276" w:before="120" w:after="120"/>
        <w:contextualSpacing/>
        <w:rPr>
          <w:rFonts w:cs="Arial"/>
          <w:i w:val="false"/>
          <w:i w:val="false"/>
          <w:iCs w:val="false"/>
          <w:color w:val="000000" w:themeColor="text1"/>
          <w:szCs w:val="20"/>
        </w:rPr>
      </w:pPr>
      <w:r>
        <w:rPr>
          <w:rFonts w:cs="Arial"/>
          <w:i w:val="false"/>
          <w:iCs w:val="false"/>
          <w:color w:val="000000" w:themeColor="text1"/>
          <w:szCs w:val="20"/>
        </w:rPr>
        <w:t>O fornecedor somente poderá oferecer valor inferior ou maior percentual de desconto em relação ao último lance por ele ofertado e registrado pelo sistema.</w:t>
      </w:r>
    </w:p>
    <w:p>
      <w:pPr>
        <w:pStyle w:val="ListParagraph"/>
        <w:numPr>
          <w:ilvl w:val="2"/>
          <w:numId w:val="2"/>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2"/>
        </w:numPr>
        <w:spacing w:lineRule="auto" w:line="276" w:before="120" w:after="120"/>
        <w:contextualSpacing/>
        <w:jc w:val="both"/>
        <w:rPr>
          <w:rFonts w:cs="Arial"/>
          <w:color w:val="000000" w:themeColor="text1"/>
          <w:szCs w:val="20"/>
          <w:lang w:eastAsia="en-US"/>
        </w:rPr>
      </w:pPr>
      <w:r>
        <w:rPr>
          <w:rFonts w:cs="Arial"/>
          <w:szCs w:val="20"/>
        </w:rPr>
        <w:t>O intervalo mínimo de diferença de valores ou percentuais entre os lances, que incidirá tanto em relação aos lances intermediários quanto em relação ao que cobrir a melhor oferta é de</w:t>
      </w:r>
      <w:r>
        <w:rPr>
          <w:rFonts w:cs="Arial"/>
          <w:i/>
          <w:iCs/>
          <w:szCs w:val="20"/>
        </w:rPr>
        <w:t xml:space="preserve"> </w:t>
      </w:r>
      <w:r>
        <w:rPr>
          <w:rFonts w:cs="Arial"/>
          <w:i w:val="false"/>
          <w:iCs w:val="false"/>
          <w:color w:val="FF0000"/>
          <w:szCs w:val="20"/>
        </w:rPr>
        <w:t>R$ 1,00 (um real)</w:t>
      </w:r>
      <w:r>
        <w:rPr>
          <w:rFonts w:cs="Arial"/>
          <w:i w:val="false"/>
          <w:iCs w:val="false"/>
          <w:color w:val="FF0000"/>
          <w:szCs w:val="20"/>
          <w:lang w:eastAsia="en-US"/>
        </w:rPr>
        <w:t>.</w:t>
      </w:r>
    </w:p>
    <w:p>
      <w:pPr>
        <w:pStyle w:val="ListParagraph"/>
        <w:numPr>
          <w:ilvl w:val="1"/>
          <w:numId w:val="2"/>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pPr>
        <w:pStyle w:val="ListParagraph"/>
        <w:numPr>
          <w:ilvl w:val="1"/>
          <w:numId w:val="2"/>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pPr>
        <w:pStyle w:val="ListParagraph"/>
        <w:numPr>
          <w:ilvl w:val="1"/>
          <w:numId w:val="2"/>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Durante o procedimento, os fornecedores serão informados, em tempo real, do valor do menor lance ou do maior desconto registrado, vedada a identificação do fornecedor.</w:t>
      </w:r>
    </w:p>
    <w:p>
      <w:pPr>
        <w:pStyle w:val="ListParagraph"/>
        <w:numPr>
          <w:ilvl w:val="1"/>
          <w:numId w:val="2"/>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2"/>
        </w:numPr>
        <w:spacing w:lineRule="auto" w:line="276" w:before="120" w:after="120"/>
        <w:contextualSpacing/>
        <w:jc w:val="both"/>
        <w:rPr>
          <w:rFonts w:cs="Arial"/>
        </w:rPr>
      </w:pPr>
      <w:r>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pPr>
        <w:pStyle w:val="Ttulo1"/>
        <w:numPr>
          <w:ilvl w:val="0"/>
          <w:numId w:val="2"/>
        </w:numPr>
        <w:rPr/>
      </w:pPr>
      <w:bookmarkStart w:id="6" w:name="_Toc118380903"/>
      <w:r>
        <w:rPr/>
        <w:t>JULGAMENTO DAS PROPOSTAS DE PREÇO</w:t>
      </w:r>
      <w:bookmarkEnd w:id="6"/>
    </w:p>
    <w:p>
      <w:pPr>
        <w:pStyle w:val="ListParagraph"/>
        <w:numPr>
          <w:ilvl w:val="1"/>
          <w:numId w:val="2"/>
        </w:numPr>
        <w:spacing w:lineRule="auto" w:line="276" w:before="120" w:after="120"/>
        <w:contextualSpacing/>
        <w:jc w:val="both"/>
        <w:rPr>
          <w:rFonts w:cs="Arial"/>
        </w:rPr>
      </w:pPr>
      <w:r>
        <w:rPr>
          <w:rFonts w:cs="Arial"/>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2"/>
        </w:numPr>
        <w:spacing w:lineRule="auto" w:line="276" w:before="120" w:after="120"/>
        <w:contextualSpacing/>
        <w:jc w:val="both"/>
        <w:rPr>
          <w:rFonts w:cs="Arial"/>
        </w:rPr>
      </w:pPr>
      <w:r>
        <w:rPr>
          <w:rFonts w:cs="Arial"/>
        </w:rPr>
        <w:t>No caso de o preço da proposta do primeiro colocado estar acima do preço máximo definido para a contratação, poderá haver a negociação de condições mais vantajosas.</w:t>
      </w:r>
    </w:p>
    <w:p>
      <w:pPr>
        <w:pStyle w:val="ListParagraph"/>
        <w:numPr>
          <w:ilvl w:val="2"/>
          <w:numId w:val="2"/>
        </w:numPr>
        <w:spacing w:lineRule="auto" w:line="276" w:before="120" w:after="120"/>
        <w:contextualSpacing/>
        <w:jc w:val="both"/>
        <w:rPr>
          <w:rFonts w:cs="Arial"/>
        </w:rPr>
      </w:pPr>
      <w:r>
        <w:rPr>
          <w:rFonts w:cs="Arial"/>
          <w:color w:val="000000"/>
          <w:szCs w:val="20"/>
        </w:rPr>
        <w:t>Neste caso, será encaminhada contraproposta ao fornecedor que tenha apresentado o melhor preço, para que seja obtida a melhor proposta com preço compatível ao estipulado pela Administração.</w:t>
      </w:r>
    </w:p>
    <w:p>
      <w:pPr>
        <w:pStyle w:val="ListParagraph"/>
        <w:numPr>
          <w:ilvl w:val="2"/>
          <w:numId w:val="2"/>
        </w:numPr>
        <w:spacing w:lineRule="auto" w:line="276" w:before="120" w:after="120"/>
        <w:contextualSpacing/>
        <w:jc w:val="both"/>
        <w:rPr>
          <w:rFonts w:cs="Arial"/>
        </w:rPr>
      </w:pPr>
      <w:r>
        <w:rPr>
          <w:rFonts w:cs="Arial"/>
        </w:rPr>
        <w:t xml:space="preserve">A negociação poderá ser feita com os demais fornecedores classificados, </w:t>
      </w:r>
      <w:r>
        <w:rPr>
          <w:rFonts w:ascii="Helvetica" w:hAnsi="Helvetica"/>
          <w:shd w:fill="FFFFFF" w:val="clear"/>
        </w:rPr>
        <w:t>exclusivamente por meio do sistema,</w:t>
      </w:r>
      <w:r>
        <w:rPr>
          <w:rFonts w:cs="Arial"/>
        </w:rPr>
        <w:t xml:space="preserve"> respeitada a ordem de classificação, quando o primeiro colocado, mesmo após a negociação, for desclassificado em razão de sua proposta permanecer acima do preço máximo definido para a contratação.</w:t>
      </w:r>
    </w:p>
    <w:p>
      <w:pPr>
        <w:pStyle w:val="ListParagraph"/>
        <w:numPr>
          <w:ilvl w:val="1"/>
          <w:numId w:val="2"/>
        </w:numPr>
        <w:spacing w:lineRule="auto" w:line="276" w:before="120" w:after="120"/>
        <w:contextualSpacing/>
        <w:jc w:val="both"/>
        <w:rPr>
          <w:rFonts w:cs="Arial"/>
        </w:rPr>
      </w:pPr>
      <w:r>
        <w:rPr>
          <w:rFonts w:cs="Arial"/>
        </w:rPr>
        <w:t xml:space="preserve">Em qualquer caso, concluída a negociação, se houver, o resultado será registrado na ata do procedimento da dispensa eletrônica, </w:t>
      </w:r>
      <w:r>
        <w:rPr>
          <w:rFonts w:ascii="Helvetica" w:hAnsi="Helvetica"/>
          <w:shd w:fill="FFFFFF" w:val="clear"/>
        </w:rPr>
        <w:t>devendo esta ser anexada aos autos do processo de contratação.</w:t>
      </w:r>
    </w:p>
    <w:p>
      <w:pPr>
        <w:pStyle w:val="ListParagraph"/>
        <w:numPr>
          <w:ilvl w:val="1"/>
          <w:numId w:val="2"/>
        </w:numPr>
        <w:spacing w:lineRule="auto" w:line="276" w:before="120" w:after="120"/>
        <w:contextualSpacing/>
        <w:jc w:val="both"/>
        <w:rPr>
          <w:rFonts w:cs="Arial"/>
        </w:rPr>
      </w:pPr>
      <w:r>
        <w:rPr>
          <w:iCs/>
        </w:rPr>
        <w:t xml:space="preserve">Constatada a compatibilidade entre o valor da proposta e o estipulado para a contratação, será solicitada ao fornecedor a adequação da proposta ao valor negociado, acompanhada de documentos complementares, se necessários. </w:t>
      </w:r>
    </w:p>
    <w:p>
      <w:pPr>
        <w:pStyle w:val="Normal"/>
        <w:numPr>
          <w:ilvl w:val="1"/>
          <w:numId w:val="2"/>
        </w:numPr>
        <w:spacing w:lineRule="auto" w:line="276" w:before="120" w:after="120"/>
        <w:jc w:val="both"/>
        <w:rPr>
          <w:rFonts w:cs="Arial"/>
          <w:color w:val="000000" w:themeColor="text1"/>
          <w:szCs w:val="20"/>
        </w:rPr>
      </w:pPr>
      <w:r>
        <w:rPr>
          <w:rFonts w:cs="Arial"/>
          <w:color w:val="000000" w:themeColor="text1"/>
          <w:szCs w:val="20"/>
        </w:rPr>
        <w:t xml:space="preserve">O prazo de validade </w:t>
      </w:r>
      <w:r>
        <w:rPr>
          <w:rFonts w:cs="Arial"/>
          <w:szCs w:val="20"/>
        </w:rPr>
        <w:t>da</w:t>
      </w:r>
      <w:r>
        <w:rPr>
          <w:rFonts w:cs="Arial"/>
          <w:color w:val="000000" w:themeColor="text1"/>
          <w:szCs w:val="20"/>
        </w:rPr>
        <w:t xml:space="preserve"> proposta não será inferior a </w:t>
      </w:r>
      <w:r>
        <w:rPr>
          <w:rFonts w:eastAsia="Times New Roman" w:cs="Arial"/>
          <w:color w:val="FF0000"/>
          <w:sz w:val="20"/>
          <w:szCs w:val="20"/>
          <w:lang w:eastAsia="pt-BR"/>
        </w:rPr>
        <w:t>30</w:t>
      </w:r>
      <w:r>
        <w:rPr>
          <w:rFonts w:cs="Arial"/>
          <w:color w:val="FF0000"/>
          <w:szCs w:val="20"/>
        </w:rPr>
        <w:t xml:space="preserve"> (</w:t>
      </w:r>
      <w:r>
        <w:rPr>
          <w:rFonts w:eastAsia="Times New Roman" w:cs="Arial"/>
          <w:color w:val="FF0000"/>
          <w:sz w:val="20"/>
          <w:szCs w:val="20"/>
          <w:lang w:eastAsia="pt-BR"/>
        </w:rPr>
        <w:t>trinta</w:t>
      </w:r>
      <w:r>
        <w:rPr>
          <w:rFonts w:cs="Arial"/>
          <w:color w:val="FF0000"/>
          <w:szCs w:val="20"/>
        </w:rPr>
        <w:t>) dias</w:t>
      </w:r>
      <w:r>
        <w:rPr>
          <w:rFonts w:cs="Arial"/>
          <w:b/>
          <w:bCs/>
          <w:color w:val="000000" w:themeColor="text1"/>
          <w:szCs w:val="20"/>
        </w:rPr>
        <w:t>,</w:t>
      </w:r>
      <w:r>
        <w:rPr>
          <w:rFonts w:cs="Arial"/>
          <w:color w:val="000000" w:themeColor="text1"/>
          <w:szCs w:val="20"/>
        </w:rPr>
        <w:t xml:space="preserve"> a contar da data de sua apresentação.</w:t>
      </w:r>
    </w:p>
    <w:p>
      <w:pPr>
        <w:pStyle w:val="ListParagraph"/>
        <w:numPr>
          <w:ilvl w:val="1"/>
          <w:numId w:val="2"/>
        </w:numPr>
        <w:spacing w:lineRule="auto" w:line="276" w:before="120" w:after="120"/>
        <w:contextualSpacing/>
        <w:jc w:val="both"/>
        <w:rPr>
          <w:rFonts w:cs="Arial"/>
          <w:i/>
          <w:i/>
          <w:color w:val="000000" w:themeColor="text1"/>
          <w:szCs w:val="20"/>
        </w:rPr>
      </w:pPr>
      <w:r>
        <w:rPr>
          <w:rFonts w:cs="Arial"/>
          <w:color w:val="000000" w:themeColor="text1"/>
          <w:szCs w:val="20"/>
          <w:lang w:eastAsia="en-US"/>
        </w:rPr>
        <w:t xml:space="preserve">Será desclassificada a proposta vencedora que: </w:t>
      </w:r>
    </w:p>
    <w:p>
      <w:pPr>
        <w:pStyle w:val="ListParagraph"/>
        <w:numPr>
          <w:ilvl w:val="2"/>
          <w:numId w:val="2"/>
        </w:numPr>
        <w:spacing w:lineRule="auto" w:line="276" w:before="120" w:after="120"/>
        <w:contextualSpacing/>
        <w:jc w:val="both"/>
        <w:rPr>
          <w:rFonts w:cs="Arial"/>
          <w:i/>
          <w:i/>
          <w:color w:val="000000" w:themeColor="text1"/>
          <w:szCs w:val="20"/>
        </w:rPr>
      </w:pPr>
      <w:r>
        <w:rPr>
          <w:rFonts w:cs="Arial"/>
          <w:color w:val="000000"/>
          <w:szCs w:val="20"/>
        </w:rPr>
        <w:t>contiver vícios insanáveis</w:t>
      </w:r>
      <w:r>
        <w:rPr>
          <w:rFonts w:cs="Arial"/>
          <w:iCs/>
          <w:color w:val="000000" w:themeColor="text1"/>
          <w:szCs w:val="20"/>
        </w:rPr>
        <w:t>;</w:t>
      </w:r>
    </w:p>
    <w:p>
      <w:pPr>
        <w:pStyle w:val="ListParagraph"/>
        <w:numPr>
          <w:ilvl w:val="2"/>
          <w:numId w:val="2"/>
        </w:numPr>
        <w:spacing w:lineRule="auto" w:line="276" w:before="120" w:after="120"/>
        <w:contextualSpacing/>
        <w:jc w:val="both"/>
        <w:rPr>
          <w:rFonts w:cs="Arial"/>
          <w:i/>
          <w:i/>
          <w:color w:val="000000" w:themeColor="text1"/>
          <w:szCs w:val="20"/>
        </w:rPr>
      </w:pPr>
      <w:r>
        <w:rPr>
          <w:rFonts w:cs="Arial"/>
          <w:color w:val="000000"/>
          <w:szCs w:val="20"/>
        </w:rPr>
        <w:t>não obedecer às especificações técnicas pormenorizadas neste aviso ou em seus anexos</w:t>
      </w:r>
      <w:r>
        <w:rPr>
          <w:rFonts w:cs="Arial"/>
          <w:iCs/>
          <w:color w:val="000000" w:themeColor="text1"/>
          <w:szCs w:val="20"/>
        </w:rPr>
        <w:t>;</w:t>
      </w:r>
    </w:p>
    <w:p>
      <w:pPr>
        <w:pStyle w:val="ListParagraph"/>
        <w:numPr>
          <w:ilvl w:val="2"/>
          <w:numId w:val="2"/>
        </w:numPr>
        <w:spacing w:lineRule="auto" w:line="276" w:before="120" w:after="120"/>
        <w:contextualSpacing/>
        <w:jc w:val="both"/>
        <w:rPr>
          <w:rFonts w:cs="Arial"/>
          <w:color w:val="FF0000"/>
          <w:szCs w:val="20"/>
        </w:rPr>
      </w:pPr>
      <w:r>
        <w:rPr>
          <w:rFonts w:cs="Arial"/>
          <w:szCs w:val="20"/>
        </w:rPr>
        <w:t>apresentar preços inexequíveis</w:t>
      </w:r>
      <w:r>
        <w:rPr>
          <w:rFonts w:cs="Arial"/>
          <w:color w:val="FF0000"/>
          <w:szCs w:val="20"/>
        </w:rPr>
        <w:t xml:space="preserve"> ou permanecerem acima do preço máximo definido para a contratação;</w:t>
      </w:r>
    </w:p>
    <w:p>
      <w:pPr>
        <w:pStyle w:val="ListParagraph"/>
        <w:numPr>
          <w:ilvl w:val="2"/>
          <w:numId w:val="2"/>
        </w:numPr>
        <w:spacing w:lineRule="auto" w:line="276" w:before="120" w:after="120"/>
        <w:contextualSpacing/>
        <w:jc w:val="both"/>
        <w:rPr>
          <w:rFonts w:cs="Arial"/>
          <w:i/>
          <w:i/>
          <w:color w:val="000000" w:themeColor="text1"/>
          <w:szCs w:val="20"/>
        </w:rPr>
      </w:pPr>
      <w:r>
        <w:rPr>
          <w:rFonts w:cs="Arial"/>
          <w:color w:val="000000"/>
          <w:szCs w:val="20"/>
        </w:rPr>
        <w:t>não tiver sua exequibilidade demonstrada, quando exigido pela Administração</w:t>
      </w:r>
      <w:r>
        <w:rPr>
          <w:rFonts w:cs="Arial"/>
          <w:iCs/>
          <w:color w:val="000000" w:themeColor="text1"/>
          <w:szCs w:val="20"/>
        </w:rPr>
        <w:t>;</w:t>
      </w:r>
    </w:p>
    <w:p>
      <w:pPr>
        <w:pStyle w:val="ListParagraph"/>
        <w:numPr>
          <w:ilvl w:val="2"/>
          <w:numId w:val="2"/>
        </w:numPr>
        <w:spacing w:lineRule="auto" w:line="276" w:before="120" w:after="120"/>
        <w:contextualSpacing/>
        <w:jc w:val="both"/>
        <w:rPr>
          <w:rFonts w:cs="Arial"/>
          <w:i/>
          <w:i/>
          <w:color w:val="000000" w:themeColor="text1"/>
          <w:szCs w:val="20"/>
        </w:rPr>
      </w:pPr>
      <w:r>
        <w:rPr>
          <w:rFonts w:cs="Arial"/>
          <w:color w:val="000000"/>
          <w:szCs w:val="20"/>
        </w:rPr>
        <w:t>apresentar desconformidade com quaisquer outras exigências deste aviso ou seus anexos, desde que insanável.</w:t>
      </w:r>
    </w:p>
    <w:p>
      <w:pPr>
        <w:pStyle w:val="ListParagraph"/>
        <w:numPr>
          <w:ilvl w:val="1"/>
          <w:numId w:val="2"/>
        </w:numPr>
        <w:spacing w:lineRule="auto" w:line="276" w:before="120" w:after="120"/>
        <w:contextualSpacing/>
        <w:jc w:val="both"/>
        <w:rPr>
          <w:rFonts w:cs="Arial"/>
          <w:i/>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2"/>
        </w:numPr>
        <w:spacing w:lineRule="auto" w:line="276" w:before="120" w:after="120"/>
        <w:contextualSpacing/>
        <w:jc w:val="both"/>
        <w:rPr>
          <w:rFonts w:cs="Arial"/>
          <w:i/>
          <w:i/>
          <w:color w:val="000000" w:themeColor="text1"/>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2"/>
        </w:numPr>
        <w:spacing w:lineRule="auto" w:line="276" w:before="120" w:after="120"/>
        <w:contextualSpacing/>
        <w:jc w:val="both"/>
        <w:rPr>
          <w:rFonts w:cs="Arial"/>
          <w:color w:val="000000" w:themeColor="text1"/>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2"/>
        </w:numPr>
        <w:spacing w:lineRule="auto" w:line="276" w:before="120" w:after="120"/>
        <w:ind w:left="858" w:right="-15" w:hanging="432"/>
        <w:contextualSpacing/>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xml:space="preserve">, poderão ser efetuadas diligências, para que o fornecedor comprove a exequibilidade da proposta.  </w:t>
      </w:r>
    </w:p>
    <w:p>
      <w:pPr>
        <w:pStyle w:val="ListParagraph"/>
        <w:numPr>
          <w:ilvl w:val="1"/>
          <w:numId w:val="2"/>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 xml:space="preserve">Erros no preenchimento da planilha não constituem motivo para a desclassificação da proposta. A planilha </w:t>
      </w:r>
      <w:r>
        <w:rPr>
          <w:rFonts w:cs="Arial"/>
          <w:szCs w:val="20"/>
        </w:rPr>
        <w:t>poderá</w:t>
      </w:r>
      <w:r>
        <w:rPr>
          <w:rFonts w:cs="Arial"/>
          <w:color w:val="000000" w:themeColor="text1"/>
          <w:szCs w:val="20"/>
          <w:lang w:eastAsia="en-US"/>
        </w:rPr>
        <w:t xml:space="preserve"> ser ajustada pelo fornecedor, no prazo indicado pelo sistema, desde que não haja majoração do preço.</w:t>
      </w:r>
    </w:p>
    <w:p>
      <w:pPr>
        <w:pStyle w:val="ListParagraph"/>
        <w:numPr>
          <w:ilvl w:val="2"/>
          <w:numId w:val="2"/>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pPr>
        <w:pStyle w:val="ListParagraph"/>
        <w:numPr>
          <w:ilvl w:val="2"/>
          <w:numId w:val="2"/>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Considera-se erro no preenchimento da planilha passível de correção a indicação de recolhimento de impostos e contribuições na forma do Simples Nacional, quando não cabível esse regime.</w:t>
      </w:r>
    </w:p>
    <w:p>
      <w:pPr>
        <w:pStyle w:val="ListParagraph"/>
        <w:numPr>
          <w:ilvl w:val="1"/>
          <w:numId w:val="2"/>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2"/>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pPr>
        <w:pStyle w:val="ListParagraph"/>
        <w:numPr>
          <w:ilvl w:val="1"/>
          <w:numId w:val="2"/>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pPr>
        <w:pStyle w:val="ListParagraph"/>
        <w:numPr>
          <w:ilvl w:val="1"/>
          <w:numId w:val="2"/>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pPr>
        <w:pStyle w:val="Ttulo1"/>
        <w:numPr>
          <w:ilvl w:val="0"/>
          <w:numId w:val="2"/>
        </w:numPr>
        <w:rPr/>
      </w:pPr>
      <w:bookmarkStart w:id="7" w:name="_Toc118380904"/>
      <w:r>
        <w:rPr/>
        <w:t>HABILITAÇÃO</w:t>
      </w:r>
      <w:bookmarkEnd w:id="7"/>
    </w:p>
    <w:p>
      <w:pPr>
        <w:pStyle w:val="Normal"/>
        <w:numPr>
          <w:ilvl w:val="1"/>
          <w:numId w:val="2"/>
        </w:numPr>
        <w:spacing w:lineRule="auto" w:line="276" w:before="120" w:after="120"/>
        <w:contextualSpacing/>
        <w:jc w:val="both"/>
        <w:rPr>
          <w:rFonts w:cs="Arial"/>
          <w:b/>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 constam do </w:t>
      </w:r>
      <w:r>
        <w:rPr>
          <w:rFonts w:cs="Arial"/>
          <w:b/>
          <w:szCs w:val="20"/>
          <w:lang w:eastAsia="ar-SA"/>
        </w:rPr>
        <w:t xml:space="preserve">ANEXO I – DOCUMENTAÇÃO EXIGIDA PARA HABILITAÇÃO </w:t>
      </w:r>
      <w:r>
        <w:rPr>
          <w:rFonts w:cs="Arial"/>
          <w:szCs w:val="20"/>
          <w:lang w:eastAsia="ar-SA"/>
        </w:rPr>
        <w:t>deste aviso e serão solicitados do fornecedor mais bem classificado na fase de lances.</w:t>
      </w:r>
    </w:p>
    <w:p>
      <w:pPr>
        <w:pStyle w:val="Normal"/>
        <w:numPr>
          <w:ilvl w:val="1"/>
          <w:numId w:val="2"/>
        </w:numPr>
        <w:spacing w:lineRule="auto" w:line="276" w:before="120" w:after="120"/>
        <w:contextualSpacing/>
        <w:jc w:val="both"/>
        <w:rPr>
          <w:rFonts w:cs="Arial"/>
          <w:b/>
          <w:b/>
          <w:szCs w:val="20"/>
          <w:lang w:eastAsia="ar-SA"/>
        </w:rPr>
      </w:pPr>
      <w:r>
        <w:rPr>
          <w:rFonts w:cs="Arial"/>
          <w:szCs w:val="20"/>
          <w:lang w:eastAsia="ar-SA"/>
        </w:rPr>
        <w:t xml:space="preserve">Como </w:t>
      </w:r>
      <w:r>
        <w:rPr>
          <w:rFonts w:cs="Arial"/>
          <w:color w:val="000000"/>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 xml:space="preserve">a) </w:t>
      </w:r>
      <w:hyperlink r:id="rId10">
        <w:r>
          <w:rPr>
            <w:rStyle w:val="LinkdaInternet"/>
            <w:rFonts w:cs="Arial"/>
            <w:szCs w:val="20"/>
            <w:lang w:eastAsia="ar-SA"/>
          </w:rPr>
          <w:t>SICAF</w:t>
        </w:r>
      </w:hyperlink>
      <w:r>
        <w:rPr>
          <w:rFonts w:cs="Arial"/>
          <w:szCs w:val="20"/>
          <w:lang w:eastAsia="ar-SA"/>
        </w:rPr>
        <w:t xml:space="preserve">;  </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 xml:space="preserve">b) Cadastro Nacional de Empresas Inidôneas e Suspensas - CEIS, mantido pela Controladoria-Geral da União </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w:t>
      </w:r>
      <w:hyperlink r:id="rId11">
        <w:r>
          <w:rPr>
            <w:rStyle w:val="LinkdaInternet"/>
          </w:rPr>
          <w:t>https://portaldatransparencia.gov.br/sancoes/consulta?cadastro=1%2C2</w:t>
        </w:r>
      </w:hyperlink>
      <w:r>
        <w:rPr>
          <w:rFonts w:cs="Arial"/>
          <w:szCs w:val="20"/>
          <w:lang w:eastAsia="ar-SA"/>
        </w:rPr>
        <w:t>); e</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 xml:space="preserve">c) Cadastro Nacional de Empresas Punidas – CNEP, mantido pela Controladoria-Geral da União </w:t>
      </w:r>
    </w:p>
    <w:p>
      <w:pPr>
        <w:pStyle w:val="ListParagraph"/>
        <w:spacing w:lineRule="auto" w:line="276" w:before="120" w:after="120"/>
        <w:ind w:left="1134" w:hanging="0"/>
        <w:contextualSpacing/>
        <w:jc w:val="both"/>
        <w:rPr>
          <w:rFonts w:cs="Arial"/>
          <w:szCs w:val="20"/>
        </w:rPr>
      </w:pPr>
      <w:r>
        <w:rPr>
          <w:rFonts w:cs="Arial"/>
          <w:szCs w:val="20"/>
          <w:lang w:eastAsia="ar-SA"/>
        </w:rPr>
        <w:t>(</w:t>
      </w:r>
      <w:hyperlink r:id="rId12">
        <w:r>
          <w:rPr>
            <w:rStyle w:val="LinkdaInternet"/>
          </w:rPr>
          <w:t>https://portaldatransparencia.gov.br/sancoes/consulta?cadastro=1%2C2</w:t>
        </w:r>
      </w:hyperlink>
      <w:r>
        <w:rPr>
          <w:rFonts w:cs="Arial"/>
          <w:szCs w:val="20"/>
          <w:lang w:eastAsia="ar-SA"/>
        </w:rPr>
        <w:t>).</w:t>
      </w:r>
    </w:p>
    <w:p>
      <w:pPr>
        <w:pStyle w:val="Normal"/>
        <w:numPr>
          <w:ilvl w:val="2"/>
          <w:numId w:val="2"/>
        </w:numPr>
        <w:spacing w:lineRule="auto" w:line="276" w:before="120" w:after="120"/>
        <w:contextualSpacing/>
        <w:jc w:val="both"/>
        <w:rPr>
          <w:rFonts w:cs="Arial"/>
          <w:szCs w:val="20"/>
        </w:rPr>
      </w:pPr>
      <w:r>
        <w:rPr>
          <w:rFonts w:cs="Arial"/>
          <w:color w:val="000000" w:themeColor="text1"/>
          <w:szCs w:val="20"/>
        </w:rPr>
        <w:t xml:space="preserve">A consulta aos </w:t>
      </w:r>
      <w:r>
        <w:rPr>
          <w:rFonts w:cs="Arial"/>
          <w:szCs w:val="20"/>
          <w:lang w:eastAsia="ar-SA"/>
        </w:rPr>
        <w:t>cadastros</w:t>
      </w:r>
      <w:r>
        <w:rPr>
          <w:rFonts w:cs="Arial"/>
          <w:color w:val="000000" w:themeColor="text1"/>
          <w:szCs w:val="20"/>
        </w:rPr>
        <w:t xml:space="preserve"> será realizada em nome da empresa fornecedora e de seu sócio majoritário, por força do </w:t>
      </w:r>
      <w:r>
        <w:fldChar w:fldCharType="begin"/>
      </w:r>
      <w:r>
        <w:rPr>
          <w:rStyle w:val="LinkdaInternet"/>
          <w:szCs w:val="20"/>
          <w:rFonts w:cs="Arial"/>
        </w:rPr>
        <w:instrText> HYPERLINK "https://www.planalto.gov.br/ccivil_03/leis/l8429.htm" \l "art12"</w:instrText>
      </w:r>
      <w:r>
        <w:rPr>
          <w:rStyle w:val="LinkdaInternet"/>
          <w:szCs w:val="20"/>
          <w:rFonts w:cs="Arial"/>
        </w:rPr>
        <w:fldChar w:fldCharType="separate"/>
      </w:r>
      <w:r>
        <w:rPr>
          <w:rStyle w:val="LinkdaInternet"/>
          <w:rFonts w:cs="Arial"/>
          <w:szCs w:val="20"/>
        </w:rPr>
        <w:t>artigo 12 da Lei n° 8.429, de 2 de junho de 1992</w:t>
      </w:r>
      <w:r>
        <w:rPr>
          <w:rStyle w:val="LinkdaInternet"/>
          <w:szCs w:val="20"/>
          <w:rFonts w:cs="Arial"/>
        </w:rPr>
        <w:fldChar w:fldCharType="end"/>
      </w:r>
      <w:r>
        <w:rPr>
          <w:rFonts w:cs="Arial"/>
          <w:color w:val="000000" w:themeColor="text1"/>
          <w:szCs w:val="20"/>
        </w:rPr>
        <w:t>, que prevê, dentre as sanções impostas ao responsável pela prática de ato de improbidade administrativa, a proibição de contratar com o Poder Público, inclusive por intermédio de pessoa jurídica da qual seja sócio majoritário.</w:t>
      </w:r>
    </w:p>
    <w:p>
      <w:pPr>
        <w:pStyle w:val="Normal"/>
        <w:numPr>
          <w:ilvl w:val="3"/>
          <w:numId w:val="2"/>
        </w:numPr>
        <w:spacing w:lineRule="auto" w:line="276" w:before="120" w:after="120"/>
        <w:contextualSpacing/>
        <w:jc w:val="both"/>
        <w:rPr>
          <w:rFonts w:cs="Arial"/>
          <w:szCs w:val="20"/>
        </w:rPr>
      </w:pPr>
      <w:r>
        <w:rPr>
          <w:rFonts w:cs="Arial"/>
          <w:color w:val="000000" w:themeColor="text1"/>
          <w:szCs w:val="20"/>
        </w:rPr>
        <w:t>Caso conste na Consulta de Situação do Fornecedor a existência de Ocorrências Impeditivas Indiretas, o gestor diligenciará para verificar se houve fraude por parte das empresas apontadas no respectivo Relatório.</w:t>
      </w:r>
    </w:p>
    <w:p>
      <w:pPr>
        <w:pStyle w:val="Normal"/>
        <w:numPr>
          <w:ilvl w:val="4"/>
          <w:numId w:val="2"/>
        </w:numPr>
        <w:spacing w:lineRule="auto" w:line="276" w:before="120" w:after="120"/>
        <w:contextualSpacing/>
        <w:jc w:val="both"/>
        <w:rPr>
          <w:rFonts w:cs="Arial"/>
          <w:color w:val="000000" w:themeColor="text1"/>
          <w:szCs w:val="20"/>
        </w:rPr>
      </w:pPr>
      <w:r>
        <w:rPr>
          <w:rFonts w:cs="Arial"/>
          <w:color w:val="000000" w:themeColor="text1"/>
          <w:szCs w:val="20"/>
        </w:rPr>
        <w:t>A tentativa de burla será verificada por meio dos vínculos societários, linhas de fornecimento similares, dentre outros.</w:t>
      </w:r>
    </w:p>
    <w:p>
      <w:pPr>
        <w:pStyle w:val="Normal"/>
        <w:numPr>
          <w:ilvl w:val="4"/>
          <w:numId w:val="2"/>
        </w:numPr>
        <w:spacing w:lineRule="auto" w:line="276" w:before="120" w:after="120"/>
        <w:contextualSpacing/>
        <w:jc w:val="both"/>
        <w:rPr>
          <w:rFonts w:cs="Arial"/>
          <w:szCs w:val="20"/>
        </w:rPr>
      </w:pPr>
      <w:r>
        <w:rPr>
          <w:rFonts w:cs="Arial"/>
          <w:color w:val="000000" w:themeColor="text1"/>
          <w:szCs w:val="20"/>
        </w:rPr>
        <w:t>O fornecedor será convocado para manifestação previamente à sua desclassificação</w:t>
      </w:r>
    </w:p>
    <w:p>
      <w:pPr>
        <w:pStyle w:val="Normal"/>
        <w:numPr>
          <w:ilvl w:val="2"/>
          <w:numId w:val="2"/>
        </w:numPr>
        <w:spacing w:lineRule="auto" w:line="276" w:before="120" w:after="120"/>
        <w:contextualSpacing/>
        <w:jc w:val="both"/>
        <w:rPr>
          <w:rFonts w:cs="Arial"/>
          <w:szCs w:val="20"/>
        </w:rPr>
      </w:pPr>
      <w:r>
        <w:rPr>
          <w:rFonts w:cs="Arial"/>
          <w:color w:val="000000" w:themeColor="text1"/>
          <w:szCs w:val="20"/>
        </w:rPr>
        <w:t>Constatada a existência de sanção, o fornecedor será considerado inabilitado, por falta de condição de participação.</w:t>
      </w:r>
    </w:p>
    <w:p>
      <w:pPr>
        <w:pStyle w:val="Normal"/>
        <w:numPr>
          <w:ilvl w:val="1"/>
          <w:numId w:val="2"/>
        </w:numPr>
        <w:spacing w:lineRule="auto" w:line="276" w:before="120" w:after="120"/>
        <w:contextualSpacing/>
        <w:jc w:val="both"/>
        <w:rPr>
          <w:rFonts w:cs="Arial"/>
          <w:szCs w:val="20"/>
        </w:rPr>
      </w:pPr>
      <w:r>
        <w:rPr>
          <w:rFonts w:cs="Arial"/>
          <w:color w:val="000000" w:themeColor="text1"/>
          <w:szCs w:val="20"/>
        </w:rPr>
        <w:t xml:space="preserve">Caso atendidas as condições de participação, </w:t>
      </w:r>
      <w:r>
        <w:rPr>
          <w:rFonts w:cs="Arial"/>
          <w:szCs w:val="20"/>
        </w:rPr>
        <w:t>a habilitação dos fornecedores será verificada por meio do SICAF, nos documentos por ele abrangidos</w:t>
      </w:r>
      <w:r>
        <w:rPr>
          <w:rFonts w:cs="Arial"/>
          <w:color w:val="000000" w:themeColor="text1"/>
          <w:szCs w:val="20"/>
        </w:rPr>
        <w:t>.</w:t>
      </w:r>
    </w:p>
    <w:p>
      <w:pPr>
        <w:pStyle w:val="Normal"/>
        <w:numPr>
          <w:ilvl w:val="2"/>
          <w:numId w:val="2"/>
        </w:numPr>
        <w:spacing w:lineRule="auto" w:line="276" w:before="120" w:after="120"/>
        <w:contextualSpacing/>
        <w:jc w:val="both"/>
        <w:rPr>
          <w:rFonts w:cs="Arial"/>
          <w:color w:val="000000" w:themeColor="text1"/>
          <w:szCs w:val="20"/>
        </w:rPr>
      </w:pPr>
      <w:r>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pPr>
        <w:pStyle w:val="Normal"/>
        <w:numPr>
          <w:ilvl w:val="2"/>
          <w:numId w:val="2"/>
        </w:numPr>
        <w:spacing w:lineRule="auto" w:line="276" w:before="120" w:after="120"/>
        <w:contextualSpacing/>
        <w:jc w:val="both"/>
        <w:rPr>
          <w:rFonts w:cs="Arial"/>
          <w:color w:val="000000" w:themeColor="text1"/>
          <w:szCs w:val="20"/>
        </w:rPr>
      </w:pPr>
      <w:r>
        <w:rPr>
          <w:rFonts w:cs="Arial"/>
          <w:color w:val="000000" w:themeColor="text1"/>
          <w:szCs w:val="20"/>
        </w:rPr>
        <w:t>O descumprimento do subitem acima implicará a inabilitação do fornecedor, exceto se a consulta aos sítios eletrônicos oficiais emissores de certidões lograr êxito em encontrar a(s) certidão(ões) válida(s).</w:t>
      </w:r>
    </w:p>
    <w:p>
      <w:pPr>
        <w:pStyle w:val="Normal"/>
        <w:numPr>
          <w:ilvl w:val="1"/>
          <w:numId w:val="2"/>
        </w:numPr>
        <w:spacing w:lineRule="auto" w:line="276" w:before="120" w:after="120"/>
        <w:contextualSpacing/>
        <w:jc w:val="both"/>
        <w:rPr>
          <w:rFonts w:cs="Arial"/>
          <w:color w:val="000000" w:themeColor="text1"/>
          <w:szCs w:val="20"/>
        </w:rPr>
      </w:pPr>
      <w:r>
        <w:rPr>
          <w:rFonts w:cs="Arial"/>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cs="Arial"/>
          <w:color w:val="FF0000"/>
          <w:szCs w:val="20"/>
        </w:rPr>
        <w:t>........,</w:t>
      </w:r>
      <w:r>
        <w:rPr>
          <w:rFonts w:cs="Arial"/>
          <w:color w:val="000000" w:themeColor="text1"/>
          <w:szCs w:val="20"/>
        </w:rPr>
        <w:t xml:space="preserve"> sob pena de inabilitação. (</w:t>
      </w:r>
      <w:r>
        <w:fldChar w:fldCharType="begin"/>
      </w:r>
      <w:r>
        <w:rPr>
          <w:rStyle w:val="LinkdaInternet"/>
          <w:szCs w:val="20"/>
          <w:rFonts w:cs="Arial"/>
        </w:rPr>
        <w:instrText> HYPERLINK "https://www.in.gov.br/en/web/dou/-/instrucao-normativa-seges/me-n-67-de-8-de-julho-de-2021-330985107" \l "art19§3"</w:instrText>
      </w:r>
      <w:r>
        <w:rPr>
          <w:rStyle w:val="LinkdaInternet"/>
          <w:szCs w:val="20"/>
          <w:rFonts w:cs="Arial"/>
        </w:rPr>
        <w:fldChar w:fldCharType="separate"/>
      </w:r>
      <w:r>
        <w:rPr>
          <w:rStyle w:val="LinkdaInternet"/>
          <w:rFonts w:cs="Arial"/>
          <w:szCs w:val="20"/>
        </w:rPr>
        <w:t>art. 19, § 3º, da IN Seges/ME nº 67, de 2021</w:t>
      </w:r>
      <w:r>
        <w:rPr>
          <w:rStyle w:val="LinkdaInternet"/>
          <w:szCs w:val="20"/>
          <w:rFonts w:cs="Arial"/>
        </w:rPr>
        <w:fldChar w:fldCharType="end"/>
      </w:r>
      <w:r>
        <w:rPr>
          <w:rFonts w:cs="Arial"/>
          <w:color w:val="000000" w:themeColor="text1"/>
          <w:szCs w:val="20"/>
        </w:rPr>
        <w:t>).</w:t>
      </w:r>
    </w:p>
    <w:p>
      <w:pPr>
        <w:pStyle w:val="Normal"/>
        <w:numPr>
          <w:ilvl w:val="1"/>
          <w:numId w:val="2"/>
        </w:numPr>
        <w:spacing w:lineRule="auto" w:line="276" w:before="120" w:after="120"/>
        <w:contextualSpacing/>
        <w:jc w:val="both"/>
        <w:rPr>
          <w:rFonts w:cs="Arial"/>
          <w:b/>
          <w:b/>
          <w:bCs/>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pPr>
        <w:pStyle w:val="Normal"/>
        <w:numPr>
          <w:ilvl w:val="1"/>
          <w:numId w:val="2"/>
        </w:numPr>
        <w:spacing w:lineRule="auto" w:line="276" w:before="120" w:after="120"/>
        <w:contextualSpacing/>
        <w:jc w:val="both"/>
        <w:rPr>
          <w:rFonts w:cs="Arial"/>
          <w:color w:val="000000" w:themeColor="text1"/>
          <w:szCs w:val="20"/>
        </w:rPr>
      </w:pPr>
      <w:r>
        <w:rPr>
          <w:rFonts w:cs="Arial"/>
          <w:color w:val="000000" w:themeColor="text1"/>
          <w:szCs w:val="20"/>
        </w:rPr>
        <w:t>Não serão aceitos documentos de habilitação com indicação de CNPJ/CPF diferentes, salvo aqueles legalmente permitidos.</w:t>
      </w:r>
    </w:p>
    <w:p>
      <w:pPr>
        <w:pStyle w:val="Normal"/>
        <w:numPr>
          <w:ilvl w:val="1"/>
          <w:numId w:val="2"/>
        </w:numPr>
        <w:spacing w:lineRule="auto" w:line="276" w:before="120" w:after="120"/>
        <w:contextualSpacing/>
        <w:jc w:val="both"/>
        <w:rPr>
          <w:rFonts w:cs="Arial"/>
          <w:color w:val="000000" w:themeColor="text1"/>
          <w:szCs w:val="20"/>
        </w:rPr>
      </w:pPr>
      <w:r>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ormal"/>
        <w:numPr>
          <w:ilvl w:val="1"/>
          <w:numId w:val="2"/>
        </w:numPr>
        <w:spacing w:lineRule="auto" w:line="276" w:before="120" w:after="120"/>
        <w:contextualSpacing/>
        <w:jc w:val="both"/>
        <w:rPr>
          <w:rFonts w:cs="Arial"/>
          <w:color w:val="000000" w:themeColor="text1"/>
          <w:szCs w:val="20"/>
        </w:rPr>
      </w:pPr>
      <w:r>
        <w:rPr>
          <w:rFonts w:cs="Arial"/>
          <w:color w:val="000000" w:themeColor="text1"/>
          <w:szCs w:val="20"/>
        </w:rPr>
        <w:t>Serão aceitos registros de CNPJ de licitante matriz e filial com diferenças de números de documentos pertinentes ao CND e ao CRF/FGTS, quando for comprovada a centralização do recolhimento dessas contribuições.</w:t>
      </w:r>
    </w:p>
    <w:p>
      <w:pPr>
        <w:pStyle w:val="Normal"/>
        <w:spacing w:lineRule="auto" w:line="276" w:before="120" w:after="120"/>
        <w:ind w:left="1224" w:hanging="0"/>
        <w:contextualSpacing/>
        <w:jc w:val="both"/>
        <w:rPr>
          <w:rFonts w:cs="Arial"/>
          <w:i/>
          <w:i/>
          <w:color w:val="FF0000"/>
          <w:szCs w:val="20"/>
        </w:rPr>
      </w:pPr>
      <w:r>
        <w:rPr>
          <w:rFonts w:cs="Arial"/>
          <w:i/>
          <w:color w:val="FF0000"/>
          <w:szCs w:val="20"/>
        </w:rPr>
      </w:r>
    </w:p>
    <w:p>
      <w:pPr>
        <w:pStyle w:val="Normal"/>
        <w:numPr>
          <w:ilvl w:val="1"/>
          <w:numId w:val="2"/>
        </w:numPr>
        <w:spacing w:lineRule="auto" w:line="276" w:before="120" w:after="120"/>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pPr>
        <w:pStyle w:val="Normal"/>
        <w:numPr>
          <w:ilvl w:val="1"/>
          <w:numId w:val="2"/>
        </w:numPr>
        <w:spacing w:lineRule="auto" w:line="276" w:before="120" w:after="120"/>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pPr>
        <w:pStyle w:val="Normal"/>
        <w:numPr>
          <w:ilvl w:val="2"/>
          <w:numId w:val="2"/>
        </w:numPr>
        <w:spacing w:lineRule="auto" w:line="276" w:before="120" w:after="120"/>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numPr>
          <w:ilvl w:val="1"/>
          <w:numId w:val="2"/>
        </w:numPr>
        <w:spacing w:lineRule="auto" w:line="276" w:before="120" w:after="120"/>
        <w:contextualSpacing/>
        <w:jc w:val="both"/>
        <w:rPr>
          <w:szCs w:val="20"/>
        </w:rPr>
      </w:pPr>
      <w:r>
        <w:rPr>
          <w:rFonts w:cs="Arial"/>
          <w:iCs/>
        </w:rPr>
        <w:t>Constatado o atendimento às exigências de habilitação, o fornecedor será habilitado.</w:t>
      </w:r>
    </w:p>
    <w:p>
      <w:pPr>
        <w:pStyle w:val="Ttulo1"/>
        <w:numPr>
          <w:ilvl w:val="0"/>
          <w:numId w:val="2"/>
        </w:numPr>
        <w:rPr/>
      </w:pPr>
      <w:bookmarkStart w:id="8" w:name="_Toc118380905"/>
      <w:r>
        <w:rPr/>
        <w:t>CONTRATAÇÃO</w:t>
      </w:r>
      <w:bookmarkEnd w:id="8"/>
    </w:p>
    <w:p>
      <w:pPr>
        <w:pStyle w:val="Normal"/>
        <w:numPr>
          <w:ilvl w:val="1"/>
          <w:numId w:val="2"/>
        </w:numPr>
        <w:spacing w:lineRule="auto" w:line="276" w:before="120" w:after="120"/>
        <w:ind w:left="425" w:hanging="0"/>
        <w:jc w:val="both"/>
        <w:rPr>
          <w:rFonts w:eastAsia="Arial" w:cs="Arial"/>
          <w:color w:val="000000"/>
          <w:szCs w:val="20"/>
        </w:rPr>
      </w:pPr>
      <w:r>
        <w:rPr>
          <w:rFonts w:eastAsia="Arial" w:cs="Arial"/>
          <w:color w:val="000000"/>
          <w:szCs w:val="20"/>
        </w:rPr>
        <w:t>Após a homologação e adjudicação, caso se conclua pela contratação, será firmado Termo de Contrato ou emitido instrumento equivalente.</w:t>
      </w:r>
    </w:p>
    <w:p>
      <w:pPr>
        <w:pStyle w:val="Normal"/>
        <w:numPr>
          <w:ilvl w:val="1"/>
          <w:numId w:val="2"/>
        </w:numPr>
        <w:spacing w:lineRule="auto" w:line="276" w:before="120" w:after="120"/>
        <w:ind w:left="425" w:hanging="0"/>
        <w:jc w:val="both"/>
        <w:rPr>
          <w:rFonts w:eastAsia="Arial" w:cs="Arial"/>
          <w:color w:val="000000"/>
          <w:szCs w:val="20"/>
        </w:rPr>
      </w:pPr>
      <w:r>
        <w:rPr>
          <w:rFonts w:eastAsia="Arial" w:cs="Arial"/>
          <w:color w:val="000000"/>
          <w:szCs w:val="20"/>
        </w:rPr>
        <w:t xml:space="preserve">O adjudicatário terá o prazo de </w:t>
      </w:r>
      <w:r>
        <w:rPr>
          <w:rFonts w:eastAsia="Arial" w:cs="Arial"/>
          <w:color w:val="FF0000"/>
          <w:kern w:val="0"/>
          <w:sz w:val="20"/>
          <w:szCs w:val="20"/>
          <w:lang w:val="pt-BR" w:eastAsia="pt-BR" w:bidi="ar-SA"/>
        </w:rPr>
        <w:t>01</w:t>
      </w:r>
      <w:r>
        <w:rPr>
          <w:rFonts w:eastAsia="Arial" w:cs="Arial"/>
          <w:color w:val="FF0000"/>
          <w:szCs w:val="20"/>
        </w:rPr>
        <w:t xml:space="preserve"> (um)</w:t>
      </w:r>
      <w:r>
        <w:rPr>
          <w:rFonts w:eastAsia="Arial" w:cs="Arial"/>
          <w:i/>
          <w:color w:val="FF0000"/>
          <w:szCs w:val="20"/>
        </w:rPr>
        <w:t xml:space="preserve"> dia útil,</w:t>
      </w:r>
      <w:r>
        <w:rPr>
          <w:rFonts w:eastAsia="Arial" w:cs="Arial"/>
          <w:color w:val="000000"/>
          <w:szCs w:val="20"/>
        </w:rPr>
        <w:t xml:space="preserve"> contados a partir da data de sua convocação, para o recebimento e aceitação (</w:t>
      </w:r>
      <w:r>
        <w:rPr>
          <w:rFonts w:eastAsia="Arial" w:cs="Arial"/>
          <w:color w:val="auto"/>
          <w:szCs w:val="20"/>
        </w:rPr>
        <w:t>Not</w:t>
      </w:r>
      <w:r>
        <w:rPr>
          <w:rFonts w:eastAsia="Arial" w:cs="Arial"/>
          <w:i/>
          <w:color w:val="auto"/>
          <w:szCs w:val="20"/>
        </w:rPr>
        <w:t xml:space="preserve">a de Empenho), </w:t>
      </w:r>
      <w:r>
        <w:rPr>
          <w:rFonts w:eastAsia="Arial" w:cs="Arial"/>
          <w:color w:val="auto"/>
          <w:szCs w:val="20"/>
        </w:rPr>
        <w:t>s</w:t>
      </w:r>
      <w:r>
        <w:rPr>
          <w:rFonts w:eastAsia="Arial" w:cs="Arial"/>
          <w:color w:val="000000"/>
          <w:szCs w:val="20"/>
        </w:rPr>
        <w:t xml:space="preserve">ob pena de decair o direito à contratação, sem prejuízo das sanções previstas neste Aviso de Contratação Direta. </w:t>
      </w:r>
    </w:p>
    <w:p>
      <w:pPr>
        <w:pStyle w:val="Normal"/>
        <w:numPr>
          <w:ilvl w:val="2"/>
          <w:numId w:val="2"/>
        </w:numPr>
        <w:spacing w:lineRule="auto" w:line="276" w:before="120" w:after="120"/>
        <w:jc w:val="both"/>
        <w:rPr>
          <w:rFonts w:eastAsia="Arial" w:cs="Arial"/>
          <w:color w:val="000000"/>
          <w:szCs w:val="20"/>
        </w:rPr>
      </w:pPr>
      <w:r>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color w:val="000000"/>
        </w:rPr>
        <w:t>disponibilização de acesso à sistema de processo eletrônico para esse fim ou outro</w:t>
      </w:r>
      <w:r>
        <w:rPr>
          <w:rFonts w:eastAsia="Arial" w:cs="Arial"/>
          <w:color w:val="000000"/>
          <w:szCs w:val="20"/>
        </w:rPr>
        <w:t xml:space="preserve"> meio eletrônico, para que seja assinado e devolvido no prazo de </w:t>
      </w:r>
      <w:r>
        <w:rPr>
          <w:rFonts w:eastAsia="Arial" w:cs="Arial"/>
          <w:color w:val="FF0000"/>
          <w:kern w:val="0"/>
          <w:sz w:val="20"/>
          <w:szCs w:val="20"/>
          <w:lang w:val="pt-BR" w:eastAsia="pt-BR" w:bidi="ar-SA"/>
        </w:rPr>
        <w:t>01</w:t>
      </w:r>
      <w:r>
        <w:rPr>
          <w:rFonts w:eastAsia="Arial" w:cs="Arial"/>
          <w:color w:val="FF0000"/>
          <w:szCs w:val="20"/>
        </w:rPr>
        <w:t xml:space="preserve"> (um)</w:t>
      </w:r>
      <w:r>
        <w:rPr>
          <w:rFonts w:eastAsia="Arial" w:cs="Arial"/>
          <w:i/>
          <w:color w:val="FF0000"/>
          <w:szCs w:val="20"/>
        </w:rPr>
        <w:t xml:space="preserve"> dia útil,</w:t>
      </w:r>
      <w:r>
        <w:rPr>
          <w:rFonts w:eastAsia="Arial" w:cs="Arial"/>
          <w:color w:val="000000"/>
          <w:szCs w:val="20"/>
        </w:rPr>
        <w:t xml:space="preserve"> a contar da data de seu recebimento</w:t>
      </w:r>
      <w:r>
        <w:rPr>
          <w:rFonts w:eastAsia="Arial"/>
          <w:color w:val="000000"/>
        </w:rPr>
        <w:t xml:space="preserve"> ou da disponibilização do acesso ao sistema de processo eletrônico.</w:t>
      </w:r>
    </w:p>
    <w:p>
      <w:pPr>
        <w:pStyle w:val="Normal"/>
        <w:numPr>
          <w:ilvl w:val="2"/>
          <w:numId w:val="2"/>
        </w:numPr>
        <w:spacing w:lineRule="auto" w:line="276" w:before="120" w:after="120"/>
        <w:jc w:val="both"/>
        <w:rPr>
          <w:rFonts w:eastAsia="Arial" w:cs="Arial"/>
          <w:color w:val="000000"/>
          <w:szCs w:val="20"/>
        </w:rPr>
      </w:pPr>
      <w:r>
        <w:rPr>
          <w:rFonts w:eastAsia="Arial" w:cs="Arial"/>
          <w:color w:val="000000"/>
          <w:szCs w:val="20"/>
        </w:rPr>
        <w:t>O prazo previsto no subitem anterior poderá ser prorrogado, por igual período, por solicitação justificada do adjudicatário e aceita pela Administração.</w:t>
      </w:r>
    </w:p>
    <w:p>
      <w:pPr>
        <w:pStyle w:val="Normal"/>
        <w:numPr>
          <w:ilvl w:val="1"/>
          <w:numId w:val="2"/>
        </w:numPr>
        <w:spacing w:lineRule="auto" w:line="276" w:before="120" w:after="120"/>
        <w:ind w:left="425" w:hanging="0"/>
        <w:jc w:val="both"/>
        <w:rPr>
          <w:rFonts w:eastAsia="Arial" w:cs="Arial"/>
          <w:i/>
          <w:i/>
          <w:color w:val="FF0000"/>
          <w:szCs w:val="20"/>
        </w:rPr>
      </w:pPr>
      <w:r>
        <w:rPr>
          <w:rFonts w:eastAsia="Arial" w:cs="Arial"/>
          <w:i/>
          <w:color w:val="FF0000"/>
          <w:szCs w:val="20"/>
        </w:rPr>
        <w:t>O Aceite da Nota de Empenho ou do instrumento equivalente, emitida ao fornecedor adjudicado, implica o reconhecimento de que:</w:t>
      </w:r>
    </w:p>
    <w:p>
      <w:pPr>
        <w:pStyle w:val="Normal"/>
        <w:numPr>
          <w:ilvl w:val="2"/>
          <w:numId w:val="2"/>
        </w:numPr>
        <w:spacing w:lineRule="auto" w:line="276" w:before="120" w:after="120"/>
        <w:jc w:val="both"/>
        <w:rPr>
          <w:rFonts w:eastAsia="Arial" w:cs="Arial"/>
          <w:i/>
          <w:i/>
          <w:color w:val="FF0000"/>
          <w:szCs w:val="20"/>
        </w:rPr>
      </w:pPr>
      <w:r>
        <w:rPr>
          <w:rFonts w:eastAsia="Arial" w:cs="Arial"/>
          <w:i/>
          <w:color w:val="FF0000"/>
          <w:szCs w:val="20"/>
        </w:rPr>
        <w:t xml:space="preserve">referida Nota está substituindo o contrato, aplicando-se à relação de negócios ali estabelecida as disposições da </w:t>
      </w:r>
      <w:hyperlink r:id="rId13">
        <w:r>
          <w:rPr>
            <w:rStyle w:val="LinkdaInternet"/>
            <w:rFonts w:eastAsia="Arial" w:cs="Arial"/>
            <w:i/>
            <w:szCs w:val="20"/>
          </w:rPr>
          <w:t>Lei nº 14.133, de 2021</w:t>
        </w:r>
      </w:hyperlink>
      <w:r>
        <w:rPr>
          <w:rFonts w:eastAsia="Arial" w:cs="Arial"/>
          <w:i/>
          <w:color w:val="FF0000"/>
          <w:szCs w:val="20"/>
        </w:rPr>
        <w:t>;</w:t>
      </w:r>
    </w:p>
    <w:p>
      <w:pPr>
        <w:pStyle w:val="Normal"/>
        <w:numPr>
          <w:ilvl w:val="2"/>
          <w:numId w:val="2"/>
        </w:numPr>
        <w:spacing w:lineRule="auto" w:line="276" w:before="120" w:after="120"/>
        <w:jc w:val="both"/>
        <w:rPr>
          <w:rFonts w:eastAsia="Arial" w:cs="Arial"/>
          <w:i/>
          <w:i/>
          <w:color w:val="FF0000"/>
          <w:szCs w:val="20"/>
        </w:rPr>
      </w:pPr>
      <w:r>
        <w:rPr>
          <w:rFonts w:eastAsia="Arial" w:cs="Arial"/>
          <w:i/>
          <w:color w:val="FF0000"/>
          <w:szCs w:val="20"/>
        </w:rPr>
        <w:t>a contratada se vincula à sua proposta e às previsões contidas no Aviso de Contratação Direta e seus anexos;</w:t>
      </w:r>
    </w:p>
    <w:p>
      <w:pPr>
        <w:pStyle w:val="Normal"/>
        <w:numPr>
          <w:ilvl w:val="2"/>
          <w:numId w:val="2"/>
        </w:numPr>
        <w:spacing w:lineRule="auto" w:line="276" w:before="120" w:after="120"/>
        <w:jc w:val="both"/>
        <w:rPr>
          <w:rFonts w:eastAsia="Arial" w:cs="Arial"/>
          <w:i/>
          <w:i/>
          <w:color w:val="FF0000"/>
          <w:szCs w:val="20"/>
        </w:rPr>
      </w:pPr>
      <w:r>
        <w:rPr>
          <w:rFonts w:eastAsia="Arial" w:cs="Arial"/>
          <w:i/>
          <w:color w:val="FF0000"/>
          <w:szCs w:val="20"/>
        </w:rPr>
        <w:t xml:space="preserve">a contratada reconhece que as hipóteses de rescisão são aquelas previstas nos </w:t>
      </w:r>
      <w:r>
        <w:fldChar w:fldCharType="begin"/>
      </w:r>
      <w:r>
        <w:rPr>
          <w:rStyle w:val="LinkdaInternet"/>
          <w:i/>
          <w:szCs w:val="20"/>
          <w:rFonts w:eastAsia="Arial" w:cs="Arial"/>
        </w:rPr>
        <w:instrText> HYPERLINK "http://www.planalto.gov.br/ccivil_03/_ato2019-2022/2021/lei/L14133.htm" \l "art137"</w:instrText>
      </w:r>
      <w:r>
        <w:rPr>
          <w:rStyle w:val="LinkdaInternet"/>
          <w:i/>
          <w:szCs w:val="20"/>
          <w:rFonts w:eastAsia="Arial" w:cs="Arial"/>
        </w:rPr>
        <w:fldChar w:fldCharType="separate"/>
      </w:r>
      <w:r>
        <w:rPr>
          <w:rStyle w:val="LinkdaInternet"/>
          <w:rFonts w:eastAsia="Arial" w:cs="Arial"/>
          <w:i/>
          <w:szCs w:val="20"/>
        </w:rPr>
        <w:t>artigos 137 e 138 da Lei nº 14.133, de 2021</w:t>
      </w:r>
      <w:r>
        <w:rPr>
          <w:rStyle w:val="LinkdaInternet"/>
          <w:i/>
          <w:szCs w:val="20"/>
          <w:rFonts w:eastAsia="Arial" w:cs="Arial"/>
        </w:rPr>
        <w:fldChar w:fldCharType="end"/>
      </w:r>
      <w:r>
        <w:rPr>
          <w:rFonts w:eastAsia="Arial" w:cs="Arial"/>
          <w:i/>
          <w:color w:val="FF0000"/>
          <w:szCs w:val="20"/>
        </w:rPr>
        <w:t xml:space="preserve"> e reconhece os direitos da Administração previstos nos </w:t>
      </w:r>
      <w:r>
        <w:fldChar w:fldCharType="begin"/>
      </w:r>
      <w:r>
        <w:rPr>
          <w:rStyle w:val="LinkdaInternet"/>
          <w:i/>
          <w:szCs w:val="20"/>
          <w:rFonts w:eastAsia="Arial" w:cs="Arial"/>
        </w:rPr>
        <w:instrText> HYPERLINK "http://www.planalto.gov.br/ccivil_03/_ato2019-2022/2021/lei/L14133.htm" \l "art137"</w:instrText>
      </w:r>
      <w:r>
        <w:rPr>
          <w:rStyle w:val="LinkdaInternet"/>
          <w:i/>
          <w:szCs w:val="20"/>
          <w:rFonts w:eastAsia="Arial" w:cs="Arial"/>
        </w:rPr>
        <w:fldChar w:fldCharType="separate"/>
      </w:r>
      <w:r>
        <w:rPr>
          <w:rStyle w:val="LinkdaInternet"/>
          <w:rFonts w:eastAsia="Arial" w:cs="Arial"/>
          <w:i/>
          <w:szCs w:val="20"/>
        </w:rPr>
        <w:t>artigos 137 a 139 da mesma Lei</w:t>
      </w:r>
      <w:r>
        <w:rPr>
          <w:rStyle w:val="LinkdaInternet"/>
          <w:i/>
          <w:szCs w:val="20"/>
          <w:rFonts w:eastAsia="Arial" w:cs="Arial"/>
        </w:rPr>
        <w:fldChar w:fldCharType="end"/>
      </w:r>
      <w:r>
        <w:rPr>
          <w:rFonts w:eastAsia="Arial" w:cs="Arial"/>
          <w:i/>
          <w:color w:val="FF0000"/>
          <w:szCs w:val="20"/>
        </w:rPr>
        <w:t>.</w:t>
      </w:r>
    </w:p>
    <w:p>
      <w:pPr>
        <w:pStyle w:val="Normal"/>
        <w:numPr>
          <w:ilvl w:val="1"/>
          <w:numId w:val="2"/>
        </w:numPr>
        <w:spacing w:lineRule="auto" w:line="276" w:before="120" w:after="120"/>
        <w:ind w:left="425" w:hanging="0"/>
        <w:jc w:val="both"/>
        <w:rPr>
          <w:rFonts w:eastAsia="Arial" w:cs="Arial"/>
          <w:color w:val="000000"/>
          <w:szCs w:val="20"/>
        </w:rPr>
      </w:pPr>
      <w:r>
        <w:rPr>
          <w:rFonts w:eastAsia="Arial" w:cs="Arial"/>
          <w:color w:val="000000"/>
          <w:szCs w:val="20"/>
        </w:rPr>
        <w:t xml:space="preserve">O prazo de vigência da contratação é o estabelecido no Documento de Formalização da Demanda. </w:t>
      </w:r>
    </w:p>
    <w:p>
      <w:pPr>
        <w:pStyle w:val="Normal"/>
        <w:numPr>
          <w:ilvl w:val="1"/>
          <w:numId w:val="2"/>
        </w:numPr>
        <w:spacing w:lineRule="auto" w:line="276" w:before="120" w:after="120"/>
        <w:ind w:left="425" w:hanging="0"/>
        <w:jc w:val="both"/>
        <w:rPr>
          <w:rFonts w:eastAsia="Arial" w:cs="Arial"/>
          <w:color w:val="000000"/>
          <w:szCs w:val="20"/>
        </w:rPr>
      </w:pPr>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pPr>
        <w:pStyle w:val="Ttulo1"/>
        <w:numPr>
          <w:ilvl w:val="0"/>
          <w:numId w:val="2"/>
        </w:numPr>
        <w:rPr/>
      </w:pPr>
      <w:bookmarkStart w:id="9" w:name="_Toc118380906"/>
      <w:r>
        <w:rPr/>
        <w:t>INFRAÇÕES E SANÇÕES ADMINISTRATIVAS</w:t>
      </w:r>
      <w:bookmarkEnd w:id="9"/>
    </w:p>
    <w:p>
      <w:pPr>
        <w:pStyle w:val="Normal"/>
        <w:numPr>
          <w:ilvl w:val="1"/>
          <w:numId w:val="2"/>
        </w:numPr>
        <w:spacing w:lineRule="auto" w:line="276" w:before="120" w:after="120"/>
        <w:ind w:left="425" w:hanging="0"/>
        <w:jc w:val="both"/>
        <w:rPr>
          <w:rFonts w:cs="Arial"/>
          <w:b/>
          <w:b/>
        </w:rPr>
      </w:pPr>
      <w:r>
        <w:rPr>
          <w:rFonts w:cs="Arial"/>
        </w:rPr>
        <w:t xml:space="preserve">Comete infração administrativa o fornecedor que praticar quaisquer das hipóteses previstas no </w:t>
      </w:r>
      <w:r>
        <w:fldChar w:fldCharType="begin"/>
      </w:r>
      <w:r>
        <w:rPr>
          <w:rStyle w:val="LinkdaInternet"/>
          <w:rFonts w:cs="Arial"/>
        </w:rPr>
        <w:instrText> HYPERLINK "http://www.planalto.gov.br/ccivil_03/_ato2019-2022/2021/lei/L14133.htm" \l "art155"</w:instrText>
      </w:r>
      <w:r>
        <w:rPr>
          <w:rStyle w:val="LinkdaInternet"/>
          <w:rFonts w:cs="Arial"/>
        </w:rPr>
        <w:fldChar w:fldCharType="separate"/>
      </w:r>
      <w:r>
        <w:rPr>
          <w:rStyle w:val="LinkdaInternet"/>
          <w:rFonts w:cs="Arial"/>
        </w:rPr>
        <w:t>art. 155 da Lei nº 14.133, de 2021</w:t>
      </w:r>
      <w:r>
        <w:rPr>
          <w:rStyle w:val="LinkdaInternet"/>
          <w:rFonts w:cs="Arial"/>
        </w:rPr>
        <w:fldChar w:fldCharType="end"/>
      </w:r>
      <w:r>
        <w:rPr>
          <w:rFonts w:cs="Arial"/>
        </w:rPr>
        <w:t xml:space="preserve">, quais sejam: </w:t>
      </w:r>
    </w:p>
    <w:p>
      <w:pPr>
        <w:pStyle w:val="Normal"/>
        <w:numPr>
          <w:ilvl w:val="2"/>
          <w:numId w:val="2"/>
        </w:numPr>
        <w:spacing w:lineRule="auto" w:line="276" w:before="120" w:after="120"/>
        <w:jc w:val="both"/>
        <w:rPr>
          <w:rFonts w:cs="Arial"/>
        </w:rPr>
      </w:pPr>
      <w:r>
        <w:rPr>
          <w:rFonts w:cs="Arial"/>
          <w:color w:val="000000"/>
          <w:szCs w:val="20"/>
        </w:rPr>
        <w:t>dar causa à inexecução parcial do contrato</w:t>
      </w:r>
      <w:r>
        <w:rPr>
          <w:rFonts w:cs="Arial"/>
        </w:rPr>
        <w:t>;</w:t>
      </w:r>
    </w:p>
    <w:p>
      <w:pPr>
        <w:pStyle w:val="Normal"/>
        <w:numPr>
          <w:ilvl w:val="2"/>
          <w:numId w:val="2"/>
        </w:numPr>
        <w:spacing w:lineRule="auto" w:line="276" w:before="120" w:after="120"/>
        <w:jc w:val="both"/>
        <w:rPr>
          <w:rFonts w:cs="Arial"/>
        </w:rPr>
      </w:pPr>
      <w:r>
        <w:rPr>
          <w:rFonts w:cs="Arial"/>
          <w:color w:val="000000"/>
          <w:szCs w:val="20"/>
        </w:rPr>
        <w:t>dar causa à inexecução parcial do contrato que cause grave dano à Administração, ao funcionamento dos serviços públicos ou ao interesse coletivo;</w:t>
      </w:r>
    </w:p>
    <w:p>
      <w:pPr>
        <w:pStyle w:val="Normal"/>
        <w:numPr>
          <w:ilvl w:val="2"/>
          <w:numId w:val="2"/>
        </w:numPr>
        <w:spacing w:lineRule="auto" w:line="276" w:before="120" w:after="120"/>
        <w:jc w:val="both"/>
        <w:rPr>
          <w:rFonts w:cs="Arial"/>
        </w:rPr>
      </w:pPr>
      <w:r>
        <w:rPr>
          <w:rFonts w:cs="Arial"/>
          <w:color w:val="000000"/>
          <w:szCs w:val="20"/>
        </w:rPr>
        <w:t>dar causa à inexecução total do contrato;</w:t>
      </w:r>
    </w:p>
    <w:p>
      <w:pPr>
        <w:pStyle w:val="Normal"/>
        <w:numPr>
          <w:ilvl w:val="2"/>
          <w:numId w:val="2"/>
        </w:numPr>
        <w:spacing w:lineRule="auto" w:line="276" w:before="120" w:after="120"/>
        <w:jc w:val="both"/>
        <w:rPr>
          <w:rFonts w:cs="Arial"/>
        </w:rPr>
      </w:pPr>
      <w:r>
        <w:rPr>
          <w:rFonts w:cs="Arial"/>
          <w:color w:val="000000"/>
          <w:szCs w:val="20"/>
        </w:rPr>
        <w:t>deixar de entregar a documentação exigida para o certame;</w:t>
      </w:r>
    </w:p>
    <w:p>
      <w:pPr>
        <w:pStyle w:val="Normal"/>
        <w:numPr>
          <w:ilvl w:val="2"/>
          <w:numId w:val="2"/>
        </w:numPr>
        <w:spacing w:lineRule="auto" w:line="276" w:before="120" w:after="120"/>
        <w:jc w:val="both"/>
        <w:rPr>
          <w:rFonts w:cs="Arial"/>
        </w:rPr>
      </w:pPr>
      <w:r>
        <w:rPr>
          <w:rFonts w:cs="Arial"/>
          <w:color w:val="000000"/>
          <w:szCs w:val="20"/>
        </w:rPr>
        <w:t>não manter a proposta, salvo em decorrência de fato superveniente devidamente justificado;</w:t>
      </w:r>
    </w:p>
    <w:p>
      <w:pPr>
        <w:pStyle w:val="Normal"/>
        <w:numPr>
          <w:ilvl w:val="2"/>
          <w:numId w:val="2"/>
        </w:numPr>
        <w:spacing w:lineRule="auto" w:line="276" w:before="120" w:after="120"/>
        <w:jc w:val="both"/>
        <w:rPr>
          <w:rFonts w:cs="Arial"/>
        </w:rPr>
      </w:pPr>
      <w:r>
        <w:rPr>
          <w:rFonts w:cs="Arial"/>
          <w:color w:val="000000"/>
          <w:szCs w:val="20"/>
        </w:rPr>
        <w:t>não celebrar o contrato ou não entregar a documentação exigida para a contratação, quando convocado dentro do prazo de validade de sua proposta;</w:t>
      </w:r>
    </w:p>
    <w:p>
      <w:pPr>
        <w:pStyle w:val="Normal"/>
        <w:numPr>
          <w:ilvl w:val="2"/>
          <w:numId w:val="2"/>
        </w:numPr>
        <w:spacing w:lineRule="auto" w:line="276" w:before="120" w:after="120"/>
        <w:jc w:val="both"/>
        <w:rPr>
          <w:rFonts w:cs="Arial"/>
        </w:rPr>
      </w:pPr>
      <w:r>
        <w:rPr>
          <w:rFonts w:cs="Arial"/>
          <w:color w:val="000000"/>
          <w:szCs w:val="20"/>
        </w:rPr>
        <w:t> </w:t>
      </w:r>
      <w:r>
        <w:rPr>
          <w:rFonts w:cs="Arial"/>
          <w:color w:val="000000"/>
          <w:szCs w:val="20"/>
        </w:rPr>
        <w:t>ensejar o retardamento da execução ou da entrega do objeto da licitação sem motivo justificado;</w:t>
      </w:r>
    </w:p>
    <w:p>
      <w:pPr>
        <w:pStyle w:val="Normal"/>
        <w:numPr>
          <w:ilvl w:val="2"/>
          <w:numId w:val="2"/>
        </w:numPr>
        <w:spacing w:lineRule="auto" w:line="276" w:before="120" w:after="120"/>
        <w:jc w:val="both"/>
        <w:rPr>
          <w:rFonts w:cs="Arial"/>
        </w:rPr>
      </w:pPr>
      <w:r>
        <w:rPr>
          <w:rFonts w:cs="Arial"/>
          <w:color w:val="000000"/>
          <w:szCs w:val="20"/>
        </w:rPr>
        <w:t>apresentar declaração ou documentação falsa exigida para o certame ou prestar declaração falsa durante a dispensa eletrônica ou a execução do contrato;</w:t>
      </w:r>
    </w:p>
    <w:p>
      <w:pPr>
        <w:pStyle w:val="Normal"/>
        <w:numPr>
          <w:ilvl w:val="2"/>
          <w:numId w:val="2"/>
        </w:numPr>
        <w:spacing w:lineRule="auto" w:line="276" w:before="120" w:after="120"/>
        <w:jc w:val="both"/>
        <w:rPr>
          <w:rFonts w:cs="Arial"/>
        </w:rPr>
      </w:pPr>
      <w:r>
        <w:rPr>
          <w:rFonts w:cs="Arial"/>
          <w:color w:val="000000"/>
          <w:szCs w:val="20"/>
        </w:rPr>
        <w:t>fraudar a dispensa eletrônica ou praticar ato fraudulento na execução do contrato;</w:t>
      </w:r>
    </w:p>
    <w:p>
      <w:pPr>
        <w:pStyle w:val="Normal"/>
        <w:numPr>
          <w:ilvl w:val="2"/>
          <w:numId w:val="2"/>
        </w:numPr>
        <w:spacing w:lineRule="auto" w:line="276" w:before="120" w:after="120"/>
        <w:jc w:val="both"/>
        <w:rPr>
          <w:rFonts w:cs="Arial"/>
        </w:rPr>
      </w:pPr>
      <w:r>
        <w:rPr>
          <w:rFonts w:cs="Arial"/>
          <w:color w:val="000000"/>
          <w:szCs w:val="20"/>
        </w:rPr>
        <w:t> </w:t>
      </w:r>
      <w:r>
        <w:rPr>
          <w:rFonts w:cs="Arial"/>
          <w:color w:val="000000"/>
          <w:szCs w:val="20"/>
        </w:rPr>
        <w:t>comportar-se de modo inidôneo ou cometer fraude de qualquer natureza;</w:t>
      </w:r>
    </w:p>
    <w:p>
      <w:pPr>
        <w:pStyle w:val="ListParagraph"/>
        <w:numPr>
          <w:ilvl w:val="3"/>
          <w:numId w:val="2"/>
        </w:numPr>
        <w:spacing w:lineRule="auto" w:line="276" w:before="120" w:after="120"/>
        <w:contextualSpacing/>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2"/>
        </w:numPr>
        <w:spacing w:lineRule="auto" w:line="276" w:before="120" w:after="120"/>
        <w:jc w:val="both"/>
        <w:rPr>
          <w:rFonts w:cs="Arial"/>
        </w:rPr>
      </w:pPr>
      <w:r>
        <w:rPr>
          <w:rFonts w:cs="Arial"/>
          <w:color w:val="000000"/>
          <w:szCs w:val="20"/>
        </w:rPr>
        <w:t> </w:t>
      </w:r>
      <w:r>
        <w:rPr>
          <w:rFonts w:cs="Arial"/>
          <w:color w:val="000000"/>
          <w:szCs w:val="20"/>
        </w:rPr>
        <w:t>praticar atos ilícitos com vistas a frustrar os objetivos deste certame.</w:t>
      </w:r>
    </w:p>
    <w:p>
      <w:pPr>
        <w:pStyle w:val="Normal"/>
        <w:numPr>
          <w:ilvl w:val="2"/>
          <w:numId w:val="2"/>
        </w:numPr>
        <w:spacing w:lineRule="auto" w:line="276" w:before="120" w:after="120"/>
        <w:jc w:val="both"/>
        <w:rPr>
          <w:rStyle w:val="LinkdaInternet"/>
          <w:rFonts w:cs="Arial"/>
          <w:szCs w:val="20"/>
        </w:rPr>
      </w:pPr>
      <w:r>
        <w:rPr>
          <w:rFonts w:cs="Arial"/>
          <w:color w:val="000000"/>
          <w:szCs w:val="20"/>
        </w:rPr>
        <w:t>praticar ato lesivo previsto no </w:t>
      </w:r>
      <w:r>
        <w:fldChar w:fldCharType="begin"/>
      </w:r>
      <w:r>
        <w:rPr>
          <w:rStyle w:val="LinkdaInternet"/>
        </w:rPr>
        <w:instrText> HYPERLINK "http://www.planalto.gov.br/ccivil_03/_ato2019-2022/2021/lei/L14133.htm" \l "art5"</w:instrText>
      </w:r>
      <w:r>
        <w:rPr>
          <w:rStyle w:val="LinkdaInternet"/>
        </w:rPr>
        <w:fldChar w:fldCharType="separate"/>
      </w:r>
      <w:r>
        <w:rPr>
          <w:rStyle w:val="LinkdaInternet"/>
        </w:rPr>
        <w:t>art. 5º da Lei nº 12.846, de 1º de agosto de 2013.</w:t>
      </w:r>
      <w:r>
        <w:rPr>
          <w:rStyle w:val="LinkdaInternet"/>
        </w:rPr>
        <w:fldChar w:fldCharType="end"/>
      </w:r>
    </w:p>
    <w:p>
      <w:pPr>
        <w:pStyle w:val="Normal"/>
        <w:numPr>
          <w:ilvl w:val="1"/>
          <w:numId w:val="2"/>
        </w:numPr>
        <w:spacing w:lineRule="auto" w:line="276" w:before="120" w:after="120"/>
        <w:ind w:left="425" w:hanging="0"/>
        <w:jc w:val="both"/>
        <w:rPr>
          <w:rFonts w:cs="Arial"/>
          <w:b/>
          <w:b/>
        </w:rPr>
      </w:pPr>
      <w:r>
        <w:fldChar w:fldCharType="begin"/>
      </w:r>
      <w:r>
        <w:rPr>
          <w:rFonts w:cs="Arial"/>
        </w:rPr>
        <w:instrText> HYPERLINK "http://www.planalto.gov.br/ccivil_03/_ato2019-2022/2021/lei/L14133.htm" \l "art5"</w:instrText>
      </w:r>
      <w:r>
        <w:rPr>
          <w:rFonts w:cs="Arial"/>
        </w:rPr>
        <w:fldChar w:fldCharType="separate"/>
      </w:r>
      <w:r>
        <w:rPr>
          <w:rFonts w:cs="Arial"/>
        </w:rPr>
        <w:t>O fornecedor que cometer qualquer das infrações discriminadas nos subitens anteriores ficará sujeito, sem prejuízo da responsabilidade civil e criminal, às seguintes sanções:</w:t>
      </w:r>
      <w:r>
        <w:rPr>
          <w:rFonts w:cs="Arial"/>
        </w:rPr>
        <w:fldChar w:fldCharType="end"/>
      </w:r>
    </w:p>
    <w:p>
      <w:pPr>
        <w:pStyle w:val="Normal"/>
        <w:numPr>
          <w:ilvl w:val="2"/>
          <w:numId w:val="5"/>
        </w:numPr>
        <w:spacing w:lineRule="auto" w:line="276" w:before="120" w:after="120"/>
        <w:jc w:val="both"/>
        <w:rPr>
          <w:rFonts w:cs="Arial"/>
        </w:rPr>
      </w:pPr>
      <w:r>
        <w:rPr>
          <w:rFonts w:cs="Arial"/>
        </w:rPr>
        <w:t>Advertência pela falta do subitem 8.1.1 deste Aviso de Contratação Direta,</w:t>
      </w:r>
      <w:r>
        <w:rPr/>
        <w:t xml:space="preserve"> </w:t>
      </w:r>
      <w:r>
        <w:rPr>
          <w:rFonts w:cs="Arial"/>
        </w:rPr>
        <w:t>quando não se justificar a imposição de penalidade mais grave;</w:t>
      </w:r>
    </w:p>
    <w:p>
      <w:pPr>
        <w:pStyle w:val="Normal"/>
        <w:numPr>
          <w:ilvl w:val="2"/>
          <w:numId w:val="5"/>
        </w:numPr>
        <w:spacing w:lineRule="auto" w:line="276" w:before="120" w:after="120"/>
        <w:jc w:val="both"/>
        <w:rPr>
          <w:rFonts w:cs="Arial"/>
        </w:rPr>
      </w:pPr>
      <w:r>
        <w:rPr>
          <w:rFonts w:cs="Arial"/>
        </w:rPr>
        <w:t xml:space="preserve">Multa de 10 </w:t>
      </w:r>
      <w:r>
        <w:rPr>
          <w:rFonts w:cs="Arial"/>
          <w:color w:val="FF0000"/>
        </w:rPr>
        <w:t xml:space="preserve">% (dez por cento) </w:t>
      </w:r>
      <w:r>
        <w:rPr>
          <w:rFonts w:cs="Arial"/>
        </w:rPr>
        <w:t>sobre o valor estimado do(s) item(s) prejudicado(s) pela conduta do fornecedor, por qualquer das infrações dos subitens 8.1.1 a 8.1.12;</w:t>
      </w:r>
    </w:p>
    <w:p>
      <w:pPr>
        <w:pStyle w:val="Normal"/>
        <w:numPr>
          <w:ilvl w:val="2"/>
          <w:numId w:val="5"/>
        </w:numPr>
        <w:spacing w:lineRule="auto" w:line="276" w:before="120" w:after="120"/>
        <w:jc w:val="both"/>
        <w:rPr>
          <w:rFonts w:cs="Arial"/>
        </w:rPr>
      </w:pPr>
      <w:r>
        <w:rPr>
          <w:rFonts w:cs="Arial"/>
          <w:color w:val="000000"/>
          <w:szCs w:val="20"/>
        </w:rPr>
        <w:t>Impedimento de licitar e contratar</w:t>
      </w:r>
      <w:r>
        <w:rPr>
          <w:rFonts w:cs="Arial"/>
        </w:rPr>
        <w:t xml:space="preserve"> </w:t>
      </w:r>
      <w:r>
        <w:rPr>
          <w:rFonts w:cs="Arial"/>
          <w:color w:val="000000"/>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rPr>
        <w:t>;</w:t>
      </w:r>
    </w:p>
    <w:p>
      <w:pPr>
        <w:pStyle w:val="Normal"/>
        <w:numPr>
          <w:ilvl w:val="2"/>
          <w:numId w:val="5"/>
        </w:numPr>
        <w:spacing w:lineRule="auto" w:line="276" w:before="120" w:after="120"/>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rPr>
        <w:t>;</w:t>
      </w:r>
    </w:p>
    <w:p>
      <w:pPr>
        <w:pStyle w:val="Normal"/>
        <w:numPr>
          <w:ilvl w:val="1"/>
          <w:numId w:val="2"/>
        </w:numPr>
        <w:spacing w:lineRule="auto" w:line="276" w:before="120" w:after="120"/>
        <w:ind w:left="425" w:hanging="0"/>
        <w:jc w:val="both"/>
        <w:rPr>
          <w:rFonts w:cs="Arial"/>
          <w:bCs/>
        </w:rPr>
      </w:pPr>
      <w:r>
        <w:rPr>
          <w:rFonts w:cs="Arial"/>
          <w:bCs/>
        </w:rPr>
        <w:t>A aplicação das sanções previstas neste Contrato não exclui, em hipótese alguma, a obrigação de reparação integral do dano causado à Contratante (</w:t>
      </w:r>
      <w:r>
        <w:fldChar w:fldCharType="begin"/>
      </w:r>
      <w:r>
        <w:rPr>
          <w:rStyle w:val="LinkdaInternet"/>
          <w:bCs/>
          <w:rFonts w:cs="Arial"/>
        </w:rPr>
        <w:instrText> HYPERLINK "http://www.planalto.gov.br/ccivil_03/_ato2019-2022/2021/lei/L14133.htm" \l "art156§9"</w:instrText>
      </w:r>
      <w:r>
        <w:rPr>
          <w:rStyle w:val="LinkdaInternet"/>
          <w:bCs/>
          <w:rFonts w:cs="Arial"/>
        </w:rPr>
        <w:fldChar w:fldCharType="separate"/>
      </w:r>
      <w:r>
        <w:rPr>
          <w:rStyle w:val="LinkdaInternet"/>
          <w:rFonts w:cs="Arial"/>
          <w:bCs/>
        </w:rPr>
        <w:t>art. 156, §9º</w:t>
      </w:r>
      <w:r>
        <w:rPr>
          <w:rStyle w:val="LinkdaInternet"/>
          <w:bCs/>
          <w:rFonts w:cs="Arial"/>
        </w:rPr>
        <w:fldChar w:fldCharType="end"/>
      </w:r>
      <w:r>
        <w:rPr>
          <w:rFonts w:cs="Arial"/>
          <w:bCs/>
        </w:rPr>
        <w:t>)</w:t>
      </w:r>
    </w:p>
    <w:p>
      <w:pPr>
        <w:pStyle w:val="Normal"/>
        <w:numPr>
          <w:ilvl w:val="1"/>
          <w:numId w:val="2"/>
        </w:numPr>
        <w:spacing w:lineRule="auto" w:line="276" w:before="120" w:after="120"/>
        <w:ind w:left="425" w:hanging="0"/>
        <w:jc w:val="both"/>
        <w:rPr>
          <w:rFonts w:cs="Arial"/>
          <w:bCs/>
        </w:rPr>
      </w:pPr>
      <w:r>
        <w:rPr>
          <w:rFonts w:cs="Arial"/>
          <w:bCs/>
        </w:rPr>
        <w:t xml:space="preserve">Todas as sanções previstas neste Aviso poderão ser aplicadas cumulativamente com a multa </w:t>
      </w:r>
      <w:r>
        <w:fldChar w:fldCharType="begin"/>
      </w:r>
      <w:r>
        <w:rPr>
          <w:rStyle w:val="LinkdaInternet"/>
          <w:bCs/>
          <w:rFonts w:cs="Arial"/>
        </w:rPr>
        <w:instrText> HYPERLINK "http://www.planalto.gov.br/ccivil_03/_ato2019-2022/2021/lei/L14133.htm" \l "art156§7"</w:instrText>
      </w:r>
      <w:r>
        <w:rPr>
          <w:rStyle w:val="LinkdaInternet"/>
          <w:bCs/>
          <w:rFonts w:cs="Arial"/>
        </w:rPr>
        <w:fldChar w:fldCharType="separate"/>
      </w:r>
      <w:r>
        <w:rPr>
          <w:rStyle w:val="LinkdaInternet"/>
          <w:rFonts w:cs="Arial"/>
          <w:bCs/>
        </w:rPr>
        <w:t>(art. 156, §7º</w:t>
      </w:r>
      <w:r>
        <w:rPr>
          <w:rStyle w:val="LinkdaInternet"/>
          <w:bCs/>
          <w:rFonts w:cs="Arial"/>
        </w:rPr>
        <w:fldChar w:fldCharType="end"/>
      </w:r>
      <w:r>
        <w:rPr>
          <w:rFonts w:cs="Arial"/>
          <w:bCs/>
        </w:rPr>
        <w:t>).</w:t>
      </w:r>
    </w:p>
    <w:p>
      <w:pPr>
        <w:pStyle w:val="Normal"/>
        <w:numPr>
          <w:ilvl w:val="1"/>
          <w:numId w:val="2"/>
        </w:numPr>
        <w:spacing w:lineRule="auto" w:line="276" w:before="120" w:after="120"/>
        <w:ind w:left="425" w:hanging="0"/>
        <w:jc w:val="both"/>
        <w:rPr>
          <w:rFonts w:cs="Arial"/>
          <w:bCs/>
        </w:rPr>
      </w:pPr>
      <w:r>
        <w:rPr>
          <w:rFonts w:cs="Arial"/>
          <w:bCs/>
        </w:rPr>
        <w:t>Antes da aplicação da multa, será facultada a defesa do interessado no prazo de 15 (quinze) dias úteis, contado da data de sua intimação (</w:t>
      </w:r>
      <w:r>
        <w:fldChar w:fldCharType="begin"/>
      </w:r>
      <w:r>
        <w:rPr>
          <w:rStyle w:val="LinkdaInternet"/>
          <w:bCs/>
          <w:rFonts w:cs="Arial"/>
        </w:rPr>
        <w:instrText> HYPERLINK "http://www.planalto.gov.br/ccivil_03/_ato2019-2022/2021/lei/L14133.htm" \l "art157"</w:instrText>
      </w:r>
      <w:r>
        <w:rPr>
          <w:rStyle w:val="LinkdaInternet"/>
          <w:bCs/>
          <w:rFonts w:cs="Arial"/>
        </w:rPr>
        <w:fldChar w:fldCharType="separate"/>
      </w:r>
      <w:r>
        <w:rPr>
          <w:rStyle w:val="LinkdaInternet"/>
          <w:rFonts w:cs="Arial"/>
          <w:bCs/>
        </w:rPr>
        <w:t>art. 157</w:t>
      </w:r>
      <w:r>
        <w:rPr>
          <w:rStyle w:val="LinkdaInternet"/>
          <w:bCs/>
          <w:rFonts w:cs="Arial"/>
        </w:rPr>
        <w:fldChar w:fldCharType="end"/>
      </w:r>
      <w:r>
        <w:rPr>
          <w:rFonts w:cs="Arial"/>
          <w:bCs/>
        </w:rPr>
        <w:t>)</w:t>
      </w:r>
    </w:p>
    <w:p>
      <w:pPr>
        <w:pStyle w:val="Normal"/>
        <w:numPr>
          <w:ilvl w:val="1"/>
          <w:numId w:val="2"/>
        </w:numPr>
        <w:spacing w:lineRule="auto" w:line="276" w:before="120" w:after="120"/>
        <w:ind w:left="425" w:hanging="0"/>
        <w:jc w:val="both"/>
        <w:rPr>
          <w:rFonts w:cs="Arial"/>
          <w:bCs/>
        </w:rPr>
      </w:pPr>
      <w:r>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r>
        <w:fldChar w:fldCharType="begin"/>
      </w:r>
      <w:r>
        <w:rPr>
          <w:rStyle w:val="LinkdaInternet"/>
          <w:bCs/>
          <w:rFonts w:cs="Arial"/>
        </w:rPr>
        <w:instrText> HYPERLINK "http://www.planalto.gov.br/ccivil_03/_ato2019-2022/2021/lei/L14133.htm" \l "art156§8"</w:instrText>
      </w:r>
      <w:r>
        <w:rPr>
          <w:rStyle w:val="LinkdaInternet"/>
          <w:bCs/>
          <w:rFonts w:cs="Arial"/>
        </w:rPr>
        <w:fldChar w:fldCharType="separate"/>
      </w:r>
      <w:r>
        <w:rPr>
          <w:rStyle w:val="LinkdaInternet"/>
          <w:rFonts w:cs="Arial"/>
          <w:bCs/>
        </w:rPr>
        <w:t>art. 156, §8º</w:t>
      </w:r>
      <w:r>
        <w:rPr>
          <w:rStyle w:val="LinkdaInternet"/>
          <w:bCs/>
          <w:rFonts w:cs="Arial"/>
        </w:rPr>
        <w:fldChar w:fldCharType="end"/>
      </w:r>
      <w:r>
        <w:rPr>
          <w:rFonts w:cs="Arial"/>
          <w:bCs/>
        </w:rPr>
        <w:t>).</w:t>
      </w:r>
    </w:p>
    <w:p>
      <w:pPr>
        <w:pStyle w:val="Normal"/>
        <w:numPr>
          <w:ilvl w:val="1"/>
          <w:numId w:val="2"/>
        </w:numPr>
        <w:spacing w:lineRule="auto" w:line="276" w:before="120" w:after="120"/>
        <w:ind w:left="425" w:hanging="0"/>
        <w:jc w:val="both"/>
        <w:rPr>
          <w:rFonts w:cs="Arial"/>
          <w:bCs/>
        </w:rPr>
      </w:pPr>
      <w:r>
        <w:rPr>
          <w:rFonts w:cs="Arial"/>
          <w:bCs/>
        </w:rPr>
        <w:t>Previamente ao encaminhamento à cobrança judicial, a multa poderá ser recolhida administrativamente no prazo máximo de _____</w:t>
      </w:r>
      <w:r>
        <w:rPr>
          <w:rFonts w:cs="Arial"/>
          <w:bCs/>
          <w:i/>
          <w:iCs/>
        </w:rPr>
        <w:t xml:space="preserve"> </w:t>
      </w:r>
      <w:r>
        <w:rPr>
          <w:rFonts w:cs="Arial"/>
          <w:bCs/>
        </w:rPr>
        <w:t>dias, a contar da data do recebimento da comunicação enviada pela autoridade competente.</w:t>
      </w:r>
      <w:bookmarkStart w:id="10" w:name="_Hlk78351618"/>
      <w:bookmarkEnd w:id="10"/>
    </w:p>
    <w:p>
      <w:pPr>
        <w:pStyle w:val="Normal"/>
        <w:numPr>
          <w:ilvl w:val="1"/>
          <w:numId w:val="2"/>
        </w:numPr>
        <w:spacing w:lineRule="auto" w:line="276" w:before="120" w:after="120"/>
        <w:ind w:left="425" w:hanging="0"/>
        <w:jc w:val="both"/>
        <w:rPr>
          <w:rFonts w:cs="Arial"/>
          <w:bCs/>
        </w:rPr>
      </w:pPr>
      <w:r>
        <w:rPr>
          <w:rFonts w:cs="Arial"/>
          <w:bCs/>
        </w:rPr>
        <w:t xml:space="preserve">A aplicação das sanções realizar-se-á em processo administrativo que assegure o contraditório e a ampla defesa ao Contratado, observando-se o procedimento previsto no </w:t>
      </w:r>
      <w:r>
        <w:rPr>
          <w:rFonts w:cs="Arial"/>
          <w:b/>
          <w:bCs/>
        </w:rPr>
        <w:t xml:space="preserve">caput </w:t>
      </w:r>
      <w:r>
        <w:rPr>
          <w:rFonts w:cs="Arial"/>
          <w:bCs/>
        </w:rPr>
        <w:t xml:space="preserve">e parágrafos do </w:t>
      </w:r>
      <w:r>
        <w:fldChar w:fldCharType="begin"/>
      </w:r>
      <w:r>
        <w:rPr>
          <w:rStyle w:val="LinkdaInternet"/>
          <w:bCs/>
          <w:rFonts w:cs="Arial"/>
        </w:rPr>
        <w:instrText> HYPERLINK "http://www.planalto.gov.br/ccivil_03/_ato2019-2022/2021/lei/L14133.htm" \l "art158"</w:instrText>
      </w:r>
      <w:r>
        <w:rPr>
          <w:rStyle w:val="LinkdaInternet"/>
          <w:bCs/>
          <w:rFonts w:cs="Arial"/>
        </w:rPr>
        <w:fldChar w:fldCharType="separate"/>
      </w:r>
      <w:r>
        <w:rPr>
          <w:rStyle w:val="LinkdaInternet"/>
          <w:rFonts w:cs="Arial"/>
          <w:bCs/>
        </w:rPr>
        <w:t>art. 158 da Lei nº 14.133, de 2021</w:t>
      </w:r>
      <w:r>
        <w:rPr>
          <w:rStyle w:val="LinkdaInternet"/>
          <w:bCs/>
          <w:rFonts w:cs="Arial"/>
        </w:rPr>
        <w:fldChar w:fldCharType="end"/>
      </w:r>
      <w:r>
        <w:rPr>
          <w:rFonts w:cs="Arial"/>
          <w:bCs/>
        </w:rPr>
        <w:t>, para as penalidades de impedimento de licitar e contratar e de declaração de inidoneidade para licitar ou contratar.</w:t>
      </w:r>
    </w:p>
    <w:p>
      <w:pPr>
        <w:pStyle w:val="Normal"/>
        <w:numPr>
          <w:ilvl w:val="1"/>
          <w:numId w:val="2"/>
        </w:numPr>
        <w:spacing w:lineRule="auto" w:line="276" w:before="120" w:after="120"/>
        <w:ind w:left="425" w:hanging="0"/>
        <w:jc w:val="both"/>
        <w:rPr>
          <w:rFonts w:cs="Arial"/>
          <w:bCs/>
        </w:rPr>
      </w:pPr>
      <w:r>
        <w:rPr>
          <w:rFonts w:cs="Arial"/>
          <w:bCs/>
        </w:rPr>
        <w:t>Na aplicação das sanções serão considerados (</w:t>
      </w:r>
      <w:r>
        <w:fldChar w:fldCharType="begin"/>
      </w:r>
      <w:r>
        <w:rPr>
          <w:rStyle w:val="LinkdaInternet"/>
          <w:bCs/>
          <w:rFonts w:cs="Arial"/>
        </w:rPr>
        <w:instrText> HYPERLINK "http://www.planalto.gov.br/ccivil_03/_ato2019-2022/2021/lei/L14133.htm" \l "art156§1"</w:instrText>
      </w:r>
      <w:r>
        <w:rPr>
          <w:rStyle w:val="LinkdaInternet"/>
          <w:bCs/>
          <w:rFonts w:cs="Arial"/>
        </w:rPr>
        <w:fldChar w:fldCharType="separate"/>
      </w:r>
      <w:r>
        <w:rPr>
          <w:rStyle w:val="LinkdaInternet"/>
          <w:rFonts w:cs="Arial"/>
          <w:bCs/>
        </w:rPr>
        <w:t>art. 156, §1º</w:t>
      </w:r>
      <w:r>
        <w:rPr>
          <w:rStyle w:val="LinkdaInternet"/>
          <w:bCs/>
          <w:rFonts w:cs="Arial"/>
        </w:rPr>
        <w:fldChar w:fldCharType="end"/>
      </w:r>
      <w:r>
        <w:rPr>
          <w:rFonts w:cs="Arial"/>
          <w:bCs/>
        </w:rPr>
        <w:t>):</w:t>
      </w:r>
    </w:p>
    <w:p>
      <w:pPr>
        <w:pStyle w:val="Normal"/>
        <w:numPr>
          <w:ilvl w:val="1"/>
          <w:numId w:val="2"/>
        </w:numPr>
        <w:spacing w:lineRule="auto" w:line="276" w:before="120" w:after="120"/>
        <w:ind w:left="425" w:hanging="0"/>
        <w:jc w:val="both"/>
        <w:rPr>
          <w:rFonts w:cs="Arial"/>
          <w:bCs/>
        </w:rPr>
      </w:pPr>
      <w:r>
        <w:rPr>
          <w:rFonts w:cs="Arial"/>
          <w:bCs/>
        </w:rPr>
        <w:t>a natureza e a gravidade da infração cometida;</w:t>
      </w:r>
    </w:p>
    <w:p>
      <w:pPr>
        <w:pStyle w:val="Normal"/>
        <w:numPr>
          <w:ilvl w:val="1"/>
          <w:numId w:val="2"/>
        </w:numPr>
        <w:spacing w:lineRule="auto" w:line="276" w:before="120" w:after="120"/>
        <w:ind w:left="425" w:hanging="0"/>
        <w:jc w:val="both"/>
        <w:rPr>
          <w:rFonts w:cs="Arial"/>
          <w:bCs/>
        </w:rPr>
      </w:pPr>
      <w:r>
        <w:rPr>
          <w:rFonts w:cs="Arial"/>
          <w:bCs/>
        </w:rPr>
        <w:t>as peculiaridades do caso concreto;</w:t>
      </w:r>
    </w:p>
    <w:p>
      <w:pPr>
        <w:pStyle w:val="Normal"/>
        <w:numPr>
          <w:ilvl w:val="1"/>
          <w:numId w:val="2"/>
        </w:numPr>
        <w:spacing w:lineRule="auto" w:line="276" w:before="120" w:after="120"/>
        <w:ind w:left="425" w:hanging="0"/>
        <w:jc w:val="both"/>
        <w:rPr>
          <w:rFonts w:cs="Arial"/>
          <w:bCs/>
        </w:rPr>
      </w:pPr>
      <w:r>
        <w:rPr>
          <w:rFonts w:cs="Arial"/>
          <w:bCs/>
        </w:rPr>
        <w:t>as circunstâncias agravantes ou atenuantes;</w:t>
      </w:r>
    </w:p>
    <w:p>
      <w:pPr>
        <w:pStyle w:val="Normal"/>
        <w:numPr>
          <w:ilvl w:val="1"/>
          <w:numId w:val="2"/>
        </w:numPr>
        <w:spacing w:lineRule="auto" w:line="276" w:before="120" w:after="120"/>
        <w:ind w:left="425" w:hanging="0"/>
        <w:jc w:val="both"/>
        <w:rPr>
          <w:rFonts w:cs="Arial"/>
          <w:bCs/>
        </w:rPr>
      </w:pPr>
      <w:r>
        <w:rPr>
          <w:rFonts w:cs="Arial"/>
          <w:bCs/>
        </w:rPr>
        <w:t>os danos que dela provierem para o Contratante;</w:t>
      </w:r>
    </w:p>
    <w:p>
      <w:pPr>
        <w:pStyle w:val="Normal"/>
        <w:numPr>
          <w:ilvl w:val="1"/>
          <w:numId w:val="2"/>
        </w:numPr>
        <w:spacing w:lineRule="auto" w:line="276" w:before="120" w:after="120"/>
        <w:ind w:left="425" w:hanging="0"/>
        <w:jc w:val="both"/>
        <w:rPr>
          <w:rFonts w:cs="Arial"/>
          <w:bCs/>
        </w:rPr>
      </w:pPr>
      <w:r>
        <w:rPr>
          <w:rFonts w:cs="Arial"/>
          <w:bCs/>
        </w:rPr>
        <w:t>a implantação ou o aperfeiçoamento de programa de integridade, conforme normas e orientações dos órgãos de controle.</w:t>
      </w:r>
    </w:p>
    <w:p>
      <w:pPr>
        <w:pStyle w:val="Normal"/>
        <w:numPr>
          <w:ilvl w:val="1"/>
          <w:numId w:val="2"/>
        </w:numPr>
        <w:spacing w:lineRule="auto" w:line="276" w:before="120" w:after="120"/>
        <w:ind w:left="425" w:hanging="0"/>
        <w:jc w:val="both"/>
        <w:rPr>
          <w:rFonts w:cs="Arial"/>
          <w:bCs/>
        </w:rPr>
      </w:pPr>
      <w:r>
        <w:rPr>
          <w:rFonts w:cs="Arial"/>
          <w:bCs/>
        </w:rPr>
        <w:t xml:space="preserve">Os atos previstos como infrações administrativas na </w:t>
      </w:r>
      <w:hyperlink r:id="rId14">
        <w:r>
          <w:rPr>
            <w:rStyle w:val="LinkdaInternet"/>
            <w:rFonts w:cs="Arial"/>
            <w:bCs/>
          </w:rPr>
          <w:t>Lei nº 14.133, de 2021</w:t>
        </w:r>
      </w:hyperlink>
      <w:r>
        <w:rPr>
          <w:rFonts w:cs="Arial"/>
          <w:bCs/>
        </w:rPr>
        <w:t xml:space="preserve">, ou em outras leis de licitações e contratos da Administração Pública que também sejam tipificados como atos lesivos na </w:t>
      </w:r>
      <w:hyperlink r:id="rId15">
        <w:r>
          <w:rPr>
            <w:rStyle w:val="LinkdaInternet"/>
            <w:rFonts w:cs="Arial"/>
            <w:bCs/>
          </w:rPr>
          <w:t>Lei nº 12.846, de 1º de agosto de 2013</w:t>
        </w:r>
      </w:hyperlink>
      <w:r>
        <w:rPr>
          <w:rFonts w:cs="Arial"/>
          <w:bCs/>
        </w:rPr>
        <w:t>, serão apurados e julgados conjuntamente, nos mesmos autos, observados o rito procedimental e autoridade competente definidos na referida Lei (</w:t>
      </w:r>
      <w:r>
        <w:fldChar w:fldCharType="begin"/>
      </w:r>
      <w:r>
        <w:rPr>
          <w:rStyle w:val="LinkdaInternet"/>
          <w:bCs/>
          <w:rFonts w:cs="Arial"/>
        </w:rPr>
        <w:instrText> HYPERLINK "http://www.planalto.gov.br/ccivil_03/_ato2019-2022/2021/lei/L14133.htm" \l "art159"</w:instrText>
      </w:r>
      <w:r>
        <w:rPr>
          <w:rStyle w:val="LinkdaInternet"/>
          <w:bCs/>
          <w:rFonts w:cs="Arial"/>
        </w:rPr>
        <w:fldChar w:fldCharType="separate"/>
      </w:r>
      <w:r>
        <w:rPr>
          <w:rStyle w:val="LinkdaInternet"/>
          <w:rFonts w:cs="Arial"/>
          <w:bCs/>
        </w:rPr>
        <w:t>art. 159</w:t>
      </w:r>
      <w:r>
        <w:rPr>
          <w:rStyle w:val="LinkdaInternet"/>
          <w:bCs/>
          <w:rFonts w:cs="Arial"/>
        </w:rPr>
        <w:fldChar w:fldCharType="end"/>
      </w:r>
      <w:r>
        <w:rPr>
          <w:rFonts w:cs="Arial"/>
          <w:bCs/>
        </w:rPr>
        <w:t>).</w:t>
      </w:r>
    </w:p>
    <w:p>
      <w:pPr>
        <w:pStyle w:val="Normal"/>
        <w:numPr>
          <w:ilvl w:val="1"/>
          <w:numId w:val="2"/>
        </w:numPr>
        <w:spacing w:lineRule="auto" w:line="276" w:before="120" w:after="120"/>
        <w:ind w:left="425" w:hanging="0"/>
        <w:jc w:val="both"/>
        <w:rPr>
          <w:rFonts w:cs="Arial"/>
          <w:bCs/>
          <w:i/>
          <w:i/>
        </w:rPr>
      </w:pPr>
      <w:r>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fldChar w:fldCharType="begin"/>
      </w:r>
      <w:r>
        <w:rPr>
          <w:rStyle w:val="LinkdaInternet"/>
          <w:bCs/>
          <w:rFonts w:cs="Arial"/>
        </w:rPr>
        <w:instrText> HYPERLINK "http://www.planalto.gov.br/ccivil_03/_ato2019-2022/2021/lei/L14133.htm" \l "art160"</w:instrText>
      </w:r>
      <w:r>
        <w:rPr>
          <w:rStyle w:val="LinkdaInternet"/>
          <w:bCs/>
          <w:rFonts w:cs="Arial"/>
        </w:rPr>
        <w:fldChar w:fldCharType="separate"/>
      </w:r>
      <w:r>
        <w:rPr>
          <w:rStyle w:val="LinkdaInternet"/>
          <w:rFonts w:cs="Arial"/>
          <w:bCs/>
        </w:rPr>
        <w:t>art. 160</w:t>
      </w:r>
      <w:r>
        <w:rPr>
          <w:rStyle w:val="LinkdaInternet"/>
          <w:bCs/>
          <w:rFonts w:cs="Arial"/>
        </w:rPr>
        <w:fldChar w:fldCharType="end"/>
      </w:r>
      <w:r>
        <w:rPr>
          <w:rFonts w:cs="Arial"/>
          <w:bCs/>
        </w:rPr>
        <w:t>)</w:t>
      </w:r>
    </w:p>
    <w:p>
      <w:pPr>
        <w:pStyle w:val="Normal"/>
        <w:numPr>
          <w:ilvl w:val="1"/>
          <w:numId w:val="2"/>
        </w:numPr>
        <w:spacing w:lineRule="auto" w:line="276" w:before="120" w:after="120"/>
        <w:ind w:left="425" w:hanging="0"/>
        <w:jc w:val="both"/>
        <w:rPr>
          <w:rFonts w:cs="Arial"/>
          <w:bCs/>
          <w:i/>
          <w:i/>
        </w:rPr>
      </w:pPr>
      <w:r>
        <w:rPr>
          <w:rFonts w:cs="Arial"/>
          <w:bCs/>
        </w:rPr>
        <w:t xml:space="preserve"> </w:t>
      </w:r>
      <w:r>
        <w:rPr>
          <w:rFonts w:cs="Arial"/>
          <w:bCs/>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r>
        <w:fldChar w:fldCharType="begin"/>
      </w:r>
      <w:r>
        <w:rPr>
          <w:rStyle w:val="LinkdaInternet"/>
          <w:bCs/>
          <w:rFonts w:cs="Arial"/>
        </w:rPr>
        <w:instrText> HYPERLINK "http://www.planalto.gov.br/ccivil_03/_ato2019-2022/2021/lei/L14133.htm" \l "art161"</w:instrText>
      </w:r>
      <w:r>
        <w:rPr>
          <w:rStyle w:val="LinkdaInternet"/>
          <w:bCs/>
          <w:rFonts w:cs="Arial"/>
        </w:rPr>
        <w:fldChar w:fldCharType="separate"/>
      </w:r>
      <w:r>
        <w:rPr>
          <w:rStyle w:val="LinkdaInternet"/>
          <w:rFonts w:cs="Arial"/>
          <w:bCs/>
        </w:rPr>
        <w:t>Art. 161</w:t>
      </w:r>
      <w:r>
        <w:rPr>
          <w:rStyle w:val="LinkdaInternet"/>
          <w:bCs/>
          <w:rFonts w:cs="Arial"/>
        </w:rPr>
        <w:fldChar w:fldCharType="end"/>
      </w:r>
      <w:r>
        <w:rPr>
          <w:rFonts w:cs="Arial"/>
          <w:bCs/>
        </w:rPr>
        <w:t>)</w:t>
      </w:r>
    </w:p>
    <w:p>
      <w:pPr>
        <w:pStyle w:val="Normal"/>
        <w:numPr>
          <w:ilvl w:val="1"/>
          <w:numId w:val="2"/>
        </w:numPr>
        <w:spacing w:lineRule="auto" w:line="276" w:before="120" w:after="120"/>
        <w:ind w:left="425" w:hanging="0"/>
        <w:jc w:val="both"/>
        <w:rPr>
          <w:rFonts w:cs="Arial"/>
          <w:bCs/>
          <w:i/>
          <w:i/>
        </w:rPr>
      </w:pPr>
      <w:r>
        <w:rPr>
          <w:rFonts w:cs="Arial"/>
          <w:bCs/>
        </w:rPr>
        <w:t xml:space="preserve">As sanções de impedimento de licitar e contratar e declaração de inidoneidade para licitar ou contratar são passíveis de reabilitação na forma do </w:t>
      </w:r>
      <w:r>
        <w:fldChar w:fldCharType="begin"/>
      </w:r>
      <w:r>
        <w:rPr>
          <w:rStyle w:val="LinkdaInternet"/>
          <w:bCs/>
          <w:rFonts w:cs="Arial"/>
        </w:rPr>
        <w:instrText> HYPERLINK "http://www.planalto.gov.br/ccivil_03/_ato2019-2022/2021/lei/L14133.htm" \l "art163"</w:instrText>
      </w:r>
      <w:r>
        <w:rPr>
          <w:rStyle w:val="LinkdaInternet"/>
          <w:bCs/>
          <w:rFonts w:cs="Arial"/>
        </w:rPr>
        <w:fldChar w:fldCharType="separate"/>
      </w:r>
      <w:r>
        <w:rPr>
          <w:rStyle w:val="LinkdaInternet"/>
          <w:rFonts w:cs="Arial"/>
          <w:bCs/>
        </w:rPr>
        <w:t>art. 163 da Lei nº 14.133, de 2021.</w:t>
      </w:r>
      <w:r>
        <w:rPr>
          <w:rStyle w:val="LinkdaInternet"/>
          <w:bCs/>
          <w:rFonts w:cs="Arial"/>
        </w:rPr>
        <w:fldChar w:fldCharType="end"/>
      </w:r>
    </w:p>
    <w:p>
      <w:pPr>
        <w:pStyle w:val="Normal"/>
        <w:numPr>
          <w:ilvl w:val="1"/>
          <w:numId w:val="2"/>
        </w:numPr>
        <w:spacing w:lineRule="auto" w:line="276" w:before="120" w:after="120"/>
        <w:ind w:left="425" w:hanging="0"/>
        <w:jc w:val="both"/>
        <w:rPr>
          <w:rFonts w:cs="Arial"/>
        </w:rPr>
      </w:pPr>
      <w:r>
        <w:rPr>
          <w:rFonts w:cs="Arial"/>
        </w:rPr>
        <w:t>As sanções por atos praticados no decorrer da contratação estão previstas nos anexos a este Aviso.</w:t>
      </w:r>
    </w:p>
    <w:p>
      <w:pPr>
        <w:pStyle w:val="Normal"/>
        <w:spacing w:lineRule="auto" w:line="276" w:before="120" w:after="120"/>
        <w:ind w:left="425" w:hanging="0"/>
        <w:jc w:val="both"/>
        <w:rPr>
          <w:rFonts w:cs="Arial"/>
        </w:rPr>
      </w:pPr>
      <w:r>
        <w:rPr>
          <w:rFonts w:cs="Arial"/>
        </w:rPr>
      </w:r>
    </w:p>
    <w:p>
      <w:pPr>
        <w:pStyle w:val="Ttulo1"/>
        <w:numPr>
          <w:ilvl w:val="0"/>
          <w:numId w:val="2"/>
        </w:numPr>
        <w:rPr/>
      </w:pPr>
      <w:bookmarkStart w:id="11" w:name="_Toc118380907"/>
      <w:r>
        <w:rPr/>
        <w:t>DAS DISPOSIÇÕES GERAIS</w:t>
      </w:r>
      <w:bookmarkEnd w:id="11"/>
    </w:p>
    <w:p>
      <w:pPr>
        <w:pStyle w:val="Normal"/>
        <w:numPr>
          <w:ilvl w:val="1"/>
          <w:numId w:val="2"/>
        </w:numPr>
        <w:spacing w:lineRule="auto" w:line="276" w:before="120" w:after="120"/>
        <w:ind w:left="425" w:hanging="0"/>
        <w:jc w:val="both"/>
        <w:rPr>
          <w:rFonts w:cs="Arial"/>
          <w:color w:val="000000"/>
          <w:szCs w:val="20"/>
        </w:rPr>
      </w:pPr>
      <w:r>
        <w:rPr>
          <w:rFonts w:cs="Arial"/>
          <w:color w:val="000000"/>
          <w:szCs w:val="20"/>
        </w:rPr>
        <w:t>No caso de todos os fornecedores restarem desclassificados ou inabilitados (procedimento fracassado), a Administração poderá:</w:t>
      </w:r>
    </w:p>
    <w:p>
      <w:pPr>
        <w:pStyle w:val="Normal"/>
        <w:numPr>
          <w:ilvl w:val="2"/>
          <w:numId w:val="2"/>
        </w:numPr>
        <w:spacing w:lineRule="auto" w:line="276" w:before="120" w:after="120"/>
        <w:jc w:val="both"/>
        <w:rPr>
          <w:rFonts w:cs="Arial"/>
          <w:color w:val="000000"/>
          <w:szCs w:val="20"/>
        </w:rPr>
      </w:pPr>
      <w:r>
        <w:rPr>
          <w:rFonts w:cs="Arial"/>
          <w:color w:val="000000"/>
          <w:szCs w:val="20"/>
        </w:rPr>
        <w:t>republicar o presente aviso com uma nova data;</w:t>
      </w:r>
    </w:p>
    <w:p>
      <w:pPr>
        <w:pStyle w:val="Normal"/>
        <w:numPr>
          <w:ilvl w:val="2"/>
          <w:numId w:val="2"/>
        </w:numPr>
        <w:spacing w:lineRule="auto" w:line="276" w:before="120" w:after="120"/>
        <w:jc w:val="both"/>
        <w:rPr>
          <w:rFonts w:cs="Arial"/>
          <w:color w:val="000000"/>
          <w:szCs w:val="20"/>
        </w:rPr>
      </w:pPr>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2"/>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ormal"/>
        <w:numPr>
          <w:ilvl w:val="2"/>
          <w:numId w:val="2"/>
        </w:numPr>
        <w:spacing w:lineRule="auto" w:line="276" w:before="120" w:after="120"/>
        <w:jc w:val="both"/>
        <w:rPr>
          <w:rFonts w:cs="Arial"/>
          <w:color w:val="000000"/>
          <w:szCs w:val="20"/>
        </w:rPr>
      </w:pPr>
      <w:r>
        <w:rPr>
          <w:rFonts w:cs="Arial"/>
          <w:color w:val="000000"/>
          <w:szCs w:val="20"/>
        </w:rPr>
        <w:t>fixar prazo para que possa haver adequação das propostas ou da documentação de habilitação, conforme o caso.</w:t>
      </w:r>
    </w:p>
    <w:p>
      <w:pPr>
        <w:pStyle w:val="Normal"/>
        <w:numPr>
          <w:ilvl w:val="1"/>
          <w:numId w:val="2"/>
        </w:numPr>
        <w:spacing w:lineRule="auto" w:line="276" w:before="120" w:after="120"/>
        <w:ind w:left="425" w:hanging="0"/>
        <w:jc w:val="both"/>
        <w:rPr>
          <w:rFonts w:cs="Arial"/>
          <w:color w:val="000000"/>
          <w:szCs w:val="20"/>
        </w:rPr>
      </w:pPr>
      <w:r>
        <w:rPr>
          <w:rFonts w:cs="Arial"/>
          <w:color w:val="000000"/>
          <w:szCs w:val="20"/>
        </w:rPr>
        <w:t>As providências dos subitens 9.1.1 e 9.1.2 também poderão ser utilizadas se não houver o comparecimento de quaisquer fornecedores interessados (procedimento deserto).</w:t>
      </w:r>
    </w:p>
    <w:p>
      <w:pPr>
        <w:pStyle w:val="Normal"/>
        <w:numPr>
          <w:ilvl w:val="1"/>
          <w:numId w:val="2"/>
        </w:numPr>
        <w:spacing w:lineRule="auto" w:line="276" w:before="120" w:after="120"/>
        <w:ind w:left="425" w:hanging="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2"/>
        </w:numPr>
        <w:spacing w:lineRule="auto" w:line="276" w:before="120" w:after="120"/>
        <w:ind w:left="425" w:hanging="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2"/>
        </w:numPr>
        <w:spacing w:lineRule="auto" w:line="276" w:before="120" w:after="120"/>
        <w:ind w:left="425" w:hanging="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2"/>
        </w:numPr>
        <w:spacing w:lineRule="auto" w:line="276" w:before="120" w:after="120"/>
        <w:ind w:left="425" w:hanging="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2"/>
        </w:numPr>
        <w:spacing w:lineRule="auto" w:line="276" w:before="120" w:after="120"/>
        <w:ind w:left="425" w:hanging="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2"/>
        </w:numPr>
        <w:spacing w:lineRule="auto" w:line="276" w:before="120" w:after="120"/>
        <w:ind w:left="425" w:hanging="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2"/>
        </w:numPr>
        <w:spacing w:lineRule="auto" w:line="276" w:before="120" w:after="120"/>
        <w:ind w:left="425" w:hanging="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2"/>
        </w:numPr>
        <w:spacing w:lineRule="auto" w:line="276" w:before="120" w:after="120"/>
        <w:ind w:left="425" w:hanging="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pPr>
        <w:pStyle w:val="Normal"/>
        <w:numPr>
          <w:ilvl w:val="1"/>
          <w:numId w:val="2"/>
        </w:numPr>
        <w:spacing w:lineRule="auto" w:line="276" w:before="120" w:after="120"/>
        <w:ind w:left="425" w:hanging="0"/>
        <w:jc w:val="both"/>
        <w:rPr>
          <w:rFonts w:cs="Arial"/>
          <w:color w:val="000000"/>
          <w:szCs w:val="20"/>
        </w:rPr>
      </w:pPr>
      <w:r>
        <w:rPr>
          <w:rFonts w:cs="Arial"/>
          <w:color w:val="000000"/>
          <w:szCs w:val="20"/>
        </w:rPr>
        <w:t>Da sessão pública será divulgada Ata no sistema eletrônico.</w:t>
      </w:r>
    </w:p>
    <w:p>
      <w:pPr>
        <w:pStyle w:val="Normal"/>
        <w:numPr>
          <w:ilvl w:val="1"/>
          <w:numId w:val="2"/>
        </w:numPr>
        <w:spacing w:lineRule="auto" w:line="276" w:before="120" w:after="120"/>
        <w:ind w:left="425" w:hanging="0"/>
        <w:jc w:val="both"/>
        <w:rPr>
          <w:rFonts w:cs="Arial"/>
          <w:color w:val="000000"/>
          <w:szCs w:val="20"/>
        </w:rPr>
      </w:pPr>
      <w:r>
        <w:rPr>
          <w:rFonts w:cs="Arial"/>
          <w:color w:val="000000"/>
          <w:szCs w:val="20"/>
        </w:rPr>
        <w:t>Integram este Aviso de Contratação Direta, para todos os fins e efeitos, os seguintes anexos:</w:t>
      </w:r>
    </w:p>
    <w:p>
      <w:pPr>
        <w:pStyle w:val="Normal"/>
        <w:numPr>
          <w:ilvl w:val="2"/>
          <w:numId w:val="2"/>
        </w:numPr>
        <w:spacing w:lineRule="auto" w:line="276" w:before="120" w:after="120"/>
        <w:jc w:val="both"/>
        <w:rPr>
          <w:rFonts w:cs="Arial"/>
          <w:color w:val="000000"/>
          <w:szCs w:val="20"/>
        </w:rPr>
      </w:pPr>
      <w:r>
        <w:rPr>
          <w:rFonts w:cs="Arial"/>
          <w:color w:val="000000"/>
          <w:szCs w:val="20"/>
        </w:rPr>
        <w:t>ANEXO I – Documentação exigida para Habilitação;</w:t>
      </w:r>
    </w:p>
    <w:p>
      <w:pPr>
        <w:pStyle w:val="Normal"/>
        <w:numPr>
          <w:ilvl w:val="2"/>
          <w:numId w:val="2"/>
        </w:numPr>
        <w:spacing w:lineRule="auto" w:line="276" w:before="120" w:after="120"/>
        <w:jc w:val="both"/>
        <w:rPr>
          <w:rFonts w:cs="Arial"/>
          <w:color w:val="000000"/>
          <w:szCs w:val="20"/>
        </w:rPr>
      </w:pPr>
      <w:r>
        <w:rPr>
          <w:rFonts w:cs="Arial"/>
          <w:color w:val="000000"/>
          <w:szCs w:val="20"/>
        </w:rPr>
        <w:t>ANEXO II – Documento de Formalização da Demanda.</w:t>
      </w:r>
    </w:p>
    <w:p>
      <w:pPr>
        <w:pStyle w:val="Normal"/>
        <w:spacing w:lineRule="auto" w:line="276" w:before="120" w:after="120"/>
        <w:jc w:val="both"/>
        <w:rPr>
          <w:rFonts w:cs="Arial"/>
          <w:color w:val="000000"/>
          <w:szCs w:val="20"/>
        </w:rPr>
      </w:pPr>
      <w:r>
        <w:rPr>
          <w:rFonts w:cs="Arial"/>
          <w:color w:val="000000"/>
          <w:szCs w:val="20"/>
        </w:rPr>
      </w:r>
    </w:p>
    <w:p>
      <w:pPr>
        <w:pStyle w:val="Normal"/>
        <w:spacing w:lineRule="auto" w:line="276" w:before="120" w:after="120"/>
        <w:jc w:val="both"/>
        <w:rPr>
          <w:rFonts w:cs="Arial"/>
          <w:color w:val="000000"/>
          <w:szCs w:val="20"/>
        </w:rPr>
      </w:pPr>
      <w:r>
        <w:rPr>
          <w:rFonts w:cs="Arial"/>
          <w:color w:val="000000"/>
          <w:szCs w:val="20"/>
        </w:rPr>
      </w:r>
    </w:p>
    <w:p>
      <w:pPr>
        <w:pStyle w:val="Normal"/>
        <w:spacing w:lineRule="auto" w:line="276" w:before="0" w:after="120"/>
        <w:ind w:left="360" w:right="-15" w:hanging="0"/>
        <w:jc w:val="center"/>
        <w:rPr>
          <w:rFonts w:cs="Arial"/>
          <w:color w:val="000000"/>
          <w:szCs w:val="20"/>
        </w:rPr>
      </w:pPr>
      <w:r>
        <w:rPr>
          <w:rFonts w:cs="Arial"/>
          <w:color w:val="000000"/>
          <w:szCs w:val="20"/>
        </w:rPr>
      </w:r>
    </w:p>
    <w:p>
      <w:pPr>
        <w:pStyle w:val="Normal"/>
        <w:spacing w:lineRule="auto" w:line="276" w:before="0" w:after="120"/>
        <w:ind w:left="360" w:right="-15" w:hanging="0"/>
        <w:jc w:val="center"/>
        <w:rPr>
          <w:rFonts w:cs="Arial"/>
          <w:color w:val="000000"/>
          <w:szCs w:val="20"/>
        </w:rPr>
      </w:pPr>
      <w:r>
        <w:rPr>
          <w:rFonts w:cs="Arial"/>
          <w:color w:val="000000"/>
          <w:szCs w:val="20"/>
        </w:rPr>
      </w:r>
    </w:p>
    <w:p>
      <w:pPr>
        <w:pStyle w:val="Normal"/>
        <w:spacing w:lineRule="auto" w:line="276" w:before="0" w:after="120"/>
        <w:ind w:left="360" w:right="-15" w:hanging="0"/>
        <w:jc w:val="both"/>
        <w:rPr>
          <w:rFonts w:cs="Arial"/>
          <w:color w:val="000000"/>
          <w:szCs w:val="20"/>
        </w:rPr>
      </w:pPr>
      <w:r>
        <w:rPr>
          <w:rFonts w:cs="Arial"/>
          <w:color w:val="000000"/>
          <w:szCs w:val="20"/>
        </w:rPr>
      </w:r>
    </w:p>
    <w:p>
      <w:pPr>
        <w:pStyle w:val="Normal"/>
        <w:jc w:val="center"/>
        <w:rPr>
          <w:highlight w:val="yellow"/>
        </w:rPr>
      </w:pPr>
      <w:r>
        <w:rPr>
          <w:b/>
          <w:bCs/>
        </w:rPr>
        <w:t>NEWMAR SCHMITT</w:t>
      </w:r>
      <w:r>
        <w:rPr>
          <w:b/>
          <w:bCs/>
        </w:rPr>
        <w:t xml:space="preserve"> – Ten Cel</w:t>
      </w:r>
    </w:p>
    <w:p>
      <w:pPr>
        <w:pStyle w:val="Normal"/>
        <w:spacing w:lineRule="auto" w:line="276"/>
        <w:jc w:val="center"/>
        <w:rPr>
          <w:b w:val="false"/>
          <w:b w:val="false"/>
          <w:bCs w:val="false"/>
        </w:rPr>
      </w:pPr>
      <w:r>
        <w:rPr>
          <w:rFonts w:cs="Arial"/>
          <w:b w:val="false"/>
          <w:bCs w:val="false"/>
          <w:iCs/>
          <w:color w:val="000000"/>
          <w:szCs w:val="20"/>
        </w:rPr>
        <w:t>Ordenador de Despesas do 4º B Log</w:t>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spacing w:lineRule="auto" w:line="276"/>
        <w:jc w:val="center"/>
        <w:rPr>
          <w:rFonts w:cs="Arial"/>
          <w:szCs w:val="20"/>
        </w:rPr>
      </w:pPr>
      <w:r>
        <w:rPr>
          <w:rFonts w:cs="Arial"/>
          <w:szCs w:val="20"/>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center"/>
        <w:rPr>
          <w:rFonts w:cs="Arial"/>
          <w:b/>
          <w:b/>
          <w:szCs w:val="20"/>
          <w:lang w:eastAsia="ar-SA"/>
        </w:rPr>
      </w:pPr>
      <w:r>
        <w:rPr>
          <w:rFonts w:cs="Arial"/>
          <w:b/>
          <w:szCs w:val="20"/>
          <w:lang w:eastAsia="ar-SA"/>
        </w:rPr>
        <w:t>ANEXO I – DOCUMENTAÇÃO EXIGIDA PARA HABILITAÇÃO</w:t>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eastAsia="Calibri" w:cs="Arial"/>
          <w:iCs/>
          <w:szCs w:val="20"/>
          <w:lang w:eastAsia="en-US"/>
        </w:rPr>
      </w:pPr>
      <w:r>
        <w:rPr>
          <w:rFonts w:eastAsia="Calibri" w:cs="Arial"/>
          <w:iCs/>
          <w:szCs w:val="20"/>
          <w:lang w:eastAsia="en-US"/>
        </w:rPr>
      </w:r>
    </w:p>
    <w:p>
      <w:pPr>
        <w:pStyle w:val="ListParagraph"/>
        <w:spacing w:lineRule="auto" w:line="276" w:before="120" w:after="120"/>
        <w:ind w:left="1145" w:hanging="0"/>
        <w:contextualSpacing/>
        <w:jc w:val="both"/>
        <w:rPr>
          <w:rFonts w:eastAsia="WenQuanYi Micro Hei" w:cs="Arial"/>
          <w:color w:val="000000"/>
          <w:szCs w:val="20"/>
          <w:lang w:eastAsia="zh-CN" w:bidi="hi-IN"/>
        </w:rPr>
      </w:pPr>
      <w:r>
        <w:rPr>
          <w:rFonts w:eastAsia="WenQuanYi Micro Hei" w:cs="Arial"/>
          <w:color w:val="000000"/>
          <w:szCs w:val="20"/>
          <w:lang w:eastAsia="zh-CN" w:bidi="hi-IN"/>
        </w:rPr>
      </w:r>
    </w:p>
    <w:p>
      <w:pPr>
        <w:pStyle w:val="ListParagraph"/>
        <w:numPr>
          <w:ilvl w:val="0"/>
          <w:numId w:val="7"/>
        </w:numPr>
        <w:spacing w:lineRule="auto" w:line="276" w:before="120" w:after="120"/>
        <w:ind w:left="0" w:hanging="0"/>
        <w:contextualSpacing/>
        <w:jc w:val="both"/>
        <w:rPr>
          <w:rFonts w:eastAsia="WenQuanYi Micro Hei" w:cs="Arial"/>
          <w:color w:val="000000"/>
          <w:szCs w:val="20"/>
          <w:lang w:eastAsia="zh-CN" w:bidi="hi-IN"/>
        </w:rPr>
      </w:pPr>
      <w:r>
        <w:rPr>
          <w:rFonts w:eastAsia="WenQuanYi Micro Hei" w:cs="Arial"/>
          <w:color w:val="000000"/>
          <w:szCs w:val="20"/>
          <w:lang w:eastAsia="zh-CN" w:bidi="hi-IN"/>
        </w:rPr>
        <w:t>As exigências de habilitação a serem atendidas pelo fornecedor são aquelas discriminadas nos itens a seguir:</w:t>
      </w:r>
    </w:p>
    <w:p>
      <w:pPr>
        <w:pStyle w:val="ListParagraph"/>
        <w:spacing w:lineRule="auto" w:line="276" w:before="120" w:after="120"/>
        <w:ind w:left="1145" w:hanging="0"/>
        <w:contextualSpacing/>
        <w:jc w:val="both"/>
        <w:rPr>
          <w:rFonts w:eastAsia="WenQuanYi Micro Hei" w:cs="Arial"/>
          <w:color w:val="000000"/>
          <w:szCs w:val="20"/>
          <w:lang w:eastAsia="zh-CN" w:bidi="hi-IN"/>
        </w:rPr>
      </w:pPr>
      <w:r>
        <w:rPr>
          <w:rFonts w:eastAsia="WenQuanYi Micro Hei" w:cs="Arial"/>
          <w:color w:val="000000"/>
          <w:szCs w:val="20"/>
          <w:lang w:eastAsia="zh-CN" w:bidi="hi-IN"/>
        </w:rPr>
      </w:r>
    </w:p>
    <w:p>
      <w:pPr>
        <w:pStyle w:val="ListParagraph"/>
        <w:numPr>
          <w:ilvl w:val="1"/>
          <w:numId w:val="6"/>
        </w:numPr>
        <w:spacing w:lineRule="auto" w:line="276" w:before="120" w:after="120"/>
        <w:contextualSpacing/>
        <w:jc w:val="both"/>
        <w:rPr>
          <w:rFonts w:eastAsia="WenQuanYi Micro Hei" w:cs="Arial"/>
          <w:b/>
          <w:b/>
          <w:bCs/>
          <w:color w:val="000000"/>
          <w:szCs w:val="20"/>
          <w:lang w:eastAsia="zh-CN" w:bidi="hi-IN"/>
        </w:rPr>
      </w:pPr>
      <w:r>
        <w:rPr>
          <w:rFonts w:eastAsia="WenQuanYi Micro Hei" w:cs="Arial"/>
          <w:b/>
          <w:bCs/>
          <w:color w:val="000000"/>
          <w:szCs w:val="20"/>
          <w:lang w:eastAsia="zh-CN" w:bidi="hi-IN"/>
        </w:rPr>
        <w:t>Habilitação jurídica</w:t>
      </w:r>
    </w:p>
    <w:p>
      <w:pPr>
        <w:pStyle w:val="ListParagraph"/>
        <w:spacing w:lineRule="auto" w:line="276" w:before="120" w:after="120"/>
        <w:ind w:left="1134" w:firstLine="11"/>
        <w:contextualSpacing/>
        <w:jc w:val="both"/>
        <w:rPr>
          <w:rFonts w:eastAsia="Calibri" w:cs="Arial"/>
          <w:i/>
          <w:i/>
          <w:color w:val="FF0000"/>
          <w:szCs w:val="20"/>
          <w:lang w:eastAsia="en-US"/>
        </w:rPr>
      </w:pPr>
      <w:r>
        <w:rPr>
          <w:rFonts w:eastAsia="Calibri" w:cs="Arial"/>
          <w:i/>
          <w:color w:val="FF0000"/>
          <w:szCs w:val="20"/>
          <w:lang w:eastAsia="en-US"/>
        </w:rPr>
      </w:r>
    </w:p>
    <w:p>
      <w:pPr>
        <w:pStyle w:val="ListParagraph"/>
        <w:numPr>
          <w:ilvl w:val="0"/>
          <w:numId w:val="0"/>
        </w:numPr>
        <w:tabs>
          <w:tab w:val="clear" w:pos="708"/>
          <w:tab w:val="left" w:pos="1440" w:leader="none"/>
        </w:tabs>
        <w:snapToGrid w:val="false"/>
        <w:spacing w:lineRule="auto" w:line="276" w:before="120" w:after="120"/>
        <w:ind w:left="2290" w:hanging="0"/>
        <w:contextualSpacing/>
        <w:jc w:val="both"/>
        <w:rPr/>
      </w:pPr>
      <w:r>
        <w:rPr/>
      </w:r>
    </w:p>
    <w:p>
      <w:pPr>
        <w:pStyle w:val="ListParagraph"/>
        <w:numPr>
          <w:ilvl w:val="2"/>
          <w:numId w:val="6"/>
        </w:numPr>
        <w:tabs>
          <w:tab w:val="clear" w:pos="708"/>
          <w:tab w:val="left" w:pos="1440" w:leader="none"/>
        </w:tabs>
        <w:snapToGrid w:val="false"/>
        <w:spacing w:lineRule="auto" w:line="276" w:before="120" w:after="120"/>
        <w:contextualSpacing/>
        <w:jc w:val="both"/>
        <w:rPr>
          <w:iCs/>
          <w:szCs w:val="20"/>
        </w:rPr>
      </w:pPr>
      <w:r>
        <w:rPr>
          <w:rFonts w:cs="Arial"/>
          <w:b/>
          <w:iCs/>
          <w:szCs w:val="20"/>
        </w:rPr>
        <w:t>Empresário individual</w:t>
      </w:r>
      <w:r>
        <w:rPr>
          <w:rFonts w:cs="Arial"/>
          <w:iCs/>
          <w:szCs w:val="20"/>
        </w:rPr>
        <w:t xml:space="preserve">: inscrição no Registro Público de Empresas Mercantis, a cargo da Junta Comercial da respectiva sede; </w:t>
      </w:r>
    </w:p>
    <w:p>
      <w:pPr>
        <w:pStyle w:val="ListParagraph"/>
        <w:numPr>
          <w:ilvl w:val="2"/>
          <w:numId w:val="6"/>
        </w:numPr>
        <w:tabs>
          <w:tab w:val="clear" w:pos="708"/>
          <w:tab w:val="left" w:pos="1440" w:leader="none"/>
        </w:tabs>
        <w:snapToGrid w:val="false"/>
        <w:spacing w:lineRule="auto" w:line="276" w:before="120" w:after="120"/>
        <w:contextualSpacing/>
        <w:jc w:val="both"/>
        <w:rPr>
          <w:rFonts w:ascii="Calibri" w:hAnsi="Calibri"/>
          <w:strike/>
          <w:sz w:val="22"/>
          <w:szCs w:val="22"/>
        </w:rPr>
      </w:pPr>
      <w:r>
        <w:rPr>
          <w:rFonts w:cs="Arial"/>
          <w:b/>
          <w:szCs w:val="20"/>
        </w:rPr>
        <w:t>Microempreendedor Individual - MEI</w:t>
      </w:r>
      <w:r>
        <w:rPr>
          <w:rFonts w:cs="Arial"/>
          <w:szCs w:val="20"/>
        </w:rPr>
        <w:t xml:space="preserve">: Certificado da Condição de </w:t>
      </w:r>
      <w:r>
        <w:rPr>
          <w:rFonts w:cs="Arial"/>
          <w:b/>
          <w:iCs/>
          <w:szCs w:val="20"/>
        </w:rPr>
        <w:t>Microempreendedor</w:t>
      </w:r>
      <w:r>
        <w:rPr>
          <w:rFonts w:cs="Arial"/>
          <w:szCs w:val="20"/>
        </w:rPr>
        <w:t xml:space="preserve"> Individual - CCMEI, cuja aceitação ficará condicionada à verificação da autenticidade no sítio </w:t>
      </w:r>
      <w:hyperlink r:id="rId16">
        <w:r>
          <w:rPr>
            <w:rStyle w:val="LinkdaInternet"/>
            <w:rFonts w:cs="Arial"/>
            <w:szCs w:val="20"/>
          </w:rPr>
          <w:t>https://www.gov.br/empresas-e-negocios/pt-br/empreendedor</w:t>
        </w:r>
      </w:hyperlink>
      <w:r>
        <w:rPr>
          <w:rFonts w:cs="Arial"/>
          <w:szCs w:val="20"/>
        </w:rPr>
        <w:t>;</w:t>
      </w:r>
    </w:p>
    <w:p>
      <w:pPr>
        <w:pStyle w:val="ListParagraph"/>
        <w:numPr>
          <w:ilvl w:val="2"/>
          <w:numId w:val="6"/>
        </w:numPr>
        <w:tabs>
          <w:tab w:val="clear" w:pos="708"/>
          <w:tab w:val="left" w:pos="1440" w:leader="none"/>
        </w:tabs>
        <w:snapToGrid w:val="false"/>
        <w:spacing w:lineRule="auto" w:line="276" w:before="120" w:after="120"/>
        <w:contextualSpacing/>
        <w:jc w:val="both"/>
        <w:rPr>
          <w:szCs w:val="20"/>
        </w:rPr>
      </w:pPr>
      <w:r>
        <w:rPr>
          <w:rFonts w:cs="Arial"/>
          <w:b/>
          <w:color w:val="000000"/>
          <w:szCs w:val="20"/>
        </w:rPr>
        <w:t>Sociedade empresária, sociedade limitada unipessoal – SLU ou sociedade identificada como empresa individual de responsabilidade limitada - EIRELI</w:t>
      </w:r>
      <w:r>
        <w:rPr>
          <w:rFonts w:cs="Arial"/>
          <w:color w:val="000000"/>
          <w:szCs w:val="20"/>
        </w:rPr>
        <w:t>: inscrição do ato constitutivo, estatuto ou contrato social no</w:t>
      </w:r>
      <w:r>
        <w:rPr>
          <w:rFonts w:cs="Arial"/>
          <w:szCs w:val="20"/>
        </w:rPr>
        <w:t xml:space="preserve"> </w:t>
      </w:r>
      <w:r>
        <w:rPr>
          <w:rFonts w:cs="Arial"/>
          <w:color w:val="000000"/>
          <w:szCs w:val="20"/>
        </w:rPr>
        <w:t>Registro Público de Empresas Mercantis, a cargo da Junta Comercial da respectiva sede, acompanhada de documento comprobatório de seus administradores;</w:t>
      </w:r>
    </w:p>
    <w:p>
      <w:pPr>
        <w:pStyle w:val="ListParagraph"/>
        <w:numPr>
          <w:ilvl w:val="2"/>
          <w:numId w:val="6"/>
        </w:numPr>
        <w:tabs>
          <w:tab w:val="clear" w:pos="708"/>
          <w:tab w:val="left" w:pos="1440" w:leader="none"/>
        </w:tabs>
        <w:snapToGrid w:val="false"/>
        <w:spacing w:lineRule="auto" w:line="276" w:before="120" w:after="120"/>
        <w:contextualSpacing/>
        <w:jc w:val="both"/>
        <w:rPr>
          <w:szCs w:val="20"/>
        </w:rPr>
      </w:pPr>
      <w:r>
        <w:rPr>
          <w:rFonts w:cs="Arial"/>
          <w:b/>
          <w:color w:val="000000"/>
          <w:szCs w:val="20"/>
        </w:rPr>
        <w:t>Sociedade empresária estrangeira com atuação permanente no País</w:t>
      </w:r>
      <w:r>
        <w:rPr>
          <w:rFonts w:cs="Arial"/>
          <w:color w:val="00000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pPr>
        <w:pStyle w:val="ListParagraph"/>
        <w:numPr>
          <w:ilvl w:val="2"/>
          <w:numId w:val="6"/>
        </w:numPr>
        <w:tabs>
          <w:tab w:val="clear" w:pos="708"/>
          <w:tab w:val="left" w:pos="1440" w:leader="none"/>
        </w:tabs>
        <w:snapToGrid w:val="false"/>
        <w:spacing w:lineRule="auto" w:line="276" w:before="120" w:after="120"/>
        <w:contextualSpacing/>
        <w:jc w:val="both"/>
        <w:rPr>
          <w:szCs w:val="20"/>
        </w:rPr>
      </w:pPr>
      <w:r>
        <w:rPr>
          <w:rFonts w:cs="Arial"/>
          <w:b/>
          <w:color w:val="000000"/>
          <w:szCs w:val="20"/>
        </w:rPr>
        <w:t>Sociedade simples</w:t>
      </w:r>
      <w:r>
        <w:rPr>
          <w:rFonts w:cs="Arial"/>
          <w:color w:val="000000"/>
          <w:szCs w:val="20"/>
        </w:rPr>
        <w:t>: inscrição do ato constitutivo no Registro Civil de Pessoas Jurídicas do local de sua sede, acompanhada de documento comprobatório de seus administradores;</w:t>
      </w:r>
    </w:p>
    <w:p>
      <w:pPr>
        <w:pStyle w:val="ListParagraph"/>
        <w:numPr>
          <w:ilvl w:val="2"/>
          <w:numId w:val="6"/>
        </w:numPr>
        <w:tabs>
          <w:tab w:val="clear" w:pos="708"/>
          <w:tab w:val="left" w:pos="1440" w:leader="none"/>
        </w:tabs>
        <w:snapToGrid w:val="false"/>
        <w:spacing w:lineRule="auto" w:line="276" w:before="120" w:after="120"/>
        <w:contextualSpacing/>
        <w:jc w:val="both"/>
        <w:rPr>
          <w:szCs w:val="20"/>
        </w:rPr>
      </w:pPr>
      <w:r>
        <w:rPr>
          <w:rFonts w:cs="Arial"/>
          <w:b/>
          <w:color w:val="000000"/>
          <w:szCs w:val="20"/>
        </w:rPr>
        <w:t>Filial, sucursal ou agência</w:t>
      </w:r>
      <w:r>
        <w:rPr>
          <w:rFonts w:cs="Arial"/>
          <w:color w:val="000000"/>
          <w:szCs w:val="20"/>
        </w:rPr>
        <w:t xml:space="preserve"> </w:t>
      </w:r>
      <w:r>
        <w:rPr>
          <w:rFonts w:cs="Arial"/>
          <w:b/>
          <w:color w:val="000000"/>
          <w:szCs w:val="20"/>
        </w:rPr>
        <w:t>de sociedade simples ou empresária</w:t>
      </w:r>
      <w:r>
        <w:rPr>
          <w:rFonts w:cs="Arial"/>
          <w:color w:val="000000"/>
          <w:szCs w:val="20"/>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0"/>
          <w:numId w:val="0"/>
        </w:numPr>
        <w:tabs>
          <w:tab w:val="clear" w:pos="708"/>
          <w:tab w:val="left" w:pos="1440" w:leader="none"/>
        </w:tabs>
        <w:snapToGrid w:val="false"/>
        <w:spacing w:lineRule="auto" w:line="276" w:before="120" w:after="120"/>
        <w:ind w:left="2290" w:hanging="0"/>
        <w:contextualSpacing/>
        <w:jc w:val="both"/>
        <w:rPr>
          <w:szCs w:val="20"/>
        </w:rPr>
      </w:pPr>
      <w:r>
        <w:rPr>
          <w:szCs w:val="20"/>
        </w:rPr>
      </w:r>
    </w:p>
    <w:p>
      <w:pPr>
        <w:pStyle w:val="ListParagraph"/>
        <w:numPr>
          <w:ilvl w:val="2"/>
          <w:numId w:val="6"/>
        </w:numPr>
        <w:tabs>
          <w:tab w:val="clear" w:pos="708"/>
          <w:tab w:val="left" w:pos="1440" w:leader="none"/>
        </w:tabs>
        <w:snapToGrid w:val="false"/>
        <w:spacing w:lineRule="auto" w:line="276" w:before="120" w:after="120"/>
        <w:contextualSpacing/>
        <w:jc w:val="both"/>
        <w:rPr>
          <w:rFonts w:cs="Arial"/>
          <w:bCs/>
          <w:color w:val="000000"/>
          <w:szCs w:val="20"/>
        </w:rPr>
      </w:pPr>
      <w:r>
        <w:rPr>
          <w:rFonts w:cs="Arial"/>
          <w:bCs/>
          <w:color w:val="000000"/>
          <w:szCs w:val="20"/>
        </w:rPr>
        <w:t>Os documentos apresentados deverão estar acompanhados de todas as alterações ou da consolidação respectiva.</w:t>
      </w:r>
    </w:p>
    <w:p>
      <w:pPr>
        <w:pStyle w:val="ListParagraph"/>
        <w:numPr>
          <w:ilvl w:val="1"/>
          <w:numId w:val="6"/>
        </w:numPr>
        <w:spacing w:lineRule="auto" w:line="276" w:before="120" w:after="120"/>
        <w:contextualSpacing/>
        <w:jc w:val="both"/>
        <w:rPr>
          <w:rFonts w:eastAsia="WenQuanYi Micro Hei" w:cs="Arial"/>
          <w:b/>
          <w:b/>
          <w:bCs/>
          <w:color w:val="000000"/>
          <w:szCs w:val="20"/>
          <w:lang w:eastAsia="zh-CN" w:bidi="hi-IN"/>
        </w:rPr>
      </w:pPr>
      <w:r>
        <w:rPr>
          <w:rFonts w:eastAsia="WenQuanYi Micro Hei" w:cs="Arial"/>
          <w:b/>
          <w:bCs/>
          <w:color w:val="000000"/>
          <w:szCs w:val="20"/>
          <w:lang w:eastAsia="zh-CN" w:bidi="hi-IN"/>
        </w:rPr>
        <w:t>Habilitações fiscal, social e trabalhista:</w:t>
      </w:r>
    </w:p>
    <w:p>
      <w:pPr>
        <w:pStyle w:val="ListParagraph"/>
        <w:numPr>
          <w:ilvl w:val="0"/>
          <w:numId w:val="0"/>
        </w:numPr>
        <w:tabs>
          <w:tab w:val="clear" w:pos="708"/>
          <w:tab w:val="left" w:pos="1440" w:leader="none"/>
        </w:tabs>
        <w:snapToGrid w:val="false"/>
        <w:spacing w:lineRule="auto" w:line="276" w:before="120" w:after="120"/>
        <w:ind w:left="3010" w:hanging="0"/>
        <w:contextualSpacing/>
        <w:jc w:val="both"/>
        <w:rPr>
          <w:rFonts w:eastAsia="Calibri" w:cs="Arial"/>
          <w:i/>
          <w:i/>
          <w:iCs/>
          <w:color w:val="FF0000"/>
          <w:szCs w:val="20"/>
          <w:lang w:eastAsia="en-US"/>
        </w:rPr>
      </w:pPr>
      <w:r>
        <w:rPr>
          <w:rFonts w:eastAsia="Calibri" w:cs="Arial"/>
          <w:i/>
          <w:iCs/>
          <w:color w:val="FF0000"/>
          <w:szCs w:val="20"/>
          <w:lang w:eastAsia="en-US"/>
        </w:rPr>
      </w:r>
    </w:p>
    <w:p>
      <w:pPr>
        <w:pStyle w:val="ListParagraph"/>
        <w:numPr>
          <w:ilvl w:val="2"/>
          <w:numId w:val="6"/>
        </w:numPr>
        <w:tabs>
          <w:tab w:val="clear" w:pos="708"/>
          <w:tab w:val="left" w:pos="1440" w:leader="none"/>
        </w:tabs>
        <w:snapToGrid w:val="false"/>
        <w:spacing w:lineRule="auto" w:line="276" w:before="120" w:after="120"/>
        <w:contextualSpacing/>
        <w:jc w:val="both"/>
        <w:rPr>
          <w:rFonts w:cs="Arial"/>
          <w:szCs w:val="20"/>
        </w:rPr>
      </w:pPr>
      <w:r>
        <w:rPr>
          <w:rFonts w:cs="Arial"/>
          <w:szCs w:val="20"/>
        </w:rPr>
        <w:t>prova de inscrição no Cadastro Nacional da Pessoa Jurídica (CNPJ);</w:t>
      </w:r>
    </w:p>
    <w:p>
      <w:pPr>
        <w:pStyle w:val="ListParagraph"/>
        <w:numPr>
          <w:ilvl w:val="2"/>
          <w:numId w:val="6"/>
        </w:numPr>
        <w:tabs>
          <w:tab w:val="clear" w:pos="708"/>
          <w:tab w:val="left" w:pos="1440" w:leader="none"/>
        </w:tabs>
        <w:snapToGrid w:val="false"/>
        <w:spacing w:lineRule="auto" w:line="276" w:before="120" w:after="120"/>
        <w:contextualSpacing/>
        <w:jc w:val="both"/>
        <w:rPr>
          <w:rFonts w:cs="Arial"/>
          <w:szCs w:val="20"/>
        </w:rPr>
      </w:pPr>
      <w:r>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ListParagraph"/>
        <w:numPr>
          <w:ilvl w:val="2"/>
          <w:numId w:val="6"/>
        </w:numPr>
        <w:tabs>
          <w:tab w:val="clear" w:pos="708"/>
          <w:tab w:val="left" w:pos="1440" w:leader="none"/>
        </w:tabs>
        <w:snapToGrid w:val="false"/>
        <w:spacing w:lineRule="auto" w:line="276" w:before="120" w:after="120"/>
        <w:contextualSpacing/>
        <w:jc w:val="both"/>
        <w:rPr>
          <w:rFonts w:cs="Arial"/>
          <w:color w:val="000000"/>
          <w:szCs w:val="20"/>
        </w:rPr>
      </w:pPr>
      <w:r>
        <w:rPr>
          <w:rFonts w:cs="Arial"/>
          <w:color w:val="000000"/>
          <w:szCs w:val="20"/>
        </w:rPr>
        <w:t xml:space="preserve">prova </w:t>
      </w:r>
      <w:r>
        <w:rPr>
          <w:rFonts w:cs="Arial"/>
          <w:szCs w:val="20"/>
        </w:rPr>
        <w:t>de</w:t>
      </w:r>
      <w:r>
        <w:rPr>
          <w:rFonts w:cs="Arial"/>
          <w:color w:val="000000"/>
          <w:szCs w:val="20"/>
        </w:rPr>
        <w:t xml:space="preserve"> regularidade com o Fundo de Garantia do Tempo de Serviço (FGTS);</w:t>
      </w:r>
    </w:p>
    <w:p>
      <w:pPr>
        <w:pStyle w:val="ListParagraph"/>
        <w:numPr>
          <w:ilvl w:val="2"/>
          <w:numId w:val="6"/>
        </w:numPr>
        <w:tabs>
          <w:tab w:val="clear" w:pos="708"/>
          <w:tab w:val="left" w:pos="1440" w:leader="none"/>
        </w:tabs>
        <w:snapToGrid w:val="false"/>
        <w:spacing w:lineRule="auto" w:line="276" w:before="120" w:after="120"/>
        <w:contextualSpacing/>
        <w:jc w:val="both"/>
        <w:rPr>
          <w:rFonts w:cs="Arial"/>
          <w:bCs/>
          <w:szCs w:val="20"/>
        </w:rPr>
      </w:pPr>
      <w:r>
        <w:rPr>
          <w:rFonts w:cs="Arial"/>
          <w:bCs/>
          <w:szCs w:val="20"/>
        </w:rPr>
        <w:t>declaração de que não emprega menor de 18 anos em trabalho noturno, perigoso ou insalubre e não emprega menor de 16 anos, salvo menor, a partir de 14 anos, na condição de aprendiz, nos termos do artigo 7°, XXXIII, da Constituição;</w:t>
      </w:r>
    </w:p>
    <w:p>
      <w:pPr>
        <w:pStyle w:val="ListParagraph"/>
        <w:numPr>
          <w:ilvl w:val="2"/>
          <w:numId w:val="6"/>
        </w:numPr>
        <w:tabs>
          <w:tab w:val="clear" w:pos="708"/>
          <w:tab w:val="left" w:pos="1440" w:leader="none"/>
        </w:tabs>
        <w:snapToGrid w:val="false"/>
        <w:spacing w:lineRule="auto" w:line="276" w:before="120" w:after="120"/>
        <w:contextualSpacing/>
        <w:jc w:val="both"/>
        <w:rPr>
          <w:rFonts w:cs="Arial"/>
          <w:szCs w:val="20"/>
        </w:rPr>
      </w:pPr>
      <w:r>
        <w:rPr>
          <w:rFonts w:cs="Arial"/>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ListParagraph"/>
        <w:numPr>
          <w:ilvl w:val="2"/>
          <w:numId w:val="6"/>
        </w:numPr>
        <w:tabs>
          <w:tab w:val="clear" w:pos="708"/>
          <w:tab w:val="left" w:pos="1440" w:leader="none"/>
        </w:tabs>
        <w:snapToGrid w:val="false"/>
        <w:spacing w:lineRule="auto" w:line="276" w:before="120" w:after="120"/>
        <w:contextualSpacing/>
        <w:jc w:val="both"/>
        <w:rPr>
          <w:rFonts w:cs="DejaVu Sans"/>
          <w:szCs w:val="20"/>
        </w:rPr>
      </w:pPr>
      <w:r>
        <w:rPr>
          <w:rFonts w:cs="Arial"/>
          <w:bCs/>
          <w:szCs w:val="20"/>
        </w:rPr>
        <w:t xml:space="preserve">prova de </w:t>
      </w:r>
      <w:r>
        <w:rPr>
          <w:rFonts w:cs="Arial"/>
          <w:color w:val="000000"/>
          <w:szCs w:val="20"/>
        </w:rPr>
        <w:t xml:space="preserve">inscrição no cadastro de contribuintes </w:t>
      </w:r>
      <w:r>
        <w:rPr>
          <w:rFonts w:cs="Arial"/>
          <w:i/>
          <w:color w:val="FF0000"/>
          <w:szCs w:val="20"/>
        </w:rPr>
        <w:t>estadual/municipal/distrital</w:t>
      </w:r>
      <w:r>
        <w:rPr>
          <w:rFonts w:cs="Arial"/>
          <w:szCs w:val="20"/>
        </w:rPr>
        <w:t xml:space="preserve">, </w:t>
      </w:r>
      <w:r>
        <w:rPr>
          <w:rFonts w:cs="Arial"/>
          <w:color w:val="000000"/>
          <w:szCs w:val="20"/>
        </w:rPr>
        <w:t>se houver, relativo ao domicílio ou sede do fornecedor, pertinente ao seu ramo de atividade e compatível com o objeto contratual</w:t>
      </w:r>
      <w:r>
        <w:rPr>
          <w:rFonts w:cs="Arial"/>
          <w:bCs/>
          <w:color w:val="000000"/>
          <w:szCs w:val="20"/>
        </w:rPr>
        <w:t>;</w:t>
      </w:r>
    </w:p>
    <w:p>
      <w:pPr>
        <w:pStyle w:val="ListParagraph"/>
        <w:numPr>
          <w:ilvl w:val="2"/>
          <w:numId w:val="6"/>
        </w:numPr>
        <w:tabs>
          <w:tab w:val="clear" w:pos="708"/>
          <w:tab w:val="left" w:pos="1440" w:leader="none"/>
        </w:tabs>
        <w:snapToGrid w:val="false"/>
        <w:spacing w:lineRule="auto" w:line="276" w:before="120" w:after="120"/>
        <w:contextualSpacing/>
        <w:jc w:val="both"/>
        <w:rPr>
          <w:rFonts w:cs="DejaVu Sans"/>
          <w:szCs w:val="20"/>
        </w:rPr>
      </w:pPr>
      <w:r>
        <w:rPr>
          <w:rFonts w:cs="Arial"/>
          <w:bCs/>
          <w:color w:val="000000"/>
          <w:szCs w:val="20"/>
        </w:rPr>
        <w:t xml:space="preserve">O fornecedor enquadrado como microempreendedor individual que pretenda auferir os benefícios do tratamento diferenciado previstos na </w:t>
      </w:r>
      <w:hyperlink r:id="rId17">
        <w:r>
          <w:rPr>
            <w:rStyle w:val="LinkdaInternet"/>
            <w:rFonts w:cs="Arial"/>
            <w:bCs/>
            <w:szCs w:val="20"/>
          </w:rPr>
          <w:t>Lei Complementar n. 123, de 2006</w:t>
        </w:r>
      </w:hyperlink>
      <w:r>
        <w:rPr>
          <w:rFonts w:cs="Arial"/>
          <w:bCs/>
          <w:color w:val="000000"/>
          <w:szCs w:val="20"/>
        </w:rPr>
        <w:t>, estará dispensado da prova de inscrição nos cadastros de contribuintes estadual e municipal.</w:t>
      </w:r>
    </w:p>
    <w:p>
      <w:pPr>
        <w:pStyle w:val="ListParagraph"/>
        <w:numPr>
          <w:ilvl w:val="2"/>
          <w:numId w:val="6"/>
        </w:numPr>
        <w:tabs>
          <w:tab w:val="clear" w:pos="708"/>
          <w:tab w:val="left" w:pos="1440" w:leader="none"/>
        </w:tabs>
        <w:snapToGrid w:val="false"/>
        <w:spacing w:lineRule="auto" w:line="276" w:before="120" w:after="120"/>
        <w:contextualSpacing/>
        <w:jc w:val="both"/>
        <w:rPr>
          <w:rFonts w:cs="DejaVu Sans"/>
          <w:szCs w:val="20"/>
        </w:rPr>
      </w:pPr>
      <w:r>
        <w:rPr>
          <w:rFonts w:cs="Arial"/>
          <w:szCs w:val="20"/>
        </w:rPr>
        <w:t xml:space="preserve">prova de </w:t>
      </w:r>
      <w:r>
        <w:rPr>
          <w:rFonts w:cs="Arial"/>
          <w:bCs/>
          <w:szCs w:val="20"/>
        </w:rPr>
        <w:t>regularidade</w:t>
      </w:r>
      <w:r>
        <w:rPr>
          <w:rFonts w:cs="Arial"/>
          <w:szCs w:val="20"/>
        </w:rPr>
        <w:t xml:space="preserve"> com a Fazenda </w:t>
      </w:r>
      <w:r>
        <w:rPr>
          <w:rFonts w:cs="Arial"/>
          <w:i/>
          <w:color w:val="FF0000"/>
          <w:szCs w:val="20"/>
        </w:rPr>
        <w:t>Estadual/Municipal</w:t>
      </w:r>
      <w:r>
        <w:rPr>
          <w:rFonts w:cs="Arial"/>
          <w:szCs w:val="20"/>
        </w:rPr>
        <w:t xml:space="preserve"> ou Distrital</w:t>
      </w:r>
      <w:r>
        <w:rPr>
          <w:rFonts w:cs="Arial"/>
          <w:i/>
          <w:iCs/>
          <w:szCs w:val="20"/>
        </w:rPr>
        <w:t xml:space="preserve"> </w:t>
      </w:r>
      <w:r>
        <w:rPr>
          <w:rFonts w:cs="Arial"/>
          <w:szCs w:val="20"/>
        </w:rPr>
        <w:t xml:space="preserve">do domicílio ou sede do fornecedor, relativa à </w:t>
      </w:r>
      <w:r>
        <w:rPr>
          <w:rFonts w:cs="Arial"/>
          <w:bCs/>
          <w:szCs w:val="20"/>
        </w:rPr>
        <w:t>atividade</w:t>
      </w:r>
      <w:r>
        <w:rPr>
          <w:rFonts w:cs="Arial"/>
          <w:szCs w:val="20"/>
        </w:rPr>
        <w:t xml:space="preserve"> em cujo exercício contrata ou concorre; </w:t>
      </w:r>
    </w:p>
    <w:p>
      <w:pPr>
        <w:pStyle w:val="ListParagraph"/>
        <w:numPr>
          <w:ilvl w:val="3"/>
          <w:numId w:val="6"/>
        </w:numPr>
        <w:tabs>
          <w:tab w:val="clear" w:pos="708"/>
          <w:tab w:val="left" w:pos="1440" w:leader="none"/>
        </w:tabs>
        <w:snapToGrid w:val="false"/>
        <w:spacing w:lineRule="auto" w:line="276" w:before="120" w:after="120"/>
        <w:contextualSpacing/>
        <w:jc w:val="both"/>
        <w:rPr>
          <w:szCs w:val="20"/>
        </w:rPr>
      </w:pPr>
      <w:r>
        <w:rPr>
          <w:rFonts w:cs="Arial"/>
          <w:bCs/>
          <w:color w:val="000000"/>
          <w:szCs w:val="20"/>
        </w:rPr>
        <w:t xml:space="preserve">caso o fornecedor seja considerado isento dos tributos </w:t>
      </w:r>
      <w:r>
        <w:rPr>
          <w:rFonts w:cs="Arial"/>
          <w:bCs/>
          <w:i/>
          <w:color w:val="FF0000"/>
          <w:szCs w:val="20"/>
        </w:rPr>
        <w:t>estaduais</w:t>
      </w:r>
      <w:r>
        <w:rPr>
          <w:rFonts w:cs="Arial"/>
          <w:bCs/>
          <w:i/>
          <w:iCs/>
          <w:color w:val="FF0000"/>
          <w:szCs w:val="20"/>
        </w:rPr>
        <w:t>/municipais</w:t>
      </w:r>
      <w:r>
        <w:rPr>
          <w:rFonts w:cs="Arial"/>
          <w:bCs/>
          <w:iCs/>
          <w:color w:val="000000"/>
          <w:szCs w:val="20"/>
        </w:rPr>
        <w:t xml:space="preserve"> ou distritais</w:t>
      </w:r>
      <w:r>
        <w:rPr>
          <w:rFonts w:cs="Arial"/>
          <w:bCs/>
          <w:color w:val="000000"/>
          <w:szCs w:val="20"/>
        </w:rPr>
        <w:t xml:space="preserve"> relacionados ao objeto, deverá comprovar tal condição mediante a apresentação de certidão ou declaração da Fazenda respectiva do seu domicílio ou sede, ou por meio de outro documento equivalente, na forma da respectiva legislação de regência.</w:t>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ListParagraph"/>
        <w:ind w:left="360" w:hanging="0"/>
        <w:rPr>
          <w:rFonts w:eastAsia="WenQuanYi Micro Hei" w:cs="Arial"/>
          <w:color w:val="000000"/>
          <w:szCs w:val="20"/>
          <w:highlight w:val="green"/>
          <w:lang w:eastAsia="zh-CN" w:bidi="hi-IN"/>
        </w:rPr>
      </w:pPr>
      <w:r>
        <w:rPr>
          <w:rFonts w:eastAsia="WenQuanYi Micro Hei" w:cs="Arial"/>
          <w:color w:val="000000"/>
          <w:szCs w:val="20"/>
          <w:highlight w:val="green"/>
          <w:lang w:eastAsia="zh-CN" w:bidi="hi-IN"/>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t>ANEXO II – DOCUMENTO DE FORMALIZAÇÃO DA DEMANDA</w:t>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p>
      <w:pPr>
        <w:sectPr>
          <w:headerReference w:type="default" r:id="rId18"/>
          <w:headerReference w:type="first" r:id="rId19"/>
          <w:footerReference w:type="default" r:id="rId20"/>
          <w:type w:val="nextPage"/>
          <w:pgSz w:w="11906" w:h="16838"/>
          <w:pgMar w:left="1701" w:right="1701" w:header="0" w:top="1417" w:footer="708" w:bottom="1417" w:gutter="0"/>
          <w:pgNumType w:fmt="decimal"/>
          <w:formProt w:val="false"/>
          <w:titlePg/>
          <w:textDirection w:val="lrTb"/>
          <w:docGrid w:type="default" w:linePitch="360" w:charSpace="0"/>
        </w:sectPr>
        <w:pStyle w:val="Normal"/>
        <w:spacing w:lineRule="auto" w:line="276" w:before="120" w:after="120"/>
        <w:ind w:left="360" w:hanging="0"/>
        <w:jc w:val="both"/>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tbl>
      <w:tblPr>
        <w:tblW w:w="9980" w:type="dxa"/>
        <w:jc w:val="left"/>
        <w:tblInd w:w="-86" w:type="dxa"/>
        <w:tblCellMar>
          <w:top w:w="55" w:type="dxa"/>
          <w:left w:w="52" w:type="dxa"/>
          <w:bottom w:w="55" w:type="dxa"/>
          <w:right w:w="55" w:type="dxa"/>
        </w:tblCellMar>
      </w:tblPr>
      <w:tblGrid>
        <w:gridCol w:w="9980"/>
      </w:tblGrid>
      <w:tr>
        <w:trPr>
          <w:trHeight w:val="2338" w:hRule="atLeast"/>
        </w:trPr>
        <w:tc>
          <w:tcPr>
            <w:tcW w:w="9980" w:type="dxa"/>
            <w:tcBorders>
              <w:top w:val="single" w:sz="2" w:space="0" w:color="008000"/>
              <w:left w:val="single" w:sz="2" w:space="0" w:color="008000"/>
              <w:bottom w:val="single" w:sz="2" w:space="0" w:color="008000"/>
              <w:right w:val="single" w:sz="2" w:space="0" w:color="008000"/>
            </w:tcBorders>
            <w:shd w:fill="auto" w:val="clear"/>
          </w:tcPr>
          <w:p>
            <w:pPr>
              <w:pStyle w:val="Standard"/>
              <w:bidi w:val="0"/>
              <w:snapToGrid w:val="false"/>
              <w:ind w:left="0" w:right="0" w:firstLine="851"/>
              <w:jc w:val="left"/>
              <w:rPr>
                <w:rFonts w:ascii="Arial" w:hAnsi="Arial" w:eastAsia="Times New Roman" w:cs="Arial"/>
                <w:b/>
                <w:b/>
                <w:color w:val="auto"/>
                <w:kern w:val="0"/>
                <w:sz w:val="20"/>
                <w:szCs w:val="20"/>
                <w:lang w:val="pt-BR" w:eastAsia="ar-SA" w:bidi="ar-SA"/>
              </w:rPr>
            </w:pPr>
            <w:r>
              <w:rPr>
                <w:rFonts w:eastAsia="Times New Roman" w:cs="Arial" w:ascii="Arial" w:hAnsi="Arial"/>
                <w:b/>
                <w:color w:val="auto"/>
                <w:kern w:val="0"/>
                <w:sz w:val="20"/>
                <w:szCs w:val="20"/>
                <w:lang w:val="pt-BR" w:eastAsia="ar-SA" w:bidi="ar-SA"/>
              </w:rPr>
              <w:drawing>
                <wp:anchor behindDoc="0" distT="0" distB="0" distL="0" distR="0" simplePos="0" locked="0" layoutInCell="1" allowOverlap="1" relativeHeight="4">
                  <wp:simplePos x="0" y="0"/>
                  <wp:positionH relativeFrom="column">
                    <wp:posOffset>2698115</wp:posOffset>
                  </wp:positionH>
                  <wp:positionV relativeFrom="paragraph">
                    <wp:posOffset>87630</wp:posOffset>
                  </wp:positionV>
                  <wp:extent cx="824230" cy="280035"/>
                  <wp:effectExtent l="0" t="0" r="0" b="0"/>
                  <wp:wrapSquare wrapText="largest"/>
                  <wp:docPr id="3"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3" descr=""/>
                          <pic:cNvPicPr>
                            <a:picLocks noChangeAspect="1" noChangeArrowheads="1"/>
                          </pic:cNvPicPr>
                        </pic:nvPicPr>
                        <pic:blipFill>
                          <a:blip r:embed="rId21"/>
                          <a:srcRect l="-30" t="-30" r="-30" b="-30"/>
                          <a:stretch>
                            <a:fillRect/>
                          </a:stretch>
                        </pic:blipFill>
                        <pic:spPr bwMode="auto">
                          <a:xfrm>
                            <a:off x="0" y="0"/>
                            <a:ext cx="824230" cy="280035"/>
                          </a:xfrm>
                          <a:prstGeom prst="rect">
                            <a:avLst/>
                          </a:prstGeom>
                        </pic:spPr>
                      </pic:pic>
                    </a:graphicData>
                  </a:graphic>
                </wp:anchor>
              </w:drawing>
            </w:r>
          </w:p>
          <w:p>
            <w:pPr>
              <w:pStyle w:val="Standard"/>
              <w:bidi w:val="0"/>
              <w:ind w:left="0" w:right="0" w:firstLine="851"/>
              <w:jc w:val="left"/>
              <w:rPr>
                <w:rFonts w:ascii="Times New Roman" w:hAnsi="Times New Roman" w:eastAsia="Times New Roman" w:cs="Times New Roman"/>
                <w:b/>
                <w:b/>
                <w:bCs/>
                <w:sz w:val="18"/>
                <w:szCs w:val="20"/>
              </w:rPr>
            </w:pPr>
            <w:r>
              <w:rPr>
                <w:rFonts w:eastAsia="Times New Roman" w:cs="Times New Roman" w:ascii="Times New Roman" w:hAnsi="Times New Roman"/>
                <w:b/>
                <w:bCs/>
                <w:sz w:val="18"/>
                <w:szCs w:val="20"/>
              </w:rPr>
              <w:t xml:space="preserve">                                                                             </w:t>
            </w:r>
          </w:p>
          <w:p>
            <w:pPr>
              <w:pStyle w:val="Standard"/>
              <w:bidi w:val="0"/>
              <w:ind w:left="0" w:right="0" w:firstLine="851"/>
              <w:jc w:val="center"/>
              <w:rPr>
                <w:rFonts w:ascii="Times New Roman" w:hAnsi="Times New Roman" w:cs="Times New Roman"/>
                <w:b/>
                <w:b/>
                <w:bCs/>
                <w:sz w:val="18"/>
                <w:szCs w:val="20"/>
              </w:rPr>
            </w:pPr>
            <w:r>
              <w:rPr>
                <w:rFonts w:cs="Times New Roman" w:ascii="Times New Roman" w:hAnsi="Times New Roman"/>
                <w:b/>
                <w:bCs/>
                <w:sz w:val="18"/>
                <w:szCs w:val="20"/>
              </w:rPr>
            </w:r>
          </w:p>
          <w:p>
            <w:pPr>
              <w:pStyle w:val="Standard"/>
              <w:bidi w:val="0"/>
              <w:jc w:val="center"/>
              <w:rPr>
                <w:rFonts w:ascii="Times New Roman" w:hAnsi="Times New Roman" w:cs="Times New Roman"/>
                <w:b/>
                <w:b/>
                <w:bCs/>
                <w:sz w:val="20"/>
                <w:szCs w:val="20"/>
              </w:rPr>
            </w:pPr>
            <w:r>
              <w:rPr>
                <w:rFonts w:cs="Times New Roman" w:ascii="Times New Roman" w:hAnsi="Times New Roman"/>
                <w:b/>
                <w:bCs/>
                <w:sz w:val="20"/>
                <w:szCs w:val="20"/>
              </w:rPr>
              <w:t>MINISTÉRIO DA DEFESA</w:t>
            </w:r>
          </w:p>
          <w:p>
            <w:pPr>
              <w:pStyle w:val="Standard"/>
              <w:bidi w:val="0"/>
              <w:jc w:val="center"/>
              <w:rPr>
                <w:rFonts w:ascii="Times New Roman" w:hAnsi="Times New Roman" w:cs="Times New Roman"/>
                <w:b/>
                <w:b/>
                <w:sz w:val="20"/>
                <w:szCs w:val="20"/>
              </w:rPr>
            </w:pPr>
            <w:r>
              <w:rPr>
                <w:rFonts w:cs="Times New Roman" w:ascii="Times New Roman" w:hAnsi="Times New Roman"/>
                <w:b/>
                <w:sz w:val="20"/>
                <w:szCs w:val="20"/>
              </w:rPr>
              <w:t>EXÉRCITO BRASILEIRO</w:t>
            </w:r>
          </w:p>
          <w:p>
            <w:pPr>
              <w:pStyle w:val="Normal"/>
              <w:jc w:val="center"/>
              <w:rPr>
                <w:b/>
                <w:b/>
                <w:bCs/>
              </w:rPr>
            </w:pPr>
            <w:r>
              <w:rPr>
                <w:b/>
                <w:bCs/>
              </w:rPr>
              <w:t>CMS – 3ª DE – 6ª BDA INF BLD</w:t>
            </w:r>
          </w:p>
          <w:p>
            <w:pPr>
              <w:pStyle w:val="Normal"/>
              <w:jc w:val="center"/>
              <w:rPr>
                <w:b/>
                <w:b/>
                <w:bCs/>
              </w:rPr>
            </w:pPr>
            <w:r>
              <w:rPr>
                <w:b/>
                <w:bCs/>
              </w:rPr>
              <w:t xml:space="preserve">4º BATALHÃO LOGÍSTICO </w:t>
            </w:r>
          </w:p>
          <w:p>
            <w:pPr>
              <w:pStyle w:val="Normal"/>
              <w:jc w:val="center"/>
              <w:rPr>
                <w:b/>
                <w:b/>
                <w:bCs/>
              </w:rPr>
            </w:pPr>
            <w:r>
              <w:rPr>
                <w:b/>
                <w:bCs/>
              </w:rPr>
              <w:t>(Nu 4ª Cia Esp Mnt/1944)</w:t>
            </w:r>
          </w:p>
          <w:p>
            <w:pPr>
              <w:pStyle w:val="Normal"/>
              <w:tabs>
                <w:tab w:val="clear" w:pos="708"/>
                <w:tab w:val="right" w:pos="-1134" w:leader="none"/>
                <w:tab w:val="center" w:pos="4677" w:leader="none"/>
              </w:tabs>
              <w:jc w:val="center"/>
              <w:rPr>
                <w:rFonts w:ascii="Arial" w:hAnsi="Arial" w:eastAsia="Times New Roman" w:cs="Arial"/>
                <w:b/>
                <w:b/>
                <w:color w:val="auto"/>
                <w:kern w:val="0"/>
                <w:sz w:val="20"/>
                <w:szCs w:val="20"/>
                <w:lang w:val="pt-BR" w:eastAsia="ar-SA" w:bidi="ar-SA"/>
              </w:rPr>
            </w:pPr>
            <w:r>
              <w:rPr>
                <w:rFonts w:eastAsia="Times New Roman" w:cs="Times New Roman" w:ascii="Times New Roman" w:hAnsi="Times New Roman"/>
                <w:b/>
                <w:bCs/>
                <w:sz w:val="20"/>
                <w:szCs w:val="20"/>
              </w:rPr>
              <w:t>“</w:t>
            </w:r>
            <w:r>
              <w:rPr>
                <w:rFonts w:cs="Times New Roman" w:ascii="Times New Roman" w:hAnsi="Times New Roman"/>
                <w:b/>
                <w:bCs/>
                <w:sz w:val="20"/>
                <w:szCs w:val="20"/>
              </w:rPr>
              <w:t>BATALHÃO CAPITÃO CIRILO COSTABEBER”</w:t>
            </w:r>
          </w:p>
          <w:p>
            <w:pPr>
              <w:pStyle w:val="Standard"/>
              <w:bidi w:val="0"/>
              <w:jc w:val="center"/>
              <w:rPr>
                <w:rFonts w:ascii="Times New Roman" w:hAnsi="Times New Roman" w:cs="Times New Roman"/>
                <w:b/>
                <w:b/>
                <w:bCs/>
                <w:sz w:val="18"/>
                <w:szCs w:val="18"/>
              </w:rPr>
            </w:pPr>
            <w:r>
              <w:rPr>
                <w:rFonts w:cs="Times New Roman" w:ascii="Times New Roman" w:hAnsi="Times New Roman"/>
                <w:b/>
                <w:bCs/>
                <w:sz w:val="18"/>
                <w:szCs w:val="18"/>
              </w:rPr>
            </w:r>
          </w:p>
        </w:tc>
      </w:tr>
      <w:tr>
        <w:trPr>
          <w:trHeight w:val="206" w:hRule="atLeast"/>
        </w:trPr>
        <w:tc>
          <w:tcPr>
            <w:tcW w:w="9980" w:type="dxa"/>
            <w:tcBorders>
              <w:top w:val="single" w:sz="2" w:space="0" w:color="008000"/>
              <w:left w:val="single" w:sz="2" w:space="0" w:color="008000"/>
              <w:bottom w:val="single" w:sz="2" w:space="0" w:color="008000"/>
              <w:right w:val="single" w:sz="2" w:space="0" w:color="008000"/>
            </w:tcBorders>
            <w:shd w:fill="DDDDDD" w:val="clear"/>
          </w:tcPr>
          <w:p>
            <w:pPr>
              <w:pStyle w:val="Standard"/>
              <w:bidi w:val="0"/>
              <w:spacing w:lineRule="atLeast" w:line="100"/>
              <w:jc w:val="center"/>
              <w:rPr>
                <w:rFonts w:ascii="Times New Roman" w:hAnsi="Times New Roman" w:cs="Times New Roman"/>
                <w:b/>
                <w:b/>
                <w:bCs/>
                <w:color w:val="000000"/>
                <w:sz w:val="20"/>
                <w:szCs w:val="20"/>
              </w:rPr>
            </w:pPr>
            <w:r>
              <w:rPr>
                <w:rFonts w:cs="Times New Roman" w:ascii="Times New Roman" w:hAnsi="Times New Roman"/>
                <w:b/>
                <w:bCs/>
                <w:color w:val="000000"/>
                <w:sz w:val="20"/>
                <w:szCs w:val="20"/>
              </w:rPr>
              <w:t>DOCUMENTO DE FORMALIZAÇÃO DA DEMANDA – DFD nº 02/2023 – CFC VO</w:t>
            </w:r>
          </w:p>
        </w:tc>
      </w:tr>
      <w:tr>
        <w:trPr>
          <w:trHeight w:val="220" w:hRule="atLeast"/>
        </w:trPr>
        <w:tc>
          <w:tcPr>
            <w:tcW w:w="9980" w:type="dxa"/>
            <w:tcBorders>
              <w:top w:val="single" w:sz="2" w:space="0" w:color="008000"/>
              <w:left w:val="single" w:sz="2" w:space="0" w:color="008000"/>
              <w:bottom w:val="single" w:sz="2" w:space="0" w:color="008000"/>
              <w:right w:val="single" w:sz="2" w:space="0" w:color="008000"/>
            </w:tcBorders>
            <w:shd w:fill="auto" w:val="clear"/>
          </w:tcPr>
          <w:p>
            <w:pPr>
              <w:pStyle w:val="Contedodatabela"/>
              <w:bidi w:val="0"/>
              <w:jc w:val="both"/>
              <w:rPr>
                <w:rFonts w:ascii="Times New Roman" w:hAnsi="Times New Roman" w:cs="Times New Roman"/>
                <w:b/>
                <w:b/>
                <w:bCs/>
                <w:sz w:val="20"/>
                <w:szCs w:val="20"/>
              </w:rPr>
            </w:pPr>
            <w:r>
              <w:rPr>
                <w:rFonts w:cs="Times New Roman" w:ascii="Times New Roman" w:hAnsi="Times New Roman"/>
                <w:b/>
                <w:bCs/>
                <w:sz w:val="20"/>
                <w:szCs w:val="20"/>
              </w:rPr>
              <w:t>Órgão: 4º Batalhão Logístico</w:t>
            </w:r>
          </w:p>
        </w:tc>
      </w:tr>
      <w:tr>
        <w:trPr>
          <w:trHeight w:val="206" w:hRule="atLeast"/>
        </w:trPr>
        <w:tc>
          <w:tcPr>
            <w:tcW w:w="9980" w:type="dxa"/>
            <w:tcBorders>
              <w:top w:val="single" w:sz="2" w:space="0" w:color="008000"/>
              <w:left w:val="single" w:sz="2" w:space="0" w:color="008000"/>
              <w:bottom w:val="single" w:sz="2" w:space="0" w:color="008000"/>
              <w:right w:val="single" w:sz="2" w:space="0" w:color="008000"/>
            </w:tcBorders>
            <w:shd w:fill="auto" w:val="clear"/>
          </w:tcPr>
          <w:p>
            <w:pPr>
              <w:pStyle w:val="Contedodatabela"/>
              <w:bidi w:val="0"/>
              <w:jc w:val="both"/>
              <w:rPr>
                <w:rFonts w:ascii="Times New Roman" w:hAnsi="Times New Roman" w:cs="Times New Roman"/>
                <w:b/>
                <w:b/>
                <w:bCs/>
                <w:sz w:val="20"/>
                <w:szCs w:val="20"/>
              </w:rPr>
            </w:pPr>
            <w:r>
              <w:rPr>
                <w:rFonts w:cs="Times New Roman" w:ascii="Times New Roman" w:hAnsi="Times New Roman"/>
                <w:b/>
                <w:bCs/>
                <w:sz w:val="20"/>
                <w:szCs w:val="20"/>
              </w:rPr>
              <w:t>Setor Requisitante (Unidade/Setor/Depto): CFC Verde Oliva</w:t>
            </w:r>
          </w:p>
        </w:tc>
      </w:tr>
      <w:tr>
        <w:trPr>
          <w:trHeight w:val="25" w:hRule="atLeast"/>
        </w:trPr>
        <w:tc>
          <w:tcPr>
            <w:tcW w:w="9980" w:type="dxa"/>
            <w:tcBorders>
              <w:top w:val="single" w:sz="2" w:space="0" w:color="008000"/>
              <w:left w:val="single" w:sz="2" w:space="0" w:color="008000"/>
              <w:bottom w:val="single" w:sz="2" w:space="0" w:color="008000"/>
              <w:right w:val="single" w:sz="2" w:space="0" w:color="008000"/>
            </w:tcBorders>
            <w:shd w:fill="auto" w:val="clear"/>
          </w:tcPr>
          <w:p>
            <w:pPr>
              <w:pStyle w:val="Standard"/>
              <w:bidi w:val="0"/>
              <w:snapToGrid w:val="false"/>
              <w:jc w:val="left"/>
              <w:rPr>
                <w:rFonts w:ascii="Arial" w:hAnsi="Arial" w:eastAsia="Times New Roman" w:cs="Arial"/>
                <w:b/>
                <w:b/>
                <w:color w:val="auto"/>
                <w:kern w:val="0"/>
                <w:sz w:val="20"/>
                <w:szCs w:val="20"/>
                <w:lang w:val="pt-BR" w:eastAsia="ar-SA" w:bidi="ar-SA"/>
              </w:rPr>
            </w:pPr>
            <w:r>
              <w:rPr>
                <w:rFonts w:cs="Times New Roman" w:ascii="Times New Roman" w:hAnsi="Times New Roman"/>
                <w:b/>
                <w:bCs/>
                <w:sz w:val="20"/>
                <w:szCs w:val="20"/>
              </w:rPr>
              <w:t>Responsável pela Demanda:  S Ten Marcelo André Alves</w:t>
            </w:r>
          </w:p>
        </w:tc>
      </w:tr>
    </w:tbl>
    <w:p>
      <w:pPr>
        <w:pStyle w:val="Normal"/>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tbl>
      <w:tblPr>
        <w:tblW w:w="9995" w:type="dxa"/>
        <w:jc w:val="left"/>
        <w:tblInd w:w="-86" w:type="dxa"/>
        <w:tblCellMar>
          <w:top w:w="55" w:type="dxa"/>
          <w:left w:w="52" w:type="dxa"/>
          <w:bottom w:w="55" w:type="dxa"/>
          <w:right w:w="55" w:type="dxa"/>
        </w:tblCellMar>
      </w:tblPr>
      <w:tblGrid>
        <w:gridCol w:w="9995"/>
      </w:tblGrid>
      <w:tr>
        <w:trPr/>
        <w:tc>
          <w:tcPr>
            <w:tcW w:w="9995" w:type="dxa"/>
            <w:tcBorders>
              <w:top w:val="single" w:sz="2" w:space="0" w:color="008000"/>
              <w:left w:val="single" w:sz="2" w:space="0" w:color="008000"/>
              <w:bottom w:val="single" w:sz="2" w:space="0" w:color="008000"/>
              <w:right w:val="single" w:sz="2" w:space="0" w:color="008000"/>
            </w:tcBorders>
            <w:shd w:fill="DDDDDD" w:val="clear"/>
          </w:tcPr>
          <w:p>
            <w:pPr>
              <w:pStyle w:val="Contedodatabela"/>
              <w:bidi w:val="0"/>
              <w:jc w:val="both"/>
              <w:rPr>
                <w:rFonts w:ascii="Times New Roman" w:hAnsi="Times New Roman" w:cs="Times New Roman"/>
                <w:b/>
                <w:b/>
                <w:bCs/>
                <w:color w:val="000000"/>
                <w:sz w:val="20"/>
                <w:szCs w:val="20"/>
              </w:rPr>
            </w:pPr>
            <w:r>
              <w:rPr>
                <w:rFonts w:cs="Times New Roman" w:ascii="Times New Roman" w:hAnsi="Times New Roman"/>
                <w:b/>
                <w:bCs/>
                <w:color w:val="000000"/>
                <w:sz w:val="20"/>
                <w:szCs w:val="20"/>
              </w:rPr>
              <w:t>1. Objeto da Contratação:</w:t>
            </w:r>
          </w:p>
        </w:tc>
      </w:tr>
      <w:tr>
        <w:trPr>
          <w:trHeight w:val="327" w:hRule="atLeast"/>
        </w:trPr>
        <w:tc>
          <w:tcPr>
            <w:tcW w:w="9995" w:type="dxa"/>
            <w:tcBorders>
              <w:top w:val="single" w:sz="2" w:space="0" w:color="008000"/>
              <w:left w:val="single" w:sz="2" w:space="0" w:color="008000"/>
              <w:bottom w:val="single" w:sz="2" w:space="0" w:color="008000"/>
              <w:right w:val="single" w:sz="2" w:space="0" w:color="008000"/>
            </w:tcBorders>
            <w:shd w:fill="auto" w:val="clear"/>
          </w:tcPr>
          <w:p>
            <w:pPr>
              <w:pStyle w:val="Standard"/>
              <w:tabs>
                <w:tab w:val="clear" w:pos="708"/>
                <w:tab w:val="left" w:pos="450" w:leader="none"/>
              </w:tabs>
              <w:bidi w:val="0"/>
              <w:snapToGrid w:val="false"/>
              <w:spacing w:lineRule="atLeast" w:line="200" w:before="0" w:after="113"/>
              <w:jc w:val="both"/>
              <w:rPr>
                <w:rFonts w:ascii="Open Sans;Arial" w:hAnsi="Open Sans;Arial" w:cs="Open Sans;Arial"/>
                <w:b w:val="false"/>
                <w:b w:val="false"/>
                <w:bCs w:val="false"/>
                <w:color w:val="000000"/>
                <w:sz w:val="16"/>
                <w:szCs w:val="16"/>
              </w:rPr>
            </w:pPr>
            <w:r>
              <w:rPr>
                <w:rFonts w:cs="Open Sans;Arial" w:ascii="Open Sans;Arial" w:hAnsi="Open Sans;Arial"/>
                <w:b w:val="false"/>
                <w:bCs w:val="false"/>
                <w:color w:val="000000"/>
                <w:sz w:val="16"/>
                <w:szCs w:val="16"/>
              </w:rPr>
              <w:t>Cursos de Capacitação de pessoal, na área de trânsito, conforme previsto na Resolução CONTRAN nº 789, de 16 JUN 20.</w:t>
            </w:r>
          </w:p>
        </w:tc>
      </w:tr>
    </w:tbl>
    <w:p>
      <w:pPr>
        <w:pStyle w:val="Normal"/>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tbl>
      <w:tblPr>
        <w:tblW w:w="9995" w:type="dxa"/>
        <w:jc w:val="left"/>
        <w:tblInd w:w="-86" w:type="dxa"/>
        <w:tblCellMar>
          <w:top w:w="55" w:type="dxa"/>
          <w:left w:w="52" w:type="dxa"/>
          <w:bottom w:w="55" w:type="dxa"/>
          <w:right w:w="55" w:type="dxa"/>
        </w:tblCellMar>
      </w:tblPr>
      <w:tblGrid>
        <w:gridCol w:w="9995"/>
      </w:tblGrid>
      <w:tr>
        <w:trPr/>
        <w:tc>
          <w:tcPr>
            <w:tcW w:w="9995" w:type="dxa"/>
            <w:tcBorders>
              <w:top w:val="single" w:sz="2" w:space="0" w:color="008000"/>
              <w:left w:val="single" w:sz="2" w:space="0" w:color="008000"/>
              <w:bottom w:val="single" w:sz="2" w:space="0" w:color="008000"/>
              <w:right w:val="single" w:sz="2" w:space="0" w:color="008000"/>
            </w:tcBorders>
            <w:shd w:fill="DDDDDD" w:val="clear"/>
          </w:tcPr>
          <w:p>
            <w:pPr>
              <w:pStyle w:val="Contedodatabela"/>
              <w:bidi w:val="0"/>
              <w:jc w:val="both"/>
              <w:rPr>
                <w:rFonts w:ascii="Times New Roman" w:hAnsi="Times New Roman" w:cs="Times New Roman"/>
                <w:b/>
                <w:b/>
                <w:bCs/>
                <w:color w:val="000000"/>
                <w:sz w:val="20"/>
                <w:szCs w:val="20"/>
              </w:rPr>
            </w:pPr>
            <w:r>
              <w:rPr>
                <w:rFonts w:cs="Times New Roman" w:ascii="Times New Roman" w:hAnsi="Times New Roman"/>
                <w:b/>
                <w:bCs/>
                <w:color w:val="000000"/>
                <w:sz w:val="20"/>
                <w:szCs w:val="20"/>
              </w:rPr>
              <w:t>2. Justificativa da necessidade de aquisição do material OU prestação do serviço:</w:t>
            </w:r>
          </w:p>
        </w:tc>
      </w:tr>
      <w:tr>
        <w:trPr>
          <w:trHeight w:val="1585" w:hRule="atLeast"/>
        </w:trPr>
        <w:tc>
          <w:tcPr>
            <w:tcW w:w="9995" w:type="dxa"/>
            <w:tcBorders>
              <w:top w:val="single" w:sz="2" w:space="0" w:color="008000"/>
              <w:left w:val="single" w:sz="2" w:space="0" w:color="008000"/>
              <w:bottom w:val="single" w:sz="2" w:space="0" w:color="008000"/>
              <w:right w:val="single" w:sz="2" w:space="0" w:color="008000"/>
            </w:tcBorders>
            <w:shd w:fill="auto" w:val="clear"/>
          </w:tcPr>
          <w:p>
            <w:pPr>
              <w:pStyle w:val="Standard"/>
              <w:bidi w:val="0"/>
              <w:spacing w:lineRule="auto" w:line="240"/>
              <w:jc w:val="both"/>
              <w:rPr>
                <w:rFonts w:ascii="Arial" w:hAnsi="Arial" w:eastAsia="Times New Roman" w:cs="Arial"/>
                <w:b/>
                <w:b/>
                <w:color w:val="auto"/>
                <w:kern w:val="0"/>
                <w:sz w:val="20"/>
                <w:szCs w:val="20"/>
                <w:lang w:val="pt-BR" w:eastAsia="ar-SA" w:bidi="ar-SA"/>
              </w:rPr>
            </w:pPr>
            <w:r>
              <w:rPr>
                <w:rFonts w:cs="Times New Roman" w:ascii="Times New Roman" w:hAnsi="Times New Roman"/>
                <w:b/>
                <w:bCs/>
                <w:sz w:val="20"/>
                <w:szCs w:val="20"/>
              </w:rPr>
              <w:t xml:space="preserve">2.1. Motivação da Contratação: </w:t>
            </w:r>
            <w:r>
              <w:rPr>
                <w:rFonts w:cs="Times New Roman" w:ascii="Times New Roman" w:hAnsi="Times New Roman"/>
                <w:b w:val="false"/>
                <w:bCs w:val="false"/>
                <w:sz w:val="20"/>
                <w:szCs w:val="20"/>
              </w:rPr>
              <w:t>Necessidade de qualificação de pessoal para desempenhar as diversas atividades no CFC Verde Oliva, atendendo a legislação em vigor.</w:t>
            </w:r>
          </w:p>
          <w:p>
            <w:pPr>
              <w:pStyle w:val="Standard"/>
              <w:bidi w:val="0"/>
              <w:spacing w:lineRule="auto" w:line="240"/>
              <w:jc w:val="both"/>
              <w:rPr>
                <w:rFonts w:ascii="Arial" w:hAnsi="Arial" w:eastAsia="Times New Roman" w:cs="Arial"/>
                <w:b/>
                <w:b/>
                <w:color w:val="auto"/>
                <w:kern w:val="0"/>
                <w:sz w:val="20"/>
                <w:szCs w:val="20"/>
                <w:lang w:val="pt-BR" w:eastAsia="ar-SA" w:bidi="ar-SA"/>
              </w:rPr>
            </w:pPr>
            <w:r>
              <w:rPr>
                <w:rFonts w:eastAsia="Times New Roman" w:cs="Arial" w:ascii="Arial" w:hAnsi="Arial"/>
                <w:b/>
                <w:color w:val="auto"/>
                <w:kern w:val="0"/>
                <w:sz w:val="20"/>
                <w:szCs w:val="20"/>
                <w:lang w:val="pt-BR" w:eastAsia="ar-SA" w:bidi="ar-SA"/>
              </w:rPr>
            </w:r>
          </w:p>
          <w:p>
            <w:pPr>
              <w:pStyle w:val="Standard"/>
              <w:bidi w:val="0"/>
              <w:spacing w:lineRule="auto" w:line="240"/>
              <w:jc w:val="both"/>
              <w:rPr>
                <w:rFonts w:ascii="Arial" w:hAnsi="Arial" w:eastAsia="Times New Roman" w:cs="Arial"/>
                <w:b/>
                <w:b/>
                <w:color w:val="auto"/>
                <w:kern w:val="0"/>
                <w:sz w:val="20"/>
                <w:szCs w:val="20"/>
                <w:lang w:val="pt-BR" w:eastAsia="ar-SA" w:bidi="ar-SA"/>
              </w:rPr>
            </w:pPr>
            <w:r>
              <w:rPr>
                <w:rFonts w:cs="Times New Roman" w:ascii="Times New Roman" w:hAnsi="Times New Roman"/>
                <w:b/>
                <w:bCs/>
                <w:sz w:val="20"/>
                <w:szCs w:val="20"/>
              </w:rPr>
              <w:t xml:space="preserve">2.2. Objetivos da Contratação: </w:t>
            </w:r>
            <w:r>
              <w:rPr>
                <w:rFonts w:cs="Times New Roman" w:ascii="Times New Roman" w:hAnsi="Times New Roman"/>
                <w:b w:val="false"/>
                <w:bCs w:val="false"/>
                <w:sz w:val="20"/>
                <w:szCs w:val="20"/>
              </w:rPr>
              <w:t xml:space="preserve">Manter o quadro de pessoal com as qualificações exigidas em lei, bem como manter militares qualificados e em condições de desempenhar imediatamente função de instrutor, diretor e /ou examinador no Centro de Formação de Condutores da 6ª Brigada de Infantaria Blindada – CFC Verde Oliva. </w:t>
            </w:r>
          </w:p>
          <w:p>
            <w:pPr>
              <w:pStyle w:val="Standard"/>
              <w:bidi w:val="0"/>
              <w:spacing w:lineRule="auto" w:line="240"/>
              <w:jc w:val="both"/>
              <w:rPr>
                <w:rFonts w:ascii="Times New Roman" w:hAnsi="Times New Roman" w:cs="Times New Roman"/>
                <w:b/>
                <w:b/>
                <w:bCs/>
                <w:sz w:val="20"/>
                <w:szCs w:val="20"/>
              </w:rPr>
            </w:pPr>
            <w:r>
              <w:rPr>
                <w:rFonts w:cs="Times New Roman" w:ascii="Times New Roman" w:hAnsi="Times New Roman"/>
                <w:b/>
                <w:bCs/>
                <w:sz w:val="20"/>
                <w:szCs w:val="20"/>
              </w:rPr>
            </w:r>
          </w:p>
        </w:tc>
      </w:tr>
    </w:tbl>
    <w:p>
      <w:pPr>
        <w:pStyle w:val="Normal"/>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tbl>
      <w:tblPr>
        <w:tblW w:w="9995" w:type="dxa"/>
        <w:jc w:val="left"/>
        <w:tblInd w:w="-86" w:type="dxa"/>
        <w:tblCellMar>
          <w:top w:w="55" w:type="dxa"/>
          <w:left w:w="52" w:type="dxa"/>
          <w:bottom w:w="55" w:type="dxa"/>
          <w:right w:w="55" w:type="dxa"/>
        </w:tblCellMar>
      </w:tblPr>
      <w:tblGrid>
        <w:gridCol w:w="9995"/>
      </w:tblGrid>
      <w:tr>
        <w:trPr/>
        <w:tc>
          <w:tcPr>
            <w:tcW w:w="9995" w:type="dxa"/>
            <w:tcBorders>
              <w:top w:val="single" w:sz="2" w:space="0" w:color="008000"/>
              <w:left w:val="single" w:sz="2" w:space="0" w:color="008000"/>
              <w:bottom w:val="single" w:sz="2" w:space="0" w:color="008000"/>
              <w:right w:val="single" w:sz="2" w:space="0" w:color="008000"/>
            </w:tcBorders>
            <w:shd w:fill="DDDDDD" w:val="clear"/>
          </w:tcPr>
          <w:p>
            <w:pPr>
              <w:pStyle w:val="Contedodatabela"/>
              <w:bidi w:val="0"/>
              <w:jc w:val="both"/>
              <w:rPr>
                <w:rFonts w:ascii="Times New Roman" w:hAnsi="Times New Roman" w:cs="Times New Roman"/>
                <w:b/>
                <w:b/>
                <w:bCs/>
                <w:color w:val="000000"/>
                <w:sz w:val="20"/>
                <w:szCs w:val="20"/>
              </w:rPr>
            </w:pPr>
            <w:r>
              <w:rPr>
                <w:rFonts w:cs="Times New Roman" w:ascii="Times New Roman" w:hAnsi="Times New Roman"/>
                <w:b/>
                <w:bCs/>
                <w:color w:val="000000"/>
                <w:sz w:val="20"/>
                <w:szCs w:val="20"/>
              </w:rPr>
              <w:t>3. Quantidade de material a ser contratada:</w:t>
            </w:r>
          </w:p>
        </w:tc>
      </w:tr>
      <w:tr>
        <w:trPr>
          <w:trHeight w:val="241" w:hRule="atLeast"/>
        </w:trPr>
        <w:tc>
          <w:tcPr>
            <w:tcW w:w="9995" w:type="dxa"/>
            <w:tcBorders>
              <w:top w:val="single" w:sz="2" w:space="0" w:color="008000"/>
              <w:left w:val="single" w:sz="2" w:space="0" w:color="008000"/>
              <w:bottom w:val="single" w:sz="2" w:space="0" w:color="008000"/>
              <w:right w:val="single" w:sz="2" w:space="0" w:color="008000"/>
            </w:tcBorders>
            <w:shd w:fill="auto" w:val="clear"/>
          </w:tcPr>
          <w:p>
            <w:pPr>
              <w:pStyle w:val="Standard"/>
              <w:bidi w:val="0"/>
              <w:spacing w:lineRule="auto" w:line="240"/>
              <w:jc w:val="both"/>
              <w:rPr>
                <w:rFonts w:ascii="Times New Roman" w:hAnsi="Times New Roman" w:cs="Times New Roman"/>
                <w:b/>
                <w:b/>
                <w:bCs/>
                <w:color w:val="000000"/>
                <w:sz w:val="20"/>
                <w:szCs w:val="20"/>
              </w:rPr>
            </w:pPr>
            <w:r>
              <w:rPr>
                <w:rFonts w:cs="Times New Roman" w:ascii="Times New Roman" w:hAnsi="Times New Roman"/>
                <w:b/>
                <w:bCs/>
                <w:color w:val="000000"/>
                <w:sz w:val="20"/>
                <w:szCs w:val="20"/>
              </w:rPr>
              <w:t>3.1. Justificativa da quantidade:</w:t>
            </w:r>
          </w:p>
          <w:p>
            <w:pPr>
              <w:pStyle w:val="Standard"/>
              <w:bidi w:val="0"/>
              <w:spacing w:lineRule="auto" w:line="240"/>
              <w:jc w:val="both"/>
              <w:rPr>
                <w:rFonts w:ascii="Times New Roman" w:hAnsi="Times New Roman" w:cs="Times New Roman"/>
                <w:b w:val="false"/>
                <w:b w:val="false"/>
                <w:bCs w:val="false"/>
                <w:color w:val="000000"/>
                <w:sz w:val="20"/>
                <w:szCs w:val="20"/>
              </w:rPr>
            </w:pPr>
            <w:r>
              <w:rPr>
                <w:rFonts w:cs="Times New Roman" w:ascii="Times New Roman" w:hAnsi="Times New Roman"/>
                <w:b w:val="false"/>
                <w:bCs w:val="false"/>
                <w:color w:val="000000"/>
                <w:sz w:val="20"/>
                <w:szCs w:val="20"/>
              </w:rPr>
              <w:t>O quantitativo abaixo justifica-se a fim de manter pessoal qualificado, nas diversas OM da 6ª Bda Inf Bld, em condição de substituição imediata, quando necessário.</w:t>
            </w:r>
          </w:p>
          <w:tbl>
            <w:tblPr>
              <w:tblW w:w="9893" w:type="dxa"/>
              <w:jc w:val="left"/>
              <w:tblInd w:w="0" w:type="dxa"/>
              <w:tblCellMar>
                <w:top w:w="0" w:type="dxa"/>
                <w:left w:w="5" w:type="dxa"/>
                <w:bottom w:w="0" w:type="dxa"/>
                <w:right w:w="10" w:type="dxa"/>
              </w:tblCellMar>
            </w:tblPr>
            <w:tblGrid>
              <w:gridCol w:w="729"/>
              <w:gridCol w:w="7551"/>
              <w:gridCol w:w="1613"/>
            </w:tblGrid>
            <w:tr>
              <w:trPr>
                <w:trHeight w:val="350" w:hRule="atLeast"/>
              </w:trPr>
              <w:tc>
                <w:tcPr>
                  <w:tcW w:w="729" w:type="dxa"/>
                  <w:tcBorders>
                    <w:top w:val="single" w:sz="4" w:space="0" w:color="000000"/>
                    <w:left w:val="single" w:sz="4" w:space="0" w:color="000000"/>
                    <w:bottom w:val="single" w:sz="4" w:space="0" w:color="000000"/>
                  </w:tcBorders>
                  <w:shd w:fill="DDDDDD" w:val="clear"/>
                  <w:vAlign w:val="center"/>
                </w:tcPr>
                <w:p>
                  <w:pPr>
                    <w:pStyle w:val="Standard"/>
                    <w:suppressAutoHyphens w:val="false"/>
                    <w:bidi w:val="0"/>
                    <w:spacing w:lineRule="auto" w:line="240"/>
                    <w:jc w:val="center"/>
                    <w:rPr>
                      <w:rFonts w:ascii="Times New Roman" w:hAnsi="Times New Roman" w:cs="Times New Roman"/>
                      <w:b/>
                      <w:b/>
                      <w:bCs/>
                      <w:color w:val="000000"/>
                      <w:sz w:val="20"/>
                      <w:szCs w:val="20"/>
                    </w:rPr>
                  </w:pPr>
                  <w:r>
                    <w:rPr>
                      <w:rFonts w:cs="Times New Roman" w:ascii="Times New Roman" w:hAnsi="Times New Roman"/>
                      <w:b/>
                      <w:bCs/>
                      <w:color w:val="000000"/>
                      <w:sz w:val="20"/>
                      <w:szCs w:val="20"/>
                    </w:rPr>
                    <w:t>ITEM</w:t>
                  </w:r>
                </w:p>
              </w:tc>
              <w:tc>
                <w:tcPr>
                  <w:tcW w:w="7551" w:type="dxa"/>
                  <w:tcBorders>
                    <w:top w:val="single" w:sz="4" w:space="0" w:color="000000"/>
                    <w:left w:val="single" w:sz="4" w:space="0" w:color="000000"/>
                    <w:bottom w:val="single" w:sz="4" w:space="0" w:color="000000"/>
                  </w:tcBorders>
                  <w:shd w:fill="DDDDDD" w:val="clear"/>
                  <w:vAlign w:val="center"/>
                </w:tcPr>
                <w:p>
                  <w:pPr>
                    <w:pStyle w:val="Standard"/>
                    <w:suppressAutoHyphens w:val="false"/>
                    <w:bidi w:val="0"/>
                    <w:spacing w:lineRule="auto" w:line="240"/>
                    <w:jc w:val="center"/>
                    <w:rPr>
                      <w:rFonts w:ascii="Times New Roman" w:hAnsi="Times New Roman" w:cs="Times New Roman"/>
                      <w:b/>
                      <w:b/>
                      <w:bCs/>
                      <w:color w:val="000000"/>
                      <w:sz w:val="20"/>
                      <w:szCs w:val="20"/>
                    </w:rPr>
                  </w:pPr>
                  <w:r>
                    <w:rPr>
                      <w:rFonts w:cs="Times New Roman" w:ascii="Times New Roman" w:hAnsi="Times New Roman"/>
                      <w:b/>
                      <w:bCs/>
                      <w:color w:val="000000"/>
                      <w:sz w:val="20"/>
                      <w:szCs w:val="20"/>
                    </w:rPr>
                    <w:t>ESPECIFICAÇÃO</w:t>
                  </w:r>
                </w:p>
              </w:tc>
              <w:tc>
                <w:tcPr>
                  <w:tcW w:w="1613" w:type="dxa"/>
                  <w:tcBorders>
                    <w:top w:val="single" w:sz="4" w:space="0" w:color="000000"/>
                    <w:left w:val="single" w:sz="4" w:space="0" w:color="000000"/>
                    <w:bottom w:val="single" w:sz="4" w:space="0" w:color="000000"/>
                    <w:right w:val="single" w:sz="4" w:space="0" w:color="000000"/>
                  </w:tcBorders>
                  <w:shd w:fill="DDDDDD" w:val="clear"/>
                  <w:vAlign w:val="center"/>
                </w:tcPr>
                <w:p>
                  <w:pPr>
                    <w:pStyle w:val="Standard"/>
                    <w:suppressAutoHyphens w:val="false"/>
                    <w:bidi w:val="0"/>
                    <w:spacing w:lineRule="auto" w:line="240"/>
                    <w:jc w:val="center"/>
                    <w:rPr>
                      <w:rFonts w:ascii="Times New Roman" w:hAnsi="Times New Roman" w:cs="Times New Roman"/>
                      <w:b/>
                      <w:b/>
                      <w:bCs/>
                      <w:color w:val="000000"/>
                      <w:sz w:val="20"/>
                      <w:szCs w:val="20"/>
                    </w:rPr>
                  </w:pPr>
                  <w:r>
                    <w:rPr>
                      <w:rFonts w:cs="Times New Roman" w:ascii="Times New Roman" w:hAnsi="Times New Roman"/>
                      <w:b/>
                      <w:bCs/>
                      <w:color w:val="000000"/>
                      <w:sz w:val="20"/>
                      <w:szCs w:val="20"/>
                    </w:rPr>
                    <w:t>Qtd</w:t>
                  </w:r>
                </w:p>
              </w:tc>
            </w:tr>
            <w:tr>
              <w:trPr>
                <w:trHeight w:val="338" w:hRule="atLeast"/>
              </w:trPr>
              <w:tc>
                <w:tcPr>
                  <w:tcW w:w="729" w:type="dxa"/>
                  <w:tcBorders>
                    <w:top w:val="single" w:sz="4" w:space="0" w:color="000000"/>
                    <w:left w:val="single" w:sz="4" w:space="0" w:color="000000"/>
                    <w:bottom w:val="single" w:sz="4" w:space="0" w:color="000000"/>
                  </w:tcBorders>
                  <w:shd w:fill="auto" w:val="clear"/>
                  <w:vAlign w:val="center"/>
                </w:tcPr>
                <w:p>
                  <w:pPr>
                    <w:pStyle w:val="Standard"/>
                    <w:suppressAutoHyphens w:val="false"/>
                    <w:bidi w:val="0"/>
                    <w:spacing w:lineRule="auto" w:line="240"/>
                    <w:jc w:val="center"/>
                    <w:rPr>
                      <w:rFonts w:ascii="Times New Roman" w:hAnsi="Times New Roman" w:cs="Times New Roman"/>
                      <w:color w:val="000000"/>
                      <w:sz w:val="20"/>
                      <w:szCs w:val="20"/>
                    </w:rPr>
                  </w:pPr>
                  <w:r>
                    <w:rPr>
                      <w:rFonts w:cs="Times New Roman" w:ascii="Times New Roman" w:hAnsi="Times New Roman"/>
                      <w:color w:val="000000"/>
                      <w:sz w:val="20"/>
                      <w:szCs w:val="20"/>
                    </w:rPr>
                    <w:t>1</w:t>
                  </w:r>
                </w:p>
              </w:tc>
              <w:tc>
                <w:tcPr>
                  <w:tcW w:w="7551" w:type="dxa"/>
                  <w:tcBorders>
                    <w:top w:val="single" w:sz="4" w:space="0" w:color="000000"/>
                    <w:left w:val="single" w:sz="4" w:space="0" w:color="000000"/>
                    <w:bottom w:val="single" w:sz="4" w:space="0" w:color="000000"/>
                  </w:tcBorders>
                  <w:shd w:fill="auto" w:val="clear"/>
                  <w:vAlign w:val="center"/>
                </w:tcPr>
                <w:p>
                  <w:pPr>
                    <w:pStyle w:val="Normal"/>
                    <w:bidi w:val="0"/>
                    <w:snapToGrid w:val="false"/>
                    <w:spacing w:lineRule="auto" w:line="240" w:before="0" w:after="0"/>
                    <w:jc w:val="both"/>
                    <w:rPr>
                      <w:rFonts w:ascii="arial" w:hAnsi="arial" w:cs="arial"/>
                      <w:color w:val="auto"/>
                      <w:sz w:val="21"/>
                      <w:szCs w:val="21"/>
                    </w:rPr>
                  </w:pPr>
                  <w:r>
                    <w:rPr>
                      <w:rFonts w:cs="arial" w:ascii="arial" w:hAnsi="arial"/>
                      <w:color w:val="auto"/>
                      <w:sz w:val="21"/>
                      <w:szCs w:val="21"/>
                    </w:rPr>
                    <w:t>Curso para Instrutor de trânsito</w:t>
                  </w:r>
                </w:p>
              </w:tc>
              <w:tc>
                <w:tcPr>
                  <w:tcW w:w="1613" w:type="dxa"/>
                  <w:tcBorders>
                    <w:top w:val="single" w:sz="4" w:space="0" w:color="000000"/>
                    <w:left w:val="single" w:sz="4" w:space="0" w:color="000000"/>
                    <w:bottom w:val="single" w:sz="4" w:space="0" w:color="000000"/>
                    <w:right w:val="single" w:sz="4" w:space="0" w:color="000000"/>
                  </w:tcBorders>
                  <w:shd w:fill="auto" w:val="clear"/>
                  <w:vAlign w:val="center"/>
                </w:tcPr>
                <w:p>
                  <w:pPr>
                    <w:pStyle w:val="Standard"/>
                    <w:suppressAutoHyphens w:val="false"/>
                    <w:bidi w:val="0"/>
                    <w:snapToGrid w:val="false"/>
                    <w:spacing w:lineRule="auto" w:line="240"/>
                    <w:jc w:val="center"/>
                    <w:rPr>
                      <w:rFonts w:ascii="Times New Roman" w:hAnsi="Times New Roman" w:cs="Times New Roman"/>
                      <w:color w:val="000000"/>
                      <w:sz w:val="20"/>
                      <w:szCs w:val="20"/>
                    </w:rPr>
                  </w:pPr>
                  <w:r>
                    <w:rPr>
                      <w:rFonts w:cs="Times New Roman" w:ascii="Times New Roman" w:hAnsi="Times New Roman"/>
                      <w:color w:val="000000"/>
                      <w:sz w:val="20"/>
                      <w:szCs w:val="20"/>
                    </w:rPr>
                    <w:t>12</w:t>
                  </w:r>
                </w:p>
              </w:tc>
            </w:tr>
            <w:tr>
              <w:trPr>
                <w:trHeight w:val="449" w:hRule="atLeast"/>
              </w:trPr>
              <w:tc>
                <w:tcPr>
                  <w:tcW w:w="729" w:type="dxa"/>
                  <w:tcBorders>
                    <w:top w:val="single" w:sz="4" w:space="0" w:color="000000"/>
                    <w:left w:val="single" w:sz="4" w:space="0" w:color="000000"/>
                    <w:bottom w:val="single" w:sz="4" w:space="0" w:color="000000"/>
                  </w:tcBorders>
                  <w:shd w:fill="auto" w:val="clear"/>
                  <w:vAlign w:val="center"/>
                </w:tcPr>
                <w:p>
                  <w:pPr>
                    <w:pStyle w:val="Standard"/>
                    <w:suppressAutoHyphens w:val="false"/>
                    <w:bidi w:val="0"/>
                    <w:spacing w:lineRule="auto" w:line="240"/>
                    <w:jc w:val="center"/>
                    <w:rPr>
                      <w:rFonts w:ascii="Times New Roman" w:hAnsi="Times New Roman" w:cs="Times New Roman"/>
                      <w:color w:val="000000"/>
                      <w:sz w:val="20"/>
                      <w:szCs w:val="20"/>
                    </w:rPr>
                  </w:pPr>
                  <w:r>
                    <w:rPr>
                      <w:rFonts w:cs="Times New Roman" w:ascii="Times New Roman" w:hAnsi="Times New Roman"/>
                      <w:color w:val="000000"/>
                      <w:sz w:val="20"/>
                      <w:szCs w:val="20"/>
                    </w:rPr>
                    <w:t>2</w:t>
                  </w:r>
                </w:p>
              </w:tc>
              <w:tc>
                <w:tcPr>
                  <w:tcW w:w="7551" w:type="dxa"/>
                  <w:tcBorders>
                    <w:top w:val="single" w:sz="4" w:space="0" w:color="000000"/>
                    <w:left w:val="single" w:sz="4" w:space="0" w:color="000000"/>
                    <w:bottom w:val="single" w:sz="4" w:space="0" w:color="000000"/>
                  </w:tcBorders>
                  <w:shd w:fill="auto" w:val="clear"/>
                  <w:vAlign w:val="center"/>
                </w:tcPr>
                <w:p>
                  <w:pPr>
                    <w:pStyle w:val="Normal"/>
                    <w:bidi w:val="0"/>
                    <w:snapToGrid w:val="false"/>
                    <w:spacing w:lineRule="auto" w:line="240" w:before="0" w:after="0"/>
                    <w:jc w:val="both"/>
                    <w:rPr>
                      <w:rFonts w:ascii="arial" w:hAnsi="arial" w:eastAsia="Times New Roman" w:cs="arial"/>
                      <w:color w:val="auto"/>
                      <w:sz w:val="21"/>
                      <w:szCs w:val="21"/>
                      <w:lang w:bidi="ar-SA"/>
                    </w:rPr>
                  </w:pPr>
                  <w:r>
                    <w:rPr>
                      <w:rFonts w:eastAsia="Times New Roman" w:cs="arial" w:ascii="arial" w:hAnsi="arial"/>
                      <w:color w:val="auto"/>
                      <w:sz w:val="21"/>
                      <w:szCs w:val="21"/>
                      <w:lang w:bidi="ar-SA"/>
                    </w:rPr>
                    <w:t>Curso para Diretor Geral de CFC</w:t>
                  </w:r>
                </w:p>
              </w:tc>
              <w:tc>
                <w:tcPr>
                  <w:tcW w:w="1613" w:type="dxa"/>
                  <w:tcBorders>
                    <w:top w:val="single" w:sz="4" w:space="0" w:color="000000"/>
                    <w:left w:val="single" w:sz="4" w:space="0" w:color="000000"/>
                    <w:bottom w:val="single" w:sz="4" w:space="0" w:color="000000"/>
                    <w:right w:val="single" w:sz="4" w:space="0" w:color="000000"/>
                  </w:tcBorders>
                  <w:shd w:fill="auto" w:val="clear"/>
                  <w:vAlign w:val="center"/>
                </w:tcPr>
                <w:p>
                  <w:pPr>
                    <w:pStyle w:val="Standard"/>
                    <w:suppressAutoHyphens w:val="false"/>
                    <w:bidi w:val="0"/>
                    <w:snapToGrid w:val="false"/>
                    <w:spacing w:lineRule="auto" w:line="240"/>
                    <w:jc w:val="center"/>
                    <w:rPr>
                      <w:rFonts w:ascii="Times New Roman" w:hAnsi="Times New Roman" w:eastAsia="Times New Roman" w:cs="Times New Roman"/>
                      <w:color w:val="000000"/>
                      <w:sz w:val="20"/>
                      <w:szCs w:val="20"/>
                      <w:lang w:bidi="ar-SA"/>
                    </w:rPr>
                  </w:pPr>
                  <w:r>
                    <w:rPr>
                      <w:rFonts w:eastAsia="Times New Roman" w:cs="Times New Roman" w:ascii="Times New Roman" w:hAnsi="Times New Roman"/>
                      <w:color w:val="000000"/>
                      <w:sz w:val="20"/>
                      <w:szCs w:val="20"/>
                      <w:lang w:bidi="ar-SA"/>
                    </w:rPr>
                    <w:t>03</w:t>
                  </w:r>
                </w:p>
              </w:tc>
            </w:tr>
            <w:tr>
              <w:trPr>
                <w:trHeight w:val="449" w:hRule="atLeast"/>
              </w:trPr>
              <w:tc>
                <w:tcPr>
                  <w:tcW w:w="729" w:type="dxa"/>
                  <w:tcBorders>
                    <w:top w:val="single" w:sz="4" w:space="0" w:color="000000"/>
                    <w:left w:val="single" w:sz="4" w:space="0" w:color="000000"/>
                    <w:bottom w:val="single" w:sz="4" w:space="0" w:color="000000"/>
                  </w:tcBorders>
                  <w:shd w:fill="auto" w:val="clear"/>
                  <w:vAlign w:val="center"/>
                </w:tcPr>
                <w:p>
                  <w:pPr>
                    <w:pStyle w:val="Standard"/>
                    <w:suppressAutoHyphens w:val="false"/>
                    <w:bidi w:val="0"/>
                    <w:spacing w:lineRule="auto" w:line="240"/>
                    <w:jc w:val="center"/>
                    <w:rPr>
                      <w:rFonts w:ascii="Times New Roman" w:hAnsi="Times New Roman" w:cs="Times New Roman"/>
                      <w:color w:val="000000"/>
                      <w:sz w:val="20"/>
                      <w:szCs w:val="20"/>
                    </w:rPr>
                  </w:pPr>
                  <w:r>
                    <w:rPr>
                      <w:rFonts w:cs="Times New Roman" w:ascii="Times New Roman" w:hAnsi="Times New Roman"/>
                      <w:color w:val="000000"/>
                      <w:sz w:val="20"/>
                      <w:szCs w:val="20"/>
                    </w:rPr>
                    <w:t>3</w:t>
                  </w:r>
                </w:p>
              </w:tc>
              <w:tc>
                <w:tcPr>
                  <w:tcW w:w="7551" w:type="dxa"/>
                  <w:tcBorders>
                    <w:top w:val="single" w:sz="4" w:space="0" w:color="000000"/>
                    <w:left w:val="single" w:sz="4" w:space="0" w:color="000000"/>
                    <w:bottom w:val="single" w:sz="4" w:space="0" w:color="000000"/>
                  </w:tcBorders>
                  <w:shd w:fill="auto" w:val="clear"/>
                  <w:vAlign w:val="center"/>
                </w:tcPr>
                <w:p>
                  <w:pPr>
                    <w:pStyle w:val="Normal"/>
                    <w:bidi w:val="0"/>
                    <w:snapToGrid w:val="false"/>
                    <w:spacing w:lineRule="auto" w:line="240" w:before="0" w:after="0"/>
                    <w:jc w:val="both"/>
                    <w:rPr>
                      <w:rFonts w:ascii="arial" w:hAnsi="arial" w:eastAsia="Times New Roman" w:cs="arial"/>
                      <w:color w:val="auto"/>
                      <w:sz w:val="21"/>
                      <w:szCs w:val="21"/>
                      <w:lang w:bidi="ar-SA"/>
                    </w:rPr>
                  </w:pPr>
                  <w:r>
                    <w:rPr>
                      <w:rFonts w:eastAsia="Times New Roman" w:cs="arial" w:ascii="arial" w:hAnsi="arial"/>
                      <w:color w:val="auto"/>
                      <w:sz w:val="21"/>
                      <w:szCs w:val="21"/>
                      <w:lang w:bidi="ar-SA"/>
                    </w:rPr>
                    <w:t>Curso para Diretor de Ensino de CFC</w:t>
                  </w:r>
                </w:p>
              </w:tc>
              <w:tc>
                <w:tcPr>
                  <w:tcW w:w="1613" w:type="dxa"/>
                  <w:tcBorders>
                    <w:top w:val="single" w:sz="4" w:space="0" w:color="000000"/>
                    <w:left w:val="single" w:sz="4" w:space="0" w:color="000000"/>
                    <w:bottom w:val="single" w:sz="4" w:space="0" w:color="000000"/>
                    <w:right w:val="single" w:sz="4" w:space="0" w:color="000000"/>
                  </w:tcBorders>
                  <w:shd w:fill="auto" w:val="clear"/>
                  <w:vAlign w:val="center"/>
                </w:tcPr>
                <w:p>
                  <w:pPr>
                    <w:pStyle w:val="Standard"/>
                    <w:suppressAutoHyphens w:val="false"/>
                    <w:bidi w:val="0"/>
                    <w:snapToGrid w:val="false"/>
                    <w:spacing w:lineRule="auto" w:line="240"/>
                    <w:jc w:val="center"/>
                    <w:rPr>
                      <w:rFonts w:ascii="Times New Roman" w:hAnsi="Times New Roman" w:eastAsia="Times New Roman" w:cs="Times New Roman"/>
                      <w:color w:val="000000"/>
                      <w:sz w:val="20"/>
                      <w:szCs w:val="20"/>
                      <w:lang w:bidi="ar-SA"/>
                    </w:rPr>
                  </w:pPr>
                  <w:r>
                    <w:rPr>
                      <w:rFonts w:eastAsia="Times New Roman" w:cs="Times New Roman" w:ascii="Times New Roman" w:hAnsi="Times New Roman"/>
                      <w:color w:val="000000"/>
                      <w:sz w:val="20"/>
                      <w:szCs w:val="20"/>
                      <w:lang w:bidi="ar-SA"/>
                    </w:rPr>
                    <w:t>03</w:t>
                  </w:r>
                </w:p>
              </w:tc>
            </w:tr>
            <w:tr>
              <w:trPr>
                <w:trHeight w:val="449" w:hRule="atLeast"/>
              </w:trPr>
              <w:tc>
                <w:tcPr>
                  <w:tcW w:w="729" w:type="dxa"/>
                  <w:tcBorders>
                    <w:top w:val="single" w:sz="4" w:space="0" w:color="000000"/>
                    <w:left w:val="single" w:sz="4" w:space="0" w:color="000000"/>
                    <w:bottom w:val="single" w:sz="4" w:space="0" w:color="000000"/>
                  </w:tcBorders>
                  <w:shd w:fill="auto" w:val="clear"/>
                  <w:vAlign w:val="center"/>
                </w:tcPr>
                <w:p>
                  <w:pPr>
                    <w:pStyle w:val="Standard"/>
                    <w:suppressAutoHyphens w:val="false"/>
                    <w:bidi w:val="0"/>
                    <w:spacing w:lineRule="auto" w:line="240"/>
                    <w:jc w:val="center"/>
                    <w:rPr>
                      <w:rFonts w:ascii="Times New Roman" w:hAnsi="Times New Roman" w:cs="Times New Roman"/>
                      <w:color w:val="000000"/>
                      <w:sz w:val="20"/>
                      <w:szCs w:val="20"/>
                    </w:rPr>
                  </w:pPr>
                  <w:r>
                    <w:rPr>
                      <w:rFonts w:cs="Times New Roman" w:ascii="Times New Roman" w:hAnsi="Times New Roman"/>
                      <w:color w:val="000000"/>
                      <w:sz w:val="20"/>
                      <w:szCs w:val="20"/>
                    </w:rPr>
                    <w:t>4</w:t>
                  </w:r>
                </w:p>
              </w:tc>
              <w:tc>
                <w:tcPr>
                  <w:tcW w:w="7551" w:type="dxa"/>
                  <w:tcBorders>
                    <w:top w:val="single" w:sz="4" w:space="0" w:color="000000"/>
                    <w:left w:val="single" w:sz="4" w:space="0" w:color="000000"/>
                    <w:bottom w:val="single" w:sz="4" w:space="0" w:color="000000"/>
                  </w:tcBorders>
                  <w:shd w:fill="auto" w:val="clear"/>
                  <w:vAlign w:val="center"/>
                </w:tcPr>
                <w:p>
                  <w:pPr>
                    <w:pStyle w:val="Normal"/>
                    <w:bidi w:val="0"/>
                    <w:snapToGrid w:val="false"/>
                    <w:spacing w:lineRule="auto" w:line="240" w:before="0" w:after="0"/>
                    <w:jc w:val="both"/>
                    <w:rPr>
                      <w:rFonts w:ascii="arial" w:hAnsi="arial" w:eastAsia="Times New Roman" w:cs="arial"/>
                      <w:color w:val="auto"/>
                      <w:sz w:val="21"/>
                      <w:szCs w:val="21"/>
                      <w:lang w:bidi="ar-SA"/>
                    </w:rPr>
                  </w:pPr>
                  <w:r>
                    <w:rPr>
                      <w:rFonts w:eastAsia="Times New Roman" w:cs="arial" w:ascii="arial" w:hAnsi="arial"/>
                      <w:color w:val="auto"/>
                      <w:sz w:val="21"/>
                      <w:szCs w:val="21"/>
                      <w:lang w:bidi="ar-SA"/>
                    </w:rPr>
                    <w:t>Curso de Examinador de Trânsito</w:t>
                  </w:r>
                </w:p>
              </w:tc>
              <w:tc>
                <w:tcPr>
                  <w:tcW w:w="1613" w:type="dxa"/>
                  <w:tcBorders>
                    <w:top w:val="single" w:sz="4" w:space="0" w:color="000000"/>
                    <w:left w:val="single" w:sz="4" w:space="0" w:color="000000"/>
                    <w:bottom w:val="single" w:sz="4" w:space="0" w:color="000000"/>
                    <w:right w:val="single" w:sz="4" w:space="0" w:color="000000"/>
                  </w:tcBorders>
                  <w:shd w:fill="auto" w:val="clear"/>
                  <w:vAlign w:val="center"/>
                </w:tcPr>
                <w:p>
                  <w:pPr>
                    <w:pStyle w:val="Standard"/>
                    <w:suppressAutoHyphens w:val="false"/>
                    <w:bidi w:val="0"/>
                    <w:snapToGrid w:val="false"/>
                    <w:spacing w:lineRule="auto" w:line="240"/>
                    <w:jc w:val="center"/>
                    <w:rPr>
                      <w:rFonts w:ascii="Times New Roman" w:hAnsi="Times New Roman" w:eastAsia="Times New Roman" w:cs="Times New Roman"/>
                      <w:color w:val="000000"/>
                      <w:sz w:val="20"/>
                      <w:szCs w:val="20"/>
                      <w:lang w:bidi="ar-SA"/>
                    </w:rPr>
                  </w:pPr>
                  <w:r>
                    <w:rPr>
                      <w:rFonts w:eastAsia="Times New Roman" w:cs="Times New Roman" w:ascii="Times New Roman" w:hAnsi="Times New Roman"/>
                      <w:color w:val="000000"/>
                      <w:sz w:val="20"/>
                      <w:szCs w:val="20"/>
                      <w:lang w:bidi="ar-SA"/>
                    </w:rPr>
                    <w:t>02</w:t>
                  </w:r>
                </w:p>
              </w:tc>
            </w:tr>
            <w:tr>
              <w:trPr>
                <w:trHeight w:val="449" w:hRule="atLeast"/>
              </w:trPr>
              <w:tc>
                <w:tcPr>
                  <w:tcW w:w="729" w:type="dxa"/>
                  <w:tcBorders>
                    <w:top w:val="single" w:sz="4" w:space="0" w:color="000000"/>
                    <w:left w:val="single" w:sz="4" w:space="0" w:color="000000"/>
                    <w:bottom w:val="single" w:sz="4" w:space="0" w:color="000000"/>
                  </w:tcBorders>
                  <w:shd w:fill="auto" w:val="clear"/>
                  <w:vAlign w:val="center"/>
                </w:tcPr>
                <w:p>
                  <w:pPr>
                    <w:pStyle w:val="Standard"/>
                    <w:suppressAutoHyphens w:val="false"/>
                    <w:bidi w:val="0"/>
                    <w:spacing w:lineRule="auto" w:line="240"/>
                    <w:jc w:val="center"/>
                    <w:rPr>
                      <w:rFonts w:ascii="Times New Roman" w:hAnsi="Times New Roman" w:cs="Times New Roman"/>
                      <w:color w:val="000000"/>
                      <w:sz w:val="20"/>
                      <w:szCs w:val="20"/>
                    </w:rPr>
                  </w:pPr>
                  <w:r>
                    <w:rPr>
                      <w:rFonts w:cs="Times New Roman" w:ascii="Times New Roman" w:hAnsi="Times New Roman"/>
                      <w:color w:val="000000"/>
                      <w:sz w:val="20"/>
                      <w:szCs w:val="20"/>
                    </w:rPr>
                    <w:t>5</w:t>
                  </w:r>
                </w:p>
              </w:tc>
              <w:tc>
                <w:tcPr>
                  <w:tcW w:w="7551" w:type="dxa"/>
                  <w:tcBorders>
                    <w:top w:val="single" w:sz="4" w:space="0" w:color="000000"/>
                    <w:left w:val="single" w:sz="4" w:space="0" w:color="000000"/>
                    <w:bottom w:val="single" w:sz="4" w:space="0" w:color="000000"/>
                  </w:tcBorders>
                  <w:shd w:fill="auto" w:val="clear"/>
                  <w:vAlign w:val="center"/>
                </w:tcPr>
                <w:p>
                  <w:pPr>
                    <w:pStyle w:val="Normal"/>
                    <w:bidi w:val="0"/>
                    <w:snapToGrid w:val="false"/>
                    <w:spacing w:lineRule="auto" w:line="240" w:before="0" w:after="0"/>
                    <w:jc w:val="both"/>
                    <w:rPr>
                      <w:rFonts w:ascii="arial" w:hAnsi="arial" w:eastAsia="Times New Roman" w:cs="arial"/>
                      <w:color w:val="auto"/>
                      <w:sz w:val="21"/>
                      <w:szCs w:val="21"/>
                      <w:lang w:bidi="ar-SA"/>
                    </w:rPr>
                  </w:pPr>
                  <w:r>
                    <w:rPr>
                      <w:rFonts w:eastAsia="Times New Roman" w:cs="arial" w:ascii="arial" w:hAnsi="arial"/>
                      <w:color w:val="auto"/>
                      <w:sz w:val="21"/>
                      <w:szCs w:val="21"/>
                      <w:lang w:bidi="ar-SA"/>
                    </w:rPr>
                    <w:t>Curso de Atualização de Instrutor de Trânsito</w:t>
                  </w:r>
                </w:p>
              </w:tc>
              <w:tc>
                <w:tcPr>
                  <w:tcW w:w="1613" w:type="dxa"/>
                  <w:tcBorders>
                    <w:top w:val="single" w:sz="4" w:space="0" w:color="000000"/>
                    <w:left w:val="single" w:sz="4" w:space="0" w:color="000000"/>
                    <w:bottom w:val="single" w:sz="4" w:space="0" w:color="000000"/>
                    <w:right w:val="single" w:sz="4" w:space="0" w:color="000000"/>
                  </w:tcBorders>
                  <w:shd w:fill="auto" w:val="clear"/>
                  <w:vAlign w:val="center"/>
                </w:tcPr>
                <w:p>
                  <w:pPr>
                    <w:pStyle w:val="Standard"/>
                    <w:suppressAutoHyphens w:val="false"/>
                    <w:bidi w:val="0"/>
                    <w:snapToGrid w:val="false"/>
                    <w:spacing w:lineRule="auto" w:line="240"/>
                    <w:jc w:val="center"/>
                    <w:rPr>
                      <w:rFonts w:ascii="Times New Roman" w:hAnsi="Times New Roman" w:eastAsia="Times New Roman" w:cs="Times New Roman"/>
                      <w:color w:val="000000"/>
                      <w:sz w:val="20"/>
                      <w:szCs w:val="20"/>
                      <w:lang w:bidi="ar-SA"/>
                    </w:rPr>
                  </w:pPr>
                  <w:r>
                    <w:rPr>
                      <w:rFonts w:eastAsia="Times New Roman" w:cs="Times New Roman" w:ascii="Times New Roman" w:hAnsi="Times New Roman"/>
                      <w:color w:val="000000"/>
                      <w:sz w:val="20"/>
                      <w:szCs w:val="20"/>
                      <w:lang w:bidi="ar-SA"/>
                    </w:rPr>
                    <w:t>02</w:t>
                  </w:r>
                </w:p>
              </w:tc>
            </w:tr>
            <w:tr>
              <w:trPr>
                <w:trHeight w:val="449" w:hRule="atLeast"/>
              </w:trPr>
              <w:tc>
                <w:tcPr>
                  <w:tcW w:w="729" w:type="dxa"/>
                  <w:tcBorders>
                    <w:top w:val="single" w:sz="4" w:space="0" w:color="000000"/>
                    <w:left w:val="single" w:sz="4" w:space="0" w:color="000000"/>
                    <w:bottom w:val="single" w:sz="4" w:space="0" w:color="000000"/>
                  </w:tcBorders>
                  <w:shd w:fill="auto" w:val="clear"/>
                  <w:vAlign w:val="center"/>
                </w:tcPr>
                <w:p>
                  <w:pPr>
                    <w:pStyle w:val="Standard"/>
                    <w:suppressAutoHyphens w:val="false"/>
                    <w:bidi w:val="0"/>
                    <w:spacing w:lineRule="auto" w:line="240"/>
                    <w:jc w:val="center"/>
                    <w:rPr>
                      <w:rFonts w:ascii="Times New Roman" w:hAnsi="Times New Roman" w:cs="Times New Roman"/>
                      <w:color w:val="000000"/>
                      <w:sz w:val="20"/>
                      <w:szCs w:val="20"/>
                    </w:rPr>
                  </w:pPr>
                  <w:r>
                    <w:rPr>
                      <w:rFonts w:cs="Times New Roman" w:ascii="Times New Roman" w:hAnsi="Times New Roman"/>
                      <w:color w:val="000000"/>
                      <w:sz w:val="20"/>
                      <w:szCs w:val="20"/>
                    </w:rPr>
                    <w:t>6</w:t>
                  </w:r>
                </w:p>
              </w:tc>
              <w:tc>
                <w:tcPr>
                  <w:tcW w:w="7551" w:type="dxa"/>
                  <w:tcBorders>
                    <w:top w:val="single" w:sz="4" w:space="0" w:color="000000"/>
                    <w:left w:val="single" w:sz="4" w:space="0" w:color="000000"/>
                    <w:bottom w:val="single" w:sz="4" w:space="0" w:color="000000"/>
                  </w:tcBorders>
                  <w:shd w:fill="auto" w:val="clear"/>
                  <w:vAlign w:val="center"/>
                </w:tcPr>
                <w:p>
                  <w:pPr>
                    <w:pStyle w:val="Normal"/>
                    <w:bidi w:val="0"/>
                    <w:snapToGrid w:val="false"/>
                    <w:spacing w:lineRule="auto" w:line="240" w:before="0" w:after="0"/>
                    <w:jc w:val="both"/>
                    <w:rPr>
                      <w:rFonts w:ascii="arial" w:hAnsi="arial" w:eastAsia="Times New Roman" w:cs="arial"/>
                      <w:color w:val="auto"/>
                      <w:sz w:val="21"/>
                      <w:szCs w:val="21"/>
                      <w:lang w:bidi="ar-SA"/>
                    </w:rPr>
                  </w:pPr>
                  <w:r>
                    <w:rPr>
                      <w:rFonts w:eastAsia="Times New Roman" w:cs="arial" w:ascii="arial" w:hAnsi="arial"/>
                      <w:color w:val="auto"/>
                      <w:sz w:val="21"/>
                      <w:szCs w:val="21"/>
                      <w:lang w:bidi="ar-SA"/>
                    </w:rPr>
                    <w:t>Curso de Atualização de examinador de Trânsito</w:t>
                  </w:r>
                </w:p>
              </w:tc>
              <w:tc>
                <w:tcPr>
                  <w:tcW w:w="1613" w:type="dxa"/>
                  <w:tcBorders>
                    <w:top w:val="single" w:sz="4" w:space="0" w:color="000000"/>
                    <w:left w:val="single" w:sz="4" w:space="0" w:color="000000"/>
                    <w:bottom w:val="single" w:sz="4" w:space="0" w:color="000000"/>
                    <w:right w:val="single" w:sz="4" w:space="0" w:color="000000"/>
                  </w:tcBorders>
                  <w:shd w:fill="auto" w:val="clear"/>
                  <w:vAlign w:val="center"/>
                </w:tcPr>
                <w:p>
                  <w:pPr>
                    <w:pStyle w:val="Standard"/>
                    <w:suppressAutoHyphens w:val="false"/>
                    <w:bidi w:val="0"/>
                    <w:snapToGrid w:val="false"/>
                    <w:spacing w:lineRule="auto" w:line="240"/>
                    <w:jc w:val="center"/>
                    <w:rPr>
                      <w:rFonts w:ascii="Times New Roman" w:hAnsi="Times New Roman" w:eastAsia="Times New Roman" w:cs="Times New Roman"/>
                      <w:color w:val="000000"/>
                      <w:sz w:val="20"/>
                      <w:szCs w:val="20"/>
                      <w:lang w:bidi="ar-SA"/>
                    </w:rPr>
                  </w:pPr>
                  <w:r>
                    <w:rPr>
                      <w:rFonts w:eastAsia="Times New Roman" w:cs="Times New Roman" w:ascii="Times New Roman" w:hAnsi="Times New Roman"/>
                      <w:color w:val="000000"/>
                      <w:sz w:val="20"/>
                      <w:szCs w:val="20"/>
                      <w:lang w:bidi="ar-SA"/>
                    </w:rPr>
                    <w:t>01</w:t>
                  </w:r>
                </w:p>
              </w:tc>
            </w:tr>
            <w:tr>
              <w:trPr>
                <w:trHeight w:val="449" w:hRule="atLeast"/>
              </w:trPr>
              <w:tc>
                <w:tcPr>
                  <w:tcW w:w="729" w:type="dxa"/>
                  <w:tcBorders>
                    <w:top w:val="single" w:sz="4" w:space="0" w:color="000000"/>
                    <w:left w:val="single" w:sz="4" w:space="0" w:color="000000"/>
                    <w:bottom w:val="single" w:sz="4" w:space="0" w:color="000000"/>
                  </w:tcBorders>
                  <w:shd w:fill="auto" w:val="clear"/>
                  <w:vAlign w:val="center"/>
                </w:tcPr>
                <w:p>
                  <w:pPr>
                    <w:pStyle w:val="Standard"/>
                    <w:suppressAutoHyphens w:val="false"/>
                    <w:bidi w:val="0"/>
                    <w:spacing w:lineRule="auto" w:line="240"/>
                    <w:jc w:val="center"/>
                    <w:rPr>
                      <w:rFonts w:ascii="Times New Roman" w:hAnsi="Times New Roman" w:cs="Times New Roman"/>
                      <w:color w:val="000000"/>
                      <w:sz w:val="20"/>
                      <w:szCs w:val="20"/>
                    </w:rPr>
                  </w:pPr>
                  <w:r>
                    <w:rPr>
                      <w:rFonts w:cs="Times New Roman" w:ascii="Times New Roman" w:hAnsi="Times New Roman"/>
                      <w:color w:val="000000"/>
                      <w:sz w:val="20"/>
                      <w:szCs w:val="20"/>
                    </w:rPr>
                    <w:t>7</w:t>
                  </w:r>
                </w:p>
              </w:tc>
              <w:tc>
                <w:tcPr>
                  <w:tcW w:w="7551" w:type="dxa"/>
                  <w:tcBorders>
                    <w:top w:val="single" w:sz="4" w:space="0" w:color="000000"/>
                    <w:left w:val="single" w:sz="4" w:space="0" w:color="000000"/>
                    <w:bottom w:val="single" w:sz="4" w:space="0" w:color="000000"/>
                  </w:tcBorders>
                  <w:shd w:fill="auto" w:val="clear"/>
                  <w:vAlign w:val="center"/>
                </w:tcPr>
                <w:p>
                  <w:pPr>
                    <w:pStyle w:val="Normal"/>
                    <w:bidi w:val="0"/>
                    <w:snapToGrid w:val="false"/>
                    <w:spacing w:lineRule="auto" w:line="240" w:before="0" w:after="0"/>
                    <w:jc w:val="both"/>
                    <w:rPr>
                      <w:rFonts w:ascii="arial" w:hAnsi="arial" w:eastAsia="Times New Roman" w:cs="arial"/>
                      <w:color w:val="auto"/>
                      <w:sz w:val="21"/>
                      <w:szCs w:val="21"/>
                      <w:lang w:bidi="ar-SA"/>
                    </w:rPr>
                  </w:pPr>
                  <w:r>
                    <w:rPr>
                      <w:rFonts w:eastAsia="Times New Roman" w:cs="arial" w:ascii="arial" w:hAnsi="arial"/>
                      <w:color w:val="auto"/>
                      <w:sz w:val="21"/>
                      <w:szCs w:val="21"/>
                      <w:lang w:bidi="ar-SA"/>
                    </w:rPr>
                    <w:t>Curso para Instrutor de Curso Especializado para Condutores de Veículos de Transporte Coletivo de Passageiros</w:t>
                  </w:r>
                </w:p>
              </w:tc>
              <w:tc>
                <w:tcPr>
                  <w:tcW w:w="1613" w:type="dxa"/>
                  <w:tcBorders>
                    <w:top w:val="single" w:sz="4" w:space="0" w:color="000000"/>
                    <w:left w:val="single" w:sz="4" w:space="0" w:color="000000"/>
                    <w:bottom w:val="single" w:sz="4" w:space="0" w:color="000000"/>
                    <w:right w:val="single" w:sz="4" w:space="0" w:color="000000"/>
                  </w:tcBorders>
                  <w:shd w:fill="auto" w:val="clear"/>
                  <w:vAlign w:val="center"/>
                </w:tcPr>
                <w:p>
                  <w:pPr>
                    <w:pStyle w:val="Standard"/>
                    <w:suppressAutoHyphens w:val="false"/>
                    <w:bidi w:val="0"/>
                    <w:snapToGrid w:val="false"/>
                    <w:spacing w:lineRule="auto" w:line="240"/>
                    <w:jc w:val="center"/>
                    <w:rPr>
                      <w:rFonts w:ascii="Times New Roman" w:hAnsi="Times New Roman" w:eastAsia="Times New Roman" w:cs="Times New Roman"/>
                      <w:color w:val="000000"/>
                      <w:sz w:val="20"/>
                      <w:szCs w:val="20"/>
                      <w:lang w:bidi="ar-SA"/>
                    </w:rPr>
                  </w:pPr>
                  <w:r>
                    <w:rPr>
                      <w:rFonts w:eastAsia="Times New Roman" w:cs="Times New Roman" w:ascii="Times New Roman" w:hAnsi="Times New Roman"/>
                      <w:color w:val="000000"/>
                      <w:sz w:val="20"/>
                      <w:szCs w:val="20"/>
                      <w:lang w:bidi="ar-SA"/>
                    </w:rPr>
                    <w:t>02</w:t>
                  </w:r>
                </w:p>
              </w:tc>
            </w:tr>
            <w:tr>
              <w:trPr>
                <w:trHeight w:val="449" w:hRule="atLeast"/>
              </w:trPr>
              <w:tc>
                <w:tcPr>
                  <w:tcW w:w="729" w:type="dxa"/>
                  <w:tcBorders>
                    <w:top w:val="single" w:sz="4" w:space="0" w:color="000000"/>
                    <w:left w:val="single" w:sz="4" w:space="0" w:color="000000"/>
                    <w:bottom w:val="single" w:sz="4" w:space="0" w:color="000000"/>
                  </w:tcBorders>
                  <w:shd w:fill="auto" w:val="clear"/>
                  <w:vAlign w:val="center"/>
                </w:tcPr>
                <w:p>
                  <w:pPr>
                    <w:pStyle w:val="Standard"/>
                    <w:suppressAutoHyphens w:val="false"/>
                    <w:bidi w:val="0"/>
                    <w:spacing w:lineRule="auto" w:line="240"/>
                    <w:jc w:val="center"/>
                    <w:rPr>
                      <w:rFonts w:ascii="Times New Roman" w:hAnsi="Times New Roman" w:cs="Times New Roman"/>
                      <w:color w:val="000000"/>
                      <w:sz w:val="20"/>
                      <w:szCs w:val="20"/>
                    </w:rPr>
                  </w:pPr>
                  <w:r>
                    <w:rPr>
                      <w:rFonts w:cs="Times New Roman" w:ascii="Times New Roman" w:hAnsi="Times New Roman"/>
                      <w:color w:val="000000"/>
                      <w:sz w:val="20"/>
                      <w:szCs w:val="20"/>
                    </w:rPr>
                    <w:t>8</w:t>
                  </w:r>
                </w:p>
              </w:tc>
              <w:tc>
                <w:tcPr>
                  <w:tcW w:w="7551" w:type="dxa"/>
                  <w:tcBorders>
                    <w:top w:val="single" w:sz="4" w:space="0" w:color="000000"/>
                    <w:left w:val="single" w:sz="4" w:space="0" w:color="000000"/>
                    <w:bottom w:val="single" w:sz="4" w:space="0" w:color="000000"/>
                  </w:tcBorders>
                  <w:shd w:fill="auto" w:val="clear"/>
                  <w:vAlign w:val="center"/>
                </w:tcPr>
                <w:p>
                  <w:pPr>
                    <w:pStyle w:val="Normal"/>
                    <w:bidi w:val="0"/>
                    <w:snapToGrid w:val="false"/>
                    <w:spacing w:lineRule="auto" w:line="240" w:before="0" w:after="0"/>
                    <w:jc w:val="both"/>
                    <w:rPr>
                      <w:rFonts w:ascii="arial" w:hAnsi="arial" w:eastAsia="Times New Roman" w:cs="arial"/>
                      <w:color w:val="auto"/>
                      <w:sz w:val="21"/>
                      <w:szCs w:val="21"/>
                      <w:lang w:bidi="ar-SA"/>
                    </w:rPr>
                  </w:pPr>
                  <w:r>
                    <w:rPr>
                      <w:rFonts w:eastAsia="Times New Roman" w:cs="arial" w:ascii="arial" w:hAnsi="arial"/>
                      <w:color w:val="auto"/>
                      <w:sz w:val="21"/>
                      <w:szCs w:val="21"/>
                      <w:lang w:bidi="ar-SA"/>
                    </w:rPr>
                    <w:t>Curso para Instrutor de Curso Especializado para Condutores de Veículos de Transporte de Emergência</w:t>
                  </w:r>
                </w:p>
              </w:tc>
              <w:tc>
                <w:tcPr>
                  <w:tcW w:w="1613" w:type="dxa"/>
                  <w:tcBorders>
                    <w:top w:val="single" w:sz="4" w:space="0" w:color="000000"/>
                    <w:left w:val="single" w:sz="4" w:space="0" w:color="000000"/>
                    <w:bottom w:val="single" w:sz="4" w:space="0" w:color="000000"/>
                    <w:right w:val="single" w:sz="4" w:space="0" w:color="000000"/>
                  </w:tcBorders>
                  <w:shd w:fill="auto" w:val="clear"/>
                  <w:vAlign w:val="center"/>
                </w:tcPr>
                <w:p>
                  <w:pPr>
                    <w:pStyle w:val="Standard"/>
                    <w:suppressAutoHyphens w:val="false"/>
                    <w:bidi w:val="0"/>
                    <w:snapToGrid w:val="false"/>
                    <w:spacing w:lineRule="auto" w:line="240"/>
                    <w:jc w:val="center"/>
                    <w:rPr>
                      <w:rFonts w:ascii="Times New Roman" w:hAnsi="Times New Roman" w:eastAsia="Times New Roman" w:cs="Times New Roman"/>
                      <w:color w:val="000000"/>
                      <w:sz w:val="20"/>
                      <w:szCs w:val="20"/>
                      <w:lang w:bidi="ar-SA"/>
                    </w:rPr>
                  </w:pPr>
                  <w:r>
                    <w:rPr>
                      <w:rFonts w:eastAsia="Times New Roman" w:cs="Times New Roman" w:ascii="Times New Roman" w:hAnsi="Times New Roman"/>
                      <w:color w:val="000000"/>
                      <w:sz w:val="20"/>
                      <w:szCs w:val="20"/>
                      <w:lang w:bidi="ar-SA"/>
                    </w:rPr>
                    <w:t>02</w:t>
                  </w:r>
                </w:p>
              </w:tc>
            </w:tr>
            <w:tr>
              <w:trPr>
                <w:trHeight w:val="449" w:hRule="atLeast"/>
              </w:trPr>
              <w:tc>
                <w:tcPr>
                  <w:tcW w:w="729" w:type="dxa"/>
                  <w:tcBorders>
                    <w:top w:val="single" w:sz="4" w:space="0" w:color="000000"/>
                    <w:left w:val="single" w:sz="4" w:space="0" w:color="000000"/>
                    <w:bottom w:val="single" w:sz="4" w:space="0" w:color="000000"/>
                  </w:tcBorders>
                  <w:shd w:fill="auto" w:val="clear"/>
                  <w:vAlign w:val="center"/>
                </w:tcPr>
                <w:p>
                  <w:pPr>
                    <w:pStyle w:val="Standard"/>
                    <w:suppressAutoHyphens w:val="false"/>
                    <w:bidi w:val="0"/>
                    <w:spacing w:lineRule="auto" w:line="240"/>
                    <w:jc w:val="center"/>
                    <w:rPr>
                      <w:rFonts w:ascii="Times New Roman" w:hAnsi="Times New Roman" w:cs="Times New Roman"/>
                      <w:color w:val="000000"/>
                      <w:sz w:val="20"/>
                      <w:szCs w:val="20"/>
                    </w:rPr>
                  </w:pPr>
                  <w:r>
                    <w:rPr>
                      <w:rFonts w:cs="Times New Roman" w:ascii="Times New Roman" w:hAnsi="Times New Roman"/>
                      <w:color w:val="000000"/>
                      <w:sz w:val="20"/>
                      <w:szCs w:val="20"/>
                    </w:rPr>
                    <w:t>9</w:t>
                  </w:r>
                </w:p>
              </w:tc>
              <w:tc>
                <w:tcPr>
                  <w:tcW w:w="7551" w:type="dxa"/>
                  <w:tcBorders>
                    <w:top w:val="single" w:sz="4" w:space="0" w:color="000000"/>
                    <w:left w:val="single" w:sz="4" w:space="0" w:color="000000"/>
                    <w:bottom w:val="single" w:sz="4" w:space="0" w:color="000000"/>
                  </w:tcBorders>
                  <w:shd w:fill="auto" w:val="clear"/>
                  <w:vAlign w:val="center"/>
                </w:tcPr>
                <w:p>
                  <w:pPr>
                    <w:pStyle w:val="Normal"/>
                    <w:bidi w:val="0"/>
                    <w:snapToGrid w:val="false"/>
                    <w:spacing w:lineRule="auto" w:line="240" w:before="0" w:after="0"/>
                    <w:jc w:val="both"/>
                    <w:rPr>
                      <w:rFonts w:ascii="arial" w:hAnsi="arial" w:eastAsia="Times New Roman" w:cs="arial"/>
                      <w:color w:val="auto"/>
                      <w:sz w:val="21"/>
                      <w:szCs w:val="21"/>
                      <w:lang w:bidi="ar-SA"/>
                    </w:rPr>
                  </w:pPr>
                  <w:r>
                    <w:rPr>
                      <w:rFonts w:eastAsia="Times New Roman" w:cs="arial" w:ascii="arial" w:hAnsi="arial"/>
                      <w:color w:val="auto"/>
                      <w:sz w:val="21"/>
                      <w:szCs w:val="21"/>
                      <w:lang w:bidi="ar-SA"/>
                    </w:rPr>
                    <w:t>Curso para Instrutor de Curso Especializado para Condutores de Veículos de Transporte Escolar</w:t>
                  </w:r>
                </w:p>
              </w:tc>
              <w:tc>
                <w:tcPr>
                  <w:tcW w:w="1613" w:type="dxa"/>
                  <w:tcBorders>
                    <w:top w:val="single" w:sz="4" w:space="0" w:color="000000"/>
                    <w:left w:val="single" w:sz="4" w:space="0" w:color="000000"/>
                    <w:bottom w:val="single" w:sz="4" w:space="0" w:color="000000"/>
                    <w:right w:val="single" w:sz="4" w:space="0" w:color="000000"/>
                  </w:tcBorders>
                  <w:shd w:fill="auto" w:val="clear"/>
                  <w:vAlign w:val="center"/>
                </w:tcPr>
                <w:p>
                  <w:pPr>
                    <w:pStyle w:val="Standard"/>
                    <w:suppressAutoHyphens w:val="false"/>
                    <w:bidi w:val="0"/>
                    <w:snapToGrid w:val="false"/>
                    <w:spacing w:lineRule="auto" w:line="240"/>
                    <w:jc w:val="center"/>
                    <w:rPr>
                      <w:rFonts w:ascii="Times New Roman" w:hAnsi="Times New Roman" w:eastAsia="Times New Roman" w:cs="Times New Roman"/>
                      <w:color w:val="000000"/>
                      <w:sz w:val="20"/>
                      <w:szCs w:val="20"/>
                      <w:lang w:bidi="ar-SA"/>
                    </w:rPr>
                  </w:pPr>
                  <w:r>
                    <w:rPr>
                      <w:rFonts w:eastAsia="Times New Roman" w:cs="Times New Roman" w:ascii="Times New Roman" w:hAnsi="Times New Roman"/>
                      <w:color w:val="000000"/>
                      <w:sz w:val="20"/>
                      <w:szCs w:val="20"/>
                      <w:lang w:bidi="ar-SA"/>
                    </w:rPr>
                    <w:t>02</w:t>
                  </w:r>
                </w:p>
              </w:tc>
            </w:tr>
            <w:tr>
              <w:trPr>
                <w:trHeight w:val="449" w:hRule="atLeast"/>
              </w:trPr>
              <w:tc>
                <w:tcPr>
                  <w:tcW w:w="729" w:type="dxa"/>
                  <w:tcBorders>
                    <w:top w:val="single" w:sz="4" w:space="0" w:color="000000"/>
                    <w:left w:val="single" w:sz="4" w:space="0" w:color="000000"/>
                    <w:bottom w:val="single" w:sz="4" w:space="0" w:color="000000"/>
                  </w:tcBorders>
                  <w:shd w:fill="auto" w:val="clear"/>
                  <w:vAlign w:val="center"/>
                </w:tcPr>
                <w:p>
                  <w:pPr>
                    <w:pStyle w:val="Standard"/>
                    <w:suppressAutoHyphens w:val="false"/>
                    <w:bidi w:val="0"/>
                    <w:spacing w:lineRule="auto" w:line="240"/>
                    <w:jc w:val="center"/>
                    <w:rPr>
                      <w:rFonts w:ascii="Times New Roman" w:hAnsi="Times New Roman" w:cs="Times New Roman"/>
                      <w:color w:val="000000"/>
                      <w:sz w:val="20"/>
                      <w:szCs w:val="20"/>
                    </w:rPr>
                  </w:pPr>
                  <w:r>
                    <w:rPr>
                      <w:rFonts w:cs="Times New Roman" w:ascii="Times New Roman" w:hAnsi="Times New Roman"/>
                      <w:color w:val="000000"/>
                      <w:sz w:val="20"/>
                      <w:szCs w:val="20"/>
                    </w:rPr>
                    <w:t>10</w:t>
                  </w:r>
                </w:p>
              </w:tc>
              <w:tc>
                <w:tcPr>
                  <w:tcW w:w="7551" w:type="dxa"/>
                  <w:tcBorders>
                    <w:top w:val="single" w:sz="4" w:space="0" w:color="000000"/>
                    <w:left w:val="single" w:sz="4" w:space="0" w:color="000000"/>
                    <w:bottom w:val="single" w:sz="4" w:space="0" w:color="000000"/>
                  </w:tcBorders>
                  <w:shd w:fill="auto" w:val="clear"/>
                  <w:vAlign w:val="center"/>
                </w:tcPr>
                <w:p>
                  <w:pPr>
                    <w:pStyle w:val="Normal"/>
                    <w:bidi w:val="0"/>
                    <w:snapToGrid w:val="false"/>
                    <w:spacing w:lineRule="auto" w:line="240" w:before="0" w:after="0"/>
                    <w:jc w:val="both"/>
                    <w:rPr>
                      <w:rFonts w:ascii="arial" w:hAnsi="arial" w:eastAsia="Times New Roman" w:cs="arial"/>
                      <w:color w:val="auto"/>
                      <w:sz w:val="21"/>
                      <w:szCs w:val="21"/>
                      <w:lang w:bidi="ar-SA"/>
                    </w:rPr>
                  </w:pPr>
                  <w:r>
                    <w:rPr>
                      <w:rFonts w:eastAsia="Times New Roman" w:cs="arial" w:ascii="arial" w:hAnsi="arial"/>
                      <w:color w:val="auto"/>
                      <w:sz w:val="21"/>
                      <w:szCs w:val="21"/>
                      <w:lang w:bidi="ar-SA"/>
                    </w:rPr>
                    <w:t>Curso para Instrutor de Curso Especializado para Condutores de Veículos de Transporte de Cargas Indivisíveis</w:t>
                  </w:r>
                </w:p>
              </w:tc>
              <w:tc>
                <w:tcPr>
                  <w:tcW w:w="1613" w:type="dxa"/>
                  <w:tcBorders>
                    <w:top w:val="single" w:sz="4" w:space="0" w:color="000000"/>
                    <w:left w:val="single" w:sz="4" w:space="0" w:color="000000"/>
                    <w:bottom w:val="single" w:sz="4" w:space="0" w:color="000000"/>
                    <w:right w:val="single" w:sz="4" w:space="0" w:color="000000"/>
                  </w:tcBorders>
                  <w:shd w:fill="auto" w:val="clear"/>
                  <w:vAlign w:val="center"/>
                </w:tcPr>
                <w:p>
                  <w:pPr>
                    <w:pStyle w:val="Standard"/>
                    <w:suppressAutoHyphens w:val="false"/>
                    <w:bidi w:val="0"/>
                    <w:snapToGrid w:val="false"/>
                    <w:spacing w:lineRule="auto" w:line="240"/>
                    <w:jc w:val="center"/>
                    <w:rPr>
                      <w:rFonts w:ascii="Times New Roman" w:hAnsi="Times New Roman" w:eastAsia="Times New Roman" w:cs="Times New Roman"/>
                      <w:color w:val="000000"/>
                      <w:sz w:val="20"/>
                      <w:szCs w:val="20"/>
                      <w:lang w:bidi="ar-SA"/>
                    </w:rPr>
                  </w:pPr>
                  <w:r>
                    <w:rPr>
                      <w:rFonts w:eastAsia="Times New Roman" w:cs="Times New Roman" w:ascii="Times New Roman" w:hAnsi="Times New Roman"/>
                      <w:color w:val="000000"/>
                      <w:sz w:val="20"/>
                      <w:szCs w:val="20"/>
                      <w:lang w:bidi="ar-SA"/>
                    </w:rPr>
                    <w:t>03</w:t>
                  </w:r>
                </w:p>
              </w:tc>
            </w:tr>
            <w:tr>
              <w:trPr>
                <w:trHeight w:val="449" w:hRule="atLeast"/>
              </w:trPr>
              <w:tc>
                <w:tcPr>
                  <w:tcW w:w="729" w:type="dxa"/>
                  <w:tcBorders>
                    <w:top w:val="single" w:sz="4" w:space="0" w:color="000000"/>
                    <w:left w:val="single" w:sz="4" w:space="0" w:color="000000"/>
                    <w:bottom w:val="single" w:sz="4" w:space="0" w:color="000000"/>
                  </w:tcBorders>
                  <w:shd w:fill="auto" w:val="clear"/>
                  <w:vAlign w:val="center"/>
                </w:tcPr>
                <w:p>
                  <w:pPr>
                    <w:pStyle w:val="Standard"/>
                    <w:suppressAutoHyphens w:val="false"/>
                    <w:bidi w:val="0"/>
                    <w:spacing w:lineRule="auto" w:line="240"/>
                    <w:jc w:val="center"/>
                    <w:rPr>
                      <w:rFonts w:ascii="Times New Roman" w:hAnsi="Times New Roman" w:cs="Times New Roman"/>
                      <w:color w:val="000000"/>
                      <w:sz w:val="20"/>
                      <w:szCs w:val="20"/>
                    </w:rPr>
                  </w:pPr>
                  <w:r>
                    <w:rPr>
                      <w:rFonts w:cs="Times New Roman" w:ascii="Times New Roman" w:hAnsi="Times New Roman"/>
                      <w:color w:val="000000"/>
                      <w:sz w:val="20"/>
                      <w:szCs w:val="20"/>
                    </w:rPr>
                    <w:t>11</w:t>
                  </w:r>
                </w:p>
              </w:tc>
              <w:tc>
                <w:tcPr>
                  <w:tcW w:w="7551" w:type="dxa"/>
                  <w:tcBorders>
                    <w:top w:val="single" w:sz="4" w:space="0" w:color="000000"/>
                    <w:left w:val="single" w:sz="4" w:space="0" w:color="000000"/>
                    <w:bottom w:val="single" w:sz="4" w:space="0" w:color="000000"/>
                  </w:tcBorders>
                  <w:shd w:fill="auto" w:val="clear"/>
                  <w:vAlign w:val="center"/>
                </w:tcPr>
                <w:p>
                  <w:pPr>
                    <w:pStyle w:val="Normal"/>
                    <w:bidi w:val="0"/>
                    <w:snapToGrid w:val="false"/>
                    <w:spacing w:lineRule="auto" w:line="240" w:before="0" w:after="0"/>
                    <w:jc w:val="both"/>
                    <w:rPr>
                      <w:rFonts w:ascii="arial" w:hAnsi="arial" w:eastAsia="Times New Roman" w:cs="arial"/>
                      <w:color w:val="auto"/>
                      <w:sz w:val="21"/>
                      <w:szCs w:val="21"/>
                      <w:lang w:bidi="ar-SA"/>
                    </w:rPr>
                  </w:pPr>
                  <w:r>
                    <w:rPr>
                      <w:rFonts w:eastAsia="Times New Roman" w:cs="arial" w:ascii="arial" w:hAnsi="arial"/>
                      <w:color w:val="auto"/>
                      <w:sz w:val="21"/>
                      <w:szCs w:val="21"/>
                      <w:lang w:bidi="ar-SA"/>
                    </w:rPr>
                    <w:t>Curso para Instrutor de Curso Especializado para Condutores de Veículos de Transporte de Produtos Perigosos</w:t>
                  </w:r>
                </w:p>
              </w:tc>
              <w:tc>
                <w:tcPr>
                  <w:tcW w:w="1613" w:type="dxa"/>
                  <w:tcBorders>
                    <w:top w:val="single" w:sz="4" w:space="0" w:color="000000"/>
                    <w:left w:val="single" w:sz="4" w:space="0" w:color="000000"/>
                    <w:bottom w:val="single" w:sz="4" w:space="0" w:color="000000"/>
                    <w:right w:val="single" w:sz="4" w:space="0" w:color="000000"/>
                  </w:tcBorders>
                  <w:shd w:fill="auto" w:val="clear"/>
                  <w:vAlign w:val="center"/>
                </w:tcPr>
                <w:p>
                  <w:pPr>
                    <w:pStyle w:val="Standard"/>
                    <w:suppressAutoHyphens w:val="false"/>
                    <w:bidi w:val="0"/>
                    <w:snapToGrid w:val="false"/>
                    <w:spacing w:lineRule="auto" w:line="240"/>
                    <w:jc w:val="center"/>
                    <w:rPr>
                      <w:rFonts w:ascii="Times New Roman" w:hAnsi="Times New Roman" w:eastAsia="Times New Roman" w:cs="Times New Roman"/>
                      <w:color w:val="000000"/>
                      <w:sz w:val="20"/>
                      <w:szCs w:val="20"/>
                      <w:lang w:bidi="ar-SA"/>
                    </w:rPr>
                  </w:pPr>
                  <w:r>
                    <w:rPr>
                      <w:rFonts w:eastAsia="Times New Roman" w:cs="Times New Roman" w:ascii="Times New Roman" w:hAnsi="Times New Roman"/>
                      <w:color w:val="000000"/>
                      <w:sz w:val="20"/>
                      <w:szCs w:val="20"/>
                      <w:lang w:bidi="ar-SA"/>
                    </w:rPr>
                    <w:t>03</w:t>
                  </w:r>
                </w:p>
              </w:tc>
            </w:tr>
          </w:tbl>
          <w:p>
            <w:pPr>
              <w:pStyle w:val="Standard"/>
              <w:bidi w:val="0"/>
              <w:spacing w:lineRule="auto" w:line="240"/>
              <w:jc w:val="both"/>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Standard"/>
              <w:bidi w:val="0"/>
              <w:spacing w:lineRule="auto" w:line="240"/>
              <w:jc w:val="both"/>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Standard"/>
              <w:bidi w:val="0"/>
              <w:spacing w:lineRule="auto" w:line="240"/>
              <w:jc w:val="both"/>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Standard"/>
              <w:bidi w:val="0"/>
              <w:spacing w:lineRule="auto" w:line="240"/>
              <w:jc w:val="both"/>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Standard"/>
              <w:bidi w:val="0"/>
              <w:spacing w:lineRule="auto" w:line="240"/>
              <w:jc w:val="both"/>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Standard"/>
              <w:bidi w:val="0"/>
              <w:spacing w:lineRule="auto" w:line="240"/>
              <w:jc w:val="both"/>
              <w:rPr>
                <w:rFonts w:ascii="Times New Roman" w:hAnsi="Times New Roman" w:cs="Times New Roman"/>
                <w:color w:val="000000"/>
                <w:sz w:val="20"/>
                <w:szCs w:val="20"/>
              </w:rPr>
            </w:pPr>
            <w:r>
              <w:rPr>
                <w:rFonts w:cs="Times New Roman" w:ascii="Times New Roman" w:hAnsi="Times New Roman"/>
                <w:color w:val="000000"/>
                <w:sz w:val="20"/>
                <w:szCs w:val="20"/>
              </w:rPr>
            </w:r>
          </w:p>
        </w:tc>
      </w:tr>
    </w:tbl>
    <w:p>
      <w:pPr>
        <w:pStyle w:val="Normal"/>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tbl>
      <w:tblPr>
        <w:tblW w:w="9995" w:type="dxa"/>
        <w:jc w:val="left"/>
        <w:tblInd w:w="-86" w:type="dxa"/>
        <w:tblCellMar>
          <w:top w:w="55" w:type="dxa"/>
          <w:left w:w="52" w:type="dxa"/>
          <w:bottom w:w="55" w:type="dxa"/>
          <w:right w:w="55" w:type="dxa"/>
        </w:tblCellMar>
      </w:tblPr>
      <w:tblGrid>
        <w:gridCol w:w="9995"/>
      </w:tblGrid>
      <w:tr>
        <w:trPr/>
        <w:tc>
          <w:tcPr>
            <w:tcW w:w="9995" w:type="dxa"/>
            <w:tcBorders>
              <w:top w:val="single" w:sz="2" w:space="0" w:color="008000"/>
              <w:left w:val="single" w:sz="2" w:space="0" w:color="008000"/>
              <w:bottom w:val="single" w:sz="2" w:space="0" w:color="008000"/>
              <w:right w:val="single" w:sz="2" w:space="0" w:color="008000"/>
            </w:tcBorders>
            <w:shd w:fill="DDDDDD" w:val="clear"/>
          </w:tcPr>
          <w:p>
            <w:pPr>
              <w:pStyle w:val="Contedodatabela"/>
              <w:bidi w:val="0"/>
              <w:jc w:val="both"/>
              <w:rPr>
                <w:rFonts w:ascii="Times New Roman" w:hAnsi="Times New Roman" w:cs="Times New Roman"/>
                <w:b/>
                <w:b/>
                <w:bCs/>
                <w:color w:val="000000"/>
                <w:sz w:val="20"/>
                <w:szCs w:val="20"/>
              </w:rPr>
            </w:pPr>
            <w:r>
              <w:rPr>
                <w:rFonts w:cs="Times New Roman" w:ascii="Times New Roman" w:hAnsi="Times New Roman"/>
                <w:b/>
                <w:bCs/>
                <w:color w:val="000000"/>
                <w:sz w:val="20"/>
                <w:szCs w:val="20"/>
              </w:rPr>
              <w:t>4. Previsão de data em que os materiais serão utilizados OU em que deve ser iniciada a prestação dos serviços:</w:t>
            </w:r>
          </w:p>
        </w:tc>
      </w:tr>
      <w:tr>
        <w:trPr>
          <w:trHeight w:val="1527" w:hRule="atLeast"/>
        </w:trPr>
        <w:tc>
          <w:tcPr>
            <w:tcW w:w="9995" w:type="dxa"/>
            <w:tcBorders>
              <w:top w:val="single" w:sz="2" w:space="0" w:color="008000"/>
              <w:left w:val="single" w:sz="2" w:space="0" w:color="008000"/>
              <w:bottom w:val="single" w:sz="2" w:space="0" w:color="008000"/>
              <w:right w:val="single" w:sz="2" w:space="0" w:color="008000"/>
            </w:tcBorders>
            <w:shd w:fill="auto" w:val="clear"/>
          </w:tcPr>
          <w:p>
            <w:pPr>
              <w:pStyle w:val="Normal"/>
              <w:bidi w:val="0"/>
              <w:snapToGrid w:val="false"/>
              <w:jc w:val="both"/>
              <w:rPr>
                <w:rFonts w:ascii="arial" w:hAnsi="arial" w:cs="arial"/>
                <w:b/>
                <w:b/>
                <w:bCs/>
                <w:color w:val="000000"/>
                <w:sz w:val="21"/>
                <w:szCs w:val="21"/>
              </w:rPr>
            </w:pPr>
            <w:r>
              <w:rPr>
                <w:rFonts w:cs="arial" w:ascii="arial" w:hAnsi="arial"/>
                <w:b/>
                <w:bCs/>
                <w:color w:val="000000"/>
                <w:sz w:val="21"/>
                <w:szCs w:val="21"/>
              </w:rPr>
            </w:r>
          </w:p>
          <w:p>
            <w:pPr>
              <w:pStyle w:val="Normal"/>
              <w:bidi w:val="0"/>
              <w:snapToGrid w:val="false"/>
              <w:jc w:val="both"/>
              <w:rPr>
                <w:rFonts w:ascii="arial" w:hAnsi="arial" w:cs="arial"/>
                <w:b/>
                <w:b/>
                <w:bCs/>
                <w:color w:val="000000"/>
                <w:sz w:val="21"/>
                <w:szCs w:val="21"/>
              </w:rPr>
            </w:pPr>
            <w:r>
              <w:rPr>
                <w:rFonts w:cs="arial" w:ascii="arial" w:hAnsi="arial"/>
                <w:b/>
                <w:bCs/>
                <w:color w:val="000000"/>
                <w:sz w:val="21"/>
                <w:szCs w:val="21"/>
              </w:rPr>
              <w:t>- Até 30 (trinta) dias após o recebimento da Nota de Empenho.</w:t>
            </w:r>
          </w:p>
          <w:p>
            <w:pPr>
              <w:pStyle w:val="Standard"/>
              <w:suppressAutoHyphens w:val="false"/>
              <w:bidi w:val="0"/>
              <w:spacing w:lineRule="auto" w:line="360"/>
              <w:jc w:val="both"/>
              <w:rPr>
                <w:rFonts w:ascii="Open Sans;Arial" w:hAnsi="Open Sans;Arial" w:cs="Open Sans;Arial"/>
                <w:b/>
                <w:b/>
                <w:bCs/>
                <w:color w:val="000000"/>
                <w:sz w:val="16"/>
                <w:szCs w:val="16"/>
              </w:rPr>
            </w:pPr>
            <w:r>
              <w:rPr>
                <w:rFonts w:cs="Open Sans;Arial" w:ascii="Open Sans;Arial" w:hAnsi="Open Sans;Arial"/>
                <w:b/>
                <w:bCs/>
                <w:color w:val="000000"/>
                <w:sz w:val="16"/>
                <w:szCs w:val="16"/>
              </w:rPr>
            </w:r>
          </w:p>
          <w:tbl>
            <w:tblPr>
              <w:tblW w:w="10026" w:type="dxa"/>
              <w:jc w:val="left"/>
              <w:tblInd w:w="-15" w:type="dxa"/>
              <w:tblCellMar>
                <w:top w:w="55" w:type="dxa"/>
                <w:left w:w="52" w:type="dxa"/>
                <w:bottom w:w="55" w:type="dxa"/>
                <w:right w:w="55" w:type="dxa"/>
              </w:tblCellMar>
            </w:tblPr>
            <w:tblGrid>
              <w:gridCol w:w="10026"/>
            </w:tblGrid>
            <w:tr>
              <w:trPr/>
              <w:tc>
                <w:tcPr>
                  <w:tcW w:w="10026" w:type="dxa"/>
                  <w:tcBorders>
                    <w:top w:val="single" w:sz="2" w:space="0" w:color="008000"/>
                    <w:left w:val="single" w:sz="2" w:space="0" w:color="008000"/>
                    <w:bottom w:val="single" w:sz="2" w:space="0" w:color="008000"/>
                    <w:right w:val="single" w:sz="2" w:space="0" w:color="008000"/>
                  </w:tcBorders>
                  <w:shd w:fill="DDDDDD" w:val="clear"/>
                </w:tcPr>
                <w:p>
                  <w:pPr>
                    <w:pStyle w:val="Contedodatabela"/>
                    <w:bidi w:val="0"/>
                    <w:jc w:val="both"/>
                    <w:rPr>
                      <w:rFonts w:ascii="Times New Roman" w:hAnsi="Times New Roman" w:cs="Times New Roman"/>
                      <w:b/>
                      <w:b/>
                      <w:bCs/>
                      <w:color w:val="000000"/>
                      <w:sz w:val="20"/>
                      <w:szCs w:val="20"/>
                    </w:rPr>
                  </w:pPr>
                  <w:r>
                    <w:rPr>
                      <w:rFonts w:cs="Times New Roman" w:ascii="Times New Roman" w:hAnsi="Times New Roman"/>
                      <w:b/>
                      <w:bCs/>
                      <w:color w:val="000000"/>
                      <w:sz w:val="20"/>
                      <w:szCs w:val="20"/>
                    </w:rPr>
                    <w:t>5. Grau de prioridade da compra</w:t>
                  </w:r>
                </w:p>
              </w:tc>
            </w:tr>
          </w:tbl>
          <w:p>
            <w:pPr>
              <w:pStyle w:val="Standard"/>
              <w:suppressAutoHyphens w:val="false"/>
              <w:bidi w:val="0"/>
              <w:spacing w:lineRule="auto" w:line="360"/>
              <w:jc w:val="both"/>
              <w:rPr>
                <w:rFonts w:ascii="Open Sans;Arial" w:hAnsi="Open Sans;Arial" w:cs="Open Sans;Arial"/>
                <w:color w:val="000000"/>
                <w:sz w:val="16"/>
                <w:szCs w:val="16"/>
              </w:rPr>
            </w:pPr>
            <w:r>
              <w:rPr>
                <w:rFonts w:cs="Open Sans;Arial" w:ascii="Open Sans;Arial" w:hAnsi="Open Sans;Arial"/>
                <w:color w:val="000000"/>
                <w:sz w:val="16"/>
                <w:szCs w:val="16"/>
              </w:rPr>
            </w:r>
          </w:p>
          <w:p>
            <w:pPr>
              <w:pStyle w:val="Standard"/>
              <w:suppressAutoHyphens w:val="false"/>
              <w:bidi w:val="0"/>
              <w:spacing w:lineRule="auto" w:line="360"/>
              <w:jc w:val="both"/>
              <w:rPr>
                <w:rFonts w:ascii="Arial" w:hAnsi="Arial" w:eastAsia="Times New Roman" w:cs="Arial"/>
                <w:b/>
                <w:b/>
                <w:color w:val="auto"/>
                <w:kern w:val="0"/>
                <w:sz w:val="20"/>
                <w:szCs w:val="20"/>
                <w:lang w:val="pt-BR" w:eastAsia="ar-SA" w:bidi="ar-SA"/>
              </w:rPr>
            </w:pPr>
            <w:r>
              <w:rPr>
                <w:rStyle w:val="Fontepargpadro1"/>
                <w:rFonts w:cs="Times New Roman" w:ascii="Times New Roman" w:hAnsi="Times New Roman"/>
                <w:color w:val="000000"/>
                <w:sz w:val="20"/>
                <w:szCs w:val="20"/>
                <w:highlight w:val="white"/>
              </w:rPr>
              <w:t>(   ) Baixo    (     ) Médio    ( X )Alto</w:t>
            </w:r>
          </w:p>
          <w:p>
            <w:pPr>
              <w:pStyle w:val="Standard"/>
              <w:suppressAutoHyphens w:val="false"/>
              <w:bidi w:val="0"/>
              <w:spacing w:lineRule="auto" w:line="360"/>
              <w:jc w:val="both"/>
              <w:rPr>
                <w:rFonts w:ascii="Open Sans;Arial" w:hAnsi="Open Sans;Arial" w:cs="Open Sans;Arial"/>
                <w:color w:val="000000"/>
                <w:sz w:val="16"/>
                <w:szCs w:val="16"/>
              </w:rPr>
            </w:pPr>
            <w:r>
              <w:rPr>
                <w:rFonts w:cs="Open Sans;Arial" w:ascii="Open Sans;Arial" w:hAnsi="Open Sans;Arial"/>
                <w:color w:val="000000"/>
                <w:sz w:val="16"/>
                <w:szCs w:val="16"/>
              </w:rPr>
            </w:r>
          </w:p>
        </w:tc>
      </w:tr>
    </w:tbl>
    <w:p>
      <w:pPr>
        <w:pStyle w:val="Normal"/>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tbl>
      <w:tblPr>
        <w:tblW w:w="9981" w:type="dxa"/>
        <w:jc w:val="left"/>
        <w:tblInd w:w="-86" w:type="dxa"/>
        <w:tblCellMar>
          <w:top w:w="55" w:type="dxa"/>
          <w:left w:w="52" w:type="dxa"/>
          <w:bottom w:w="55" w:type="dxa"/>
          <w:right w:w="55" w:type="dxa"/>
        </w:tblCellMar>
      </w:tblPr>
      <w:tblGrid>
        <w:gridCol w:w="2890"/>
        <w:gridCol w:w="3686"/>
        <w:gridCol w:w="1535"/>
        <w:gridCol w:w="1869"/>
      </w:tblGrid>
      <w:tr>
        <w:trPr>
          <w:trHeight w:val="46" w:hRule="atLeast"/>
        </w:trPr>
        <w:tc>
          <w:tcPr>
            <w:tcW w:w="9980" w:type="dxa"/>
            <w:gridSpan w:val="4"/>
            <w:tcBorders>
              <w:top w:val="single" w:sz="2" w:space="0" w:color="008000"/>
              <w:left w:val="single" w:sz="2" w:space="0" w:color="008000"/>
              <w:bottom w:val="single" w:sz="2" w:space="0" w:color="008000"/>
              <w:right w:val="single" w:sz="2" w:space="0" w:color="008000"/>
            </w:tcBorders>
            <w:shd w:fill="DDDDDD" w:val="clear"/>
          </w:tcPr>
          <w:p>
            <w:pPr>
              <w:pStyle w:val="Contedodatabela"/>
              <w:bidi w:val="0"/>
              <w:jc w:val="both"/>
              <w:rPr>
                <w:rFonts w:ascii="Times New Roman" w:hAnsi="Times New Roman" w:cs="Times New Roman"/>
                <w:b/>
                <w:b/>
                <w:bCs/>
                <w:color w:val="000000"/>
                <w:sz w:val="20"/>
                <w:szCs w:val="20"/>
              </w:rPr>
            </w:pPr>
            <w:r>
              <w:rPr>
                <w:rFonts w:cs="Times New Roman" w:ascii="Times New Roman" w:hAnsi="Times New Roman"/>
                <w:b/>
                <w:bCs/>
                <w:color w:val="000000"/>
                <w:sz w:val="20"/>
                <w:szCs w:val="20"/>
              </w:rPr>
              <w:t>6. Indicação dos membros da Equipe de Planejamento: (CASO já tenha publicação)</w:t>
            </w:r>
          </w:p>
        </w:tc>
      </w:tr>
      <w:tr>
        <w:trPr>
          <w:trHeight w:val="46" w:hRule="atLeast"/>
        </w:trPr>
        <w:tc>
          <w:tcPr>
            <w:tcW w:w="2890" w:type="dxa"/>
            <w:tcBorders>
              <w:top w:val="single" w:sz="2" w:space="0" w:color="008000"/>
              <w:left w:val="single" w:sz="2" w:space="0" w:color="008000"/>
              <w:bottom w:val="single" w:sz="2" w:space="0" w:color="008000"/>
              <w:right w:val="single" w:sz="2" w:space="0" w:color="008000"/>
            </w:tcBorders>
            <w:shd w:fill="auto" w:val="clear"/>
            <w:tcMar>
              <w:top w:w="0" w:type="dxa"/>
              <w:left w:w="7" w:type="dxa"/>
              <w:bottom w:w="0" w:type="dxa"/>
              <w:right w:w="10" w:type="dxa"/>
            </w:tcMar>
          </w:tcPr>
          <w:p>
            <w:pPr>
              <w:pStyle w:val="Contedodatabela"/>
              <w:bidi w:val="0"/>
              <w:jc w:val="center"/>
              <w:rPr>
                <w:rFonts w:ascii="Times New Roman" w:hAnsi="Times New Roman" w:cs="Times New Roman"/>
                <w:b/>
                <w:b/>
                <w:bCs/>
                <w:sz w:val="20"/>
                <w:szCs w:val="20"/>
              </w:rPr>
            </w:pPr>
            <w:r>
              <w:rPr>
                <w:rFonts w:cs="Times New Roman" w:ascii="Times New Roman" w:hAnsi="Times New Roman"/>
                <w:b/>
                <w:bCs/>
                <w:sz w:val="20"/>
                <w:szCs w:val="20"/>
              </w:rPr>
              <w:t>FUNÇÃO/CARGO</w:t>
            </w:r>
          </w:p>
        </w:tc>
        <w:tc>
          <w:tcPr>
            <w:tcW w:w="3686" w:type="dxa"/>
            <w:tcBorders>
              <w:top w:val="single" w:sz="2" w:space="0" w:color="008000"/>
              <w:left w:val="single" w:sz="2" w:space="0" w:color="008000"/>
              <w:bottom w:val="single" w:sz="2" w:space="0" w:color="008000"/>
              <w:right w:val="single" w:sz="2" w:space="0" w:color="008000"/>
            </w:tcBorders>
            <w:shd w:fill="auto" w:val="clear"/>
            <w:tcMar>
              <w:top w:w="0" w:type="dxa"/>
              <w:left w:w="7" w:type="dxa"/>
              <w:bottom w:w="0" w:type="dxa"/>
              <w:right w:w="10" w:type="dxa"/>
            </w:tcMar>
          </w:tcPr>
          <w:p>
            <w:pPr>
              <w:pStyle w:val="Contedodatabela"/>
              <w:bidi w:val="0"/>
              <w:jc w:val="center"/>
              <w:rPr>
                <w:rFonts w:ascii="Times New Roman" w:hAnsi="Times New Roman" w:cs="Times New Roman"/>
                <w:b/>
                <w:b/>
                <w:bCs/>
                <w:sz w:val="20"/>
                <w:szCs w:val="20"/>
              </w:rPr>
            </w:pPr>
            <w:r>
              <w:rPr>
                <w:rFonts w:cs="Times New Roman" w:ascii="Times New Roman" w:hAnsi="Times New Roman"/>
                <w:b/>
                <w:bCs/>
                <w:sz w:val="20"/>
                <w:szCs w:val="20"/>
              </w:rPr>
              <w:t>NOME</w:t>
            </w:r>
          </w:p>
        </w:tc>
        <w:tc>
          <w:tcPr>
            <w:tcW w:w="1535" w:type="dxa"/>
            <w:tcBorders>
              <w:top w:val="single" w:sz="2" w:space="0" w:color="008000"/>
              <w:left w:val="single" w:sz="2" w:space="0" w:color="008000"/>
              <w:bottom w:val="single" w:sz="2" w:space="0" w:color="008000"/>
              <w:right w:val="single" w:sz="2" w:space="0" w:color="008000"/>
            </w:tcBorders>
            <w:shd w:fill="auto" w:val="clear"/>
            <w:tcMar>
              <w:top w:w="0" w:type="dxa"/>
              <w:left w:w="7" w:type="dxa"/>
              <w:bottom w:w="0" w:type="dxa"/>
              <w:right w:w="10" w:type="dxa"/>
            </w:tcMar>
          </w:tcPr>
          <w:p>
            <w:pPr>
              <w:pStyle w:val="Contedodatabela"/>
              <w:bidi w:val="0"/>
              <w:jc w:val="center"/>
              <w:rPr>
                <w:rFonts w:ascii="Times New Roman" w:hAnsi="Times New Roman" w:cs="Times New Roman"/>
                <w:b/>
                <w:b/>
                <w:bCs/>
                <w:sz w:val="20"/>
                <w:szCs w:val="20"/>
              </w:rPr>
            </w:pPr>
            <w:r>
              <w:rPr>
                <w:rFonts w:cs="Times New Roman" w:ascii="Times New Roman" w:hAnsi="Times New Roman"/>
                <w:b/>
                <w:bCs/>
                <w:sz w:val="20"/>
                <w:szCs w:val="20"/>
              </w:rPr>
              <w:t>IDENTIDADE</w:t>
            </w:r>
          </w:p>
        </w:tc>
        <w:tc>
          <w:tcPr>
            <w:tcW w:w="1869" w:type="dxa"/>
            <w:tcBorders>
              <w:top w:val="single" w:sz="2" w:space="0" w:color="008000"/>
              <w:left w:val="single" w:sz="2" w:space="0" w:color="008000"/>
              <w:bottom w:val="single" w:sz="2" w:space="0" w:color="008000"/>
              <w:right w:val="single" w:sz="2" w:space="0" w:color="008000"/>
            </w:tcBorders>
            <w:shd w:fill="auto" w:val="clear"/>
            <w:tcMar>
              <w:top w:w="0" w:type="dxa"/>
              <w:left w:w="7" w:type="dxa"/>
              <w:bottom w:w="0" w:type="dxa"/>
              <w:right w:w="10" w:type="dxa"/>
            </w:tcMar>
          </w:tcPr>
          <w:p>
            <w:pPr>
              <w:pStyle w:val="Contedodatabela"/>
              <w:bidi w:val="0"/>
              <w:jc w:val="center"/>
              <w:rPr>
                <w:rFonts w:ascii="Times New Roman" w:hAnsi="Times New Roman" w:cs="Times New Roman"/>
                <w:b/>
                <w:b/>
                <w:bCs/>
                <w:sz w:val="20"/>
                <w:szCs w:val="20"/>
              </w:rPr>
            </w:pPr>
            <w:r>
              <w:rPr>
                <w:rFonts w:cs="Times New Roman" w:ascii="Times New Roman" w:hAnsi="Times New Roman"/>
                <w:b/>
                <w:bCs/>
                <w:sz w:val="20"/>
                <w:szCs w:val="20"/>
              </w:rPr>
              <w:t>CIÊNCIA</w:t>
            </w:r>
          </w:p>
        </w:tc>
      </w:tr>
      <w:tr>
        <w:trPr>
          <w:trHeight w:val="46" w:hRule="atLeast"/>
        </w:trPr>
        <w:tc>
          <w:tcPr>
            <w:tcW w:w="2890" w:type="dxa"/>
            <w:vMerge w:val="restart"/>
            <w:tcBorders>
              <w:top w:val="single" w:sz="2" w:space="0" w:color="008000"/>
              <w:left w:val="single" w:sz="2" w:space="0" w:color="008000"/>
              <w:bottom w:val="single" w:sz="2" w:space="0" w:color="008000"/>
              <w:right w:val="single" w:sz="2" w:space="0" w:color="008000"/>
            </w:tcBorders>
            <w:shd w:fill="auto" w:val="clear"/>
            <w:tcMar>
              <w:top w:w="0" w:type="dxa"/>
              <w:left w:w="7" w:type="dxa"/>
              <w:bottom w:w="0" w:type="dxa"/>
              <w:right w:w="10" w:type="dxa"/>
            </w:tcMar>
          </w:tcPr>
          <w:p>
            <w:pPr>
              <w:pStyle w:val="Contedodatabela"/>
              <w:bidi w:val="0"/>
              <w:jc w:val="left"/>
              <w:rPr>
                <w:rFonts w:ascii="Times New Roman" w:hAnsi="Times New Roman" w:cs="Times New Roman"/>
                <w:sz w:val="20"/>
                <w:szCs w:val="20"/>
              </w:rPr>
            </w:pPr>
            <w:r>
              <w:rPr>
                <w:rFonts w:cs="Times New Roman" w:ascii="Times New Roman" w:hAnsi="Times New Roman"/>
                <w:sz w:val="20"/>
                <w:szCs w:val="20"/>
              </w:rPr>
              <w:t>Integrante(s) requisitante(s)</w:t>
            </w:r>
          </w:p>
          <w:p>
            <w:pPr>
              <w:pStyle w:val="Contedodatabela"/>
              <w:bidi w:val="0"/>
              <w:jc w:val="left"/>
              <w:rPr>
                <w:rFonts w:ascii="Times New Roman" w:hAnsi="Times New Roman" w:cs="Times New Roman"/>
                <w:sz w:val="20"/>
                <w:szCs w:val="20"/>
              </w:rPr>
            </w:pPr>
            <w:r>
              <w:rPr>
                <w:rFonts w:cs="Times New Roman" w:ascii="Times New Roman" w:hAnsi="Times New Roman"/>
                <w:sz w:val="20"/>
                <w:szCs w:val="20"/>
              </w:rPr>
            </w:r>
          </w:p>
        </w:tc>
        <w:tc>
          <w:tcPr>
            <w:tcW w:w="3686" w:type="dxa"/>
            <w:tcBorders>
              <w:top w:val="single" w:sz="2" w:space="0" w:color="008000"/>
              <w:left w:val="single" w:sz="2" w:space="0" w:color="008000"/>
              <w:bottom w:val="single" w:sz="2" w:space="0" w:color="008000"/>
              <w:right w:val="single" w:sz="2" w:space="0" w:color="008000"/>
            </w:tcBorders>
            <w:shd w:fill="auto" w:val="clear"/>
            <w:tcMar>
              <w:top w:w="0" w:type="dxa"/>
              <w:left w:w="7" w:type="dxa"/>
              <w:bottom w:w="0" w:type="dxa"/>
              <w:right w:w="10" w:type="dxa"/>
            </w:tcMar>
          </w:tcPr>
          <w:p>
            <w:pPr>
              <w:pStyle w:val="Contedodatabela"/>
              <w:bidi w:val="0"/>
              <w:snapToGrid w:val="false"/>
              <w:jc w:val="center"/>
              <w:textAlignment w:val="center"/>
              <w:rPr>
                <w:rFonts w:ascii="Times New Roman" w:hAnsi="Times New Roman" w:cs="Times New Roman"/>
                <w:b w:val="false"/>
                <w:b w:val="false"/>
                <w:bCs w:val="false"/>
                <w:sz w:val="20"/>
                <w:szCs w:val="20"/>
              </w:rPr>
            </w:pPr>
            <w:r>
              <w:rPr>
                <w:rFonts w:cs="Times New Roman" w:ascii="Times New Roman" w:hAnsi="Times New Roman"/>
                <w:b w:val="false"/>
                <w:bCs w:val="false"/>
                <w:sz w:val="20"/>
                <w:szCs w:val="20"/>
              </w:rPr>
              <w:t>Luis Carlos Chagas</w:t>
            </w:r>
          </w:p>
        </w:tc>
        <w:tc>
          <w:tcPr>
            <w:tcW w:w="1535" w:type="dxa"/>
            <w:tcBorders>
              <w:top w:val="single" w:sz="2" w:space="0" w:color="008000"/>
              <w:left w:val="single" w:sz="2" w:space="0" w:color="008000"/>
              <w:bottom w:val="single" w:sz="2" w:space="0" w:color="008000"/>
              <w:right w:val="single" w:sz="2" w:space="0" w:color="008000"/>
            </w:tcBorders>
            <w:shd w:fill="auto" w:val="clear"/>
            <w:tcMar>
              <w:top w:w="0" w:type="dxa"/>
              <w:left w:w="7" w:type="dxa"/>
              <w:bottom w:w="0" w:type="dxa"/>
              <w:right w:w="10" w:type="dxa"/>
            </w:tcMar>
          </w:tcPr>
          <w:p>
            <w:pPr>
              <w:pStyle w:val="Contedodatabela"/>
              <w:bidi w:val="0"/>
              <w:snapToGrid w:val="false"/>
              <w:jc w:val="center"/>
              <w:textAlignment w:val="center"/>
              <w:rPr>
                <w:rFonts w:ascii="Times New Roman" w:hAnsi="Times New Roman" w:cs="Times New Roman"/>
                <w:b w:val="false"/>
                <w:b w:val="false"/>
                <w:bCs w:val="false"/>
                <w:i w:val="false"/>
                <w:i w:val="false"/>
                <w:caps w:val="false"/>
                <w:smallCaps w:val="false"/>
                <w:sz w:val="20"/>
                <w:szCs w:val="20"/>
              </w:rPr>
            </w:pPr>
            <w:r>
              <w:rPr>
                <w:rFonts w:cs="Times New Roman" w:ascii="Times New Roman" w:hAnsi="Times New Roman"/>
                <w:b w:val="false"/>
                <w:bCs w:val="false"/>
                <w:i w:val="false"/>
                <w:caps w:val="false"/>
                <w:smallCaps w:val="false"/>
                <w:sz w:val="20"/>
                <w:szCs w:val="20"/>
              </w:rPr>
              <w:t>*********-*</w:t>
            </w:r>
          </w:p>
        </w:tc>
        <w:tc>
          <w:tcPr>
            <w:tcW w:w="1869" w:type="dxa"/>
            <w:tcBorders>
              <w:top w:val="single" w:sz="2" w:space="0" w:color="008000"/>
              <w:left w:val="single" w:sz="2" w:space="0" w:color="008000"/>
              <w:bottom w:val="single" w:sz="2" w:space="0" w:color="008000"/>
              <w:right w:val="single" w:sz="2" w:space="0" w:color="008000"/>
            </w:tcBorders>
            <w:shd w:fill="auto" w:val="clear"/>
            <w:tcMar>
              <w:top w:w="0" w:type="dxa"/>
              <w:left w:w="7" w:type="dxa"/>
              <w:bottom w:w="0" w:type="dxa"/>
              <w:right w:w="10" w:type="dxa"/>
            </w:tcMar>
          </w:tcPr>
          <w:p>
            <w:pPr>
              <w:pStyle w:val="Contedodatabela"/>
              <w:bidi w:val="0"/>
              <w:snapToGrid w:val="false"/>
              <w:jc w:val="center"/>
              <w:rPr>
                <w:rFonts w:ascii="Times New Roman" w:hAnsi="Times New Roman" w:cs="Times New Roman"/>
                <w:b w:val="false"/>
                <w:b w:val="false"/>
                <w:bCs w:val="false"/>
                <w:i w:val="false"/>
                <w:i w:val="false"/>
                <w:caps w:val="false"/>
                <w:smallCaps w:val="false"/>
                <w:sz w:val="20"/>
                <w:szCs w:val="20"/>
              </w:rPr>
            </w:pPr>
            <w:r>
              <w:rPr>
                <w:rFonts w:cs="Times New Roman" w:ascii="Times New Roman" w:hAnsi="Times New Roman"/>
                <w:b w:val="false"/>
                <w:bCs w:val="false"/>
                <w:i w:val="false"/>
                <w:caps w:val="false"/>
                <w:smallCaps w:val="false"/>
                <w:sz w:val="20"/>
                <w:szCs w:val="20"/>
              </w:rPr>
              <w:t>Sim</w:t>
            </w:r>
          </w:p>
        </w:tc>
      </w:tr>
      <w:tr>
        <w:trPr>
          <w:trHeight w:val="46" w:hRule="atLeast"/>
        </w:trPr>
        <w:tc>
          <w:tcPr>
            <w:tcW w:w="2890" w:type="dxa"/>
            <w:vMerge w:val="continue"/>
            <w:tcBorders>
              <w:top w:val="single" w:sz="2" w:space="0" w:color="008000"/>
              <w:left w:val="single" w:sz="2" w:space="0" w:color="008000"/>
              <w:bottom w:val="single" w:sz="2" w:space="0" w:color="008000"/>
              <w:right w:val="single" w:sz="2" w:space="0" w:color="008000"/>
            </w:tcBorders>
            <w:shd w:fill="auto" w:val="clear"/>
            <w:tcMar>
              <w:top w:w="0" w:type="dxa"/>
              <w:left w:w="7" w:type="dxa"/>
              <w:bottom w:w="0" w:type="dxa"/>
              <w:right w:w="10" w:type="dxa"/>
            </w:tcMar>
          </w:tcPr>
          <w:p>
            <w:pPr>
              <w:pStyle w:val="Contedodatabela"/>
              <w:bidi w:val="0"/>
              <w:snapToGrid w:val="false"/>
              <w:jc w:val="left"/>
              <w:rPr>
                <w:rFonts w:ascii="Times New Roman" w:hAnsi="Times New Roman" w:cs="Times New Roman"/>
                <w:sz w:val="20"/>
                <w:szCs w:val="20"/>
              </w:rPr>
            </w:pPr>
            <w:r>
              <w:rPr>
                <w:rFonts w:cs="Times New Roman" w:ascii="Times New Roman" w:hAnsi="Times New Roman"/>
                <w:sz w:val="20"/>
                <w:szCs w:val="20"/>
              </w:rPr>
            </w:r>
          </w:p>
        </w:tc>
        <w:tc>
          <w:tcPr>
            <w:tcW w:w="3686" w:type="dxa"/>
            <w:tcBorders>
              <w:top w:val="single" w:sz="2" w:space="0" w:color="008000"/>
              <w:left w:val="single" w:sz="2" w:space="0" w:color="008000"/>
              <w:bottom w:val="single" w:sz="2" w:space="0" w:color="008000"/>
              <w:right w:val="single" w:sz="2" w:space="0" w:color="008000"/>
            </w:tcBorders>
            <w:shd w:fill="auto" w:val="clear"/>
            <w:tcMar>
              <w:top w:w="0" w:type="dxa"/>
              <w:left w:w="7" w:type="dxa"/>
              <w:bottom w:w="0" w:type="dxa"/>
              <w:right w:w="10" w:type="dxa"/>
            </w:tcMar>
          </w:tcPr>
          <w:p>
            <w:pPr>
              <w:pStyle w:val="Contedodatabela"/>
              <w:bidi w:val="0"/>
              <w:snapToGrid w:val="false"/>
              <w:jc w:val="center"/>
              <w:textAlignment w:val="center"/>
              <w:rPr>
                <w:rFonts w:ascii="Times New Roman" w:hAnsi="Times New Roman" w:cs="Times New Roman"/>
                <w:b w:val="false"/>
                <w:b w:val="false"/>
                <w:bCs w:val="false"/>
                <w:sz w:val="20"/>
                <w:szCs w:val="20"/>
              </w:rPr>
            </w:pPr>
            <w:r>
              <w:rPr>
                <w:rFonts w:cs="Times New Roman" w:ascii="Times New Roman" w:hAnsi="Times New Roman"/>
                <w:b w:val="false"/>
                <w:bCs w:val="false"/>
                <w:sz w:val="20"/>
                <w:szCs w:val="20"/>
              </w:rPr>
              <w:t>Antonio Witor Murussi dos Santos</w:t>
            </w:r>
          </w:p>
        </w:tc>
        <w:tc>
          <w:tcPr>
            <w:tcW w:w="1535" w:type="dxa"/>
            <w:tcBorders>
              <w:top w:val="single" w:sz="2" w:space="0" w:color="008000"/>
              <w:left w:val="single" w:sz="2" w:space="0" w:color="008000"/>
              <w:bottom w:val="single" w:sz="2" w:space="0" w:color="008000"/>
              <w:right w:val="single" w:sz="2" w:space="0" w:color="008000"/>
            </w:tcBorders>
            <w:shd w:fill="auto" w:val="clear"/>
            <w:tcMar>
              <w:top w:w="0" w:type="dxa"/>
              <w:left w:w="7" w:type="dxa"/>
              <w:bottom w:w="0" w:type="dxa"/>
              <w:right w:w="10" w:type="dxa"/>
            </w:tcMar>
          </w:tcPr>
          <w:p>
            <w:pPr>
              <w:pStyle w:val="Contedodatabela"/>
              <w:bidi w:val="0"/>
              <w:snapToGrid w:val="false"/>
              <w:jc w:val="center"/>
              <w:textAlignment w:val="center"/>
              <w:rPr>
                <w:rFonts w:ascii="Times New Roman" w:hAnsi="Times New Roman" w:cs="Times New Roman"/>
                <w:b w:val="false"/>
                <w:b w:val="false"/>
                <w:bCs w:val="false"/>
                <w:i w:val="false"/>
                <w:i w:val="false"/>
                <w:caps w:val="false"/>
                <w:smallCaps w:val="false"/>
                <w:sz w:val="20"/>
                <w:szCs w:val="20"/>
              </w:rPr>
            </w:pPr>
            <w:r>
              <w:rPr>
                <w:rFonts w:cs="Times New Roman" w:ascii="Times New Roman" w:hAnsi="Times New Roman"/>
                <w:b w:val="false"/>
                <w:bCs w:val="false"/>
                <w:i w:val="false"/>
                <w:caps w:val="false"/>
                <w:smallCaps w:val="false"/>
                <w:sz w:val="20"/>
                <w:szCs w:val="20"/>
              </w:rPr>
              <w:t>*********-*</w:t>
            </w:r>
          </w:p>
        </w:tc>
        <w:tc>
          <w:tcPr>
            <w:tcW w:w="1869" w:type="dxa"/>
            <w:tcBorders>
              <w:top w:val="single" w:sz="2" w:space="0" w:color="008000"/>
              <w:left w:val="single" w:sz="2" w:space="0" w:color="008000"/>
              <w:bottom w:val="single" w:sz="2" w:space="0" w:color="008000"/>
              <w:right w:val="single" w:sz="2" w:space="0" w:color="008000"/>
            </w:tcBorders>
            <w:shd w:fill="auto" w:val="clear"/>
            <w:tcMar>
              <w:top w:w="0" w:type="dxa"/>
              <w:left w:w="7" w:type="dxa"/>
              <w:bottom w:w="0" w:type="dxa"/>
              <w:right w:w="10" w:type="dxa"/>
            </w:tcMar>
          </w:tcPr>
          <w:p>
            <w:pPr>
              <w:pStyle w:val="Contedodatabela"/>
              <w:bidi w:val="0"/>
              <w:snapToGrid w:val="false"/>
              <w:jc w:val="center"/>
              <w:rPr>
                <w:rFonts w:ascii="Times New Roman" w:hAnsi="Times New Roman" w:cs="Times New Roman"/>
                <w:b w:val="false"/>
                <w:b w:val="false"/>
                <w:bCs w:val="false"/>
                <w:i w:val="false"/>
                <w:i w:val="false"/>
                <w:caps w:val="false"/>
                <w:smallCaps w:val="false"/>
                <w:sz w:val="20"/>
                <w:szCs w:val="20"/>
              </w:rPr>
            </w:pPr>
            <w:r>
              <w:rPr>
                <w:rFonts w:cs="Times New Roman" w:ascii="Times New Roman" w:hAnsi="Times New Roman"/>
                <w:b w:val="false"/>
                <w:bCs w:val="false"/>
                <w:i w:val="false"/>
                <w:caps w:val="false"/>
                <w:smallCaps w:val="false"/>
                <w:sz w:val="20"/>
                <w:szCs w:val="20"/>
              </w:rPr>
              <w:t>Sim</w:t>
            </w:r>
          </w:p>
        </w:tc>
      </w:tr>
      <w:tr>
        <w:trPr/>
        <w:tc>
          <w:tcPr>
            <w:tcW w:w="2890" w:type="dxa"/>
            <w:tcBorders>
              <w:top w:val="single" w:sz="2" w:space="0" w:color="008000"/>
              <w:left w:val="single" w:sz="2" w:space="0" w:color="008000"/>
              <w:bottom w:val="single" w:sz="2" w:space="0" w:color="008000"/>
              <w:right w:val="single" w:sz="2" w:space="0" w:color="008000"/>
            </w:tcBorders>
            <w:shd w:fill="auto" w:val="clear"/>
            <w:tcMar>
              <w:top w:w="0" w:type="dxa"/>
              <w:left w:w="7" w:type="dxa"/>
              <w:bottom w:w="0" w:type="dxa"/>
              <w:right w:w="10" w:type="dxa"/>
            </w:tcMar>
          </w:tcPr>
          <w:p>
            <w:pPr>
              <w:pStyle w:val="Contedodatabela"/>
              <w:bidi w:val="0"/>
              <w:snapToGrid w:val="false"/>
              <w:jc w:val="left"/>
              <w:rPr>
                <w:rFonts w:ascii="Times New Roman" w:hAnsi="Times New Roman" w:cs="Times New Roman"/>
                <w:sz w:val="20"/>
                <w:szCs w:val="20"/>
              </w:rPr>
            </w:pPr>
            <w:r>
              <w:rPr>
                <w:rFonts w:cs="Times New Roman" w:ascii="Times New Roman" w:hAnsi="Times New Roman"/>
                <w:sz w:val="20"/>
                <w:szCs w:val="20"/>
              </w:rPr>
              <w:t>Fiscal (*)</w:t>
            </w:r>
          </w:p>
          <w:p>
            <w:pPr>
              <w:pStyle w:val="Contedodatabela"/>
              <w:bidi w:val="0"/>
              <w:snapToGrid w:val="false"/>
              <w:jc w:val="left"/>
              <w:rPr>
                <w:rFonts w:ascii="Times New Roman" w:hAnsi="Times New Roman" w:cs="Times New Roman"/>
                <w:sz w:val="20"/>
                <w:szCs w:val="20"/>
              </w:rPr>
            </w:pPr>
            <w:r>
              <w:rPr>
                <w:rFonts w:cs="Times New Roman" w:ascii="Times New Roman" w:hAnsi="Times New Roman"/>
                <w:sz w:val="20"/>
                <w:szCs w:val="20"/>
              </w:rPr>
            </w:r>
          </w:p>
        </w:tc>
        <w:tc>
          <w:tcPr>
            <w:tcW w:w="3686" w:type="dxa"/>
            <w:tcBorders>
              <w:top w:val="single" w:sz="2" w:space="0" w:color="008000"/>
              <w:left w:val="single" w:sz="2" w:space="0" w:color="008000"/>
              <w:bottom w:val="single" w:sz="2" w:space="0" w:color="008000"/>
              <w:right w:val="single" w:sz="2" w:space="0" w:color="008000"/>
            </w:tcBorders>
            <w:shd w:fill="auto" w:val="clear"/>
            <w:tcMar>
              <w:top w:w="0" w:type="dxa"/>
              <w:left w:w="7" w:type="dxa"/>
              <w:bottom w:w="0" w:type="dxa"/>
              <w:right w:w="10" w:type="dxa"/>
            </w:tcMar>
          </w:tcPr>
          <w:p>
            <w:pPr>
              <w:pStyle w:val="Contedodatabela"/>
              <w:bidi w:val="0"/>
              <w:snapToGrid w:val="false"/>
              <w:jc w:val="center"/>
              <w:textAlignment w:val="center"/>
              <w:rPr>
                <w:rFonts w:ascii="Times New Roman" w:hAnsi="Times New Roman" w:cs="Times New Roman"/>
                <w:sz w:val="20"/>
                <w:szCs w:val="20"/>
              </w:rPr>
            </w:pPr>
            <w:r>
              <w:rPr>
                <w:rFonts w:cs="Times New Roman" w:ascii="Times New Roman" w:hAnsi="Times New Roman"/>
                <w:sz w:val="20"/>
                <w:szCs w:val="20"/>
              </w:rPr>
              <w:t>Marcelo André Alves</w:t>
            </w:r>
          </w:p>
        </w:tc>
        <w:tc>
          <w:tcPr>
            <w:tcW w:w="1535" w:type="dxa"/>
            <w:tcBorders>
              <w:top w:val="single" w:sz="2" w:space="0" w:color="008000"/>
              <w:left w:val="single" w:sz="2" w:space="0" w:color="008000"/>
              <w:bottom w:val="single" w:sz="2" w:space="0" w:color="008000"/>
              <w:right w:val="single" w:sz="2" w:space="0" w:color="008000"/>
            </w:tcBorders>
            <w:shd w:fill="auto" w:val="clear"/>
            <w:tcMar>
              <w:top w:w="0" w:type="dxa"/>
              <w:left w:w="7" w:type="dxa"/>
              <w:bottom w:w="0" w:type="dxa"/>
              <w:right w:w="10" w:type="dxa"/>
            </w:tcMar>
          </w:tcPr>
          <w:p>
            <w:pPr>
              <w:pStyle w:val="Standard"/>
              <w:bidi w:val="0"/>
              <w:snapToGrid w:val="false"/>
              <w:jc w:val="center"/>
              <w:textAlignment w:val="center"/>
              <w:rPr>
                <w:rFonts w:ascii="Times New Roman" w:hAnsi="Times New Roman" w:cs="Times New Roman"/>
                <w:b/>
                <w:b/>
                <w:bCs/>
                <w:sz w:val="20"/>
                <w:szCs w:val="20"/>
              </w:rPr>
            </w:pPr>
            <w:r>
              <w:rPr>
                <w:rFonts w:cs="Times New Roman" w:ascii="Times New Roman" w:hAnsi="Times New Roman"/>
                <w:b/>
                <w:bCs/>
                <w:sz w:val="20"/>
                <w:szCs w:val="20"/>
              </w:rPr>
              <w:t>********* -*</w:t>
            </w:r>
          </w:p>
        </w:tc>
        <w:tc>
          <w:tcPr>
            <w:tcW w:w="1869" w:type="dxa"/>
            <w:tcBorders>
              <w:top w:val="single" w:sz="2" w:space="0" w:color="008000"/>
              <w:left w:val="single" w:sz="2" w:space="0" w:color="008000"/>
              <w:bottom w:val="single" w:sz="2" w:space="0" w:color="008000"/>
              <w:right w:val="single" w:sz="2" w:space="0" w:color="008000"/>
            </w:tcBorders>
            <w:shd w:fill="auto" w:val="clear"/>
            <w:tcMar>
              <w:top w:w="0" w:type="dxa"/>
              <w:left w:w="7" w:type="dxa"/>
              <w:bottom w:w="0" w:type="dxa"/>
              <w:right w:w="10" w:type="dxa"/>
            </w:tcMar>
          </w:tcPr>
          <w:p>
            <w:pPr>
              <w:pStyle w:val="Contedodatabela"/>
              <w:bidi w:val="0"/>
              <w:snapToGrid w:val="false"/>
              <w:jc w:val="center"/>
              <w:rPr>
                <w:rFonts w:ascii="Times New Roman" w:hAnsi="Times New Roman" w:cs="Times New Roman"/>
                <w:b/>
                <w:b/>
                <w:bCs/>
                <w:sz w:val="20"/>
                <w:szCs w:val="20"/>
              </w:rPr>
            </w:pPr>
            <w:r>
              <w:rPr>
                <w:rFonts w:cs="Times New Roman" w:ascii="Times New Roman" w:hAnsi="Times New Roman"/>
                <w:b/>
                <w:bCs/>
                <w:sz w:val="20"/>
                <w:szCs w:val="20"/>
              </w:rPr>
              <w:t>Sim</w:t>
            </w:r>
          </w:p>
        </w:tc>
      </w:tr>
      <w:tr>
        <w:trPr/>
        <w:tc>
          <w:tcPr>
            <w:tcW w:w="9980" w:type="dxa"/>
            <w:gridSpan w:val="4"/>
            <w:tcBorders>
              <w:top w:val="single" w:sz="2" w:space="0" w:color="008000"/>
              <w:left w:val="single" w:sz="2" w:space="0" w:color="008000"/>
              <w:bottom w:val="single" w:sz="2" w:space="0" w:color="008000"/>
              <w:right w:val="single" w:sz="2" w:space="0" w:color="008000"/>
            </w:tcBorders>
            <w:shd w:fill="auto" w:val="clear"/>
          </w:tcPr>
          <w:p>
            <w:pPr>
              <w:pStyle w:val="Contedodatabela"/>
              <w:bidi w:val="0"/>
              <w:snapToGrid w:val="false"/>
              <w:jc w:val="both"/>
              <w:rPr>
                <w:rFonts w:ascii="Open Sans;Arial" w:hAnsi="Open Sans;Arial" w:cs="Open Sans;Arial"/>
                <w:sz w:val="14"/>
                <w:szCs w:val="14"/>
              </w:rPr>
            </w:pPr>
            <w:r>
              <w:rPr>
                <w:rFonts w:cs="Open Sans;Arial" w:ascii="Open Sans;Arial" w:hAnsi="Open Sans;Arial"/>
                <w:sz w:val="14"/>
                <w:szCs w:val="14"/>
              </w:rPr>
              <w:t>(*) Sempre que for possível identificar o(s) servidor(es) que participar(ão) da fiscalização do contrato, o(s) qual(is) poder(ão) ser convidado(s) a participar do Planejamento da Contratação.</w:t>
            </w:r>
          </w:p>
        </w:tc>
      </w:tr>
    </w:tbl>
    <w:p>
      <w:pPr>
        <w:pStyle w:val="Normal"/>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tbl>
      <w:tblPr>
        <w:tblW w:w="9978" w:type="dxa"/>
        <w:jc w:val="left"/>
        <w:tblInd w:w="-86" w:type="dxa"/>
        <w:tblCellMar>
          <w:top w:w="55" w:type="dxa"/>
          <w:left w:w="52" w:type="dxa"/>
          <w:bottom w:w="55" w:type="dxa"/>
          <w:right w:w="55" w:type="dxa"/>
        </w:tblCellMar>
      </w:tblPr>
      <w:tblGrid>
        <w:gridCol w:w="9978"/>
      </w:tblGrid>
      <w:tr>
        <w:trPr/>
        <w:tc>
          <w:tcPr>
            <w:tcW w:w="9978" w:type="dxa"/>
            <w:tcBorders>
              <w:top w:val="single" w:sz="2" w:space="0" w:color="008000"/>
              <w:left w:val="single" w:sz="2" w:space="0" w:color="008000"/>
              <w:bottom w:val="single" w:sz="2" w:space="0" w:color="008000"/>
              <w:right w:val="single" w:sz="2" w:space="0" w:color="008000"/>
            </w:tcBorders>
            <w:shd w:fill="DDDDDD" w:val="clear"/>
          </w:tcPr>
          <w:p>
            <w:pPr>
              <w:pStyle w:val="Contedodatabela"/>
              <w:bidi w:val="0"/>
              <w:jc w:val="both"/>
              <w:rPr>
                <w:rFonts w:ascii="Times New Roman" w:hAnsi="Times New Roman" w:cs="Times New Roman"/>
                <w:b/>
                <w:b/>
                <w:bCs/>
                <w:color w:val="000000"/>
                <w:sz w:val="20"/>
                <w:szCs w:val="20"/>
              </w:rPr>
            </w:pPr>
            <w:r>
              <w:rPr>
                <w:rFonts w:cs="Times New Roman" w:ascii="Times New Roman" w:hAnsi="Times New Roman"/>
                <w:b/>
                <w:bCs/>
                <w:color w:val="000000"/>
                <w:sz w:val="20"/>
                <w:szCs w:val="20"/>
              </w:rPr>
              <w:t>7. Responsabilidade pela Formalização da Demanda e Conteúdo do Documento:</w:t>
            </w:r>
          </w:p>
        </w:tc>
      </w:tr>
      <w:tr>
        <w:trPr>
          <w:trHeight w:val="46" w:hRule="atLeast"/>
        </w:trPr>
        <w:tc>
          <w:tcPr>
            <w:tcW w:w="9978" w:type="dxa"/>
            <w:tcBorders>
              <w:top w:val="single" w:sz="2" w:space="0" w:color="008000"/>
              <w:left w:val="single" w:sz="2" w:space="0" w:color="008000"/>
              <w:bottom w:val="single" w:sz="2" w:space="0" w:color="008000"/>
              <w:right w:val="single" w:sz="2" w:space="0" w:color="008000"/>
            </w:tcBorders>
            <w:shd w:fill="auto" w:val="clear"/>
          </w:tcPr>
          <w:p>
            <w:pPr>
              <w:pStyle w:val="Contedodatabela"/>
              <w:bidi w:val="0"/>
              <w:jc w:val="both"/>
              <w:rPr>
                <w:rFonts w:ascii="Times New Roman" w:hAnsi="Times New Roman" w:cs="Times New Roman"/>
                <w:sz w:val="20"/>
                <w:szCs w:val="20"/>
              </w:rPr>
            </w:pPr>
            <w:r>
              <w:rPr>
                <w:rFonts w:cs="Times New Roman" w:ascii="Times New Roman" w:hAnsi="Times New Roman"/>
                <w:sz w:val="20"/>
                <w:szCs w:val="20"/>
              </w:rPr>
              <w:t>Certifico que a formalização da demanda acima identificada se faz necessária pelos motivos expostos no item 2 do presente documento.</w:t>
            </w:r>
          </w:p>
        </w:tc>
      </w:tr>
      <w:tr>
        <w:trPr>
          <w:trHeight w:val="46" w:hRule="atLeast"/>
        </w:trPr>
        <w:tc>
          <w:tcPr>
            <w:tcW w:w="9978" w:type="dxa"/>
            <w:tcBorders>
              <w:top w:val="single" w:sz="2" w:space="0" w:color="008000"/>
              <w:left w:val="single" w:sz="2" w:space="0" w:color="008000"/>
              <w:bottom w:val="single" w:sz="2" w:space="0" w:color="008000"/>
              <w:right w:val="single" w:sz="2" w:space="0" w:color="008000"/>
            </w:tcBorders>
            <w:shd w:fill="auto" w:val="clear"/>
          </w:tcPr>
          <w:p>
            <w:pPr>
              <w:pStyle w:val="Contedodatabela"/>
              <w:bidi w:val="0"/>
              <w:jc w:val="center"/>
              <w:rPr>
                <w:rFonts w:ascii="Arial" w:hAnsi="Arial" w:eastAsia="Times New Roman" w:cs="Arial"/>
                <w:b/>
                <w:b/>
                <w:color w:val="auto"/>
                <w:kern w:val="0"/>
                <w:sz w:val="20"/>
                <w:szCs w:val="20"/>
                <w:lang w:val="pt-BR" w:eastAsia="ar-SA" w:bidi="ar-SA"/>
              </w:rPr>
            </w:pPr>
            <w:r>
              <w:rPr>
                <w:rFonts w:cs="Times New Roman" w:ascii="Times New Roman" w:hAnsi="Times New Roman"/>
                <w:color w:val="000000"/>
                <w:sz w:val="20"/>
                <w:szCs w:val="20"/>
              </w:rPr>
              <w:t>Santa Maria - RS, 7 de agosto de 2023</w:t>
            </w:r>
          </w:p>
          <w:p>
            <w:pPr>
              <w:pStyle w:val="Contedodatabela"/>
              <w:bidi w:val="0"/>
              <w:jc w:val="center"/>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Contedodatabela"/>
              <w:bidi w:val="0"/>
              <w:jc w:val="center"/>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Contedodatabela"/>
              <w:bidi w:val="0"/>
              <w:jc w:val="center"/>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Contedodatabela"/>
              <w:bidi w:val="0"/>
              <w:jc w:val="center"/>
              <w:rPr>
                <w:rFonts w:ascii="Arial" w:hAnsi="Arial" w:eastAsia="Times New Roman" w:cs="Arial"/>
                <w:b/>
                <w:b/>
                <w:color w:val="auto"/>
                <w:kern w:val="0"/>
                <w:sz w:val="20"/>
                <w:szCs w:val="20"/>
                <w:lang w:val="pt-BR" w:eastAsia="ar-SA" w:bidi="ar-SA"/>
              </w:rPr>
            </w:pPr>
            <w:r>
              <w:rPr>
                <w:rFonts w:cs="Times New Roman" w:ascii="Times New Roman" w:hAnsi="Times New Roman"/>
                <w:b/>
                <w:bCs/>
                <w:color w:val="000000"/>
                <w:sz w:val="20"/>
                <w:szCs w:val="20"/>
              </w:rPr>
              <w:t>MARCELO ANDRÉ ALVES – S Ten</w:t>
            </w:r>
          </w:p>
          <w:p>
            <w:pPr>
              <w:pStyle w:val="Contedodatabela"/>
              <w:bidi w:val="0"/>
              <w:jc w:val="center"/>
              <w:rPr>
                <w:rFonts w:ascii="Arial" w:hAnsi="Arial" w:eastAsia="Times New Roman" w:cs="Arial"/>
                <w:b/>
                <w:b/>
                <w:color w:val="auto"/>
                <w:kern w:val="0"/>
                <w:sz w:val="20"/>
                <w:szCs w:val="20"/>
                <w:lang w:val="pt-BR" w:eastAsia="ar-SA" w:bidi="ar-SA"/>
              </w:rPr>
            </w:pPr>
            <w:r>
              <w:rPr>
                <w:rFonts w:cs="Times New Roman" w:ascii="Times New Roman" w:hAnsi="Times New Roman"/>
                <w:color w:val="000000"/>
                <w:sz w:val="20"/>
                <w:szCs w:val="20"/>
              </w:rPr>
              <w:t xml:space="preserve">Diretor Geral do CFC Verde Oliva </w:t>
            </w:r>
          </w:p>
        </w:tc>
      </w:tr>
    </w:tbl>
    <w:p>
      <w:pPr>
        <w:pStyle w:val="Normal"/>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tbl>
      <w:tblPr>
        <w:tblW w:w="9978" w:type="dxa"/>
        <w:jc w:val="left"/>
        <w:tblInd w:w="-86" w:type="dxa"/>
        <w:tblCellMar>
          <w:top w:w="55" w:type="dxa"/>
          <w:left w:w="52" w:type="dxa"/>
          <w:bottom w:w="55" w:type="dxa"/>
          <w:right w:w="55" w:type="dxa"/>
        </w:tblCellMar>
      </w:tblPr>
      <w:tblGrid>
        <w:gridCol w:w="9978"/>
      </w:tblGrid>
      <w:tr>
        <w:trPr/>
        <w:tc>
          <w:tcPr>
            <w:tcW w:w="9978" w:type="dxa"/>
            <w:tcBorders>
              <w:top w:val="single" w:sz="2" w:space="0" w:color="008000"/>
              <w:left w:val="single" w:sz="2" w:space="0" w:color="008000"/>
              <w:bottom w:val="single" w:sz="2" w:space="0" w:color="008000"/>
              <w:right w:val="single" w:sz="2" w:space="0" w:color="008000"/>
            </w:tcBorders>
            <w:shd w:fill="DDDDDD" w:val="clear"/>
          </w:tcPr>
          <w:p>
            <w:pPr>
              <w:pStyle w:val="Contedodatabela"/>
              <w:bidi w:val="0"/>
              <w:jc w:val="both"/>
              <w:rPr>
                <w:rFonts w:ascii="Times New Roman" w:hAnsi="Times New Roman" w:cs="Times New Roman"/>
                <w:b/>
                <w:b/>
                <w:bCs/>
                <w:color w:val="000000"/>
                <w:sz w:val="20"/>
                <w:szCs w:val="20"/>
              </w:rPr>
            </w:pPr>
            <w:r>
              <w:rPr>
                <w:rFonts w:cs="Times New Roman" w:ascii="Times New Roman" w:hAnsi="Times New Roman"/>
                <w:b/>
                <w:bCs/>
                <w:color w:val="000000"/>
                <w:sz w:val="20"/>
                <w:szCs w:val="20"/>
              </w:rPr>
              <w:t>8. Despacho do Fiscal Administrativo:</w:t>
            </w:r>
          </w:p>
        </w:tc>
      </w:tr>
      <w:tr>
        <w:trPr>
          <w:trHeight w:val="46" w:hRule="atLeast"/>
        </w:trPr>
        <w:tc>
          <w:tcPr>
            <w:tcW w:w="9978" w:type="dxa"/>
            <w:tcBorders>
              <w:top w:val="single" w:sz="2" w:space="0" w:color="008000"/>
              <w:left w:val="single" w:sz="2" w:space="0" w:color="008000"/>
              <w:bottom w:val="single" w:sz="2" w:space="0" w:color="008000"/>
              <w:right w:val="single" w:sz="2" w:space="0" w:color="008000"/>
            </w:tcBorders>
            <w:shd w:fill="auto" w:val="clear"/>
          </w:tcPr>
          <w:p>
            <w:pPr>
              <w:pStyle w:val="Cabealho"/>
              <w:tabs>
                <w:tab w:val="center" w:pos="4252" w:leader="none"/>
                <w:tab w:val="left" w:pos="8100" w:leader="none"/>
                <w:tab w:val="right" w:pos="8504" w:leader="none"/>
                <w:tab w:val="left" w:pos="8820" w:leader="none"/>
              </w:tabs>
              <w:bidi w:val="0"/>
              <w:jc w:val="both"/>
              <w:rPr>
                <w:rFonts w:ascii="Times New Roman" w:hAnsi="Times New Roman" w:cs="Times New Roman"/>
                <w:sz w:val="20"/>
                <w:szCs w:val="20"/>
              </w:rPr>
            </w:pPr>
            <w:r>
              <w:rPr>
                <w:rFonts w:cs="Times New Roman" w:ascii="Times New Roman" w:hAnsi="Times New Roman"/>
                <w:sz w:val="20"/>
                <w:szCs w:val="20"/>
              </w:rPr>
              <w:t>Favorável:  (     ) Sim   (     ) Não</w:t>
            </w:r>
          </w:p>
        </w:tc>
      </w:tr>
      <w:tr>
        <w:trPr>
          <w:trHeight w:val="46" w:hRule="atLeast"/>
        </w:trPr>
        <w:tc>
          <w:tcPr>
            <w:tcW w:w="9978" w:type="dxa"/>
            <w:tcBorders>
              <w:top w:val="single" w:sz="2" w:space="0" w:color="008000"/>
              <w:left w:val="single" w:sz="2" w:space="0" w:color="008000"/>
              <w:bottom w:val="single" w:sz="2" w:space="0" w:color="008000"/>
              <w:right w:val="single" w:sz="2" w:space="0" w:color="008000"/>
            </w:tcBorders>
            <w:shd w:fill="auto" w:val="clear"/>
          </w:tcPr>
          <w:p>
            <w:pPr>
              <w:pStyle w:val="Contedodatabela"/>
              <w:bidi w:val="0"/>
              <w:jc w:val="center"/>
              <w:rPr>
                <w:rFonts w:ascii="Arial" w:hAnsi="Arial" w:eastAsia="Times New Roman" w:cs="Arial"/>
                <w:b/>
                <w:b/>
                <w:color w:val="auto"/>
                <w:kern w:val="0"/>
                <w:sz w:val="20"/>
                <w:szCs w:val="20"/>
                <w:lang w:val="pt-BR" w:eastAsia="ar-SA" w:bidi="ar-SA"/>
              </w:rPr>
            </w:pPr>
            <w:r>
              <w:rPr>
                <w:rFonts w:cs="Times New Roman" w:ascii="Times New Roman" w:hAnsi="Times New Roman"/>
                <w:color w:val="000000"/>
                <w:sz w:val="20"/>
                <w:szCs w:val="20"/>
              </w:rPr>
              <w:t>Santa Maria - RS, 7 de agosto de 2023</w:t>
            </w:r>
          </w:p>
          <w:p>
            <w:pPr>
              <w:pStyle w:val="Contedodatabela"/>
              <w:bidi w:val="0"/>
              <w:jc w:val="center"/>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Contedodatabela"/>
              <w:bidi w:val="0"/>
              <w:jc w:val="center"/>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Contedodatabela"/>
              <w:bidi w:val="0"/>
              <w:jc w:val="center"/>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Contedodatabela"/>
              <w:tabs>
                <w:tab w:val="left" w:pos="708" w:leader="none"/>
                <w:tab w:val="center" w:pos="4252" w:leader="none"/>
                <w:tab w:val="right" w:pos="8504" w:leader="none"/>
              </w:tabs>
              <w:bidi w:val="0"/>
              <w:ind w:left="0" w:right="0" w:firstLine="539"/>
              <w:jc w:val="center"/>
              <w:rPr>
                <w:rFonts w:ascii="Times New Roman" w:hAnsi="Times New Roman" w:cs="Times New Roman"/>
                <w:b/>
                <w:b/>
                <w:color w:val="000000"/>
                <w:sz w:val="20"/>
                <w:szCs w:val="20"/>
              </w:rPr>
            </w:pPr>
            <w:r>
              <w:rPr>
                <w:rFonts w:cs="Times New Roman" w:ascii="Times New Roman" w:hAnsi="Times New Roman"/>
                <w:b/>
                <w:color w:val="000000"/>
                <w:sz w:val="20"/>
                <w:szCs w:val="20"/>
              </w:rPr>
              <w:t>LEONARDO RODRIGUES FEIJAO DE LIMA - Cap</w:t>
            </w:r>
          </w:p>
          <w:p>
            <w:pPr>
              <w:pStyle w:val="Cabealho"/>
              <w:tabs>
                <w:tab w:val="center" w:pos="4252" w:leader="none"/>
                <w:tab w:val="center" w:pos="7380" w:leader="none"/>
                <w:tab w:val="right" w:pos="8504" w:leader="none"/>
              </w:tabs>
              <w:bidi w:val="0"/>
              <w:ind w:left="0" w:right="0" w:firstLine="539"/>
              <w:jc w:val="center"/>
              <w:rPr>
                <w:rFonts w:ascii="Arial" w:hAnsi="Arial" w:eastAsia="Times New Roman" w:cs="Arial"/>
                <w:b/>
                <w:b/>
                <w:color w:val="auto"/>
                <w:kern w:val="0"/>
                <w:sz w:val="20"/>
                <w:szCs w:val="20"/>
                <w:lang w:val="pt-BR" w:eastAsia="ar-SA" w:bidi="ar-SA"/>
              </w:rPr>
            </w:pPr>
            <w:r>
              <w:rPr>
                <w:rFonts w:cs="Times New Roman" w:ascii="Times New Roman" w:hAnsi="Times New Roman"/>
                <w:sz w:val="20"/>
                <w:szCs w:val="20"/>
              </w:rPr>
              <w:t>Fiscal Administrativo do</w:t>
            </w:r>
            <w:r>
              <w:rPr>
                <w:rFonts w:cs="Times New Roman" w:ascii="Times New Roman" w:hAnsi="Times New Roman"/>
                <w:color w:val="C9211E"/>
                <w:sz w:val="20"/>
                <w:szCs w:val="20"/>
              </w:rPr>
              <w:t xml:space="preserve"> </w:t>
            </w:r>
            <w:r>
              <w:rPr>
                <w:rFonts w:cs="Times New Roman" w:ascii="Times New Roman" w:hAnsi="Times New Roman"/>
                <w:sz w:val="20"/>
                <w:szCs w:val="20"/>
              </w:rPr>
              <w:t>4º B Log</w:t>
            </w:r>
          </w:p>
        </w:tc>
      </w:tr>
    </w:tbl>
    <w:p>
      <w:pPr>
        <w:pStyle w:val="Normal"/>
        <w:rPr>
          <w:rFonts w:ascii="Arial" w:hAnsi="Arial" w:eastAsia="Times New Roman" w:cs="Arial"/>
          <w:b/>
          <w:b/>
          <w:color w:val="auto"/>
          <w:kern w:val="0"/>
          <w:sz w:val="20"/>
          <w:szCs w:val="20"/>
          <w:lang w:val="pt-BR" w:eastAsia="ar-SA" w:bidi="ar-SA"/>
        </w:rPr>
      </w:pPr>
      <w:r>
        <w:rPr>
          <w:rFonts w:eastAsia="Times New Roman" w:cs="Arial"/>
          <w:b/>
          <w:color w:val="auto"/>
          <w:kern w:val="0"/>
          <w:sz w:val="20"/>
          <w:szCs w:val="20"/>
          <w:lang w:val="pt-BR" w:eastAsia="ar-SA" w:bidi="ar-SA"/>
        </w:rPr>
      </w:r>
    </w:p>
    <w:tbl>
      <w:tblPr>
        <w:tblW w:w="9978" w:type="dxa"/>
        <w:jc w:val="left"/>
        <w:tblInd w:w="-86" w:type="dxa"/>
        <w:tblCellMar>
          <w:top w:w="55" w:type="dxa"/>
          <w:left w:w="52" w:type="dxa"/>
          <w:bottom w:w="55" w:type="dxa"/>
          <w:right w:w="55" w:type="dxa"/>
        </w:tblCellMar>
      </w:tblPr>
      <w:tblGrid>
        <w:gridCol w:w="9978"/>
      </w:tblGrid>
      <w:tr>
        <w:trPr/>
        <w:tc>
          <w:tcPr>
            <w:tcW w:w="9978" w:type="dxa"/>
            <w:tcBorders>
              <w:top w:val="single" w:sz="2" w:space="0" w:color="008000"/>
              <w:left w:val="single" w:sz="2" w:space="0" w:color="008000"/>
              <w:bottom w:val="single" w:sz="2" w:space="0" w:color="008000"/>
              <w:right w:val="single" w:sz="2" w:space="0" w:color="008000"/>
            </w:tcBorders>
            <w:shd w:fill="DDDDDD" w:val="clear"/>
          </w:tcPr>
          <w:p>
            <w:pPr>
              <w:pStyle w:val="Contedodatabela"/>
              <w:bidi w:val="0"/>
              <w:jc w:val="both"/>
              <w:rPr>
                <w:rFonts w:ascii="Times New Roman" w:hAnsi="Times New Roman" w:cs="Times New Roman"/>
                <w:b/>
                <w:b/>
                <w:bCs/>
                <w:color w:val="000000"/>
                <w:sz w:val="20"/>
                <w:szCs w:val="20"/>
              </w:rPr>
            </w:pPr>
            <w:r>
              <w:rPr>
                <w:rFonts w:cs="Times New Roman" w:ascii="Times New Roman" w:hAnsi="Times New Roman"/>
                <w:b/>
                <w:bCs/>
                <w:color w:val="000000"/>
                <w:sz w:val="20"/>
                <w:szCs w:val="20"/>
              </w:rPr>
              <w:t>9. Despacho do OD:</w:t>
            </w:r>
          </w:p>
        </w:tc>
      </w:tr>
      <w:tr>
        <w:trPr>
          <w:trHeight w:val="46" w:hRule="atLeast"/>
        </w:trPr>
        <w:tc>
          <w:tcPr>
            <w:tcW w:w="9978" w:type="dxa"/>
            <w:tcBorders>
              <w:top w:val="single" w:sz="2" w:space="0" w:color="008000"/>
              <w:left w:val="single" w:sz="2" w:space="0" w:color="008000"/>
              <w:bottom w:val="single" w:sz="2" w:space="0" w:color="008000"/>
              <w:right w:val="single" w:sz="2" w:space="0" w:color="008000"/>
            </w:tcBorders>
            <w:shd w:fill="auto" w:val="clear"/>
          </w:tcPr>
          <w:p>
            <w:pPr>
              <w:pStyle w:val="Cabealho"/>
              <w:tabs>
                <w:tab w:val="center" w:pos="4252" w:leader="none"/>
                <w:tab w:val="left" w:pos="8100" w:leader="none"/>
                <w:tab w:val="right" w:pos="8504" w:leader="none"/>
                <w:tab w:val="left" w:pos="8820" w:leader="none"/>
              </w:tabs>
              <w:bidi w:val="0"/>
              <w:jc w:val="both"/>
              <w:rPr>
                <w:rFonts w:ascii="Times New Roman" w:hAnsi="Times New Roman" w:cs="Times New Roman"/>
                <w:sz w:val="20"/>
                <w:szCs w:val="20"/>
              </w:rPr>
            </w:pPr>
            <w:r>
              <w:rPr>
                <w:rFonts w:cs="Times New Roman" w:ascii="Times New Roman" w:hAnsi="Times New Roman"/>
                <w:sz w:val="20"/>
                <w:szCs w:val="20"/>
              </w:rPr>
              <w:t>I - Autorizo a continuidade da fase Planejamento da Contratação: (     ) Sim   (     ) Não</w:t>
            </w:r>
          </w:p>
        </w:tc>
      </w:tr>
      <w:tr>
        <w:trPr>
          <w:trHeight w:val="46" w:hRule="atLeast"/>
        </w:trPr>
        <w:tc>
          <w:tcPr>
            <w:tcW w:w="9978" w:type="dxa"/>
            <w:tcBorders>
              <w:top w:val="single" w:sz="2" w:space="0" w:color="008000"/>
              <w:left w:val="single" w:sz="2" w:space="0" w:color="008000"/>
              <w:bottom w:val="single" w:sz="2" w:space="0" w:color="008000"/>
              <w:right w:val="single" w:sz="2" w:space="0" w:color="008000"/>
            </w:tcBorders>
            <w:shd w:fill="auto" w:val="clear"/>
          </w:tcPr>
          <w:p>
            <w:pPr>
              <w:pStyle w:val="Cabealho"/>
              <w:tabs>
                <w:tab w:val="center" w:pos="4252" w:leader="none"/>
                <w:tab w:val="left" w:pos="8100" w:leader="none"/>
                <w:tab w:val="right" w:pos="8504" w:leader="none"/>
                <w:tab w:val="left" w:pos="8820" w:leader="none"/>
              </w:tabs>
              <w:bidi w:val="0"/>
              <w:jc w:val="both"/>
              <w:rPr>
                <w:rFonts w:ascii="Times New Roman" w:hAnsi="Times New Roman" w:cs="Times New Roman"/>
                <w:sz w:val="20"/>
                <w:szCs w:val="20"/>
              </w:rPr>
            </w:pPr>
            <w:r>
              <w:rPr>
                <w:rFonts w:cs="Times New Roman" w:ascii="Times New Roman" w:hAnsi="Times New Roman"/>
                <w:sz w:val="20"/>
                <w:szCs w:val="20"/>
              </w:rPr>
              <w:t xml:space="preserve">II - Publicar a designação da Equipe de Planejamento da Contratação no Boletim interno do 4º B Log: </w:t>
            </w:r>
          </w:p>
          <w:p>
            <w:pPr>
              <w:pStyle w:val="Cabealho"/>
              <w:tabs>
                <w:tab w:val="center" w:pos="4252" w:leader="none"/>
                <w:tab w:val="left" w:pos="8100" w:leader="none"/>
                <w:tab w:val="right" w:pos="8504" w:leader="none"/>
                <w:tab w:val="left" w:pos="8820" w:leader="none"/>
              </w:tabs>
              <w:bidi w:val="0"/>
              <w:jc w:val="both"/>
              <w:rPr>
                <w:rFonts w:ascii="Times New Roman" w:hAnsi="Times New Roman" w:cs="Times New Roman"/>
                <w:sz w:val="20"/>
                <w:szCs w:val="20"/>
              </w:rPr>
            </w:pPr>
            <w:r>
              <w:rPr>
                <w:rFonts w:cs="Times New Roman" w:ascii="Times New Roman" w:hAnsi="Times New Roman"/>
                <w:sz w:val="20"/>
                <w:szCs w:val="20"/>
              </w:rPr>
              <w:t>(     ) Sim      (     ) Não</w:t>
            </w:r>
          </w:p>
          <w:p>
            <w:pPr>
              <w:pStyle w:val="Cabealho"/>
              <w:tabs>
                <w:tab w:val="center" w:pos="4252" w:leader="none"/>
                <w:tab w:val="left" w:pos="8100" w:leader="none"/>
                <w:tab w:val="right" w:pos="8504" w:leader="none"/>
                <w:tab w:val="left" w:pos="8820" w:leader="none"/>
              </w:tabs>
              <w:bidi w:val="0"/>
              <w:jc w:val="both"/>
              <w:rPr>
                <w:rFonts w:ascii="Times New Roman" w:hAnsi="Times New Roman" w:cs="Times New Roman"/>
                <w:sz w:val="20"/>
                <w:szCs w:val="20"/>
              </w:rPr>
            </w:pPr>
            <w:r>
              <w:rPr>
                <w:rFonts w:cs="Times New Roman" w:ascii="Times New Roman" w:hAnsi="Times New Roman"/>
                <w:sz w:val="20"/>
                <w:szCs w:val="20"/>
              </w:rPr>
            </w:r>
          </w:p>
          <w:p>
            <w:pPr>
              <w:pStyle w:val="Cabealho"/>
              <w:tabs>
                <w:tab w:val="center" w:pos="4252" w:leader="none"/>
                <w:tab w:val="left" w:pos="8100" w:leader="none"/>
                <w:tab w:val="right" w:pos="8504" w:leader="none"/>
                <w:tab w:val="left" w:pos="8820" w:leader="none"/>
              </w:tabs>
              <w:bidi w:val="0"/>
              <w:jc w:val="both"/>
              <w:rPr>
                <w:rFonts w:ascii="Times New Roman" w:hAnsi="Times New Roman" w:cs="Times New Roman"/>
                <w:sz w:val="20"/>
                <w:szCs w:val="20"/>
              </w:rPr>
            </w:pPr>
            <w:r>
              <w:rPr>
                <w:rFonts w:cs="Times New Roman" w:ascii="Times New Roman" w:hAnsi="Times New Roman"/>
                <w:sz w:val="20"/>
                <w:szCs w:val="20"/>
              </w:rPr>
              <w:t>III - Determino que os militares da equipe de planejamento, acima informado, se for o caso, elaborar o estudo técnico preliminar, análise de riscos, termo de referência, projeto básico ou projeto executivo, conforme art. 72, I, da Lei 14.133/21.</w:t>
            </w:r>
          </w:p>
        </w:tc>
      </w:tr>
      <w:tr>
        <w:trPr>
          <w:trHeight w:val="46" w:hRule="atLeast"/>
        </w:trPr>
        <w:tc>
          <w:tcPr>
            <w:tcW w:w="9978" w:type="dxa"/>
            <w:tcBorders>
              <w:top w:val="single" w:sz="2" w:space="0" w:color="008000"/>
              <w:left w:val="single" w:sz="2" w:space="0" w:color="008000"/>
              <w:bottom w:val="single" w:sz="2" w:space="0" w:color="008000"/>
              <w:right w:val="single" w:sz="2" w:space="0" w:color="008000"/>
            </w:tcBorders>
            <w:shd w:fill="auto" w:val="clear"/>
          </w:tcPr>
          <w:p>
            <w:pPr>
              <w:pStyle w:val="Contedodatabela"/>
              <w:bidi w:val="0"/>
              <w:jc w:val="center"/>
              <w:rPr>
                <w:rFonts w:ascii="Times New Roman" w:hAnsi="Times New Roman" w:cs="Times New Roman"/>
                <w:color w:val="000000"/>
                <w:sz w:val="20"/>
                <w:szCs w:val="20"/>
              </w:rPr>
            </w:pPr>
            <w:r>
              <w:rPr>
                <w:rFonts w:cs="Times New Roman" w:ascii="Times New Roman" w:hAnsi="Times New Roman"/>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Contedodatabela"/>
              <w:bidi w:val="0"/>
              <w:jc w:val="center"/>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Contedodatabela"/>
              <w:bidi w:val="0"/>
              <w:jc w:val="center"/>
              <w:rPr>
                <w:rFonts w:ascii="Arial" w:hAnsi="Arial" w:eastAsia="Times New Roman" w:cs="Arial"/>
                <w:b/>
                <w:b/>
                <w:color w:val="auto"/>
                <w:kern w:val="0"/>
                <w:sz w:val="20"/>
                <w:szCs w:val="20"/>
                <w:lang w:val="pt-BR" w:eastAsia="ar-SA" w:bidi="ar-SA"/>
              </w:rPr>
            </w:pPr>
            <w:r>
              <w:rPr>
                <w:rFonts w:cs="Times New Roman" w:ascii="Times New Roman" w:hAnsi="Times New Roman"/>
                <w:color w:val="000000"/>
                <w:sz w:val="20"/>
                <w:szCs w:val="20"/>
              </w:rPr>
              <w:t>Santa Maria - RS, 7 de agosto de 2023</w:t>
            </w:r>
          </w:p>
          <w:p>
            <w:pPr>
              <w:pStyle w:val="Contedodatabela"/>
              <w:bidi w:val="0"/>
              <w:jc w:val="center"/>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Contedodatabela"/>
              <w:bidi w:val="0"/>
              <w:jc w:val="center"/>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Contedodatabela"/>
              <w:bidi w:val="0"/>
              <w:jc w:val="center"/>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Contedodatabela"/>
              <w:bidi w:val="0"/>
              <w:jc w:val="center"/>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Contedodatabela"/>
              <w:tabs>
                <w:tab w:val="left" w:pos="708" w:leader="none"/>
                <w:tab w:val="center" w:pos="4252" w:leader="none"/>
                <w:tab w:val="right" w:pos="8504" w:leader="none"/>
              </w:tabs>
              <w:bidi w:val="0"/>
              <w:ind w:left="0" w:right="0" w:firstLine="539"/>
              <w:jc w:val="center"/>
              <w:rPr>
                <w:rFonts w:ascii="Times New Roman" w:hAnsi="Times New Roman" w:cs="Times New Roman"/>
                <w:b/>
                <w:b/>
                <w:color w:val="000000"/>
                <w:sz w:val="20"/>
                <w:szCs w:val="20"/>
              </w:rPr>
            </w:pPr>
            <w:r>
              <w:rPr>
                <w:rFonts w:cs="Times New Roman" w:ascii="Times New Roman" w:hAnsi="Times New Roman"/>
                <w:b/>
                <w:color w:val="000000"/>
                <w:sz w:val="20"/>
                <w:szCs w:val="20"/>
              </w:rPr>
              <w:t>FABIO HEITOR LACERDA SEARA - TC</w:t>
            </w:r>
          </w:p>
          <w:p>
            <w:pPr>
              <w:pStyle w:val="Cabealho"/>
              <w:tabs>
                <w:tab w:val="left" w:pos="708" w:leader="none"/>
                <w:tab w:val="center" w:pos="4252" w:leader="none"/>
                <w:tab w:val="right" w:pos="8504" w:leader="none"/>
              </w:tabs>
              <w:bidi w:val="0"/>
              <w:ind w:left="0" w:right="0" w:firstLine="539"/>
              <w:jc w:val="center"/>
              <w:rPr>
                <w:rFonts w:ascii="Times New Roman" w:hAnsi="Times New Roman" w:cs="Times New Roman"/>
                <w:sz w:val="20"/>
                <w:szCs w:val="22"/>
              </w:rPr>
            </w:pPr>
            <w:r>
              <w:rPr>
                <w:rFonts w:cs="Times New Roman" w:ascii="Times New Roman" w:hAnsi="Times New Roman"/>
                <w:sz w:val="20"/>
                <w:szCs w:val="22"/>
              </w:rPr>
              <w:t>Ordenador de Despesas do 4º B Log</w:t>
            </w:r>
          </w:p>
          <w:p>
            <w:pPr>
              <w:pStyle w:val="Standard"/>
              <w:tabs>
                <w:tab w:val="clear" w:pos="708"/>
                <w:tab w:val="center" w:pos="4252" w:leader="none"/>
                <w:tab w:val="center" w:pos="7380" w:leader="none"/>
                <w:tab w:val="right" w:pos="8504" w:leader="none"/>
              </w:tabs>
              <w:bidi w:val="0"/>
              <w:ind w:left="0" w:right="0" w:firstLine="539"/>
              <w:jc w:val="center"/>
              <w:rPr>
                <w:rFonts w:ascii="Times New Roman" w:hAnsi="Times New Roman" w:cs="Times New Roman"/>
                <w:color w:val="000000"/>
                <w:sz w:val="20"/>
                <w:szCs w:val="20"/>
              </w:rPr>
            </w:pPr>
            <w:r>
              <w:rPr>
                <w:rFonts w:cs="Times New Roman" w:ascii="Times New Roman" w:hAnsi="Times New Roman"/>
                <w:color w:val="000000"/>
                <w:sz w:val="20"/>
                <w:szCs w:val="20"/>
              </w:rPr>
            </w:r>
          </w:p>
        </w:tc>
      </w:tr>
    </w:tbl>
    <w:p>
      <w:pPr>
        <w:pStyle w:val="Normal"/>
        <w:rPr>
          <w:rFonts w:ascii="Arial" w:hAnsi="Arial" w:eastAsia="Times New Roman" w:cs="Arial"/>
          <w:b/>
          <w:b/>
          <w:color w:val="auto"/>
          <w:kern w:val="0"/>
          <w:sz w:val="20"/>
          <w:szCs w:val="20"/>
          <w:lang w:val="pt-BR" w:eastAsia="ar-SA" w:bidi="ar-SA"/>
        </w:rPr>
      </w:pPr>
      <w:r>
        <w:rPr/>
      </w:r>
    </w:p>
    <w:sectPr>
      <w:headerReference w:type="default" r:id="rId22"/>
      <w:footerReference w:type="default" r:id="rId23"/>
      <w:type w:val="nextPage"/>
      <w:pgSz w:w="11906" w:h="16838"/>
      <w:pgMar w:left="1701" w:right="1701" w:header="0" w:top="1417" w:footer="708" w:bottom="141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Calibri Light">
    <w:charset w:val="01"/>
    <w:family w:val="roman"/>
    <w:pitch w:val="variable"/>
  </w:font>
  <w:font w:name="Times New Roman">
    <w:charset w:val="01"/>
    <w:family w:val="roman"/>
    <w:pitch w:val="variable"/>
  </w:font>
  <w:font w:name="Helvetica">
    <w:altName w:val="Arial"/>
    <w:charset w:val="01"/>
    <w:family w:val="roman"/>
    <w:pitch w:val="variable"/>
  </w:font>
  <w:font w:name="Open Sans">
    <w:altName w:val="Arial"/>
    <w:charset w:val="01"/>
    <w:family w:val="roman"/>
    <w:pitch w:val="variable"/>
  </w:font>
  <w:font w:name="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r>
  </w:p>
  <w:p>
    <w:pPr>
      <w:pStyle w:val="Normal"/>
      <w:tabs>
        <w:tab w:val="clear" w:pos="708"/>
        <w:tab w:val="center" w:pos="4550" w:leader="none"/>
        <w:tab w:val="left" w:pos="5818" w:leader="none"/>
      </w:tabs>
      <w:ind w:right="260" w:hanging="0"/>
      <w:jc w:val="right"/>
      <w:rPr>
        <w:color w:val="222A35" w:themeColor="text2" w:themeShade="80"/>
        <w:sz w:val="18"/>
        <w:szCs w:val="18"/>
      </w:rPr>
    </w:pPr>
    <w:r>
      <w:rPr>
        <w:color w:val="8496B0" w:themeColor="text2" w:themeTint="99"/>
        <w:spacing w:val="60"/>
        <w:sz w:val="18"/>
        <w:szCs w:val="18"/>
      </w:rPr>
      <w:t>Página</w:t>
    </w:r>
    <w:r>
      <w:rPr>
        <w:color w:val="8496B0" w:themeColor="text2" w:themeTint="99"/>
        <w:sz w:val="18"/>
        <w:szCs w:val="18"/>
      </w:rPr>
      <w:t xml:space="preserve"> </w:t>
    </w:r>
    <w:r>
      <w:rPr>
        <w:sz w:val="18"/>
        <w:szCs w:val="18"/>
      </w:rPr>
      <w:fldChar w:fldCharType="begin"/>
    </w:r>
    <w:r>
      <w:rPr>
        <w:sz w:val="18"/>
        <w:szCs w:val="18"/>
      </w:rPr>
      <w:instrText> PAGE </w:instrText>
    </w:r>
    <w:r>
      <w:rPr>
        <w:sz w:val="18"/>
        <w:szCs w:val="18"/>
      </w:rPr>
      <w:fldChar w:fldCharType="separate"/>
    </w:r>
    <w:r>
      <w:rPr>
        <w:sz w:val="18"/>
        <w:szCs w:val="18"/>
      </w:rPr>
      <w:t>19</w:t>
    </w:r>
    <w:r>
      <w:rPr>
        <w:sz w:val="18"/>
        <w:szCs w:val="18"/>
      </w:rPr>
      <w:fldChar w:fldCharType="end"/>
    </w:r>
    <w:r>
      <w:rPr>
        <w:color w:val="323E4F" w:themeColor="text2" w:themeShade="bf"/>
        <w:sz w:val="18"/>
        <w:szCs w:val="18"/>
      </w:rPr>
      <w:t xml:space="preserve"> | </w:t>
    </w:r>
    <w:r>
      <w:rPr>
        <w:sz w:val="18"/>
        <w:szCs w:val="18"/>
      </w:rPr>
      <w:fldChar w:fldCharType="begin"/>
    </w:r>
    <w:r>
      <w:rPr>
        <w:sz w:val="18"/>
        <w:szCs w:val="18"/>
      </w:rPr>
      <w:instrText> NUMPAGES </w:instrText>
    </w:r>
    <w:r>
      <w:rPr>
        <w:sz w:val="18"/>
        <w:szCs w:val="18"/>
      </w:rPr>
      <w:fldChar w:fldCharType="separate"/>
    </w:r>
    <w:r>
      <w:rPr>
        <w:sz w:val="18"/>
        <w:szCs w:val="18"/>
      </w:rPr>
      <w:t>22</w:t>
    </w:r>
    <w:r>
      <w:rPr>
        <w:sz w:val="18"/>
        <w:szCs w:val="18"/>
      </w:rPr>
      <w:fldChar w:fldCharType="end"/>
    </w:r>
  </w:p>
  <w:p>
    <w:pPr>
      <w:pStyle w:val="Rodap"/>
      <w:rPr>
        <w:sz w:val="12"/>
        <w:szCs w:val="12"/>
      </w:rPr>
    </w:pPr>
    <w:r>
      <w:rPr>
        <w:sz w:val="12"/>
        <w:szCs w:val="12"/>
      </w:rPr>
    </w:r>
  </w:p>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Contratação Direta – Lei nº 14.133/21 e IN SEGES/ME nº 67/2021</w:t>
    </w:r>
  </w:p>
  <w:p>
    <w:pPr>
      <w:pStyle w:val="Rodap"/>
      <w:rPr>
        <w:sz w:val="12"/>
        <w:szCs w:val="12"/>
      </w:rPr>
    </w:pPr>
    <w:r>
      <w:rPr>
        <w:sz w:val="12"/>
        <w:szCs w:val="12"/>
      </w:rPr>
      <w:t>Versão: novembro/2022</w:t>
    </w:r>
  </w:p>
  <w:p>
    <w:pPr>
      <w:pStyle w:val="Rodap"/>
      <w:rPr>
        <w:sz w:val="12"/>
        <w:szCs w:val="12"/>
      </w:rPr>
    </w:pPr>
    <w:r>
      <w:rPr>
        <w:sz w:val="12"/>
        <w:szCs w:val="12"/>
      </w:rPr>
      <w:t>Aprovado pela Secretaria de Gestão.</w:t>
    </w:r>
  </w:p>
  <w:p>
    <w:pPr>
      <w:pStyle w:val="Rodap"/>
      <w:rPr/>
    </w:pPr>
    <w:r>
      <w:rPr>
        <w:sz w:val="12"/>
        <w:szCs w:val="12"/>
      </w:rPr>
      <w:t>Identidade visual pela Secretaria de Gestão (versão novembro/2022)</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r>
  </w:p>
  <w:p>
    <w:pPr>
      <w:pStyle w:val="Normal"/>
      <w:tabs>
        <w:tab w:val="clear" w:pos="708"/>
        <w:tab w:val="center" w:pos="4550" w:leader="none"/>
        <w:tab w:val="left" w:pos="5818" w:leader="none"/>
      </w:tabs>
      <w:ind w:right="260" w:hanging="0"/>
      <w:jc w:val="right"/>
      <w:rPr>
        <w:color w:val="222A35" w:themeColor="text2" w:themeShade="80"/>
        <w:sz w:val="18"/>
        <w:szCs w:val="18"/>
      </w:rPr>
    </w:pPr>
    <w:r>
      <w:rPr>
        <w:color w:val="8496B0" w:themeColor="text2" w:themeTint="99"/>
        <w:spacing w:val="60"/>
        <w:sz w:val="18"/>
        <w:szCs w:val="18"/>
      </w:rPr>
      <w:t>Página</w:t>
    </w:r>
    <w:r>
      <w:rPr>
        <w:color w:val="8496B0" w:themeColor="text2" w:themeTint="99"/>
        <w:sz w:val="18"/>
        <w:szCs w:val="18"/>
      </w:rPr>
      <w:t xml:space="preserve"> </w:t>
    </w:r>
    <w:r>
      <w:rPr>
        <w:sz w:val="18"/>
        <w:szCs w:val="18"/>
      </w:rPr>
      <w:fldChar w:fldCharType="begin"/>
    </w:r>
    <w:r>
      <w:rPr>
        <w:sz w:val="18"/>
        <w:szCs w:val="18"/>
      </w:rPr>
      <w:instrText> PAGE </w:instrText>
    </w:r>
    <w:r>
      <w:rPr>
        <w:sz w:val="18"/>
        <w:szCs w:val="18"/>
      </w:rPr>
      <w:fldChar w:fldCharType="separate"/>
    </w:r>
    <w:r>
      <w:rPr>
        <w:sz w:val="18"/>
        <w:szCs w:val="18"/>
      </w:rPr>
      <w:t>22</w:t>
    </w:r>
    <w:r>
      <w:rPr>
        <w:sz w:val="18"/>
        <w:szCs w:val="18"/>
      </w:rPr>
      <w:fldChar w:fldCharType="end"/>
    </w:r>
    <w:r>
      <w:rPr>
        <w:color w:val="323E4F" w:themeColor="text2" w:themeShade="bf"/>
        <w:sz w:val="18"/>
        <w:szCs w:val="18"/>
      </w:rPr>
      <w:t xml:space="preserve"> | </w:t>
    </w:r>
    <w:r>
      <w:rPr>
        <w:sz w:val="18"/>
        <w:szCs w:val="18"/>
      </w:rPr>
      <w:fldChar w:fldCharType="begin"/>
    </w:r>
    <w:r>
      <w:rPr>
        <w:sz w:val="18"/>
        <w:szCs w:val="18"/>
      </w:rPr>
      <w:instrText> NUMPAGES </w:instrText>
    </w:r>
    <w:r>
      <w:rPr>
        <w:sz w:val="18"/>
        <w:szCs w:val="18"/>
      </w:rPr>
      <w:fldChar w:fldCharType="separate"/>
    </w:r>
    <w:r>
      <w:rPr>
        <w:sz w:val="18"/>
        <w:szCs w:val="18"/>
      </w:rPr>
      <w:t>22</w:t>
    </w:r>
    <w:r>
      <w:rPr>
        <w:sz w:val="18"/>
        <w:szCs w:val="18"/>
      </w:rPr>
      <w:fldChar w:fldCharType="end"/>
    </w:r>
  </w:p>
  <w:p>
    <w:pPr>
      <w:pStyle w:val="Rodap"/>
      <w:rPr>
        <w:sz w:val="12"/>
        <w:szCs w:val="12"/>
      </w:rPr>
    </w:pPr>
    <w:r>
      <w:rPr>
        <w:sz w:val="12"/>
        <w:szCs w:val="12"/>
      </w:rPr>
    </w:r>
  </w:p>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Contratação Direta – Lei nº 14.133/21 e IN SEGES/ME nº 67/2021</w:t>
    </w:r>
  </w:p>
  <w:p>
    <w:pPr>
      <w:pStyle w:val="Rodap"/>
      <w:rPr>
        <w:sz w:val="12"/>
        <w:szCs w:val="12"/>
      </w:rPr>
    </w:pPr>
    <w:r>
      <w:rPr>
        <w:sz w:val="12"/>
        <w:szCs w:val="12"/>
      </w:rPr>
      <w:t>Versão: novembro/2022</w:t>
    </w:r>
  </w:p>
  <w:p>
    <w:pPr>
      <w:pStyle w:val="Rodap"/>
      <w:rPr>
        <w:sz w:val="12"/>
        <w:szCs w:val="12"/>
      </w:rPr>
    </w:pPr>
    <w:r>
      <w:rPr>
        <w:sz w:val="12"/>
        <w:szCs w:val="12"/>
      </w:rPr>
      <w:t>Aprovado pela Secretaria de Gestão.</w:t>
    </w:r>
  </w:p>
  <w:p>
    <w:pPr>
      <w:pStyle w:val="Rodap"/>
      <w:rPr/>
    </w:pPr>
    <w:r>
      <w:rPr>
        <w:sz w:val="12"/>
        <w:szCs w:val="12"/>
      </w:rPr>
      <w:t>Identidade visual pela Secretaria de Gestão (versão novembro/2022)</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p>
    <w:pPr>
      <w:pStyle w:val="Cabealho"/>
      <w:rPr/>
    </w:pPr>
    <w:r>
      <w:rPr/>
    </w:r>
  </w:p>
  <w:p>
    <w:pPr>
      <w:pStyle w:val="Cabealho"/>
      <w:rPr/>
    </w:pPr>
    <w:r>
      <w:rPr/>
    </w:r>
  </w:p>
  <w:p>
    <w:pPr>
      <w:pStyle w:val="Normal"/>
      <w:jc w:val="right"/>
      <w:rPr/>
    </w:pPr>
    <w:r>
      <w:rPr/>
      <w:t xml:space="preserve">AVISO DE CONTRATAÇÃO DIRETA Nº </w:t>
    </w:r>
    <w:r>
      <w:rPr>
        <w:rFonts w:eastAsia="Times New Roman" w:cs="Tahoma"/>
        <w:color w:val="auto"/>
        <w:kern w:val="0"/>
        <w:sz w:val="20"/>
        <w:szCs w:val="24"/>
        <w:lang w:val="pt-BR" w:eastAsia="pt-BR" w:bidi="ar-SA"/>
      </w:rPr>
      <w:t>43</w:t>
    </w:r>
    <w:r>
      <w:rPr/>
      <w:t>/2023</w:t>
    </w:r>
  </w:p>
  <w:p>
    <w:pPr>
      <w:pStyle w:val="Cabealho"/>
      <w:jc w:val="right"/>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drawing>
        <wp:anchor behindDoc="1" distT="0" distB="0" distL="0" distR="0" simplePos="0" locked="0" layoutInCell="1" allowOverlap="1" relativeHeight="2">
          <wp:simplePos x="0" y="0"/>
          <wp:positionH relativeFrom="column">
            <wp:posOffset>-1167130</wp:posOffset>
          </wp:positionH>
          <wp:positionV relativeFrom="paragraph">
            <wp:posOffset>381000</wp:posOffset>
          </wp:positionV>
          <wp:extent cx="7560310" cy="10692130"/>
          <wp:effectExtent l="0" t="0" r="0" b="0"/>
          <wp:wrapNone/>
          <wp:docPr id="2"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p>
    <w:pPr>
      <w:pStyle w:val="Cabealho"/>
      <w:rPr/>
    </w:pPr>
    <w:r>
      <w:rPr/>
    </w:r>
  </w:p>
  <w:p>
    <w:pPr>
      <w:pStyle w:val="Cabealho"/>
      <w:rPr/>
    </w:pPr>
    <w:r>
      <w:rPr/>
    </w:r>
  </w:p>
  <w:p>
    <w:pPr>
      <w:pStyle w:val="Normal"/>
      <w:jc w:val="right"/>
      <w:rPr>
        <w:rFonts w:cs="Arial"/>
        <w:b/>
        <w:b/>
        <w:bCs/>
        <w:color w:val="5B5B5F"/>
        <w:sz w:val="28"/>
        <w:szCs w:val="28"/>
      </w:rPr>
    </w:pPr>
    <w:r>
      <w:rPr/>
      <w:t xml:space="preserve">AVISO DE CONTRATAÇÃO DIRETA Nº </w:t>
    </w:r>
    <w:r>
      <w:rPr>
        <w:rFonts w:eastAsia="Times New Roman" w:cs="Tahoma"/>
        <w:color w:val="auto"/>
        <w:kern w:val="0"/>
        <w:sz w:val="20"/>
        <w:szCs w:val="24"/>
        <w:lang w:val="pt-BR" w:eastAsia="pt-BR" w:bidi="ar-SA"/>
      </w:rPr>
      <w:t>43</w:t>
    </w:r>
    <w:r>
      <w:rPr/>
      <w:t>/2023</w:t>
    </w:r>
  </w:p>
  <w:p>
    <w:pPr>
      <w:pStyle w:val="Cabealho"/>
      <w:jc w:val="right"/>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Ttulo1"/>
      <w:numFmt w:val="decimal"/>
      <w:lvlText w:val="%1."/>
      <w:lvlJc w:val="left"/>
      <w:pPr>
        <w:tabs>
          <w:tab w:val="num" w:pos="0"/>
        </w:tabs>
        <w:ind w:left="360" w:hanging="360"/>
      </w:pPr>
      <w:rPr>
        <w:b/>
      </w:r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858" w:hanging="432"/>
      </w:pPr>
      <w:rPr>
        <w:i w:val="false"/>
        <w:b/>
        <w:iCs/>
      </w:rPr>
    </w:lvl>
    <w:lvl w:ilvl="2">
      <w:start w:val="1"/>
      <w:numFmt w:val="decimal"/>
      <w:lvlText w:val="%1.%2.%3."/>
      <w:lvlJc w:val="left"/>
      <w:pPr>
        <w:tabs>
          <w:tab w:val="num" w:pos="0"/>
        </w:tabs>
        <w:ind w:left="1224" w:hanging="504"/>
      </w:pPr>
      <w:rPr>
        <w:i w:val="false"/>
        <w:b w:val="false"/>
        <w:iCs/>
        <w:rFonts w:cs="Arial"/>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decimal"/>
      <w:lvlText w:val="%1.%2.%3."/>
      <w:lvlJc w:val="left"/>
      <w:pPr>
        <w:tabs>
          <w:tab w:val="num" w:pos="0"/>
        </w:tabs>
        <w:ind w:left="1224" w:hanging="504"/>
      </w:pPr>
      <w:rPr>
        <w:i w:val="false"/>
        <w:b w:val="false"/>
        <w:iCs/>
        <w:rFonts w:cs="Arial"/>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lowerLetter"/>
      <w:lvlText w:val="%3)"/>
      <w:lvlJc w:val="left"/>
      <w:pPr>
        <w:tabs>
          <w:tab w:val="num" w:pos="0"/>
        </w:tabs>
        <w:ind w:left="1224" w:hanging="504"/>
      </w:pPr>
      <w:rPr>
        <w:i w:val="false"/>
        <w:b w:val="false"/>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lvl w:ilvl="0">
      <w:start w:val="1"/>
      <w:numFmt w:val="decimal"/>
      <w:lvlText w:val="%1"/>
      <w:lvlJc w:val="left"/>
      <w:pPr>
        <w:tabs>
          <w:tab w:val="num" w:pos="0"/>
        </w:tabs>
        <w:ind w:left="360" w:hanging="360"/>
      </w:pPr>
      <w:rPr>
        <w:i w:val="false"/>
        <w:b w:val="false"/>
        <w:iCs w:val="false"/>
        <w:bCs/>
        <w:rFonts w:eastAsia="WenQuanYi Micro Hei"/>
        <w:color w:val="auto"/>
      </w:rPr>
    </w:lvl>
    <w:lvl w:ilvl="1">
      <w:start w:val="1"/>
      <w:numFmt w:val="decimal"/>
      <w:lvlText w:val="%1.%2"/>
      <w:lvlJc w:val="left"/>
      <w:pPr>
        <w:tabs>
          <w:tab w:val="num" w:pos="0"/>
        </w:tabs>
        <w:ind w:left="1145" w:hanging="360"/>
      </w:pPr>
      <w:rPr>
        <w:i w:val="false"/>
        <w:b/>
        <w:iCs w:val="false"/>
        <w:bCs/>
        <w:rFonts w:eastAsia="WenQuanYi Micro Hei" w:cs="Arial"/>
        <w:color w:val="auto"/>
      </w:rPr>
    </w:lvl>
    <w:lvl w:ilvl="2">
      <w:start w:val="1"/>
      <w:numFmt w:val="decimal"/>
      <w:lvlText w:val="%1.%2.%3"/>
      <w:lvlJc w:val="left"/>
      <w:pPr>
        <w:tabs>
          <w:tab w:val="num" w:pos="0"/>
        </w:tabs>
        <w:ind w:left="2290" w:hanging="720"/>
      </w:pPr>
      <w:rPr>
        <w:dstrike w:val="false"/>
        <w:strike w:val="false"/>
        <w:sz w:val="22"/>
        <w:i w:val="false"/>
        <w:u w:val="none"/>
        <w:b/>
        <w:effect w:val="none"/>
        <w:szCs w:val="20"/>
        <w:bCs/>
        <w:rFonts w:eastAsia="WenQuanYi Micro Hei" w:cs="Arial"/>
        <w:color w:val="000000"/>
      </w:rPr>
    </w:lvl>
    <w:lvl w:ilvl="3">
      <w:start w:val="1"/>
      <w:numFmt w:val="decimal"/>
      <w:lvlText w:val="%1.%2.%3.%4"/>
      <w:lvlJc w:val="left"/>
      <w:pPr>
        <w:tabs>
          <w:tab w:val="num" w:pos="0"/>
        </w:tabs>
        <w:ind w:left="3075" w:hanging="720"/>
      </w:pPr>
      <w:rPr>
        <w:i w:val="false"/>
        <w:b w:val="false"/>
        <w:rFonts w:eastAsia="WenQuanYi Micro Hei"/>
        <w:color w:val="000000"/>
      </w:rPr>
    </w:lvl>
    <w:lvl w:ilvl="4">
      <w:start w:val="1"/>
      <w:numFmt w:val="decimal"/>
      <w:lvlText w:val="%1.%2.%3.%4.%5"/>
      <w:lvlJc w:val="left"/>
      <w:pPr>
        <w:tabs>
          <w:tab w:val="num" w:pos="0"/>
        </w:tabs>
        <w:ind w:left="4220" w:hanging="1080"/>
      </w:pPr>
      <w:rPr>
        <w:i w:val="false"/>
        <w:b w:val="false"/>
        <w:rFonts w:eastAsia="WenQuanYi Micro Hei"/>
        <w:color w:val="000000"/>
      </w:rPr>
    </w:lvl>
    <w:lvl w:ilvl="5">
      <w:start w:val="1"/>
      <w:numFmt w:val="decimal"/>
      <w:lvlText w:val="%1.%2.%3.%4.%5.%6"/>
      <w:lvlJc w:val="left"/>
      <w:pPr>
        <w:tabs>
          <w:tab w:val="num" w:pos="0"/>
        </w:tabs>
        <w:ind w:left="5005" w:hanging="1080"/>
      </w:pPr>
      <w:rPr>
        <w:i w:val="false"/>
        <w:b/>
        <w:rFonts w:eastAsia="WenQuanYi Micro Hei"/>
        <w:color w:val="000000"/>
      </w:rPr>
    </w:lvl>
    <w:lvl w:ilvl="6">
      <w:start w:val="1"/>
      <w:numFmt w:val="decimal"/>
      <w:lvlText w:val="%1.%2.%3.%4.%5.%6.%7"/>
      <w:lvlJc w:val="left"/>
      <w:pPr>
        <w:tabs>
          <w:tab w:val="num" w:pos="0"/>
        </w:tabs>
        <w:ind w:left="6150" w:hanging="1440"/>
      </w:pPr>
      <w:rPr>
        <w:i w:val="false"/>
        <w:b/>
        <w:rFonts w:eastAsia="WenQuanYi Micro Hei"/>
        <w:color w:val="000000"/>
      </w:rPr>
    </w:lvl>
    <w:lvl w:ilvl="7">
      <w:start w:val="1"/>
      <w:numFmt w:val="decimal"/>
      <w:lvlText w:val="%1.%2.%3.%4.%5.%6.%7.%8"/>
      <w:lvlJc w:val="left"/>
      <w:pPr>
        <w:tabs>
          <w:tab w:val="num" w:pos="0"/>
        </w:tabs>
        <w:ind w:left="6935" w:hanging="1440"/>
      </w:pPr>
      <w:rPr>
        <w:i w:val="false"/>
        <w:b/>
        <w:rFonts w:eastAsia="WenQuanYi Micro Hei"/>
        <w:color w:val="000000"/>
      </w:rPr>
    </w:lvl>
    <w:lvl w:ilvl="8">
      <w:start w:val="1"/>
      <w:numFmt w:val="decimal"/>
      <w:lvlText w:val="%1.%2.%3.%4.%5.%6.%7.%8.%9"/>
      <w:lvlJc w:val="left"/>
      <w:pPr>
        <w:tabs>
          <w:tab w:val="num" w:pos="0"/>
        </w:tabs>
        <w:ind w:left="8080" w:hanging="1800"/>
      </w:pPr>
      <w:rPr>
        <w:i w:val="false"/>
        <w:b/>
        <w:rFonts w:eastAsia="WenQuanYi Micro Hei"/>
        <w:color w:val="000000"/>
      </w:rPr>
    </w:lvl>
  </w:abstractNum>
  <w:abstractNum w:abstractNumId="7">
    <w:lvl w:ilvl="0">
      <w:start w:val="1"/>
      <w:numFmt w:val="decimal"/>
      <w:lvlText w:val="%1."/>
      <w:lvlJc w:val="left"/>
      <w:pPr>
        <w:tabs>
          <w:tab w:val="num" w:pos="0"/>
        </w:tabs>
        <w:ind w:left="1865" w:hanging="360"/>
      </w:pPr>
    </w:lvl>
    <w:lvl w:ilvl="1">
      <w:start w:val="1"/>
      <w:numFmt w:val="lowerLetter"/>
      <w:lvlText w:val="%2."/>
      <w:lvlJc w:val="left"/>
      <w:pPr>
        <w:tabs>
          <w:tab w:val="num" w:pos="0"/>
        </w:tabs>
        <w:ind w:left="2585" w:hanging="360"/>
      </w:pPr>
    </w:lvl>
    <w:lvl w:ilvl="2">
      <w:start w:val="1"/>
      <w:numFmt w:val="lowerRoman"/>
      <w:lvlText w:val="%3."/>
      <w:lvlJc w:val="right"/>
      <w:pPr>
        <w:tabs>
          <w:tab w:val="num" w:pos="0"/>
        </w:tabs>
        <w:ind w:left="3305" w:hanging="180"/>
      </w:pPr>
    </w:lvl>
    <w:lvl w:ilvl="3">
      <w:start w:val="1"/>
      <w:numFmt w:val="decimal"/>
      <w:lvlText w:val="%4."/>
      <w:lvlJc w:val="left"/>
      <w:pPr>
        <w:tabs>
          <w:tab w:val="num" w:pos="0"/>
        </w:tabs>
        <w:ind w:left="4025" w:hanging="360"/>
      </w:pPr>
    </w:lvl>
    <w:lvl w:ilvl="4">
      <w:start w:val="1"/>
      <w:numFmt w:val="lowerLetter"/>
      <w:lvlText w:val="%5."/>
      <w:lvlJc w:val="left"/>
      <w:pPr>
        <w:tabs>
          <w:tab w:val="num" w:pos="0"/>
        </w:tabs>
        <w:ind w:left="4745" w:hanging="360"/>
      </w:pPr>
    </w:lvl>
    <w:lvl w:ilvl="5">
      <w:start w:val="1"/>
      <w:numFmt w:val="lowerRoman"/>
      <w:lvlText w:val="%6."/>
      <w:lvlJc w:val="right"/>
      <w:pPr>
        <w:tabs>
          <w:tab w:val="num" w:pos="0"/>
        </w:tabs>
        <w:ind w:left="5465" w:hanging="180"/>
      </w:pPr>
    </w:lvl>
    <w:lvl w:ilvl="6">
      <w:start w:val="1"/>
      <w:numFmt w:val="decimal"/>
      <w:lvlText w:val="%7."/>
      <w:lvlJc w:val="left"/>
      <w:pPr>
        <w:tabs>
          <w:tab w:val="num" w:pos="0"/>
        </w:tabs>
        <w:ind w:left="6185" w:hanging="360"/>
      </w:pPr>
    </w:lvl>
    <w:lvl w:ilvl="7">
      <w:start w:val="1"/>
      <w:numFmt w:val="lowerLetter"/>
      <w:lvlText w:val="%8."/>
      <w:lvlJc w:val="left"/>
      <w:pPr>
        <w:tabs>
          <w:tab w:val="num" w:pos="0"/>
        </w:tabs>
        <w:ind w:left="6905" w:hanging="360"/>
      </w:pPr>
    </w:lvl>
    <w:lvl w:ilvl="8">
      <w:start w:val="1"/>
      <w:numFmt w:val="lowerRoman"/>
      <w:lvlText w:val="%9."/>
      <w:lvlJc w:val="right"/>
      <w:pPr>
        <w:tabs>
          <w:tab w:val="num" w:pos="0"/>
        </w:tabs>
        <w:ind w:left="7625"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Arial" w:asciiTheme="minorHAnsi" w:cstheme="minorBidi" w:eastAsiaTheme="minorHAnsi" w:hAnsiTheme="minorHAnsi"/>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qFormat="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Ttulo1">
    <w:name w:val="Heading 1"/>
    <w:next w:val="Normal"/>
    <w:link w:val="Ttulo1Char"/>
    <w:uiPriority w:val="9"/>
    <w:qFormat/>
    <w:rsid w:val="00781aff"/>
    <w:pPr>
      <w:keepNext w:val="false"/>
      <w:widowControl/>
      <w:numPr>
        <w:ilvl w:val="0"/>
        <w:numId w:val="1"/>
      </w:numPr>
      <w:shd w:val="clear" w:color="auto" w:fill="auto"/>
      <w:suppressAutoHyphens w:val="true"/>
      <w:bidi w:val="0"/>
      <w:spacing w:before="120" w:after="120"/>
      <w:jc w:val="left"/>
      <w:outlineLvl w:val="0"/>
    </w:pPr>
    <w:rPr>
      <w:rFonts w:ascii="Arial" w:hAnsi="Arial" w:eastAsia="Calibri" w:cs="Arial" w:cstheme="minorBidi" w:eastAsiaTheme="minorHAnsi"/>
      <w:b/>
      <w:color w:val="auto"/>
      <w:kern w:val="0"/>
      <w:sz w:val="20"/>
      <w:szCs w:val="22"/>
      <w:lang w:val="pt-BR" w:eastAsia="en-US" w:bidi="ar-SA"/>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link w:val="Ttulo1"/>
    <w:uiPriority w:val="9"/>
    <w:qFormat/>
    <w:rsid w:val="00781aff"/>
    <w:rPr>
      <w:rFonts w:ascii="Arial" w:hAnsi="Arial" w:eastAsia="WenQuanYi Micro Hei" w:cs="Arial"/>
      <w:b/>
      <w:sz w:val="20"/>
      <w:szCs w:val="24"/>
      <w:lang w:eastAsia="zh-CN" w:bidi="hi-IN"/>
    </w:rPr>
  </w:style>
  <w:style w:type="character" w:styleId="CitaoChar" w:customStyle="1">
    <w:name w:val="Citação Char"/>
    <w:basedOn w:val="DefaultParagraphFont"/>
    <w:link w:val="Citao"/>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c074da"/>
    <w:rPr>
      <w:rFonts w:ascii="Arial" w:hAnsi="Arial" w:eastAsia="" w:cs="Times New Roman" w:eastAsiaTheme="majorEastAsia"/>
      <w:b w:val="false"/>
      <w:bCs/>
      <w:color w:val="000000"/>
      <w:sz w:val="20"/>
      <w:szCs w:val="20"/>
      <w:lang w:eastAsia="pt-BR"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c074da"/>
    <w:rPr>
      <w:sz w:val="16"/>
      <w:szCs w:val="16"/>
    </w:rPr>
  </w:style>
  <w:style w:type="character" w:styleId="TextodecomentrioChar" w:customStyle="1">
    <w:name w:val="Texto de comentário Char"/>
    <w:basedOn w:val="DefaultParagraphFont"/>
    <w:link w:val="Textodecomentrio"/>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link w:val="Assuntodocomentrio"/>
    <w:uiPriority w:val="99"/>
    <w:semiHidden/>
    <w:qFormat/>
    <w:rsid w:val="00c074da"/>
    <w:rPr>
      <w:rFonts w:ascii="Arial" w:hAnsi="Arial" w:eastAsia="Times New Roman" w:cs="Tahoma"/>
      <w:b/>
      <w:bCs/>
      <w:sz w:val="20"/>
      <w:szCs w:val="20"/>
      <w:lang w:eastAsia="pt-BR"/>
    </w:rPr>
  </w:style>
  <w:style w:type="character" w:styleId="LinkdaInternet">
    <w:name w:val="Link da Internet"/>
    <w:basedOn w:val="DefaultParagraphFont"/>
    <w:uiPriority w:val="99"/>
    <w:unhideWhenUsed/>
    <w:rsid w:val="00c074da"/>
    <w:rPr>
      <w:color w:val="0563C1" w:themeColor="hyperlink"/>
      <w:u w:val="single"/>
    </w:rPr>
  </w:style>
  <w:style w:type="character" w:styleId="Nivel4Char" w:customStyle="1">
    <w:name w:val="Nivel 4 Char"/>
    <w:basedOn w:val="DefaultParagraphFont"/>
    <w:link w:val="Nivel4"/>
    <w:qFormat/>
    <w:rsid w:val="00c074da"/>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Textodebalo"/>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link w:val="Cabealho"/>
    <w:uiPriority w:val="99"/>
    <w:qFormat/>
    <w:rsid w:val="00c074da"/>
    <w:rPr>
      <w:rFonts w:ascii="Arial" w:hAnsi="Arial" w:eastAsia="Times New Roman" w:cs="Tahoma"/>
      <w:sz w:val="20"/>
      <w:szCs w:val="24"/>
      <w:lang w:eastAsia="pt-BR"/>
    </w:rPr>
  </w:style>
  <w:style w:type="character" w:styleId="RodapChar" w:customStyle="1">
    <w:name w:val="Rodapé Char"/>
    <w:basedOn w:val="DefaultParagraphFont"/>
    <w:link w:val="Rodap"/>
    <w:uiPriority w:val="99"/>
    <w:qFormat/>
    <w:rsid w:val="00c074da"/>
    <w:rPr>
      <w:rFonts w:ascii="Arial" w:hAnsi="Arial" w:eastAsia="Times New Roman" w:cs="Tahoma"/>
      <w:sz w:val="20"/>
      <w:szCs w:val="24"/>
      <w:lang w:eastAsia="pt-BR"/>
    </w:rPr>
  </w:style>
  <w:style w:type="character" w:styleId="Linkdainternetvisitado">
    <w:name w:val="Link da internet visitado"/>
    <w:basedOn w:val="DefaultParagraphFont"/>
    <w:uiPriority w:val="99"/>
    <w:semiHidden/>
    <w:unhideWhenUsed/>
    <w:rsid w:val="00a47c33"/>
    <w:rPr>
      <w:color w:val="954F72" w:themeColor="followedHyperlink"/>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link w:val="Ttulo"/>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link w:val="Corpodetexto"/>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val="404040" w:themeColor="text1" w:themeTint="bf"/>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val="538135" w:themeColor="accent6" w:themeShade="bf"/>
      <w:sz w:val="24"/>
    </w:rPr>
  </w:style>
  <w:style w:type="character" w:styleId="UnresolvedMention">
    <w:name w:val="Unresolved Mention"/>
    <w:basedOn w:val="DefaultParagraphFont"/>
    <w:uiPriority w:val="99"/>
    <w:semiHidden/>
    <w:unhideWhenUsed/>
    <w:qFormat/>
    <w:rsid w:val="004d7acd"/>
    <w:rPr>
      <w:color w:val="605E5C"/>
      <w:shd w:fill="E1DFDD" w:val="clear"/>
    </w:rPr>
  </w:style>
  <w:style w:type="character" w:styleId="Vnculodendice">
    <w:name w:val="Vínculo de índice"/>
    <w:qFormat/>
    <w:rPr/>
  </w:style>
  <w:style w:type="character" w:styleId="Fontepargpadro1">
    <w:name w:val="Fonte parág. padrão1"/>
    <w:qFormat/>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link w:val="CorpodetextoChar"/>
    <w:rsid w:val="00c074da"/>
    <w:pPr>
      <w:spacing w:lineRule="auto" w:line="276" w:before="0" w:after="140"/>
    </w:pPr>
    <w:rPr/>
  </w:style>
  <w:style w:type="paragraph" w:styleId="Lista">
    <w:name w:val="List"/>
    <w:basedOn w:val="Corpodotexto"/>
    <w:rsid w:val="00c074da"/>
    <w:pPr/>
    <w:rPr>
      <w:rFonts w:cs="FreeSans"/>
    </w:rPr>
  </w:style>
  <w:style w:type="paragraph" w:styleId="Legenda">
    <w:name w:val="Caption"/>
    <w:basedOn w:val="Normal"/>
    <w:qFormat/>
    <w:pPr>
      <w:suppressLineNumbers/>
      <w:spacing w:before="120" w:after="120"/>
    </w:pPr>
    <w:rPr>
      <w:rFonts w:cs="Lohit Devanagari"/>
      <w:i/>
      <w:iCs/>
      <w:sz w:val="24"/>
      <w:szCs w:val="24"/>
    </w:rPr>
  </w:style>
  <w:style w:type="paragraph" w:styleId="Ndice" w:customStyle="1">
    <w:name w:val="Índice"/>
    <w:basedOn w:val="Normal"/>
    <w:qFormat/>
    <w:rsid w:val="00c074da"/>
    <w:pPr>
      <w:suppressLineNumbers/>
    </w:pPr>
    <w:rPr>
      <w:rFonts w:cs="FreeSans"/>
    </w:rPr>
  </w:style>
  <w:style w:type="paragraph" w:styleId="Ttulododocumento">
    <w:name w:val="Title"/>
    <w:basedOn w:val="Normal"/>
    <w:link w:val="TtuloChar"/>
    <w:qFormat/>
    <w:rsid w:val="00c074da"/>
    <w:pPr>
      <w:keepNext w:val="true"/>
      <w:spacing w:before="240" w:after="120"/>
    </w:pPr>
    <w:rPr>
      <w:rFonts w:ascii="Liberation Sans" w:hAnsi="Liberation Sans" w:eastAsia="Noto Sans CJK SC" w:cs="FreeSans"/>
      <w:sz w:val="28"/>
      <w:szCs w:val="28"/>
    </w:rPr>
  </w:style>
  <w:style w:type="paragraph" w:styleId="Caption">
    <w:name w:val="caption"/>
    <w:basedOn w:val="Normal"/>
    <w:qFormat/>
    <w:rsid w:val="00c074da"/>
    <w:pPr>
      <w:suppressLineNumbers/>
      <w:spacing w:before="120" w:after="120"/>
    </w:pPr>
    <w:rPr>
      <w:rFonts w:cs="FreeSans"/>
      <w:i/>
      <w:iCs/>
      <w:sz w:val="24"/>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c074da"/>
    <w:pPr>
      <w:numPr>
        <w:ilvl w:val="0"/>
        <w:numId w:val="0"/>
      </w:numPr>
      <w:spacing w:before="480" w:after="120"/>
      <w:ind w:right="-15" w:hanging="0"/>
    </w:pPr>
    <w:rPr>
      <w:rFonts w:cs="Times New Roman"/>
      <w:b w:val="false"/>
      <w:bCs/>
      <w:color w:val="000000"/>
      <w:szCs w:val="20"/>
    </w:rPr>
  </w:style>
  <w:style w:type="paragraph" w:styleId="PADRO" w:customStyle="1">
    <w:name w:val="PADRÃO"/>
    <w:qFormat/>
    <w:rsid w:val="00c074da"/>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c074da"/>
    <w:pPr>
      <w:spacing w:before="0" w:after="0"/>
      <w:ind w:left="720" w:hanging="0"/>
      <w:contextualSpacing/>
    </w:pPr>
    <w:rPr/>
  </w:style>
  <w:style w:type="paragraph" w:styleId="Citao2" w:customStyle="1">
    <w:name w:val="citação 2"/>
    <w:basedOn w:val="Quote"/>
    <w:qFormat/>
    <w:rsid w:val="00c074da"/>
    <w:pPr>
      <w:shd w:val="clear" w:fill="FFFFCC"/>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c074da"/>
    <w:pPr/>
    <w:rPr>
      <w:szCs w:val="20"/>
    </w:rPr>
  </w:style>
  <w:style w:type="paragraph" w:styleId="Annotationsubject">
    <w:name w:val="annotation subject"/>
    <w:basedOn w:val="Annotationtext"/>
    <w:link w:val="AssuntodocomentrioChar"/>
    <w:uiPriority w:val="99"/>
    <w:semiHidden/>
    <w:unhideWhenUsed/>
    <w:qFormat/>
    <w:rsid w:val="00c074da"/>
    <w:pPr/>
    <w:rPr>
      <w:b/>
      <w:bCs/>
    </w:rPr>
  </w:style>
  <w:style w:type="paragraph" w:styleId="Nivel1" w:customStyle="1">
    <w:name w:val="Nivel1"/>
    <w:basedOn w:val="Ttulo1"/>
    <w:qFormat/>
    <w:rsid w:val="00c074da"/>
    <w:pPr>
      <w:numPr>
        <w:ilvl w:val="0"/>
        <w:numId w:val="0"/>
      </w:numPr>
      <w:spacing w:before="480" w:after="120"/>
      <w:ind w:left="644" w:hanging="0"/>
    </w:pPr>
    <w:rPr>
      <w:rFonts w:cs="Times New Roman"/>
      <w:b w:val="false"/>
      <w:color w:val="000000"/>
      <w:szCs w:val="20"/>
    </w:rPr>
  </w:style>
  <w:style w:type="paragraph" w:styleId="Nivel2" w:customStyle="1">
    <w:name w:val="Nivel 2"/>
    <w:qFormat/>
    <w:rsid w:val="00c074da"/>
    <w:pPr>
      <w:widowControl/>
      <w:suppressAutoHyphens w:val="true"/>
      <w:bidi w:val="0"/>
      <w:spacing w:lineRule="auto" w:line="276" w:before="120" w:after="120"/>
      <w:jc w:val="both"/>
    </w:pPr>
    <w:rPr>
      <w:rFonts w:ascii="Ecofont_Spranq_eco_Sans" w:hAnsi="Ecofont_Spranq_eco_Sans" w:eastAsia="Arial Unicode MS" w:cs="Times New Roman"/>
      <w:color w:val="auto"/>
      <w:kern w:val="0"/>
      <w:sz w:val="20"/>
      <w:szCs w:val="20"/>
      <w:lang w:val="pt-BR" w:eastAsia="pt-BR" w:bidi="ar-SA"/>
    </w:rPr>
  </w:style>
  <w:style w:type="paragraph" w:styleId="Nivel11" w:customStyle="1">
    <w:name w:val="Nivel 1"/>
    <w:basedOn w:val="Nivel2"/>
    <w:qFormat/>
    <w:rsid w:val="00c074da"/>
    <w:pPr/>
    <w:rPr>
      <w:rFonts w:cs="Arial"/>
      <w:b/>
    </w:rPr>
  </w:style>
  <w:style w:type="paragraph" w:styleId="Nivel3" w:customStyle="1">
    <w:name w:val="Nivel 3"/>
    <w:basedOn w:val="Nivel2"/>
    <w:qFormat/>
    <w:rsid w:val="00c074da"/>
    <w:pPr/>
    <w:rPr>
      <w:rFonts w:cs="Arial"/>
      <w:color w:val="000000"/>
    </w:rPr>
  </w:style>
  <w:style w:type="paragraph" w:styleId="Nivel4" w:customStyle="1">
    <w:name w:val="Nivel 4"/>
    <w:basedOn w:val="Nivel3"/>
    <w:link w:val="Nivel4Char"/>
    <w:qFormat/>
    <w:rsid w:val="00c074da"/>
    <w:pPr/>
    <w:rPr>
      <w:color w:val="auto"/>
    </w:rPr>
  </w:style>
  <w:style w:type="paragraph" w:styleId="Nivel5" w:customStyle="1">
    <w:name w:val="Nivel 5"/>
    <w:basedOn w:val="Nivel4"/>
    <w:qFormat/>
    <w:rsid w:val="00c074da"/>
    <w:pPr>
      <w:tabs>
        <w:tab w:val="clear" w:pos="708"/>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
    <w:name w:val="Header"/>
    <w:basedOn w:val="Normal"/>
    <w:link w:val="CabealhoChar"/>
    <w:uiPriority w:val="99"/>
    <w:unhideWhenUsed/>
    <w:rsid w:val="00c074da"/>
    <w:pPr>
      <w:tabs>
        <w:tab w:val="clear" w:pos="708"/>
        <w:tab w:val="center" w:pos="4252" w:leader="none"/>
        <w:tab w:val="right" w:pos="8504" w:leader="none"/>
      </w:tabs>
    </w:pPr>
    <w:rPr/>
  </w:style>
  <w:style w:type="paragraph" w:styleId="Rodap">
    <w:name w:val="Footer"/>
    <w:basedOn w:val="Normal"/>
    <w:link w:val="RodapChar"/>
    <w:uiPriority w:val="99"/>
    <w:unhideWhenUsed/>
    <w:rsid w:val="00c074da"/>
    <w:pPr>
      <w:tabs>
        <w:tab w:val="clear" w:pos="708"/>
        <w:tab w:val="center" w:pos="4252" w:leader="none"/>
        <w:tab w:val="right" w:pos="8504" w:leader="none"/>
      </w:tabs>
    </w:pPr>
    <w:rPr/>
  </w:style>
  <w:style w:type="paragraph" w:styleId="Nivel01Titulo" w:customStyle="1">
    <w:name w:val="Nivel_01_Titulo"/>
    <w:basedOn w:val="Ttulo1"/>
    <w:next w:val="Normal"/>
    <w:qFormat/>
    <w:rsid w:val="00c074da"/>
    <w:pPr>
      <w:numPr>
        <w:ilvl w:val="0"/>
        <w:numId w:val="0"/>
      </w:numPr>
      <w:tabs>
        <w:tab w:val="clear" w:pos="708"/>
        <w:tab w:val="left" w:pos="360" w:leader="none"/>
        <w:tab w:val="left" w:pos="567" w:leader="none"/>
      </w:tabs>
      <w:ind w:firstLine="567"/>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TOCHeading">
    <w:name w:val="TOC Heading"/>
    <w:basedOn w:val="Ttulo1"/>
    <w:next w:val="Normal"/>
    <w:uiPriority w:val="39"/>
    <w:unhideWhenUsed/>
    <w:qFormat/>
    <w:rsid w:val="00781aff"/>
    <w:pPr>
      <w:keepNext w:val="true"/>
      <w:keepLines/>
      <w:numPr>
        <w:ilvl w:val="0"/>
        <w:numId w:val="0"/>
      </w:numPr>
      <w:suppressAutoHyphens w:val="false"/>
      <w:spacing w:lineRule="auto" w:line="259" w:before="240" w:after="0"/>
      <w:ind w:firstLine="567"/>
      <w:jc w:val="left"/>
      <w:textAlignment w:val="auto"/>
    </w:pPr>
    <w:rPr>
      <w:rFonts w:ascii="Calibri Light" w:hAnsi="Calibri Light" w:eastAsia="" w:cs="Times New Roman" w:asciiTheme="majorHAnsi" w:cstheme="majorBidi" w:eastAsiaTheme="majorEastAsia" w:hAnsiTheme="majorHAnsi"/>
      <w:b w:val="false"/>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before="0" w:after="100"/>
    </w:pPr>
    <w:rPr/>
  </w:style>
  <w:style w:type="paragraph" w:styleId="Padro1">
    <w:name w:val="Padrão"/>
    <w:qFormat/>
    <w:pPr>
      <w:widowControl w:val="false"/>
      <w:tabs>
        <w:tab w:val="left" w:pos="708" w:leader="none"/>
      </w:tabs>
      <w:suppressAutoHyphens w:val="true"/>
      <w:bidi w:val="0"/>
      <w:spacing w:lineRule="auto" w:line="240" w:before="0" w:after="0"/>
      <w:jc w:val="left"/>
    </w:pPr>
    <w:rPr>
      <w:rFonts w:ascii="Times New Roman" w:hAnsi="Times New Roman" w:eastAsia="Arial Unicode MS" w:cs="Times New Roman"/>
      <w:color w:val="00000A"/>
      <w:kern w:val="0"/>
      <w:sz w:val="24"/>
      <w:szCs w:val="24"/>
      <w:lang w:val="pt-BR" w:eastAsia="en-US" w:bidi="ar-SA"/>
    </w:rPr>
  </w:style>
  <w:style w:type="paragraph" w:styleId="Standard">
    <w:name w:val="Standard"/>
    <w:qFormat/>
    <w:pPr>
      <w:widowControl w:val="false"/>
      <w:suppressAutoHyphens w:val="true"/>
      <w:overflowPunct w:val="false"/>
      <w:bidi w:val="0"/>
      <w:spacing w:before="0" w:after="0"/>
      <w:jc w:val="left"/>
      <w:textAlignment w:val="baseline"/>
    </w:pPr>
    <w:rPr>
      <w:rFonts w:ascii="Liberation Serif;Times New Roman" w:hAnsi="Liberation Serif;Times New Roman" w:eastAsia="SimSun;宋体" w:cs="Mangal;Courier"/>
      <w:color w:val="auto"/>
      <w:kern w:val="2"/>
      <w:sz w:val="24"/>
      <w:szCs w:val="24"/>
      <w:lang w:val="pt-BR" w:eastAsia="zh-CN" w:bidi="hi-IN"/>
    </w:rPr>
  </w:style>
  <w:style w:type="paragraph" w:styleId="Contedodatabela">
    <w:name w:val="Conteúdo da tabela"/>
    <w:basedOn w:val="Standard"/>
    <w:qFormat/>
    <w:pPr>
      <w:suppressLineNumbers/>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planalto.gov.br/ccivil_03/_ato2019-2022/2021/lei/L14133.htm" TargetMode="External"/><Relationship Id="rId4" Type="http://schemas.openxmlformats.org/officeDocument/2006/relationships/hyperlink" Target="https://www.gov.br/compras/pt-br/acesso-a-informacao/legislacao/instrucoes-normativas/instrucao-normativa-seges-me-no-67-de-8-de-julho-de-2021" TargetMode="External"/><Relationship Id="rId5" Type="http://schemas.openxmlformats.org/officeDocument/2006/relationships/hyperlink" Target="https://www.comprasnet.gov.br/seguro/loginPortalFornecedor.asp" TargetMode="External"/><Relationship Id="rId6" Type="http://schemas.openxmlformats.org/officeDocument/2006/relationships/hyperlink" Target="http://www.gov.br/compras" TargetMode="External"/><Relationship Id="rId7" Type="http://schemas.openxmlformats.org/officeDocument/2006/relationships/hyperlink" Target="http://www.pncp.gov.br/" TargetMode="External"/><Relationship Id="rId8" Type="http://schemas.openxmlformats.org/officeDocument/2006/relationships/hyperlink" Target="https://www.gov.br/compras/pt-br/sistemas/conheca-o-compras/aplicativo-compras" TargetMode="External"/><Relationship Id="rId9" Type="http://schemas.openxmlformats.org/officeDocument/2006/relationships/hyperlink" Target="http://www.planalto.gov.br/ccivil_03/LEIS/L6404consol.htm" TargetMode="External"/><Relationship Id="rId10" Type="http://schemas.openxmlformats.org/officeDocument/2006/relationships/hyperlink" Target="https://www3.comprasnet.gov.br/sicaf-web/index.jsf" TargetMode="External"/><Relationship Id="rId11" Type="http://schemas.openxmlformats.org/officeDocument/2006/relationships/hyperlink" Target="https://portaldatransparencia.gov.br/sancoes/consulta?cadastro=1%2C2" TargetMode="External"/><Relationship Id="rId12" Type="http://schemas.openxmlformats.org/officeDocument/2006/relationships/hyperlink" Target="https://portaldatransparencia.gov.br/sancoes/consulta?cadastro=1%2C2" TargetMode="External"/><Relationship Id="rId13"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_ato2011-2014/2013/lei/l12846.htm" TargetMode="External"/><Relationship Id="rId16" Type="http://schemas.openxmlformats.org/officeDocument/2006/relationships/hyperlink" Target="https://www.gov.br/empresas-e-negocios/pt-br/empreendedor" TargetMode="External"/><Relationship Id="rId17" Type="http://schemas.openxmlformats.org/officeDocument/2006/relationships/hyperlink" Target="https://www.planalto.gov.br/ccivil_03/leis/lcp/lcp123.htm" TargetMode="External"/><Relationship Id="rId18" Type="http://schemas.openxmlformats.org/officeDocument/2006/relationships/header" Target="header1.xml"/><Relationship Id="rId19" Type="http://schemas.openxmlformats.org/officeDocument/2006/relationships/header" Target="header2.xml"/><Relationship Id="rId20" Type="http://schemas.openxmlformats.org/officeDocument/2006/relationships/footer" Target="footer1.xml"/><Relationship Id="rId21" Type="http://schemas.openxmlformats.org/officeDocument/2006/relationships/image" Target="media/image3.png"/><Relationship Id="rId22" Type="http://schemas.openxmlformats.org/officeDocument/2006/relationships/header" Target="header3.xml"/><Relationship Id="rId23" Type="http://schemas.openxmlformats.org/officeDocument/2006/relationships/footer" Target="footer2.xml"/><Relationship Id="rId24" Type="http://schemas.openxmlformats.org/officeDocument/2006/relationships/numbering" Target="numbering.xml"/><Relationship Id="rId25" Type="http://schemas.openxmlformats.org/officeDocument/2006/relationships/fontTable" Target="fontTable.xml"/><Relationship Id="rId26" Type="http://schemas.openxmlformats.org/officeDocument/2006/relationships/settings" Target="settings.xml"/><Relationship Id="rId27" Type="http://schemas.openxmlformats.org/officeDocument/2006/relationships/theme" Target="theme/theme1.xml"/><Relationship Id="rId28"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Application>LibreOffice/6.4.7.2$Linux_X86_64 LibreOffice_project/40$Build-2</Application>
  <Pages>22</Pages>
  <Words>6422</Words>
  <Characters>36588</Characters>
  <CharactersWithSpaces>42652</CharactersWithSpaces>
  <Paragraphs>362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2022-11-01T20:02:00Z</dcterms:created>
  <dc:creator/>
  <dc:description/>
  <dc:language>pt-BR</dc:language>
  <cp:lastModifiedBy/>
  <dcterms:modified xsi:type="dcterms:W3CDTF">2023-09-14T08:43:52Z</dcterms:modified>
  <cp:revision>80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