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wmf" ContentType="image/x-wmf"/>
  <Override PartName="/word/media/image3.png" ContentType="image/png"/>
  <Override PartName="/word/header2.xml" ContentType="application/vnd.openxmlformats-officedocument.wordprocessingml.header+xml"/>
  <Override PartName="/word/comments.xml" ContentType="application/vnd.openxmlformats-officedocument.wordprocessingml.comment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comments.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rPr>
          <w:rFonts w:cs="Arial"/>
          <w:b/>
          <w:b/>
          <w:bCs/>
          <w:i/>
          <w:i/>
          <w:iCs/>
          <w:szCs w:val="18"/>
        </w:rPr>
      </w:pPr>
      <w:r>
        <w:rPr>
          <w:rFonts w:cs="Arial"/>
          <w:sz w:val="36"/>
          <w:szCs w:val="36"/>
        </w:rPr>
        <w:t>Aviso de</w:t>
      </w:r>
      <w:r>
        <w:rPr>
          <w:rFonts w:cs="Arial"/>
          <w:szCs w:val="18"/>
        </w:rPr>
        <w:t xml:space="preserve"> </w:t>
      </w:r>
    </w:p>
    <w:p>
      <w:pPr>
        <w:pStyle w:val="Normal"/>
        <w:rPr>
          <w:rFonts w:cs="Arial"/>
          <w:sz w:val="56"/>
          <w:szCs w:val="56"/>
        </w:rPr>
      </w:pPr>
      <w:r>
        <w:rPr>
          <w:rFonts w:cs="Arial"/>
          <w:sz w:val="56"/>
          <w:szCs w:val="56"/>
        </w:rPr>
        <w:t>CONTRATAÇÃO</w:t>
      </w:r>
    </w:p>
    <w:p>
      <w:pPr>
        <w:pStyle w:val="Normal"/>
        <w:rPr>
          <w:rFonts w:cs="Arial"/>
          <w:sz w:val="56"/>
          <w:szCs w:val="56"/>
        </w:rPr>
      </w:pPr>
      <w:r>
        <w:rPr>
          <w:rFonts w:cs="Arial"/>
          <w:sz w:val="56"/>
          <w:szCs w:val="56"/>
        </w:rPr>
        <w:t>DIRETA</w:t>
      </w:r>
    </w:p>
    <w:p>
      <w:pPr>
        <w:pStyle w:val="Normal"/>
        <w:rPr>
          <w:rFonts w:cs="Arial"/>
          <w:b/>
          <w:b/>
          <w:bCs/>
          <w:sz w:val="28"/>
          <w:szCs w:val="28"/>
        </w:rPr>
      </w:pPr>
      <w:r>
        <w:rPr>
          <w:rFonts w:cs="Arial"/>
          <w:bCs/>
          <w:sz w:val="28"/>
          <w:szCs w:val="28"/>
        </w:rPr>
        <w:t>90022/2024</w:t>
      </w:r>
    </w:p>
    <w:p>
      <w:pPr>
        <w:pStyle w:val="Normal"/>
        <w:spacing w:lineRule="auto" w:line="259"/>
        <w:rPr>
          <w:rFonts w:cs="Arial"/>
          <w:b/>
          <w:b/>
          <w:bCs/>
          <w:sz w:val="32"/>
          <w:szCs w:val="32"/>
        </w:rPr>
      </w:pPr>
      <w:r>
        <w:rPr>
          <w:rFonts w:cs="Arial"/>
          <w:b/>
          <w:bCs/>
          <w:sz w:val="32"/>
          <w:szCs w:val="32"/>
        </w:rPr>
      </w:r>
    </w:p>
    <w:p>
      <w:pPr>
        <w:pStyle w:val="Normal"/>
        <w:spacing w:lineRule="auto" w:line="259"/>
        <w:rPr>
          <w:rFonts w:cs="Arial"/>
          <w:b/>
          <w:b/>
          <w:bCs/>
          <w:sz w:val="32"/>
          <w:szCs w:val="32"/>
        </w:rPr>
      </w:pPr>
      <w:r>
        <w:rPr>
          <w:rFonts w:cs="Arial"/>
          <w:b/>
          <w:bCs/>
          <w:sz w:val="32"/>
          <w:szCs w:val="32"/>
        </w:rPr>
        <w:t>CONTRATANTE (UASG)</w:t>
      </w:r>
    </w:p>
    <w:p>
      <w:pPr>
        <w:pStyle w:val="Normal"/>
        <w:rPr>
          <w:rFonts w:cs="Arial"/>
          <w:bCs/>
          <w:sz w:val="28"/>
          <w:szCs w:val="28"/>
        </w:rPr>
      </w:pPr>
      <w:r>
        <w:rPr>
          <w:rFonts w:cs="Arial"/>
          <w:bCs/>
          <w:sz w:val="28"/>
          <w:szCs w:val="28"/>
        </w:rPr>
        <w:t>160158</w:t>
      </w:r>
    </w:p>
    <w:p>
      <w:pPr>
        <w:pStyle w:val="Normal"/>
        <w:rPr>
          <w:rFonts w:cs="Arial"/>
          <w:b/>
          <w:b/>
          <w:bCs/>
          <w:sz w:val="32"/>
          <w:szCs w:val="32"/>
        </w:rPr>
      </w:pPr>
      <w:r>
        <w:rPr>
          <w:rFonts w:cs="Arial"/>
          <w:b/>
          <w:bCs/>
          <w:sz w:val="32"/>
          <w:szCs w:val="32"/>
        </w:rPr>
      </w:r>
    </w:p>
    <w:p>
      <w:pPr>
        <w:pStyle w:val="Normal"/>
        <w:rPr>
          <w:rFonts w:cs="Arial"/>
          <w:b/>
          <w:b/>
          <w:bCs/>
          <w:szCs w:val="20"/>
        </w:rPr>
      </w:pPr>
      <w:r>
        <w:rPr>
          <w:rFonts w:cs="Arial"/>
          <w:b/>
          <w:bCs/>
          <w:sz w:val="32"/>
          <w:szCs w:val="32"/>
        </w:rPr>
        <w:t>OBJETO</w:t>
      </w:r>
    </w:p>
    <w:p>
      <w:pPr>
        <w:pStyle w:val="Normal"/>
        <w:rPr>
          <w:rFonts w:cs="Arial"/>
          <w:sz w:val="28"/>
          <w:szCs w:val="28"/>
        </w:rPr>
      </w:pPr>
      <w:r>
        <w:rPr>
          <w:rFonts w:cs="Arial"/>
          <w:sz w:val="28"/>
          <w:szCs w:val="28"/>
        </w:rPr>
      </w:r>
    </w:p>
    <w:p>
      <w:pPr>
        <w:pStyle w:val="Normal"/>
        <w:rPr>
          <w:rFonts w:cs="Arial"/>
          <w:sz w:val="28"/>
          <w:szCs w:val="28"/>
        </w:rPr>
      </w:pPr>
      <w:r>
        <w:rPr>
          <w:rFonts w:cs="Arial"/>
          <w:sz w:val="28"/>
          <w:szCs w:val="28"/>
        </w:rPr>
        <w:t>CONTRATAÇÃO DE CURSOS DE ESPECIALIZAÇÃO PARA MOTORISTAS NO ÂMBITO DO PROJETO SOLDADO CIDADÃO</w:t>
      </w:r>
    </w:p>
    <w:p>
      <w:pPr>
        <w:pStyle w:val="Normal"/>
        <w:rPr>
          <w:rFonts w:cs="Arial"/>
          <w:b/>
          <w:b/>
          <w:bCs/>
          <w:sz w:val="32"/>
          <w:szCs w:val="32"/>
        </w:rPr>
      </w:pPr>
      <w:r>
        <w:rPr>
          <w:rFonts w:cs="Arial"/>
          <w:b/>
          <w:bCs/>
          <w:sz w:val="32"/>
          <w:szCs w:val="32"/>
        </w:rPr>
      </w:r>
    </w:p>
    <w:p>
      <w:pPr>
        <w:pStyle w:val="Normal"/>
        <w:rPr>
          <w:rFonts w:cs="Arial"/>
          <w:b/>
          <w:b/>
          <w:bCs/>
          <w:sz w:val="32"/>
          <w:szCs w:val="32"/>
        </w:rPr>
      </w:pPr>
      <w:r>
        <w:rPr>
          <w:rFonts w:cs="Arial"/>
          <w:b/>
          <w:bCs/>
          <w:sz w:val="32"/>
          <w:szCs w:val="32"/>
        </w:rPr>
        <w:t>VALOR TOTAL DA CONTRATAÇÃO</w:t>
      </w:r>
    </w:p>
    <w:p>
      <w:pPr>
        <w:pStyle w:val="Normal"/>
        <w:rPr>
          <w:rFonts w:cs="Arial"/>
          <w:b/>
          <w:b/>
          <w:bCs/>
          <w:sz w:val="28"/>
          <w:szCs w:val="28"/>
        </w:rPr>
      </w:pPr>
      <w:r>
        <w:rPr>
          <w:rFonts w:cs="Arial"/>
          <w:b/>
          <w:bCs/>
          <w:sz w:val="28"/>
          <w:szCs w:val="28"/>
        </w:rPr>
        <w:t>R$ 39.500,00</w:t>
      </w:r>
    </w:p>
    <w:p>
      <w:pPr>
        <w:pStyle w:val="Normal"/>
        <w:rPr>
          <w:rFonts w:cs="Arial"/>
          <w:sz w:val="32"/>
          <w:szCs w:val="32"/>
        </w:rPr>
      </w:pPr>
      <w:r>
        <w:rPr>
          <w:rFonts w:cs="Arial"/>
          <w:sz w:val="32"/>
          <w:szCs w:val="32"/>
        </w:rPr>
      </w:r>
    </w:p>
    <w:p>
      <w:pPr>
        <w:pStyle w:val="Normal"/>
        <w:rPr>
          <w:rFonts w:cs="Arial"/>
          <w:b/>
          <w:b/>
          <w:bCs/>
          <w:sz w:val="32"/>
          <w:szCs w:val="32"/>
        </w:rPr>
      </w:pPr>
      <w:r>
        <w:rPr>
          <w:rFonts w:cs="Arial"/>
          <w:b/>
          <w:bCs/>
          <w:sz w:val="32"/>
          <w:szCs w:val="32"/>
        </w:rPr>
        <w:t xml:space="preserve">DATA DA SESSÃO </w:t>
      </w:r>
    </w:p>
    <w:p>
      <w:pPr>
        <w:pStyle w:val="Normal"/>
        <w:rPr>
          <w:rFonts w:cs="Arial"/>
          <w:sz w:val="28"/>
          <w:szCs w:val="28"/>
        </w:rPr>
      </w:pPr>
      <w:r>
        <w:rPr>
          <w:rFonts w:cs="Arial"/>
          <w:sz w:val="28"/>
          <w:szCs w:val="28"/>
        </w:rPr>
        <w:t>De 20</w:t>
      </w:r>
      <w:r>
        <w:rPr>
          <w:rFonts w:cs="Arial"/>
          <w:b/>
          <w:bCs/>
          <w:sz w:val="28"/>
          <w:szCs w:val="28"/>
        </w:rPr>
        <w:t>/06/2024</w:t>
      </w:r>
    </w:p>
    <w:p>
      <w:pPr>
        <w:pStyle w:val="Normal"/>
        <w:rPr>
          <w:rFonts w:cs="Arial"/>
          <w:sz w:val="32"/>
          <w:szCs w:val="32"/>
        </w:rPr>
      </w:pPr>
      <w:r>
        <w:rPr>
          <w:rFonts w:cs="Arial"/>
          <w:sz w:val="32"/>
          <w:szCs w:val="32"/>
        </w:rPr>
      </w:r>
    </w:p>
    <w:p>
      <w:pPr>
        <w:pStyle w:val="Normal"/>
        <w:rPr>
          <w:rFonts w:cs="Arial"/>
          <w:b/>
          <w:b/>
          <w:bCs/>
          <w:sz w:val="32"/>
          <w:szCs w:val="32"/>
        </w:rPr>
      </w:pPr>
      <w:r>
        <w:rPr>
          <w:rFonts w:cs="Arial"/>
          <w:b/>
          <w:bCs/>
          <w:sz w:val="32"/>
          <w:szCs w:val="32"/>
        </w:rPr>
        <w:t>HORÁRIO DA FASE DE LANCES</w:t>
      </w:r>
    </w:p>
    <w:p>
      <w:pPr>
        <w:pStyle w:val="Normal"/>
        <w:rPr>
          <w:rFonts w:cs="Arial"/>
          <w:sz w:val="28"/>
          <w:szCs w:val="28"/>
        </w:rPr>
      </w:pPr>
      <w:r>
        <w:rPr>
          <w:rFonts w:cs="Arial"/>
          <w:sz w:val="28"/>
          <w:szCs w:val="28"/>
        </w:rPr>
        <w:t>Das 08h até 14h</w:t>
      </w:r>
    </w:p>
    <w:p>
      <w:pPr>
        <w:pStyle w:val="Normal"/>
        <w:rPr>
          <w:rFonts w:cs="Arial"/>
          <w:b/>
          <w:b/>
          <w:bCs/>
          <w:sz w:val="32"/>
          <w:szCs w:val="32"/>
        </w:rPr>
      </w:pPr>
      <w:r>
        <w:rPr>
          <w:rFonts w:cs="Arial"/>
          <w:b/>
          <w:bCs/>
          <w:sz w:val="32"/>
          <w:szCs w:val="32"/>
        </w:rPr>
      </w:r>
    </w:p>
    <w:p>
      <w:pPr>
        <w:pStyle w:val="Normal"/>
        <w:suppressAutoHyphens w:val="false"/>
        <w:spacing w:lineRule="auto" w:line="259" w:before="0" w:after="160"/>
        <w:rPr>
          <w:rFonts w:cs="Arial"/>
          <w:b/>
          <w:b/>
          <w:bCs/>
          <w:sz w:val="32"/>
          <w:szCs w:val="32"/>
        </w:rPr>
      </w:pPr>
      <w:r>
        <w:rPr>
          <w:rFonts w:cs="Arial"/>
          <w:b/>
          <w:bCs/>
          <w:sz w:val="32"/>
          <w:szCs w:val="32"/>
        </w:rPr>
        <w:t>CRITÉRIO DE JULGAMENTO:</w:t>
      </w:r>
    </w:p>
    <w:p>
      <w:pPr>
        <w:pStyle w:val="Normal"/>
        <w:suppressAutoHyphens w:val="false"/>
        <w:spacing w:lineRule="auto" w:line="259" w:before="0" w:after="160"/>
        <w:rPr>
          <w:rFonts w:cs="Arial"/>
          <w:b/>
          <w:b/>
          <w:bCs/>
          <w:sz w:val="32"/>
          <w:szCs w:val="32"/>
        </w:rPr>
      </w:pPr>
      <w:r>
        <w:rPr>
          <w:rFonts w:cs="Arial"/>
          <w:b/>
          <w:bCs/>
          <w:sz w:val="32"/>
          <w:szCs w:val="32"/>
        </w:rPr>
        <w:t>menor preço por item</w:t>
      </w:r>
    </w:p>
    <w:p>
      <w:pPr>
        <w:pStyle w:val="Normal"/>
        <w:suppressAutoHyphens w:val="false"/>
        <w:spacing w:lineRule="auto" w:line="259" w:before="0" w:after="160"/>
        <w:rPr>
          <w:rFonts w:cs="Arial"/>
          <w:b/>
          <w:b/>
          <w:bCs/>
          <w:sz w:val="32"/>
          <w:szCs w:val="32"/>
        </w:rPr>
      </w:pPr>
      <w:r>
        <w:rPr>
          <w:rFonts w:cs="Arial"/>
          <w:b/>
          <w:bCs/>
          <w:sz w:val="32"/>
          <w:szCs w:val="32"/>
        </w:rPr>
        <w:t>PREFERÊNCIA ME/EPP/EQUIPARADAS</w:t>
        <w:br/>
      </w:r>
      <w:r>
        <w:rPr>
          <w:rFonts w:cs="Arial"/>
          <w:b/>
          <w:bCs/>
          <w:sz w:val="28"/>
          <w:szCs w:val="28"/>
        </w:rPr>
        <w:t>SIM</w:t>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r>
        <w:br w:type="page"/>
      </w:r>
    </w:p>
    <w:p>
      <w:pPr>
        <w:pStyle w:val="Normal"/>
        <w:spacing w:lineRule="auto" w:line="276"/>
        <w:jc w:val="center"/>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p>
    <w:sdt>
      <w:sdtPr>
        <w:docPartObj>
          <w:docPartGallery w:val="Table of Contents"/>
          <w:docPartUnique w:val="true"/>
        </w:docPartObj>
      </w:sdtPr>
      <w:sdtContent>
        <w:p>
          <w:pPr>
            <w:pStyle w:val="Ttulodosumrio"/>
            <w:ind w:left="0" w:hanging="0"/>
            <w:rPr>
              <w:color w:val="auto"/>
            </w:rPr>
          </w:pPr>
          <w:r>
            <w:rPr>
              <w:color w:val="auto"/>
            </w:rPr>
            <w:t>Sumário</w:t>
          </w:r>
        </w:p>
        <w:p>
          <w:pPr>
            <w:pStyle w:val="Sumrio1"/>
            <w:rPr>
              <w:rFonts w:ascii="Calibri" w:hAnsi="Calibri" w:eastAsia="" w:cs="Arial" w:asciiTheme="minorHAnsi" w:cstheme="minorBidi" w:eastAsiaTheme="minorEastAsia" w:hAnsiTheme="minorHAnsi"/>
              <w:sz w:val="22"/>
              <w:szCs w:val="22"/>
            </w:rPr>
          </w:pPr>
          <w:r>
            <w:fldChar w:fldCharType="begin"/>
          </w:r>
          <w:r>
            <w:rPr>
              <w:webHidden/>
              <w:rStyle w:val="Vnculodendice"/>
              <w:vanish w:val="false"/>
              <w:rFonts w:eastAsia="Arial Unicode MS"/>
              <w:color w:val="auto"/>
              <w:lang w:bidi="hi-IN"/>
            </w:rPr>
            <w:instrText xml:space="preserve"> TOC \z \o "1-3" \u \h</w:instrText>
          </w:r>
          <w:r>
            <w:rPr>
              <w:webHidden/>
              <w:rStyle w:val="Vnculodendice"/>
              <w:vanish w:val="false"/>
              <w:rFonts w:eastAsia="Arial Unicode MS"/>
              <w:color w:val="auto"/>
              <w:lang w:bidi="hi-IN"/>
            </w:rPr>
            <w:fldChar w:fldCharType="separate"/>
          </w:r>
          <w:hyperlink w:anchor="_Toc142925860">
            <w:r>
              <w:rPr>
                <w:webHidden/>
                <w:rStyle w:val="Vnculodendice"/>
                <w:rFonts w:eastAsia="Arial Unicode MS"/>
                <w:vanish w:val="false"/>
                <w:color w:val="auto"/>
                <w:lang w:bidi="hi-IN"/>
              </w:rPr>
              <w:t>1.</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OBJETO DA CONTRATAÇÃO DIRETA</w:t>
            </w:r>
            <w:r>
              <w:rPr>
                <w:webHidden/>
              </w:rPr>
              <w:fldChar w:fldCharType="begin"/>
            </w:r>
            <w:r>
              <w:rPr>
                <w:webHidden/>
              </w:rPr>
              <w:instrText xml:space="preserve">PAGEREF _Toc142925860 \h</w:instrText>
            </w:r>
            <w:r>
              <w:rPr>
                <w:webHidden/>
              </w:rPr>
              <w:fldChar w:fldCharType="separate"/>
            </w:r>
            <w:r>
              <w:rPr>
                <w:rStyle w:val="Vnculodendice"/>
                <w:vanish w:val="false"/>
              </w:rPr>
              <w:tab/>
              <w:t>3</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2">
            <w:r>
              <w:rPr>
                <w:webHidden/>
                <w:rStyle w:val="Vnculodendice"/>
                <w:rFonts w:eastAsia="Arial Unicode MS"/>
                <w:vanish w:val="false"/>
                <w:color w:val="auto"/>
                <w:lang w:bidi="hi-IN"/>
              </w:rPr>
              <w:t>2.</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PARTICIPAÇÃO NA DISPENSA ELETRÔNICA.</w:t>
            </w:r>
            <w:r>
              <w:rPr>
                <w:webHidden/>
              </w:rPr>
              <w:fldChar w:fldCharType="begin"/>
            </w:r>
            <w:r>
              <w:rPr>
                <w:webHidden/>
              </w:rPr>
              <w:instrText xml:space="preserve">PAGEREF _Toc142925862 \h</w:instrText>
            </w:r>
            <w:r>
              <w:rPr>
                <w:webHidden/>
              </w:rPr>
              <w:fldChar w:fldCharType="separate"/>
            </w:r>
            <w:r>
              <w:rPr>
                <w:rStyle w:val="Vnculodendice"/>
                <w:vanish w:val="false"/>
              </w:rPr>
              <w:tab/>
              <w:t>4</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3">
            <w:r>
              <w:rPr>
                <w:webHidden/>
                <w:rStyle w:val="Vnculodendice"/>
                <w:rFonts w:eastAsia="Arial Unicode MS"/>
                <w:vanish w:val="false"/>
                <w:color w:val="auto"/>
                <w:lang w:bidi="hi-IN"/>
              </w:rPr>
              <w:t>3.</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INGRESSO NA DISPENSA ELETRÔNICA E CADASTRAMENTO DA PROPOSTA INICIAL</w:t>
            </w:r>
            <w:r>
              <w:rPr>
                <w:webHidden/>
              </w:rPr>
              <w:fldChar w:fldCharType="begin"/>
            </w:r>
            <w:r>
              <w:rPr>
                <w:webHidden/>
              </w:rPr>
              <w:instrText xml:space="preserve">PAGEREF _Toc142925863 \h</w:instrText>
            </w:r>
            <w:r>
              <w:rPr>
                <w:webHidden/>
              </w:rPr>
              <w:fldChar w:fldCharType="separate"/>
            </w:r>
            <w:r>
              <w:rPr>
                <w:rStyle w:val="Vnculodendice"/>
                <w:vanish w:val="false"/>
              </w:rPr>
              <w:tab/>
              <w:t>5</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4">
            <w:r>
              <w:rPr>
                <w:webHidden/>
                <w:rStyle w:val="Vnculodendice"/>
                <w:rFonts w:eastAsia="Arial Unicode MS"/>
                <w:vanish w:val="false"/>
                <w:color w:val="auto"/>
                <w:lang w:bidi="hi-IN"/>
              </w:rPr>
              <w:t>4.</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FASE DE LANCES</w:t>
            </w:r>
            <w:r>
              <w:rPr>
                <w:webHidden/>
              </w:rPr>
              <w:fldChar w:fldCharType="begin"/>
            </w:r>
            <w:r>
              <w:rPr>
                <w:webHidden/>
              </w:rPr>
              <w:instrText xml:space="preserve">PAGEREF _Toc142925864 \h</w:instrText>
            </w:r>
            <w:r>
              <w:rPr>
                <w:webHidden/>
              </w:rPr>
              <w:fldChar w:fldCharType="separate"/>
            </w:r>
            <w:r>
              <w:rPr>
                <w:rStyle w:val="Vnculodendice"/>
                <w:vanish w:val="false"/>
              </w:rPr>
              <w:tab/>
              <w:t>6</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5">
            <w:r>
              <w:rPr>
                <w:webHidden/>
                <w:rStyle w:val="Vnculodendice"/>
                <w:rFonts w:eastAsia="Arial Unicode MS"/>
                <w:vanish w:val="false"/>
                <w:color w:val="auto"/>
                <w:lang w:bidi="hi-IN"/>
              </w:rPr>
              <w:t>5.</w:t>
            </w:r>
            <w:r>
              <w:rPr>
                <w:rStyle w:val="Vnculodendice"/>
                <w:rFonts w:eastAsia="" w:cs="Arial" w:ascii="Calibri" w:hAnsi="Calibri" w:asciiTheme="minorHAnsi" w:cstheme="minorBidi" w:eastAsiaTheme="minorEastAsia" w:hAnsiTheme="minorHAnsi"/>
                <w:sz w:val="22"/>
                <w:szCs w:val="22"/>
              </w:rPr>
              <w:tab/>
            </w:r>
            <w:r>
              <w:rPr>
                <w:rStyle w:val="Vnculodendice"/>
              </w:rPr>
              <w:t xml:space="preserve">JULGAMENTO E ACEITAÇÃO DAS PROPOSTAS </w:t>
            </w:r>
            <w:r>
              <w:rPr>
                <w:webHidden/>
              </w:rPr>
              <w:fldChar w:fldCharType="begin"/>
            </w:r>
            <w:r>
              <w:rPr>
                <w:webHidden/>
              </w:rPr>
              <w:instrText xml:space="preserve">PAGEREF _Toc142925865 \h</w:instrText>
            </w:r>
            <w:r>
              <w:rPr>
                <w:webHidden/>
              </w:rPr>
              <w:fldChar w:fldCharType="separate"/>
            </w:r>
            <w:r>
              <w:rPr>
                <w:rStyle w:val="Vnculodendice"/>
                <w:vanish w:val="false"/>
              </w:rPr>
              <w:tab/>
              <w:t>7</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6">
            <w:r>
              <w:rPr>
                <w:webHidden/>
                <w:rStyle w:val="Vnculodendice"/>
                <w:rFonts w:eastAsia="Arial Unicode MS"/>
                <w:vanish w:val="false"/>
                <w:color w:val="auto"/>
                <w:lang w:bidi="hi-IN"/>
              </w:rPr>
              <w:t>6.</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HABILITAÇÃO</w:t>
            </w:r>
            <w:r>
              <w:rPr>
                <w:webHidden/>
              </w:rPr>
              <w:fldChar w:fldCharType="begin"/>
            </w:r>
            <w:r>
              <w:rPr>
                <w:webHidden/>
              </w:rPr>
              <w:instrText xml:space="preserve">PAGEREF _Toc142925866 \h</w:instrText>
            </w:r>
            <w:r>
              <w:rPr>
                <w:webHidden/>
              </w:rPr>
              <w:fldChar w:fldCharType="separate"/>
            </w:r>
            <w:r>
              <w:rPr>
                <w:rStyle w:val="Vnculodendice"/>
                <w:vanish w:val="false"/>
              </w:rPr>
              <w:tab/>
              <w:t>8</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69">
            <w:r>
              <w:rPr>
                <w:webHidden/>
                <w:rStyle w:val="Vnculodendice"/>
                <w:rFonts w:eastAsia="Arial Unicode MS"/>
                <w:vanish w:val="false"/>
                <w:color w:val="auto"/>
                <w:lang w:bidi="hi-IN"/>
              </w:rPr>
              <w:t>7.</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CONTRATAÇÃO</w:t>
            </w:r>
            <w:r>
              <w:rPr>
                <w:webHidden/>
              </w:rPr>
              <w:fldChar w:fldCharType="begin"/>
            </w:r>
            <w:r>
              <w:rPr>
                <w:webHidden/>
              </w:rPr>
              <w:instrText xml:space="preserve">PAGEREF _Toc142925869 \h</w:instrText>
            </w:r>
            <w:r>
              <w:rPr>
                <w:webHidden/>
              </w:rPr>
              <w:fldChar w:fldCharType="separate"/>
            </w:r>
            <w:r>
              <w:rPr>
                <w:rStyle w:val="Vnculodendice"/>
                <w:vanish w:val="false"/>
              </w:rPr>
              <w:tab/>
              <w:t>9</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70">
            <w:r>
              <w:rPr>
                <w:webHidden/>
                <w:rStyle w:val="Vnculodendice"/>
                <w:rFonts w:eastAsia="Arial Unicode MS"/>
                <w:vanish w:val="false"/>
                <w:color w:val="auto"/>
                <w:lang w:bidi="hi-IN"/>
              </w:rPr>
              <w:t>8.</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INFRAÇÕES E SANÇÕES ADMINISTRATIVAS</w:t>
            </w:r>
            <w:r>
              <w:rPr>
                <w:webHidden/>
              </w:rPr>
              <w:fldChar w:fldCharType="begin"/>
            </w:r>
            <w:r>
              <w:rPr>
                <w:webHidden/>
              </w:rPr>
              <w:instrText xml:space="preserve">PAGEREF _Toc142925870 \h</w:instrText>
            </w:r>
            <w:r>
              <w:rPr>
                <w:webHidden/>
              </w:rPr>
              <w:fldChar w:fldCharType="separate"/>
            </w:r>
            <w:r>
              <w:rPr>
                <w:rStyle w:val="Vnculodendice"/>
                <w:vanish w:val="false"/>
              </w:rPr>
              <w:tab/>
              <w:t>10</w:t>
            </w:r>
            <w:r>
              <w:rPr>
                <w:webHidden/>
              </w:rPr>
              <w:fldChar w:fldCharType="end"/>
            </w:r>
          </w:hyperlink>
        </w:p>
        <w:p>
          <w:pPr>
            <w:pStyle w:val="Sumrio1"/>
            <w:rPr>
              <w:rFonts w:ascii="Calibri" w:hAnsi="Calibri" w:eastAsia="" w:cs="Arial" w:asciiTheme="minorHAnsi" w:cstheme="minorBidi" w:eastAsiaTheme="minorEastAsia" w:hAnsiTheme="minorHAnsi"/>
              <w:sz w:val="22"/>
              <w:szCs w:val="22"/>
            </w:rPr>
          </w:pPr>
          <w:hyperlink w:anchor="_Toc142925871">
            <w:r>
              <w:rPr>
                <w:webHidden/>
                <w:rStyle w:val="Vnculodendice"/>
                <w:rFonts w:eastAsia="Arial Unicode MS"/>
                <w:vanish w:val="false"/>
                <w:color w:val="auto"/>
                <w:lang w:bidi="hi-IN"/>
              </w:rPr>
              <w:t>9.</w:t>
            </w:r>
            <w:r>
              <w:rPr>
                <w:rStyle w:val="Vnculodendice"/>
                <w:rFonts w:eastAsia="" w:cs="Arial" w:ascii="Calibri" w:hAnsi="Calibri" w:asciiTheme="minorHAnsi" w:cstheme="minorBidi" w:eastAsiaTheme="minorEastAsia" w:hAnsiTheme="minorHAnsi"/>
                <w:sz w:val="22"/>
                <w:szCs w:val="22"/>
              </w:rPr>
              <w:tab/>
            </w:r>
            <w:r>
              <w:rPr>
                <w:rStyle w:val="Vnculodendice"/>
                <w:rFonts w:eastAsia="Arial Unicode MS"/>
                <w:color w:val="auto"/>
                <w:lang w:bidi="hi-IN"/>
              </w:rPr>
              <w:t>DAS DISPOSIÇÕES GERAIS</w:t>
            </w:r>
            <w:r>
              <w:rPr>
                <w:webHidden/>
              </w:rPr>
              <w:fldChar w:fldCharType="begin"/>
            </w:r>
            <w:r>
              <w:rPr>
                <w:webHidden/>
              </w:rPr>
              <w:instrText xml:space="preserve">PAGEREF _Toc142925871 \h</w:instrText>
            </w:r>
            <w:r>
              <w:rPr>
                <w:webHidden/>
              </w:rPr>
              <w:fldChar w:fldCharType="separate"/>
            </w:r>
            <w:r>
              <w:rPr>
                <w:rStyle w:val="Vnculodendice"/>
                <w:vanish w:val="false"/>
              </w:rPr>
              <w:tab/>
              <w:t>12</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szCs w:val="20"/>
        </w:rPr>
      </w:pPr>
      <w:r>
        <w:rPr>
          <w:rFonts w:cs="Arial"/>
          <w:b/>
          <w:bCs/>
          <w:i/>
          <w:iCs/>
          <w:szCs w:val="20"/>
        </w:rPr>
      </w:r>
    </w:p>
    <w:p>
      <w:pPr>
        <w:pStyle w:val="Normal"/>
        <w:suppressAutoHyphens w:val="false"/>
        <w:spacing w:lineRule="auto" w:line="259" w:before="0" w:after="160"/>
        <w:rPr>
          <w:rFonts w:cs="Arial"/>
          <w:b/>
          <w:b/>
          <w:bCs/>
          <w:i/>
          <w:i/>
          <w:iCs/>
          <w:szCs w:val="20"/>
        </w:rPr>
      </w:pPr>
      <w:r>
        <w:rPr>
          <w:rFonts w:cs="Arial"/>
          <w:b/>
          <w:bCs/>
          <w:i/>
          <w:iCs/>
          <w:szCs w:val="20"/>
        </w:rPr>
      </w:r>
      <w:r>
        <w:br w:type="page"/>
      </w:r>
    </w:p>
    <w:p>
      <w:pPr>
        <w:pStyle w:val="Standard"/>
        <w:suppressAutoHyphens w:val="false"/>
        <w:jc w:val="center"/>
        <w:rPr>
          <w:rFonts w:ascii="Arial" w:hAnsi="Arial" w:cs="Arial"/>
          <w:sz w:val="20"/>
          <w:szCs w:val="20"/>
        </w:rPr>
      </w:pPr>
      <w:r>
        <w:rPr/>
        <w:drawing>
          <wp:inline distT="0" distB="0" distL="0" distR="0">
            <wp:extent cx="660400" cy="686435"/>
            <wp:effectExtent l="0" t="0" r="0" b="0"/>
            <wp:docPr id="1" name="figura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1" descr=""/>
                    <pic:cNvPicPr>
                      <a:picLocks noChangeAspect="1" noChangeArrowheads="1"/>
                    </pic:cNvPicPr>
                  </pic:nvPicPr>
                  <pic:blipFill>
                    <a:blip r:embed="rId2"/>
                    <a:stretch>
                      <a:fillRect/>
                    </a:stretch>
                  </pic:blipFill>
                  <pic:spPr bwMode="auto">
                    <a:xfrm>
                      <a:off x="0" y="0"/>
                      <a:ext cx="660400" cy="686435"/>
                    </a:xfrm>
                    <a:prstGeom prst="rect">
                      <a:avLst/>
                    </a:prstGeom>
                  </pic:spPr>
                </pic:pic>
              </a:graphicData>
            </a:graphic>
          </wp:inline>
        </w:drawing>
      </w:r>
    </w:p>
    <w:p>
      <w:pPr>
        <w:pStyle w:val="Standard"/>
        <w:suppressAutoHyphens w:val="false"/>
        <w:jc w:val="center"/>
        <w:rPr>
          <w:rFonts w:ascii="Arial" w:hAnsi="Arial" w:cs="Arial"/>
          <w:b/>
          <w:b/>
          <w:sz w:val="20"/>
          <w:szCs w:val="20"/>
        </w:rPr>
      </w:pPr>
      <w:r>
        <w:rPr>
          <w:rFonts w:cs="Arial" w:ascii="Arial" w:hAnsi="Arial"/>
          <w:b/>
          <w:sz w:val="20"/>
          <w:szCs w:val="20"/>
        </w:rPr>
        <w:t>MINISTÉRIO DA DEFESA</w:t>
      </w:r>
    </w:p>
    <w:p>
      <w:pPr>
        <w:pStyle w:val="Standard"/>
        <w:suppressAutoHyphens w:val="false"/>
        <w:jc w:val="center"/>
        <w:rPr>
          <w:rFonts w:ascii="Arial" w:hAnsi="Arial" w:cs="Arial"/>
          <w:b/>
          <w:b/>
          <w:sz w:val="20"/>
          <w:szCs w:val="20"/>
        </w:rPr>
      </w:pPr>
      <w:r>
        <w:rPr>
          <w:rFonts w:cs="Arial" w:ascii="Arial" w:hAnsi="Arial"/>
          <w:b/>
          <w:sz w:val="20"/>
          <w:szCs w:val="20"/>
        </w:rPr>
        <w:t>EXÉRCITO BRASILEIRO</w:t>
      </w:r>
    </w:p>
    <w:p>
      <w:pPr>
        <w:pStyle w:val="Standard"/>
        <w:suppressAutoHyphens w:val="false"/>
        <w:jc w:val="center"/>
        <w:rPr>
          <w:rFonts w:ascii="Arial" w:hAnsi="Arial" w:cs="Arial"/>
          <w:b/>
          <w:b/>
          <w:sz w:val="20"/>
          <w:szCs w:val="20"/>
        </w:rPr>
      </w:pPr>
      <w:r>
        <w:rPr>
          <w:rFonts w:cs="Arial" w:ascii="Arial" w:hAnsi="Arial"/>
          <w:b/>
          <w:sz w:val="20"/>
          <w:szCs w:val="20"/>
        </w:rPr>
        <w:t>13ªBRIGADA DE INFANTARIA MOTORIZADA</w:t>
      </w:r>
    </w:p>
    <w:p>
      <w:pPr>
        <w:pStyle w:val="Standard"/>
        <w:widowControl w:val="false"/>
        <w:jc w:val="center"/>
        <w:rPr>
          <w:rFonts w:ascii="Arial" w:hAnsi="Arial" w:cs="Arial"/>
          <w:b/>
          <w:b/>
          <w:sz w:val="20"/>
          <w:szCs w:val="20"/>
        </w:rPr>
      </w:pPr>
      <w:r>
        <w:rPr>
          <w:rFonts w:cs="Arial" w:ascii="Arial" w:hAnsi="Arial"/>
          <w:b/>
          <w:sz w:val="20"/>
          <w:szCs w:val="20"/>
        </w:rPr>
        <w:t>(BRIGADA BARÃO DE MELGAÇO)</w:t>
      </w:r>
    </w:p>
    <w:p>
      <w:pPr>
        <w:pStyle w:val="Standard"/>
        <w:suppressAutoHyphens w:val="false"/>
        <w:jc w:val="center"/>
        <w:rPr>
          <w:rFonts w:ascii="Calibri Light" w:hAnsi="Calibri Light" w:cs="Calibri Light" w:asciiTheme="majorHAnsi" w:cstheme="majorHAnsi" w:hAnsiTheme="majorHAnsi"/>
          <w:b/>
          <w:b/>
          <w:sz w:val="22"/>
          <w:szCs w:val="22"/>
        </w:rPr>
      </w:pPr>
      <w:r>
        <w:rPr>
          <w:rFonts w:cs="Calibri Light" w:cstheme="majorHAnsi" w:ascii="Calibri Light" w:hAnsi="Calibri Light"/>
          <w:b/>
          <w:sz w:val="22"/>
          <w:szCs w:val="22"/>
        </w:rPr>
      </w:r>
    </w:p>
    <w:p>
      <w:pPr>
        <w:pStyle w:val="Normal"/>
        <w:jc w:val="center"/>
        <w:rPr>
          <w:rFonts w:cs="Arial"/>
          <w:b/>
          <w:b/>
          <w:bCs/>
          <w:sz w:val="28"/>
          <w:szCs w:val="28"/>
        </w:rPr>
      </w:pPr>
      <w:r>
        <w:rPr>
          <w:rFonts w:cs="Arial"/>
          <w:b/>
          <w:bCs/>
          <w:szCs w:val="20"/>
        </w:rPr>
        <w:t>AVISO DE CONTRATAÇÃO DIRETA   Nº 90022/2024</w:t>
      </w:r>
    </w:p>
    <w:p>
      <w:pPr>
        <w:pStyle w:val="Normal"/>
        <w:spacing w:lineRule="auto" w:line="276"/>
        <w:jc w:val="center"/>
        <w:rPr>
          <w:rFonts w:cs="Arial"/>
          <w:b/>
          <w:b/>
          <w:bCs/>
          <w:szCs w:val="20"/>
        </w:rPr>
      </w:pPr>
      <w:r>
        <w:rPr>
          <w:rFonts w:cs="Arial"/>
          <w:b/>
          <w:bCs/>
          <w:szCs w:val="20"/>
        </w:rPr>
      </w:r>
    </w:p>
    <w:p>
      <w:pPr>
        <w:pStyle w:val="Normal"/>
        <w:spacing w:lineRule="auto" w:line="276" w:before="0" w:after="120"/>
        <w:ind w:right="-15" w:hanging="0"/>
        <w:jc w:val="center"/>
        <w:rPr>
          <w:rFonts w:cs="Arial"/>
          <w:b/>
          <w:b/>
          <w:bCs/>
          <w:szCs w:val="20"/>
        </w:rPr>
      </w:pPr>
      <w:r>
        <w:rPr>
          <w:rFonts w:cs="Arial"/>
          <w:b/>
          <w:bCs/>
          <w:szCs w:val="20"/>
        </w:rPr>
        <w:t>(Processo Administrativo n° 64310.004026/2024-91)</w:t>
      </w:r>
    </w:p>
    <w:p>
      <w:pPr>
        <w:pStyle w:val="Normal"/>
        <w:rPr>
          <w:rFonts w:cs="Arial"/>
        </w:rPr>
      </w:pPr>
      <w:r>
        <w:rPr>
          <w:rFonts w:cs="Arial"/>
        </w:rPr>
      </w:r>
    </w:p>
    <w:p>
      <w:pPr>
        <w:pStyle w:val="Normal"/>
        <w:snapToGrid w:val="false"/>
        <w:spacing w:lineRule="auto" w:line="276" w:before="0" w:after="120"/>
        <w:ind w:right="-30" w:firstLine="540"/>
        <w:jc w:val="both"/>
        <w:rPr>
          <w:rFonts w:cs="Arial"/>
          <w:szCs w:val="20"/>
        </w:rPr>
      </w:pPr>
      <w:r>
        <w:rPr>
          <w:rFonts w:cs="Arial"/>
          <w:szCs w:val="20"/>
        </w:rPr>
        <w:t>Torna-se público que a 13ª Brigada de Infantaria Motorizada, por meio da</w:t>
      </w:r>
      <w:r>
        <w:rPr>
          <w:rFonts w:eastAsia="Arial" w:cs="Arial"/>
          <w:szCs w:val="20"/>
        </w:rPr>
        <w:t xml:space="preserve"> Seção de Aquisições, Licitações e Contratos,</w:t>
      </w:r>
      <w:r>
        <w:rPr>
          <w:rFonts w:cs="Arial"/>
          <w:szCs w:val="20"/>
        </w:rPr>
        <w:t xml:space="preserve"> realizará Dispensa Eletrônica,</w:t>
      </w:r>
      <w:r>
        <w:rPr>
          <w:rFonts w:cs="Arial"/>
          <w:bCs/>
          <w:szCs w:val="20"/>
        </w:rPr>
        <w:t xml:space="preserve"> com critério de julgamento</w:t>
      </w:r>
      <w:r>
        <w:rPr>
          <w:rFonts w:cs="Arial"/>
          <w:b/>
          <w:bCs/>
          <w:szCs w:val="20"/>
        </w:rPr>
        <w:t xml:space="preserve"> </w:t>
      </w:r>
      <w:r>
        <w:rPr>
          <w:rFonts w:cs="Arial"/>
          <w:szCs w:val="20"/>
        </w:rPr>
        <w:t xml:space="preserve">menor preço, na hipótese do </w:t>
      </w:r>
      <w:r>
        <w:fldChar w:fldCharType="begin"/>
      </w:r>
      <w:r>
        <w:rPr>
          <w:rStyle w:val="LinkdaInternet"/>
          <w:u w:val="none"/>
          <w:szCs w:val="20"/>
          <w:rFonts w:cs="Arial"/>
          <w:color w:val="auto"/>
        </w:rPr>
        <w:instrText xml:space="preserve"> HYPERLINK "http://www.planalto.gov.br/ccivil_03/_ato2019-2022/2021/lei/L14133.htm" \l "art75"</w:instrText>
      </w:r>
      <w:r>
        <w:rPr>
          <w:rStyle w:val="LinkdaInternet"/>
          <w:u w:val="none"/>
          <w:szCs w:val="20"/>
          <w:rFonts w:cs="Arial"/>
          <w:color w:val="auto"/>
        </w:rPr>
        <w:fldChar w:fldCharType="separate"/>
      </w:r>
      <w:r>
        <w:rPr>
          <w:rStyle w:val="LinkdaInternet"/>
          <w:rFonts w:cs="Arial"/>
          <w:color w:val="auto"/>
          <w:szCs w:val="20"/>
          <w:u w:val="none"/>
        </w:rPr>
        <w:t>art. 75</w:t>
      </w:r>
      <w:r>
        <w:rPr>
          <w:rStyle w:val="LinkdaInternet"/>
          <w:u w:val="none"/>
          <w:szCs w:val="20"/>
          <w:rFonts w:cs="Arial"/>
          <w:color w:val="auto"/>
        </w:rPr>
        <w:fldChar w:fldCharType="end"/>
      </w:r>
      <w:r>
        <w:rPr>
          <w:rFonts w:cs="Arial"/>
          <w:szCs w:val="20"/>
        </w:rPr>
        <w:t xml:space="preserve">, inciso </w:t>
      </w:r>
      <w:r>
        <w:rPr>
          <w:rFonts w:cs="Arial"/>
          <w:bCs/>
          <w:szCs w:val="20"/>
        </w:rPr>
        <w:t>II</w:t>
      </w:r>
      <w:r>
        <w:rPr>
          <w:rFonts w:cs="Arial"/>
          <w:szCs w:val="20"/>
        </w:rPr>
        <w:t xml:space="preserve">, </w:t>
      </w:r>
      <w:r>
        <w:rPr>
          <w:rFonts w:cs="Arial"/>
          <w:bCs/>
          <w:szCs w:val="20"/>
        </w:rPr>
        <w:t xml:space="preserve">nos termos da </w:t>
      </w:r>
      <w:hyperlink r:id="rId3">
        <w:r>
          <w:rPr>
            <w:rStyle w:val="LinkdaInternet"/>
            <w:rFonts w:cs="Arial"/>
            <w:bCs/>
            <w:color w:val="auto"/>
            <w:szCs w:val="20"/>
            <w:u w:val="none"/>
          </w:rPr>
          <w:t>Lei n.º 14.133, de 1º de abril de 2021</w:t>
        </w:r>
      </w:hyperlink>
      <w:r>
        <w:rPr>
          <w:rFonts w:cs="Arial"/>
          <w:bCs/>
          <w:szCs w:val="20"/>
        </w:rPr>
        <w:t xml:space="preserve">, da </w:t>
      </w:r>
      <w:hyperlink r:id="rId4">
        <w:r>
          <w:rPr>
            <w:rStyle w:val="LinkdaInternet"/>
            <w:rFonts w:cs="Arial"/>
            <w:bCs/>
            <w:color w:val="auto"/>
            <w:szCs w:val="20"/>
            <w:u w:val="none"/>
          </w:rPr>
          <w:t>Instrução Normativa Seges/ME nº 67, de 2021</w:t>
        </w:r>
      </w:hyperlink>
      <w:r>
        <w:rPr>
          <w:rFonts w:cs="Arial"/>
          <w:bCs/>
          <w:szCs w:val="20"/>
        </w:rPr>
        <w:t xml:space="preserve">, do </w:t>
      </w:r>
      <w:r>
        <w:rPr/>
        <w:t xml:space="preserve">Decreto nº 11.462, de 31 de março de 2023, </w:t>
      </w:r>
      <w:r>
        <w:rPr>
          <w:rFonts w:cs="Arial"/>
          <w:bCs/>
          <w:szCs w:val="20"/>
        </w:rPr>
        <w:t>e demais normas aplicáveis</w:t>
      </w:r>
      <w:r>
        <w:rPr>
          <w:rFonts w:cs="Arial"/>
          <w:szCs w:val="20"/>
        </w:rPr>
        <w:t>.</w:t>
      </w:r>
    </w:p>
    <w:p>
      <w:pPr>
        <w:pStyle w:val="Normal"/>
        <w:spacing w:lineRule="auto" w:line="276"/>
        <w:jc w:val="both"/>
        <w:rPr>
          <w:rFonts w:cs="Arial"/>
          <w:szCs w:val="20"/>
        </w:rPr>
      </w:pPr>
      <w:r>
        <w:rPr>
          <w:rFonts w:cs="Arial"/>
          <w:szCs w:val="20"/>
        </w:rPr>
      </w:r>
    </w:p>
    <w:p>
      <w:pPr>
        <w:pStyle w:val="Normal"/>
        <w:spacing w:lineRule="auto" w:line="276"/>
        <w:jc w:val="both"/>
        <w:rPr>
          <w:rFonts w:cs="Arial"/>
          <w:szCs w:val="20"/>
        </w:rPr>
      </w:pPr>
      <w:r>
        <w:rPr>
          <w:rFonts w:cs="Arial"/>
          <w:szCs w:val="20"/>
        </w:rPr>
      </w:r>
    </w:p>
    <w:p>
      <w:pPr>
        <w:pStyle w:val="Normal"/>
        <w:spacing w:lineRule="auto" w:line="276"/>
        <w:jc w:val="both"/>
        <w:rPr>
          <w:rFonts w:cs="Arial"/>
          <w:b/>
          <w:b/>
          <w:bCs/>
          <w:szCs w:val="20"/>
        </w:rPr>
      </w:pPr>
      <w:r>
        <w:rPr>
          <w:rFonts w:cs="Arial"/>
          <w:b/>
          <w:bCs/>
          <w:szCs w:val="20"/>
        </w:rPr>
        <w:t>Data da sessão: 20/06/2024</w:t>
      </w:r>
    </w:p>
    <w:p>
      <w:pPr>
        <w:pStyle w:val="Normal"/>
        <w:rPr>
          <w:rFonts w:cs="Arial"/>
          <w:szCs w:val="20"/>
        </w:rPr>
      </w:pPr>
      <w:r>
        <w:rPr>
          <w:rFonts w:cs="Arial"/>
          <w:b/>
          <w:bCs/>
          <w:szCs w:val="20"/>
        </w:rPr>
        <w:t>Horário da Fase de Lances:</w:t>
      </w:r>
      <w:r>
        <w:rPr>
          <w:rFonts w:cs="Arial"/>
          <w:szCs w:val="20"/>
        </w:rPr>
        <w:t xml:space="preserve"> </w:t>
      </w:r>
      <w:r>
        <w:rPr>
          <w:rFonts w:cs="Arial"/>
          <w:i/>
          <w:iCs/>
          <w:szCs w:val="20"/>
        </w:rPr>
        <w:t>08:00</w:t>
      </w:r>
      <w:r>
        <w:rPr>
          <w:rFonts w:cs="Arial"/>
          <w:szCs w:val="20"/>
        </w:rPr>
        <w:t xml:space="preserve"> às </w:t>
      </w:r>
      <w:r>
        <w:rPr>
          <w:rFonts w:cs="Arial"/>
          <w:i/>
          <w:szCs w:val="20"/>
        </w:rPr>
        <w:t>14:00</w:t>
      </w:r>
    </w:p>
    <w:p>
      <w:pPr>
        <w:pStyle w:val="Normal"/>
        <w:rPr>
          <w:rFonts w:cs="Arial"/>
          <w:szCs w:val="20"/>
        </w:rPr>
      </w:pPr>
      <w:r>
        <w:rPr>
          <w:rFonts w:cs="Arial"/>
          <w:b/>
          <w:bCs/>
          <w:szCs w:val="20"/>
        </w:rPr>
        <w:t>Link</w:t>
      </w:r>
      <w:r>
        <w:rPr>
          <w:rFonts w:cs="Arial"/>
          <w:szCs w:val="20"/>
        </w:rPr>
        <w:t xml:space="preserve">: https://pncp.gov.br/ </w:t>
      </w:r>
    </w:p>
    <w:p>
      <w:pPr>
        <w:pStyle w:val="Normal"/>
        <w:spacing w:lineRule="auto" w:line="276"/>
        <w:ind w:right="-15" w:hanging="0"/>
        <w:jc w:val="both"/>
        <w:rPr>
          <w:rFonts w:cs="Arial"/>
          <w:i/>
          <w:i/>
          <w:iCs/>
        </w:rPr>
      </w:pPr>
      <w:r>
        <w:rPr>
          <w:rFonts w:cs="Arial"/>
          <w:b/>
          <w:bCs/>
          <w:i/>
          <w:iCs/>
          <w:szCs w:val="20"/>
        </w:rPr>
        <w:t>Critério de Julgamento:</w:t>
      </w:r>
      <w:r>
        <w:rPr>
          <w:rFonts w:cs="Arial"/>
          <w:szCs w:val="20"/>
        </w:rPr>
        <w:t xml:space="preserve"> </w:t>
      </w:r>
      <w:r>
        <w:rPr>
          <w:rFonts w:cs="Arial"/>
          <w:i/>
          <w:iCs/>
          <w:szCs w:val="20"/>
        </w:rPr>
        <w:t xml:space="preserve">menor preço </w:t>
      </w:r>
    </w:p>
    <w:p>
      <w:pPr>
        <w:pStyle w:val="Normal"/>
        <w:spacing w:lineRule="auto" w:line="276"/>
        <w:ind w:right="-15" w:hanging="0"/>
        <w:jc w:val="both"/>
        <w:rPr>
          <w:rFonts w:cs="Arial"/>
          <w:b/>
          <w:b/>
          <w:bCs/>
          <w:i/>
          <w:i/>
          <w:iCs/>
        </w:rPr>
      </w:pPr>
      <w:r>
        <w:rPr>
          <w:rFonts w:cs="Arial"/>
          <w:b/>
          <w:bCs/>
          <w:i/>
          <w:iCs/>
        </w:rPr>
      </w:r>
    </w:p>
    <w:p>
      <w:pPr>
        <w:pStyle w:val="Normal"/>
        <w:rPr/>
      </w:pPr>
      <w:r>
        <w:rPr/>
      </w:r>
    </w:p>
    <w:p>
      <w:pPr>
        <w:pStyle w:val="Ttulo1"/>
        <w:numPr>
          <w:ilvl w:val="0"/>
          <w:numId w:val="1"/>
        </w:numPr>
        <w:rPr/>
      </w:pPr>
      <w:bookmarkStart w:id="0" w:name="_Toc142925860"/>
      <w:r>
        <w:rPr/>
        <w:t>OBJETO DA CONTRATAÇÃO DIRETA</w:t>
      </w:r>
      <w:bookmarkEnd w:id="0"/>
    </w:p>
    <w:p>
      <w:pPr>
        <w:pStyle w:val="PADRO"/>
        <w:keepNext w:val="false"/>
        <w:widowControl/>
        <w:numPr>
          <w:ilvl w:val="1"/>
          <w:numId w:val="1"/>
        </w:numPr>
        <w:shd w:val="clear" w:color="auto" w:fill="auto"/>
        <w:spacing w:before="120" w:after="120"/>
        <w:rPr>
          <w:rFonts w:ascii="Arial" w:hAnsi="Arial" w:cs="Arial"/>
          <w:szCs w:val="20"/>
        </w:rPr>
      </w:pPr>
      <w:r>
        <w:rPr>
          <w:rFonts w:cs="Arial" w:ascii="Arial" w:hAnsi="Arial"/>
          <w:szCs w:val="20"/>
        </w:rPr>
        <w:t>O objeto do presente procedimento é a escolha da proposta mais vantajosa para a contratação, por dispensa de licitação, de serviço de contratação de cursos de especialização para motoristas</w:t>
      </w:r>
      <w:r>
        <w:rPr>
          <w:rFonts w:cs="Arial" w:ascii="Arial" w:hAnsi="Arial"/>
          <w:b/>
          <w:bCs/>
          <w:szCs w:val="20"/>
        </w:rPr>
        <w:t>,</w:t>
      </w:r>
      <w:r>
        <w:rPr>
          <w:rFonts w:cs="Arial" w:ascii="Arial" w:hAnsi="Arial"/>
          <w:szCs w:val="20"/>
        </w:rPr>
        <w:t xml:space="preserve"> conforme condições, quantidades e exigências estabelecidas neste Aviso de Contratação Direta e seus anexos.</w:t>
      </w:r>
    </w:p>
    <w:p>
      <w:pPr>
        <w:pStyle w:val="PADRO"/>
        <w:keepNext w:val="false"/>
        <w:widowControl/>
        <w:numPr>
          <w:ilvl w:val="2"/>
          <w:numId w:val="1"/>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1"/>
        </w:numPr>
        <w:shd w:val="clear" w:color="auto" w:fill="auto"/>
        <w:spacing w:before="120" w:after="120"/>
        <w:rPr>
          <w:rFonts w:ascii="Arial" w:hAnsi="Arial" w:cs="Arial"/>
          <w:szCs w:val="20"/>
        </w:rPr>
      </w:pPr>
      <w:r>
        <w:rPr>
          <w:rFonts w:cs="Arial" w:ascii="Arial" w:hAnsi="Arial"/>
          <w:szCs w:val="20"/>
        </w:rPr>
        <w:t>O critério de julgamento adotado será o</w:t>
      </w:r>
      <w:r>
        <w:rPr>
          <w:rFonts w:cs="Arial" w:ascii="Arial" w:hAnsi="Arial"/>
          <w:i/>
          <w:iCs/>
          <w:szCs w:val="20"/>
        </w:rPr>
        <w:t xml:space="preserve"> menor preço,</w:t>
      </w:r>
      <w:r>
        <w:rPr>
          <w:rFonts w:cs="Arial" w:ascii="Arial" w:hAnsi="Arial"/>
          <w:szCs w:val="20"/>
        </w:rPr>
        <w:t xml:space="preserve"> observadas as exigências contidas neste Aviso de Contratação Direta e seus Anexos quanto às especificações do objeto.</w:t>
      </w:r>
      <w:r>
        <w:br w:type="page"/>
      </w:r>
    </w:p>
    <w:p>
      <w:pPr>
        <w:pStyle w:val="Normal"/>
        <w:suppressAutoHyphens w:val="false"/>
        <w:spacing w:lineRule="auto" w:line="259" w:before="0" w:after="160"/>
        <w:rPr/>
      </w:pPr>
      <w:bookmarkStart w:id="1" w:name="_Toc142925862"/>
      <w:r>
        <w:rPr/>
        <w:t>PARTICIPAÇÃO NA DISPENSA ELETRÔNICA.</w:t>
      </w:r>
      <w:bookmarkEnd w:id="1"/>
    </w:p>
    <w:p>
      <w:pPr>
        <w:pStyle w:val="Normal"/>
        <w:numPr>
          <w:ilvl w:val="1"/>
          <w:numId w:val="1"/>
        </w:numPr>
        <w:spacing w:lineRule="auto" w:line="276" w:before="120" w:after="120"/>
        <w:ind w:left="425" w:hanging="0"/>
        <w:jc w:val="both"/>
        <w:rPr>
          <w:rFonts w:cs="Arial"/>
          <w:szCs w:val="20"/>
        </w:rPr>
      </w:pPr>
      <w:r>
        <w:rPr>
          <w:rFonts w:cs="Arial"/>
          <w:szCs w:val="20"/>
        </w:rPr>
        <w:t xml:space="preserve">A participação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color w:val="auto"/>
            <w:szCs w:val="20"/>
          </w:rPr>
          <w:t>www.gov.br/compras</w:t>
        </w:r>
      </w:hyperlink>
      <w:r>
        <w:rPr>
          <w:rFonts w:cs="Arial"/>
          <w:bCs/>
          <w:szCs w:val="20"/>
        </w:rPr>
        <w:t>.</w:t>
      </w:r>
      <w:r>
        <w:rPr>
          <w:rFonts w:cs="Arial"/>
          <w:szCs w:val="20"/>
        </w:rPr>
        <w:t xml:space="preserve"> </w:t>
      </w:r>
    </w:p>
    <w:p>
      <w:pPr>
        <w:pStyle w:val="Normal"/>
        <w:numPr>
          <w:ilvl w:val="2"/>
          <w:numId w:val="1"/>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color w:val="auto"/>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1"/>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color w:val="auto"/>
            <w:szCs w:val="20"/>
          </w:rPr>
          <w:t>aplicativo Compras.gov.br.</w:t>
        </w:r>
      </w:hyperlink>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jc w:val="both"/>
        <w:rPr>
          <w:rFonts w:cs="Arial"/>
          <w:szCs w:val="20"/>
        </w:rPr>
      </w:pPr>
      <w:r>
        <w:rPr>
          <w:rFonts w:cs="Arial"/>
          <w:szCs w:val="20"/>
        </w:rPr>
        <w:t>Para os itens 01 e 02, a participação é exclusiva a microempresas e empresas de pequeno porte, nos termos do art. 49, inciso IV, c/c o art. 48, inciso I, da Lei Complementar nº 123, de 14 de dezembro de 2006.</w:t>
      </w:r>
    </w:p>
    <w:p>
      <w:pPr>
        <w:pStyle w:val="Normal"/>
        <w:numPr>
          <w:ilvl w:val="2"/>
          <w:numId w:val="1"/>
        </w:numPr>
        <w:snapToGrid w:val="false"/>
        <w:spacing w:lineRule="auto" w:line="276" w:before="120" w:after="120"/>
        <w:jc w:val="both"/>
        <w:rPr>
          <w:rFonts w:cs="Arial"/>
          <w:szCs w:val="20"/>
        </w:rPr>
      </w:pPr>
      <w:r>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1"/>
        </w:numPr>
        <w:snapToGrid w:val="false"/>
        <w:spacing w:lineRule="auto" w:line="276" w:before="120" w:after="120"/>
        <w:jc w:val="both"/>
        <w:rPr>
          <w:rFonts w:cs="Arial"/>
          <w:szCs w:val="20"/>
        </w:rPr>
      </w:pPr>
      <w:r>
        <w:rPr>
          <w:rFonts w:cs="Arial"/>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szCs w:val="20"/>
        </w:rPr>
      </w:pPr>
      <w:r>
        <w:rPr>
          <w:rFonts w:cs="Arial"/>
          <w:szCs w:val="20"/>
        </w:rPr>
      </w:r>
    </w:p>
    <w:p>
      <w:pPr>
        <w:pStyle w:val="Normal"/>
        <w:numPr>
          <w:ilvl w:val="1"/>
          <w:numId w:val="1"/>
        </w:numPr>
        <w:spacing w:lineRule="auto" w:line="276" w:before="120" w:after="120"/>
        <w:ind w:left="425" w:hanging="0"/>
        <w:jc w:val="both"/>
        <w:rPr>
          <w:rFonts w:cs="Arial"/>
          <w:szCs w:val="20"/>
        </w:rPr>
      </w:pPr>
      <w:bookmarkStart w:id="2" w:name="_Ref144286315"/>
      <w:r>
        <w:rPr>
          <w:rFonts w:cs="Arial"/>
          <w:szCs w:val="20"/>
        </w:rPr>
        <w:t>Não poderão participar desta dispensa de licitação os fornecedores:</w:t>
      </w:r>
      <w:bookmarkEnd w:id="2"/>
    </w:p>
    <w:p>
      <w:pPr>
        <w:pStyle w:val="Normal"/>
        <w:numPr>
          <w:ilvl w:val="2"/>
          <w:numId w:val="1"/>
        </w:numPr>
        <w:spacing w:lineRule="auto" w:line="276" w:before="120" w:after="120"/>
        <w:jc w:val="both"/>
        <w:rPr>
          <w:rFonts w:cs="Arial"/>
          <w:szCs w:val="20"/>
        </w:rPr>
      </w:pPr>
      <w:r>
        <w:rPr>
          <w:rFonts w:cs="Arial"/>
          <w:szCs w:val="20"/>
        </w:rPr>
        <w:t>que não atendam às condições deste Aviso de Contratação Direta e seu(s) anexo(s);</w:t>
      </w:r>
    </w:p>
    <w:p>
      <w:pPr>
        <w:pStyle w:val="Normal"/>
        <w:numPr>
          <w:ilvl w:val="2"/>
          <w:numId w:val="1"/>
        </w:numPr>
        <w:spacing w:lineRule="auto" w:line="276" w:before="120" w:after="120"/>
        <w:jc w:val="both"/>
        <w:rPr>
          <w:rFonts w:cs="Arial"/>
          <w:szCs w:val="20"/>
        </w:rPr>
      </w:pPr>
      <w:r>
        <w:rPr>
          <w:rFonts w:cs="Arial"/>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szCs w:val="20"/>
        </w:rPr>
      </w:pPr>
      <w:r>
        <w:rPr>
          <w:rFonts w:cs="Arial"/>
          <w:szCs w:val="20"/>
        </w:rPr>
        <w:t>que se enquadrem nas seguintes vedações:</w:t>
      </w:r>
    </w:p>
    <w:p>
      <w:pPr>
        <w:pStyle w:val="Normal"/>
        <w:numPr>
          <w:ilvl w:val="3"/>
          <w:numId w:val="4"/>
        </w:numPr>
        <w:spacing w:lineRule="auto" w:line="276" w:before="120" w:after="120"/>
        <w:jc w:val="both"/>
        <w:rPr>
          <w:rFonts w:cs="Arial"/>
          <w:szCs w:val="20"/>
        </w:rPr>
      </w:pPr>
      <w:r>
        <w:rPr>
          <w:rFonts w:cs="Arial"/>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szCs w:val="20"/>
        </w:rPr>
      </w:pPr>
      <w:r>
        <w:rPr>
          <w:rFonts w:cs="Arial"/>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szCs w:val="20"/>
        </w:rPr>
      </w:pPr>
      <w:r>
        <w:rPr>
          <w:rFonts w:cs="Arial"/>
          <w:szCs w:val="20"/>
        </w:rPr>
        <w:t>empresas controladoras, controladas ou coligadas, nos termos da </w:t>
      </w:r>
      <w:hyperlink r:id="rId8">
        <w:r>
          <w:rPr>
            <w:rStyle w:val="LinkdaInternet"/>
            <w:rFonts w:eastAsia="Calibri" w:cs="Arial"/>
            <w:color w:val="auto"/>
            <w:szCs w:val="20"/>
          </w:rPr>
          <w:t>Lei nº 6.404, de 15 de dezembro de 1976</w:t>
        </w:r>
      </w:hyperlink>
      <w:r>
        <w:rPr>
          <w:rFonts w:cs="Arial"/>
          <w:szCs w:val="20"/>
        </w:rPr>
        <w:t>, concorrendo entre si;</w:t>
      </w:r>
    </w:p>
    <w:p>
      <w:pPr>
        <w:pStyle w:val="Normal"/>
        <w:numPr>
          <w:ilvl w:val="3"/>
          <w:numId w:val="4"/>
        </w:numPr>
        <w:spacing w:lineRule="auto" w:line="276" w:before="120" w:after="120"/>
        <w:jc w:val="both"/>
        <w:rPr>
          <w:rFonts w:cs="Arial"/>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szCs w:val="20"/>
        </w:rPr>
      </w:pPr>
      <w:r>
        <w:rPr>
          <w:rFonts w:cs="Arial"/>
          <w:szCs w:val="20"/>
        </w:rPr>
        <w:t>Equiparam-se aos autores do projeto as empresas integrantes do mesmo grupo econômico;</w:t>
      </w:r>
    </w:p>
    <w:p>
      <w:pPr>
        <w:pStyle w:val="Normal"/>
        <w:numPr>
          <w:ilvl w:val="3"/>
          <w:numId w:val="1"/>
        </w:numPr>
        <w:spacing w:lineRule="auto" w:line="276" w:before="120" w:after="120"/>
        <w:jc w:val="both"/>
        <w:rPr>
          <w:rFonts w:cs="Arial"/>
          <w:szCs w:val="20"/>
        </w:rPr>
      </w:pPr>
      <w:r>
        <w:rPr>
          <w:rFonts w:cs="Arial"/>
          <w:szCs w:val="20"/>
        </w:rPr>
        <w:t xml:space="preserve"> </w:t>
      </w:r>
      <w:r>
        <w:rPr>
          <w:rFonts w:cs="Arial"/>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szCs w:val="20"/>
        </w:rPr>
      </w:pPr>
      <w:r>
        <w:rPr>
          <w:rFonts w:cs="Arial"/>
          <w:szCs w:val="20"/>
        </w:rPr>
        <w:t>organizações da Sociedade Civil de Interesse Público - OSCIP, atuando nessa condição (Acórdão nº 746/2014-TCU-Plenário); e</w:t>
      </w:r>
    </w:p>
    <w:p>
      <w:pPr>
        <w:pStyle w:val="Normal"/>
        <w:numPr>
          <w:ilvl w:val="1"/>
          <w:numId w:val="1"/>
        </w:numPr>
        <w:spacing w:lineRule="auto" w:line="276" w:before="120" w:after="120"/>
        <w:jc w:val="both"/>
        <w:rPr>
          <w:rFonts w:cs="Arial"/>
          <w:iCs/>
          <w:szCs w:val="20"/>
        </w:rPr>
      </w:pPr>
      <w:r>
        <w:rPr>
          <w:rFonts w:cs="Arial"/>
          <w:iCs/>
          <w:szCs w:val="20"/>
        </w:rPr>
        <w:t xml:space="preserve">Será permitida a participação de cooperativas, desde que apresentem demonstrativo de atuação em regime cooperado, com repartição de receitas e despesas entre os cooperados e atendam ao </w:t>
      </w:r>
      <w:r>
        <w:fldChar w:fldCharType="begin"/>
      </w:r>
      <w:r>
        <w:rPr>
          <w:rStyle w:val="LinkdaInternet"/>
          <w:u w:val="none"/>
          <w:szCs w:val="20"/>
          <w:iCs/>
          <w:rFonts w:cs="Arial"/>
          <w:color w:val="auto"/>
        </w:rPr>
        <w:instrText xml:space="preserve"> HYPERLINK "http://www.planalto.gov.br/ccivil_03/_ato2019-2022/2021/lei/L14133.htm" \l "art16"</w:instrText>
      </w:r>
      <w:r>
        <w:rPr>
          <w:rStyle w:val="LinkdaInternet"/>
          <w:u w:val="none"/>
          <w:szCs w:val="20"/>
          <w:iCs/>
          <w:rFonts w:cs="Arial"/>
          <w:color w:val="auto"/>
        </w:rPr>
        <w:fldChar w:fldCharType="separate"/>
      </w:r>
      <w:r>
        <w:rPr>
          <w:rStyle w:val="LinkdaInternet"/>
          <w:rFonts w:cs="Arial"/>
          <w:iCs/>
          <w:color w:val="auto"/>
          <w:szCs w:val="20"/>
          <w:u w:val="none"/>
        </w:rPr>
        <w:t>art. 16 da Lei nº 14.133, de 2021</w:t>
      </w:r>
      <w:r>
        <w:rPr>
          <w:rStyle w:val="LinkdaInternet"/>
          <w:u w:val="none"/>
          <w:szCs w:val="20"/>
          <w:iCs/>
          <w:rFonts w:cs="Arial"/>
          <w:color w:val="auto"/>
        </w:rPr>
        <w:fldChar w:fldCharType="end"/>
      </w:r>
      <w:r>
        <w:rPr>
          <w:rFonts w:cs="Arial"/>
          <w:iCs/>
          <w:szCs w:val="20"/>
        </w:rPr>
        <w:t>.</w:t>
      </w:r>
    </w:p>
    <w:p>
      <w:pPr>
        <w:pStyle w:val="Normal"/>
        <w:numPr>
          <w:ilvl w:val="2"/>
          <w:numId w:val="1"/>
        </w:numPr>
        <w:spacing w:lineRule="auto" w:line="276" w:before="120" w:after="120"/>
        <w:jc w:val="both"/>
        <w:rPr>
          <w:rFonts w:cs="Arial"/>
          <w:iCs/>
          <w:szCs w:val="20"/>
        </w:rPr>
      </w:pPr>
      <w:r>
        <w:rPr>
          <w:rFonts w:cs="Arial"/>
          <w:iCs/>
        </w:rPr>
        <w:t xml:space="preserve">Em sendo permitida a participação de cooperativas, serão estendidas a elas os benefícios previstos para as microempresas e empresas de pequeno porte quando elas atenderem ao disposto </w:t>
      </w:r>
      <w:r>
        <w:fldChar w:fldCharType="begin"/>
      </w:r>
      <w:r>
        <w:rPr>
          <w:rStyle w:val="LinkdaInternet"/>
          <w:u w:val="none"/>
          <w:iCs/>
          <w:rFonts w:cs="Arial"/>
          <w:color w:val="auto"/>
        </w:rPr>
        <w:instrText xml:space="preserve"> HYPERLINK "https://www.planalto.gov.br/ccivil_03/_ato2007-2010/2007/lei/l11488.htm" \l "art34"</w:instrText>
      </w:r>
      <w:r>
        <w:rPr>
          <w:rStyle w:val="LinkdaInternet"/>
          <w:u w:val="none"/>
          <w:iCs/>
          <w:rFonts w:cs="Arial"/>
          <w:color w:val="auto"/>
        </w:rPr>
        <w:fldChar w:fldCharType="separate"/>
      </w:r>
      <w:r>
        <w:rPr>
          <w:rStyle w:val="LinkdaInternet"/>
          <w:rFonts w:cs="Arial"/>
          <w:iCs/>
          <w:color w:val="auto"/>
          <w:u w:val="none"/>
        </w:rPr>
        <w:t>no art. 34 da Lei n.º 11.488, de 15 de junho de 2007</w:t>
      </w:r>
      <w:r>
        <w:rPr>
          <w:rStyle w:val="LinkdaInternet"/>
          <w:u w:val="none"/>
          <w:iCs/>
          <w:rFonts w:cs="Arial"/>
          <w:color w:val="auto"/>
        </w:rPr>
        <w:fldChar w:fldCharType="end"/>
      </w:r>
      <w:r>
        <w:rPr>
          <w:rFonts w:cs="Arial"/>
          <w:iCs/>
        </w:rPr>
        <w:t>.</w:t>
      </w:r>
    </w:p>
    <w:p>
      <w:pPr>
        <w:pStyle w:val="Normal"/>
        <w:numPr>
          <w:ilvl w:val="1"/>
          <w:numId w:val="1"/>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color w:val="auto"/>
        </w:rPr>
        <w:instrText xml:space="preserve"> HYPERLINK "http://www.planalto.gov.br/ccivil_03/_ato2019-2022/2021/lei/L14133.htm" \l "art9§1"</w:instrText>
      </w:r>
      <w:r>
        <w:rPr>
          <w:rStyle w:val="LinkdaInternet"/>
          <w:bCs/>
          <w:rFonts w:cs="Arial"/>
          <w:color w:val="auto"/>
        </w:rPr>
        <w:fldChar w:fldCharType="separate"/>
      </w:r>
      <w:r>
        <w:rPr>
          <w:rStyle w:val="LinkdaInternet"/>
          <w:rFonts w:cs="Arial"/>
          <w:bCs/>
          <w:color w:val="auto"/>
        </w:rPr>
        <w:t>§ 1º do art. 9º da Lei n.º 14.133, de 2021</w:t>
      </w:r>
      <w:r>
        <w:rPr>
          <w:rStyle w:val="LinkdaInternet"/>
          <w:bCs/>
          <w:rFonts w:cs="Arial"/>
          <w:color w:val="auto"/>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1"/>
        </w:numPr>
        <w:rPr/>
      </w:pPr>
      <w:bookmarkStart w:id="3" w:name="_Toc142925863"/>
      <w:r>
        <w:rPr/>
        <w:t>INGRESSO NA DISPENSA ELETRÔNICA E CADASTRAMENTO DA PROPOSTA INICIAL</w:t>
      </w:r>
      <w:bookmarkEnd w:id="3"/>
    </w:p>
    <w:p>
      <w:pPr>
        <w:pStyle w:val="Normal"/>
        <w:numPr>
          <w:ilvl w:val="1"/>
          <w:numId w:val="1"/>
        </w:numPr>
        <w:snapToGrid w:val="false"/>
        <w:spacing w:lineRule="auto" w:line="276" w:before="120" w:after="120"/>
        <w:ind w:left="425" w:hanging="0"/>
        <w:jc w:val="both"/>
        <w:rPr>
          <w:rFonts w:cs="Arial"/>
        </w:rPr>
      </w:pPr>
      <w:r>
        <w:rPr>
          <w:rFonts w:cs="Arial"/>
          <w:szCs w:val="20"/>
        </w:rPr>
        <w:t>O ingresso do fornecedor na disputa da dispensa eletrônica ocorrerá com o cadastramento de sua proposta inicial, na forma deste item.</w:t>
      </w:r>
    </w:p>
    <w:p>
      <w:pPr>
        <w:pStyle w:val="Normal"/>
        <w:numPr>
          <w:ilvl w:val="1"/>
          <w:numId w:val="1"/>
        </w:numPr>
        <w:snapToGrid w:val="false"/>
        <w:spacing w:lineRule="auto" w:line="276" w:before="120" w:after="120"/>
        <w:ind w:left="425" w:hanging="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1"/>
        </w:numPr>
        <w:spacing w:lineRule="auto" w:line="276" w:before="120" w:after="120"/>
        <w:ind w:left="425" w:hanging="0"/>
        <w:jc w:val="both"/>
        <w:rPr>
          <w:rFonts w:cs="Arial"/>
          <w:szCs w:val="20"/>
        </w:rPr>
      </w:pPr>
      <w:r>
        <w:rPr>
          <w:rFonts w:cs="Arial"/>
          <w:szCs w:val="20"/>
        </w:rPr>
        <w:t>Todas as especificações do objeto contidas na proposta, em especial o preço ou o desconto ofertados,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1"/>
        </w:numPr>
        <w:spacing w:lineRule="auto" w:line="276" w:before="120" w:after="120"/>
        <w:ind w:left="425" w:hanging="0"/>
        <w:jc w:val="both"/>
        <w:rPr>
          <w:rFonts w:cs="Arial"/>
          <w:szCs w:val="20"/>
        </w:rPr>
      </w:pPr>
      <w:r>
        <w:rPr>
          <w:rFonts w:cs="Arial"/>
          <w:szCs w:val="20"/>
        </w:rPr>
        <w:t>O prazo de validade da proposta não será inferior a 60 (sessenta) dias</w:t>
      </w:r>
      <w:r>
        <w:rPr>
          <w:rFonts w:cs="Arial"/>
          <w:b/>
          <w:bCs/>
          <w:szCs w:val="20"/>
        </w:rPr>
        <w:t>,</w:t>
      </w:r>
      <w:r>
        <w:rPr>
          <w:rFonts w:cs="Arial"/>
          <w:szCs w:val="20"/>
        </w:rPr>
        <w:t xml:space="preserve"> a contar da data de sua apresentação.</w:t>
      </w:r>
    </w:p>
    <w:p>
      <w:pPr>
        <w:pStyle w:val="Normal"/>
        <w:numPr>
          <w:ilvl w:val="1"/>
          <w:numId w:val="1"/>
        </w:numPr>
        <w:spacing w:lineRule="auto" w:line="276" w:before="120" w:after="120"/>
        <w:ind w:left="425" w:hanging="0"/>
        <w:jc w:val="both"/>
        <w:rPr>
          <w:rFonts w:cs="Arial"/>
          <w:szCs w:val="20"/>
        </w:rPr>
      </w:pPr>
      <w:r>
        <w:rPr>
          <w:rFonts w:cs="Arial"/>
          <w:szCs w:val="20"/>
        </w:rPr>
        <w:t>No cadastramento da proposta inicial, o fornecedor deverá, também, assinalar Termo de Aceitação, em campo próprio do sistema eletrônico, relativo às seguintes declarações:</w:t>
      </w:r>
      <w:r>
        <w:rPr>
          <w:rFonts w:eastAsia="Zurich BT" w:cs="Arial"/>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Normal"/>
        <w:numPr>
          <w:ilvl w:val="2"/>
          <w:numId w:val="1"/>
        </w:numPr>
        <w:spacing w:lineRule="auto" w:line="276" w:before="120" w:after="120"/>
        <w:jc w:val="both"/>
        <w:rPr>
          <w:rFonts w:cs="Arial"/>
          <w:szCs w:val="20"/>
        </w:rPr>
      </w:pPr>
      <w:r>
        <w:rPr>
          <w:rFonts w:cs="Arial"/>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szCs w:val="20"/>
        </w:rPr>
      </w:pPr>
      <w:r>
        <w:rPr>
          <w:rFonts w:cs="Arial"/>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szCs w:val="20"/>
        </w:rPr>
      </w:pPr>
      <w:r>
        <w:rPr>
          <w:rFonts w:cs="Arial"/>
          <w:szCs w:val="20"/>
        </w:rPr>
        <w:t>que se responsabiliza pelas transações que forem efetuadas no sistema, assumindo-as como firmes e verdadeiras;</w:t>
      </w:r>
    </w:p>
    <w:p>
      <w:pPr>
        <w:pStyle w:val="Normal"/>
        <w:numPr>
          <w:ilvl w:val="2"/>
          <w:numId w:val="1"/>
        </w:numPr>
        <w:spacing w:lineRule="auto" w:line="276" w:before="120" w:after="120"/>
        <w:jc w:val="both"/>
        <w:rPr>
          <w:rFonts w:cs="Arial"/>
          <w:szCs w:val="20"/>
        </w:rPr>
      </w:pPr>
      <w:r>
        <w:rPr>
          <w:rFonts w:cs="Arial"/>
          <w:szCs w:val="20"/>
        </w:rPr>
        <w:t xml:space="preserve">que cumpre as exigências de reserva de cargos para pessoa com deficiência e para reabilitado da Previdência Social, de que trata </w:t>
      </w:r>
      <w:r>
        <w:fldChar w:fldCharType="begin"/>
      </w:r>
      <w:r>
        <w:rPr>
          <w:rStyle w:val="LinkdaInternet"/>
          <w:szCs w:val="20"/>
          <w:rFonts w:cs="Arial"/>
          <w:color w:val="auto"/>
        </w:rPr>
        <w:instrText xml:space="preserve"> HYPERLINK "https://www.planalto.gov.br/ccivil_03/leis/l8213cons.htm" \l "art93"</w:instrText>
      </w:r>
      <w:r>
        <w:rPr>
          <w:rStyle w:val="LinkdaInternet"/>
          <w:szCs w:val="20"/>
          <w:rFonts w:cs="Arial"/>
          <w:color w:val="auto"/>
        </w:rPr>
        <w:fldChar w:fldCharType="separate"/>
      </w:r>
      <w:r>
        <w:rPr>
          <w:rStyle w:val="LinkdaInternet"/>
          <w:rFonts w:cs="Arial"/>
          <w:color w:val="auto"/>
          <w:szCs w:val="20"/>
        </w:rPr>
        <w:t>o art. 93 da Lei nº 8.213/91</w:t>
      </w:r>
      <w:r>
        <w:rPr>
          <w:rStyle w:val="LinkdaInternet"/>
          <w:szCs w:val="20"/>
          <w:rFonts w:cs="Arial"/>
          <w:color w:val="auto"/>
        </w:rPr>
        <w:fldChar w:fldCharType="end"/>
      </w:r>
      <w:r>
        <w:rPr>
          <w:rFonts w:cs="Arial"/>
          <w:szCs w:val="20"/>
        </w:rPr>
        <w:t>.</w:t>
      </w:r>
    </w:p>
    <w:p>
      <w:pPr>
        <w:pStyle w:val="Normal"/>
        <w:numPr>
          <w:ilvl w:val="2"/>
          <w:numId w:val="1"/>
        </w:numPr>
        <w:spacing w:lineRule="auto" w:line="276" w:before="120" w:after="120"/>
        <w:jc w:val="both"/>
        <w:rPr>
          <w:rFonts w:cs="Arial"/>
          <w:szCs w:val="20"/>
        </w:rPr>
      </w:pPr>
      <w:r>
        <w:rPr>
          <w:rFonts w:cs="Arial"/>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color w:val="auto"/>
        </w:rPr>
        <w:instrText xml:space="preserve"> HYPERLINK "https://normas.leg.br/?urn=urn:lex:br:federal:constituicao:1988-10-05;1988" \l "art7"</w:instrText>
      </w:r>
      <w:r>
        <w:rPr>
          <w:rStyle w:val="LinkdaInternet"/>
          <w:szCs w:val="20"/>
          <w:rFonts w:cs="Arial"/>
          <w:color w:val="auto"/>
        </w:rPr>
        <w:fldChar w:fldCharType="separate"/>
      </w:r>
      <w:r>
        <w:rPr>
          <w:rStyle w:val="LinkdaInternet"/>
          <w:rFonts w:cs="Arial"/>
          <w:color w:val="auto"/>
          <w:szCs w:val="20"/>
        </w:rPr>
        <w:t>artigo 7°, XXXIII, da Constituição</w:t>
      </w:r>
      <w:r>
        <w:rPr>
          <w:rStyle w:val="LinkdaInternet"/>
          <w:szCs w:val="20"/>
          <w:rFonts w:cs="Arial"/>
          <w:color w:val="auto"/>
        </w:rPr>
        <w:fldChar w:fldCharType="end"/>
      </w:r>
      <w:r>
        <w:rPr>
          <w:rFonts w:cs="Arial"/>
          <w:szCs w:val="20"/>
        </w:rPr>
        <w:t>;</w:t>
      </w:r>
    </w:p>
    <w:p>
      <w:pPr>
        <w:pStyle w:val="Normal"/>
        <w:numPr>
          <w:ilvl w:val="1"/>
          <w:numId w:val="1"/>
        </w:numPr>
        <w:spacing w:lineRule="auto" w:line="276" w:before="120" w:after="120"/>
        <w:jc w:val="both"/>
        <w:rPr>
          <w:rFonts w:cs="Arial"/>
          <w:szCs w:val="20"/>
        </w:rPr>
      </w:pPr>
      <w:r>
        <w:rPr>
          <w:rFonts w:cs="Arial"/>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color w:val="auto"/>
        </w:rPr>
        <w:instrText xml:space="preserve"> HYPERLINK "http://www.planalto.gov.br/ccivil_03/_ato2019-2022/2021/lei/L14133.htm" \l "art16"</w:instrText>
      </w:r>
      <w:r>
        <w:rPr>
          <w:rStyle w:val="LinkdaInternet"/>
          <w:szCs w:val="20"/>
          <w:rFonts w:cs="Arial"/>
          <w:color w:val="auto"/>
        </w:rPr>
        <w:fldChar w:fldCharType="separate"/>
      </w:r>
      <w:r>
        <w:rPr>
          <w:rStyle w:val="LinkdaInternet"/>
          <w:rFonts w:cs="Arial"/>
          <w:color w:val="auto"/>
          <w:szCs w:val="20"/>
        </w:rPr>
        <w:t>artigo 16 da Lei nº 14.133, de 2021.</w:t>
      </w:r>
      <w:r>
        <w:rPr>
          <w:rStyle w:val="LinkdaInternet"/>
          <w:szCs w:val="20"/>
          <w:rFonts w:cs="Arial"/>
          <w:color w:val="auto"/>
        </w:rPr>
        <w:fldChar w:fldCharType="end"/>
      </w:r>
    </w:p>
    <w:p>
      <w:pPr>
        <w:pStyle w:val="Normal"/>
        <w:numPr>
          <w:ilvl w:val="1"/>
          <w:numId w:val="1"/>
        </w:numPr>
        <w:spacing w:lineRule="auto" w:line="276" w:before="120" w:after="120"/>
        <w:jc w:val="both"/>
        <w:rPr>
          <w:rFonts w:cs="Arial"/>
          <w:szCs w:val="20"/>
        </w:rPr>
      </w:pPr>
      <w:r>
        <w:rPr>
          <w:rFonts w:cs="Arial"/>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color w:val="auto"/>
        </w:rPr>
        <w:instrText xml:space="preserve"> HYPERLINK "https://www.planalto.gov.br/ccivil_03/leis/lcp/lcp123.htm" \l "art3"</w:instrText>
      </w:r>
      <w:r>
        <w:rPr>
          <w:rStyle w:val="LinkdaInternet"/>
          <w:szCs w:val="20"/>
          <w:rFonts w:cs="Arial"/>
          <w:color w:val="auto"/>
        </w:rPr>
        <w:fldChar w:fldCharType="separate"/>
      </w:r>
      <w:r>
        <w:rPr>
          <w:rStyle w:val="LinkdaInternet"/>
          <w:rFonts w:cs="Arial"/>
          <w:color w:val="auto"/>
          <w:szCs w:val="20"/>
        </w:rPr>
        <w:t>artigo 3° da Lei Complementar nº 123, de 2006</w:t>
      </w:r>
      <w:r>
        <w:rPr>
          <w:rStyle w:val="LinkdaInternet"/>
          <w:szCs w:val="20"/>
          <w:rFonts w:cs="Arial"/>
          <w:color w:val="auto"/>
        </w:rPr>
        <w:fldChar w:fldCharType="end"/>
      </w:r>
      <w:r>
        <w:rPr>
          <w:rFonts w:cs="Arial"/>
          <w:szCs w:val="20"/>
        </w:rPr>
        <w:t xml:space="preserve">, estando apto a usufruir do tratamento favorecido estabelecido em seus arts. 42 a 49, observado o disposto nos </w:t>
      </w:r>
      <w:r>
        <w:fldChar w:fldCharType="begin"/>
      </w:r>
      <w:r>
        <w:rPr>
          <w:rStyle w:val="LinkdaInternet"/>
          <w:szCs w:val="20"/>
          <w:rFonts w:cs="Arial"/>
          <w:color w:val="auto"/>
        </w:rPr>
        <w:instrText xml:space="preserve"> HYPERLINK "http://www.planalto.gov.br/ccivil_03/_ato2019-2022/2021/lei/L14133.htm" \l "art4§1"</w:instrText>
      </w:r>
      <w:r>
        <w:rPr>
          <w:rStyle w:val="LinkdaInternet"/>
          <w:szCs w:val="20"/>
          <w:rFonts w:cs="Arial"/>
          <w:color w:val="auto"/>
        </w:rPr>
        <w:fldChar w:fldCharType="separate"/>
      </w:r>
      <w:r>
        <w:rPr>
          <w:rStyle w:val="LinkdaInternet"/>
          <w:rFonts w:cs="Arial"/>
          <w:color w:val="auto"/>
          <w:szCs w:val="20"/>
        </w:rPr>
        <w:t>§§ 1º ao 3º do art. 4º, da Lei n.º 14.133, de 2021.</w:t>
      </w:r>
      <w:r>
        <w:rPr>
          <w:rStyle w:val="LinkdaInternet"/>
          <w:szCs w:val="20"/>
          <w:rFonts w:cs="Arial"/>
          <w:color w:val="auto"/>
        </w:rPr>
        <w:fldChar w:fldCharType="end"/>
      </w:r>
    </w:p>
    <w:p>
      <w:pPr>
        <w:pStyle w:val="Ttulo1"/>
        <w:numPr>
          <w:ilvl w:val="0"/>
          <w:numId w:val="1"/>
        </w:numPr>
        <w:rPr/>
      </w:pPr>
      <w:bookmarkStart w:id="4" w:name="_Toc142925864"/>
      <w:r>
        <w:rPr/>
        <w:t>FASE DE LANCES</w:t>
      </w:r>
      <w:bookmarkEnd w:id="4"/>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szCs w:val="20"/>
        </w:rPr>
        <w:t xml:space="preserve">O lance </w:t>
      </w:r>
      <w:r>
        <w:rPr>
          <w:rFonts w:cs="Arial"/>
          <w:szCs w:val="20"/>
          <w:lang w:eastAsia="en-US"/>
        </w:rPr>
        <w:t>deverá</w:t>
      </w:r>
      <w:r>
        <w:rPr>
          <w:rFonts w:cs="Arial"/>
          <w:szCs w:val="20"/>
        </w:rPr>
        <w:t xml:space="preserve"> ser ofertado pelo valor unitário</w:t>
      </w:r>
      <w:r>
        <w:rPr>
          <w:rFonts w:cs="Arial"/>
          <w:i/>
          <w:iCs/>
          <w:szCs w:val="20"/>
        </w:rPr>
        <w:t xml:space="preserve"> </w:t>
      </w:r>
      <w:r>
        <w:rPr>
          <w:rFonts w:cs="Arial"/>
          <w:szCs w:val="20"/>
        </w:rPr>
        <w:t>do item.</w:t>
      </w:r>
    </w:p>
    <w:p>
      <w:pPr>
        <w:pStyle w:val="Quote"/>
        <w:numPr>
          <w:ilvl w:val="1"/>
          <w:numId w:val="1"/>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auto"/>
          <w:szCs w:val="20"/>
        </w:rPr>
      </w:pPr>
      <w:r>
        <w:rPr>
          <w:rFonts w:cs="Arial"/>
          <w:i w:val="false"/>
          <w:iCs w:val="false"/>
          <w:color w:val="auto"/>
          <w:szCs w:val="20"/>
        </w:rPr>
        <w:t>O fornecedor somente poderá oferecer valor inferior ou percentual de desconto superior ao último lance por ele ofertado e registrado pelo sistema.</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0,01 reais (um centavo).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Durante o procedimento, os fornecedores serão informados, em tempo real, do valor do menor lance ou do maior desconto registrado, vedada a identificação do fornecedor.</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1"/>
        </w:numPr>
        <w:rPr/>
      </w:pPr>
      <w:bookmarkStart w:id="5" w:name="_Toc142925865"/>
      <w:r>
        <w:rPr/>
        <w:t xml:space="preserve">JULGAMENTO E ACEITAÇÃO DAS PROPOSTAS </w:t>
      </w:r>
      <w:bookmarkEnd w:id="5"/>
    </w:p>
    <w:p>
      <w:pPr>
        <w:pStyle w:val="ListParagraph"/>
        <w:numPr>
          <w:ilvl w:val="1"/>
          <w:numId w:val="1"/>
        </w:numPr>
        <w:spacing w:lineRule="auto" w:line="276" w:before="120" w:after="120"/>
        <w:contextualSpacing/>
        <w:jc w:val="both"/>
        <w:rPr>
          <w:rFonts w:cs="Arial"/>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1"/>
        </w:numPr>
        <w:spacing w:lineRule="auto" w:line="276" w:before="120" w:after="120"/>
        <w:contextualSpacing/>
        <w:jc w:val="both"/>
        <w:rPr>
          <w:rFonts w:cs="Arial"/>
        </w:rPr>
      </w:pPr>
      <w:r>
        <w:rPr>
          <w:rFonts w:cs="Arial"/>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1"/>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1"/>
        </w:numPr>
        <w:spacing w:lineRule="auto" w:line="276" w:before="120" w:after="120"/>
        <w:contextualSpacing/>
        <w:jc w:val="both"/>
        <w:rPr>
          <w:rFonts w:cs="Arial"/>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1"/>
        </w:numPr>
        <w:spacing w:lineRule="auto" w:line="276" w:before="120" w:after="120"/>
        <w:contextualSpacing/>
        <w:jc w:val="both"/>
        <w:rPr>
          <w:rFonts w:cs="Arial"/>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1"/>
        </w:numPr>
        <w:spacing w:lineRule="auto" w:line="276" w:before="120" w:after="120"/>
        <w:contextualSpacing/>
        <w:jc w:val="both"/>
        <w:rPr>
          <w:rFonts w:cs="Arial"/>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\h </w:instrText>
      </w:r>
      <w:r>
        <w:rPr>
          <w:rFonts w:cs="Arial"/>
        </w:rPr>
        <w:fldChar w:fldCharType="separate"/>
      </w:r>
      <w:r>
        <w:rPr>
          <w:rFonts w:cs="Arial"/>
        </w:rPr>
        <w:t>1.5</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1"/>
        </w:numPr>
        <w:spacing w:lineRule="auto" w:line="276" w:before="120" w:after="120"/>
        <w:contextualSpacing/>
        <w:jc w:val="both"/>
        <w:rPr>
          <w:rFonts w:cs="Arial"/>
          <w:szCs w:val="20"/>
        </w:rPr>
      </w:pPr>
      <w:r>
        <w:rPr>
          <w:rFonts w:cs="Arial"/>
          <w:szCs w:val="20"/>
        </w:rPr>
        <w:t xml:space="preserve">SICAF;  </w:t>
      </w:r>
    </w:p>
    <w:p>
      <w:pPr>
        <w:pStyle w:val="ListParagraph"/>
        <w:numPr>
          <w:ilvl w:val="2"/>
          <w:numId w:val="1"/>
        </w:numPr>
        <w:spacing w:lineRule="auto" w:line="276" w:before="120" w:after="120"/>
        <w:contextualSpacing/>
        <w:jc w:val="both"/>
        <w:rPr>
          <w:rFonts w:cs="Arial"/>
          <w:szCs w:val="20"/>
        </w:rPr>
      </w:pPr>
      <w:r>
        <w:rPr>
          <w:rFonts w:cs="Arial"/>
          <w:szCs w:val="20"/>
        </w:rPr>
        <w:t xml:space="preserve">Cadastro Nacional de Empresas Inidôneas e Suspensas - CEIS, mantido pela Controladoria-Geral da União (https://www.portaltransparencia.gov.br/sancoes/ceis); e </w:t>
      </w:r>
    </w:p>
    <w:p>
      <w:pPr>
        <w:pStyle w:val="ListParagraph"/>
        <w:numPr>
          <w:ilvl w:val="2"/>
          <w:numId w:val="1"/>
        </w:numPr>
        <w:spacing w:lineRule="auto" w:line="276" w:before="120" w:after="120"/>
        <w:contextualSpacing/>
        <w:jc w:val="both"/>
        <w:rPr>
          <w:rFonts w:cs="Arial"/>
        </w:rPr>
      </w:pPr>
      <w:r>
        <w:rPr>
          <w:rFonts w:cs="Arial"/>
          <w:szCs w:val="20"/>
        </w:rPr>
        <w:t>Cadastro Nacional de Empresas Punidas – CNEP, mantido pela Controladoria-Geral da União (https://www.portaltransparencia</w:t>
      </w:r>
      <w:r>
        <w:rPr>
          <w:rFonts w:cs="Arial"/>
        </w:rPr>
        <w:t xml:space="preserve">.gov.br/sancoes/cnep). </w:t>
      </w:r>
    </w:p>
    <w:p>
      <w:pPr>
        <w:pStyle w:val="ListParagraph"/>
        <w:numPr>
          <w:ilvl w:val="1"/>
          <w:numId w:val="1"/>
        </w:numPr>
        <w:spacing w:lineRule="auto" w:line="276" w:before="120" w:after="12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1"/>
        </w:numPr>
        <w:spacing w:lineRule="auto" w:line="276" w:before="120" w:after="12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1"/>
        </w:numPr>
        <w:spacing w:lineRule="auto" w:line="276" w:before="120" w:after="120"/>
        <w:contextualSpacing/>
        <w:jc w:val="both"/>
        <w:rPr>
          <w:rFonts w:cs="Arial"/>
        </w:rPr>
      </w:pPr>
      <w:r>
        <w:rPr>
          <w:rFonts w:cs="Arial"/>
        </w:rPr>
        <w:t xml:space="preserve">A tentativa de burla será verificada por meio dos vínculos societários, linhas de fornecimento </w:t>
      </w:r>
      <w:r>
        <w:rPr>
          <w:rFonts w:cs="Arial"/>
          <w:szCs w:val="20"/>
        </w:rPr>
        <w:t>similares</w:t>
      </w:r>
      <w:r>
        <w:rPr>
          <w:rFonts w:cs="Arial"/>
        </w:rPr>
        <w:t>, dentre outros. (IN nº 3/2018, art. 29, §1º).</w:t>
      </w:r>
    </w:p>
    <w:p>
      <w:pPr>
        <w:pStyle w:val="ListParagraph"/>
        <w:numPr>
          <w:ilvl w:val="2"/>
          <w:numId w:val="1"/>
        </w:numPr>
        <w:spacing w:lineRule="auto" w:line="276" w:before="120" w:after="120"/>
        <w:contextualSpacing/>
        <w:jc w:val="both"/>
        <w:rPr>
          <w:rFonts w:cs="Arial"/>
        </w:rPr>
      </w:pPr>
      <w:r>
        <w:rPr>
          <w:rFonts w:cs="Arial"/>
        </w:rPr>
        <w:t xml:space="preserve">O </w:t>
      </w:r>
      <w:r>
        <w:rPr>
          <w:rFonts w:cs="Arial"/>
          <w:szCs w:val="20"/>
        </w:rPr>
        <w:t>fornecedor</w:t>
      </w:r>
      <w:r>
        <w:rPr>
          <w:rFonts w:cs="Arial"/>
        </w:rPr>
        <w:t xml:space="preserve"> </w:t>
      </w:r>
      <w:r>
        <w:rPr>
          <w:rFonts w:cs="Arial"/>
          <w:szCs w:val="20"/>
        </w:rPr>
        <w:t>será</w:t>
      </w:r>
      <w:r>
        <w:rPr>
          <w:rFonts w:cs="Arial"/>
        </w:rPr>
        <w:t xml:space="preserve"> convocado para manifestação previamente a uma eventual desclassificação. (IN nº 3/2018, art. 29, §2º).</w:t>
      </w:r>
    </w:p>
    <w:p>
      <w:pPr>
        <w:pStyle w:val="ListParagraph"/>
        <w:numPr>
          <w:ilvl w:val="2"/>
          <w:numId w:val="1"/>
        </w:numPr>
        <w:spacing w:lineRule="auto" w:line="276" w:before="120" w:after="120"/>
        <w:contextualSpacing/>
        <w:jc w:val="both"/>
        <w:rPr>
          <w:rFonts w:cs="Arial"/>
        </w:rPr>
      </w:pPr>
      <w:r>
        <w:rPr>
          <w:rFonts w:cs="Arial"/>
        </w:rPr>
        <w:t xml:space="preserve">Constatada a existência de sanção, o </w:t>
      </w:r>
      <w:r>
        <w:rPr>
          <w:rFonts w:cs="Arial"/>
          <w:szCs w:val="20"/>
        </w:rPr>
        <w:t>fornecedor</w:t>
      </w:r>
      <w:r>
        <w:rPr>
          <w:rFonts w:cs="Arial"/>
        </w:rPr>
        <w:t xml:space="preserve"> será reputado inabilitado, por falta de condição de participação.</w:t>
      </w:r>
    </w:p>
    <w:p>
      <w:pPr>
        <w:pStyle w:val="ListParagraph"/>
        <w:numPr>
          <w:ilvl w:val="1"/>
          <w:numId w:val="1"/>
        </w:numPr>
        <w:spacing w:lineRule="auto" w:line="276" w:before="120" w:after="12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1"/>
        </w:numPr>
        <w:spacing w:lineRule="auto" w:line="276" w:before="120" w:after="120"/>
        <w:contextualSpacing/>
        <w:jc w:val="both"/>
        <w:rPr>
          <w:rFonts w:cs="Arial"/>
          <w:i/>
          <w:i/>
          <w:szCs w:val="20"/>
        </w:rPr>
      </w:pPr>
      <w:r>
        <w:rPr>
          <w:rFonts w:cs="Arial"/>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szCs w:val="20"/>
        </w:rPr>
      </w:pPr>
      <w:r>
        <w:rPr>
          <w:rFonts w:cs="Arial"/>
          <w:szCs w:val="20"/>
        </w:rPr>
        <w:t>contiver vícios insanáveis</w:t>
      </w:r>
      <w:r>
        <w:rPr>
          <w:rFonts w:cs="Arial"/>
          <w:iCs/>
          <w:szCs w:val="20"/>
        </w:rPr>
        <w:t>;</w:t>
      </w:r>
    </w:p>
    <w:p>
      <w:pPr>
        <w:pStyle w:val="ListParagraph"/>
        <w:numPr>
          <w:ilvl w:val="2"/>
          <w:numId w:val="1"/>
        </w:numPr>
        <w:spacing w:lineRule="auto" w:line="276" w:before="120" w:after="120"/>
        <w:contextualSpacing/>
        <w:jc w:val="both"/>
        <w:rPr>
          <w:rFonts w:cs="Arial"/>
          <w:i/>
          <w:i/>
          <w:szCs w:val="20"/>
        </w:rPr>
      </w:pPr>
      <w:r>
        <w:rPr>
          <w:rFonts w:cs="Arial"/>
          <w:szCs w:val="20"/>
        </w:rPr>
        <w:t>não obedecer às especificações técnicas pormenorizadas neste aviso ou em seus anexos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preços inexequíveis;</w:t>
      </w:r>
    </w:p>
    <w:p>
      <w:pPr>
        <w:pStyle w:val="ListParagraph"/>
        <w:numPr>
          <w:ilvl w:val="2"/>
          <w:numId w:val="1"/>
        </w:numPr>
        <w:spacing w:lineRule="auto" w:line="276" w:before="120" w:after="120"/>
        <w:contextualSpacing/>
        <w:jc w:val="both"/>
        <w:rPr>
          <w:rFonts w:cs="Arial"/>
          <w:i/>
          <w:i/>
          <w:szCs w:val="20"/>
        </w:rPr>
      </w:pPr>
      <w:r>
        <w:rPr>
          <w:rFonts w:cs="Arial"/>
          <w:szCs w:val="20"/>
        </w:rPr>
        <w:t>não tiver sua exequibilidade demonstrada, quando exigido pela Administração</w:t>
      </w:r>
      <w:r>
        <w:rPr>
          <w:rFonts w:cs="Arial"/>
          <w:iCs/>
          <w:szCs w:val="20"/>
        </w:rPr>
        <w:t>;</w:t>
      </w:r>
    </w:p>
    <w:p>
      <w:pPr>
        <w:pStyle w:val="ListParagraph"/>
        <w:numPr>
          <w:ilvl w:val="2"/>
          <w:numId w:val="1"/>
        </w:numPr>
        <w:spacing w:lineRule="auto" w:line="276" w:before="120" w:after="120"/>
        <w:contextualSpacing/>
        <w:jc w:val="both"/>
        <w:rPr>
          <w:rFonts w:cs="Arial"/>
          <w:i/>
          <w:i/>
          <w:szCs w:val="20"/>
        </w:rPr>
      </w:pPr>
      <w:r>
        <w:rPr>
          <w:rFonts w:cs="Arial"/>
          <w:szCs w:val="20"/>
        </w:rPr>
        <w:t>apresentar desconformidade com quaisquer outras exigências deste aviso ou seus anexos, desde que insanável.</w:t>
      </w:r>
    </w:p>
    <w:p>
      <w:pPr>
        <w:pStyle w:val="ListParagraph"/>
        <w:numPr>
          <w:ilvl w:val="1"/>
          <w:numId w:val="1"/>
        </w:numPr>
        <w:spacing w:lineRule="auto" w:line="276" w:before="120" w:after="120"/>
        <w:ind w:left="716" w:right="-15" w:hanging="432"/>
        <w:contextualSpacing/>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o fornecedor comprove a exequibilidade da proposta.  </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Encerrada a análise quanto à aceitação da proposta, será iniciada a fase de habilitação, observado o disposto neste Aviso de Contratação Direta. </w:t>
      </w:r>
    </w:p>
    <w:p>
      <w:pPr>
        <w:pStyle w:val="Ttulo1"/>
        <w:numPr>
          <w:ilvl w:val="0"/>
          <w:numId w:val="1"/>
        </w:numPr>
        <w:rPr/>
      </w:pPr>
      <w:bookmarkStart w:id="6" w:name="_Toc142925866"/>
      <w:r>
        <w:rPr/>
        <w:t>HABILITAÇÃO</w:t>
      </w:r>
      <w:bookmarkEnd w:id="6"/>
    </w:p>
    <w:p>
      <w:pPr>
        <w:pStyle w:val="Normal"/>
        <w:numPr>
          <w:ilvl w:val="1"/>
          <w:numId w:val="1"/>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1"/>
        </w:numPr>
        <w:spacing w:lineRule="auto" w:line="276" w:before="120" w:after="120"/>
        <w:contextualSpacing/>
        <w:jc w:val="both"/>
        <w:rPr>
          <w:rFonts w:cs="Arial"/>
          <w:szCs w:val="20"/>
        </w:rPr>
      </w:pPr>
      <w:r>
        <w:rPr>
          <w:rFonts w:cs="Arial"/>
          <w:szCs w:val="20"/>
        </w:rPr>
        <w:t>A habilitação dos fornecedores será verificada por meio do SICAF, nos documentos por ele abrangidos.</w:t>
      </w:r>
    </w:p>
    <w:p>
      <w:pPr>
        <w:pStyle w:val="Normal"/>
        <w:numPr>
          <w:ilvl w:val="2"/>
          <w:numId w:val="1"/>
        </w:numPr>
        <w:spacing w:lineRule="auto" w:line="276" w:before="120" w:after="120"/>
        <w:contextualSpacing/>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1"/>
        </w:numPr>
        <w:spacing w:lineRule="auto" w:line="276" w:before="120" w:after="120"/>
        <w:contextualSpacing/>
        <w:jc w:val="both"/>
        <w:rPr>
          <w:rFonts w:cs="Arial"/>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1"/>
        </w:numPr>
        <w:spacing w:lineRule="auto" w:line="276" w:before="120" w:after="120"/>
        <w:contextualSpacing/>
        <w:jc w:val="both"/>
        <w:rPr>
          <w:rFonts w:cs="Arial"/>
          <w:szCs w:val="20"/>
        </w:rPr>
      </w:pPr>
      <w:r>
        <w:rPr>
          <w:rFonts w:cs="Arial"/>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30 (trinta) minutos, sob pena de inabilitação. (</w:t>
      </w:r>
      <w:r>
        <w:fldChar w:fldCharType="begin"/>
      </w:r>
      <w:r>
        <w:rPr>
          <w:rStyle w:val="LinkdaInternet"/>
          <w:szCs w:val="20"/>
          <w:rFonts w:cs="Arial"/>
          <w:color w:val="auto"/>
        </w:rPr>
        <w:instrText xml:space="preserve"> HYPERLINK "https://www.in.gov.br/en/web/dou/-/instrucao-normativa-seges/me-n-67-de-8-de-julho-de-2021-330985107" \l "art19§3"</w:instrText>
      </w:r>
      <w:r>
        <w:rPr>
          <w:rStyle w:val="LinkdaInternet"/>
          <w:szCs w:val="20"/>
          <w:rFonts w:cs="Arial"/>
          <w:color w:val="auto"/>
        </w:rPr>
        <w:fldChar w:fldCharType="separate"/>
      </w:r>
      <w:r>
        <w:rPr>
          <w:rStyle w:val="LinkdaInternet"/>
          <w:rFonts w:cs="Arial"/>
          <w:color w:val="auto"/>
          <w:szCs w:val="20"/>
        </w:rPr>
        <w:t>art. 19, § 3º, da IN Seges/ME nº 67, de 2021</w:t>
      </w:r>
      <w:r>
        <w:rPr>
          <w:rStyle w:val="LinkdaInternet"/>
          <w:szCs w:val="20"/>
          <w:rFonts w:cs="Arial"/>
          <w:color w:val="auto"/>
        </w:rPr>
        <w:fldChar w:fldCharType="end"/>
      </w:r>
      <w:r>
        <w:rPr>
          <w:rFonts w:cs="Arial"/>
          <w:szCs w:val="20"/>
        </w:rPr>
        <w:t>).</w:t>
      </w:r>
    </w:p>
    <w:p>
      <w:pPr>
        <w:pStyle w:val="Normal"/>
        <w:numPr>
          <w:ilvl w:val="1"/>
          <w:numId w:val="1"/>
        </w:numPr>
        <w:spacing w:lineRule="auto" w:line="276" w:before="120" w:after="120"/>
        <w:contextualSpacing/>
        <w:jc w:val="both"/>
        <w:rPr>
          <w:rFonts w:cs="Arial"/>
          <w:b/>
          <w:b/>
          <w:bCs/>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1"/>
        </w:numPr>
        <w:spacing w:lineRule="auto" w:line="276" w:before="120" w:after="120"/>
        <w:contextualSpacing/>
        <w:jc w:val="both"/>
        <w:rPr>
          <w:rFonts w:cs="Arial"/>
          <w:szCs w:val="20"/>
        </w:rPr>
      </w:pPr>
      <w:r>
        <w:rPr>
          <w:rFonts w:cs="Arial"/>
          <w:szCs w:val="20"/>
        </w:rPr>
        <w:t>Não serão aceitos documentos de habilitação com indicação de CNPJ/CPF diferentes, salvo aqueles legalmente permitidos.</w:t>
      </w:r>
    </w:p>
    <w:p>
      <w:pPr>
        <w:pStyle w:val="Normal"/>
        <w:numPr>
          <w:ilvl w:val="1"/>
          <w:numId w:val="1"/>
        </w:numPr>
        <w:spacing w:lineRule="auto" w:line="276" w:before="120" w:after="120"/>
        <w:contextualSpacing/>
        <w:jc w:val="both"/>
        <w:rPr>
          <w:rFonts w:cs="Arial"/>
          <w:szCs w:val="20"/>
        </w:rPr>
      </w:pPr>
      <w:r>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1"/>
        </w:numPr>
        <w:spacing w:lineRule="auto" w:line="276" w:before="120" w:after="120"/>
        <w:contextualSpacing/>
        <w:jc w:val="both"/>
        <w:rPr>
          <w:rFonts w:cs="Arial"/>
          <w:szCs w:val="20"/>
        </w:rPr>
      </w:pPr>
      <w:r>
        <w:rPr>
          <w:rFonts w:cs="Arial"/>
          <w:szCs w:val="20"/>
        </w:rPr>
        <w:t>Serão aceitos registros de CNPJ de fornecedor matriz e filial com diferenças de números de documentos pertinentes ao CND e ao CRF/FGTS, quando for comprovada a centralização do recolhimento dessas contribuições.</w:t>
      </w:r>
    </w:p>
    <w:p>
      <w:pPr>
        <w:pStyle w:val="Normal"/>
        <w:numPr>
          <w:ilvl w:val="1"/>
          <w:numId w:val="1"/>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1"/>
        </w:numPr>
        <w:spacing w:lineRule="auto" w:line="276" w:before="120" w:after="120"/>
        <w:contextualSpacing/>
        <w:jc w:val="both"/>
        <w:rPr>
          <w:rFonts w:cs="Arial"/>
          <w:szCs w:val="20"/>
        </w:rPr>
      </w:pPr>
      <w:r>
        <w:rPr>
          <w:rFonts w:cs="Arial"/>
          <w:szCs w:val="20"/>
        </w:rPr>
        <w:t xml:space="preserve">Será inabilitado o fornecedor que não comprovar sua habilitação, seja por não apresentar </w:t>
      </w:r>
      <w:r>
        <w:rPr>
          <w:rFonts w:cs="Arial"/>
          <w:iC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Normal"/>
        <w:numPr>
          <w:ilvl w:val="2"/>
          <w:numId w:val="1"/>
        </w:numPr>
        <w:spacing w:lineRule="auto" w:line="276" w:before="120" w:after="120"/>
        <w:contextualSpacing/>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1"/>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numPr>
          <w:ilvl w:val="0"/>
          <w:numId w:val="1"/>
        </w:numPr>
        <w:rPr/>
      </w:pPr>
      <w:bookmarkStart w:id="7" w:name="_Toc142925869"/>
      <w:r>
        <w:rPr/>
        <w:t>CONTRATAÇÃO</w:t>
      </w:r>
      <w:bookmarkEnd w:id="7"/>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adjudicatário terá o prazo de </w:t>
      </w:r>
      <w:r>
        <w:rPr>
          <w:rFonts w:eastAsia="Arial" w:cs="Arial"/>
          <w:i/>
          <w:szCs w:val="20"/>
        </w:rPr>
        <w:t>02 (dois) dias úteis,</w:t>
      </w:r>
      <w:r>
        <w:rPr>
          <w:rFonts w:eastAsia="Arial" w:cs="Arial"/>
          <w:szCs w:val="20"/>
        </w:rPr>
        <w:t xml:space="preserve"> contados a partir da data de sua convocação, para </w:t>
      </w:r>
      <w:r>
        <w:rPr>
          <w:rFonts w:eastAsia="Arial" w:cs="Arial"/>
          <w:i/>
          <w:szCs w:val="20"/>
        </w:rPr>
        <w:t xml:space="preserve">aceitar a nota de empenho, </w:t>
      </w:r>
      <w:r>
        <w:rPr>
          <w:rFonts w:eastAsia="Arial" w:cs="Arial"/>
          <w:szCs w:val="20"/>
        </w:rPr>
        <w:t xml:space="preserve">sob pena de decair 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szCs w:val="20"/>
        </w:rPr>
      </w:pPr>
      <w:r>
        <w:rPr>
          <w:rFonts w:eastAsia="Arial" w:cs="Arial"/>
          <w:szCs w:val="20"/>
        </w:rPr>
        <w:t>O prazo previsto no subitem anterior poderá ser prorrogado,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Cs/>
          <w:szCs w:val="20"/>
        </w:rPr>
      </w:pPr>
      <w:r>
        <w:rPr>
          <w:rFonts w:eastAsia="Arial" w:cs="Arial"/>
          <w:iCs/>
          <w:szCs w:val="20"/>
        </w:rPr>
        <w:t>O Aceite da Nota de Empenho, emitida ao fornecedor adjudicado, implica o reconhecimento de que:</w:t>
      </w:r>
    </w:p>
    <w:p>
      <w:pPr>
        <w:pStyle w:val="Normal"/>
        <w:numPr>
          <w:ilvl w:val="2"/>
          <w:numId w:val="1"/>
        </w:numPr>
        <w:spacing w:lineRule="auto" w:line="276" w:before="120" w:after="120"/>
        <w:jc w:val="both"/>
        <w:rPr>
          <w:rFonts w:eastAsia="Arial" w:cs="Arial"/>
          <w:iCs/>
          <w:szCs w:val="20"/>
        </w:rPr>
      </w:pPr>
      <w:r>
        <w:rPr>
          <w:rFonts w:eastAsia="Arial" w:cs="Arial"/>
          <w:iCs/>
          <w:szCs w:val="20"/>
        </w:rPr>
        <w:t xml:space="preserve">referida Nota está substituindo o contrato, aplicando-se à relação de negócios ali estabelecida as disposições da </w:t>
      </w:r>
      <w:hyperlink r:id="rId9">
        <w:r>
          <w:rPr>
            <w:rStyle w:val="LinkdaInternet"/>
            <w:rFonts w:eastAsia="Arial" w:cs="Arial"/>
            <w:iCs/>
            <w:color w:val="auto"/>
            <w:szCs w:val="20"/>
            <w:u w:val="none"/>
          </w:rPr>
          <w:t>Lei nº 14.133, de 2021</w:t>
        </w:r>
      </w:hyperlink>
      <w:r>
        <w:rPr>
          <w:rFonts w:eastAsia="Arial" w:cs="Arial"/>
          <w:iCs/>
          <w:szCs w:val="20"/>
        </w:rPr>
        <w:t>;</w:t>
      </w:r>
    </w:p>
    <w:p>
      <w:pPr>
        <w:pStyle w:val="Normal"/>
        <w:numPr>
          <w:ilvl w:val="2"/>
          <w:numId w:val="1"/>
        </w:numPr>
        <w:spacing w:lineRule="auto" w:line="276" w:before="120" w:after="120"/>
        <w:jc w:val="both"/>
        <w:rPr>
          <w:rFonts w:eastAsia="Arial" w:cs="Arial"/>
          <w:iCs/>
          <w:szCs w:val="20"/>
        </w:rPr>
      </w:pPr>
      <w:r>
        <w:rPr>
          <w:rFonts w:eastAsia="Arial" w:cs="Arial"/>
          <w:iCs/>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iCs/>
          <w:szCs w:val="20"/>
        </w:rPr>
      </w:pPr>
      <w:r>
        <w:rPr>
          <w:rFonts w:eastAsia="Arial" w:cs="Arial"/>
          <w:iCs/>
          <w:szCs w:val="20"/>
        </w:rPr>
        <w:t xml:space="preserve">a contratada reconhece que as hipóteses de rescisão são aquelas previstas nos </w:t>
      </w:r>
      <w:r>
        <w:fldChar w:fldCharType="begin"/>
      </w:r>
      <w:r>
        <w:rPr>
          <w:rStyle w:val="LinkdaInternet"/>
          <w:u w:val="none"/>
          <w:szCs w:val="20"/>
          <w:iCs/>
          <w:rFonts w:eastAsia="Arial" w:cs="Arial"/>
          <w:color w:val="auto"/>
        </w:rPr>
        <w:instrText xml:space="preserve"> HYPERLINK "http://www.planalto.gov.br/ccivil_03/_ato2019-2022/2021/lei/L14133.htm" \l "art137"</w:instrText>
      </w:r>
      <w:r>
        <w:rPr>
          <w:rStyle w:val="LinkdaInternet"/>
          <w:u w:val="none"/>
          <w:szCs w:val="20"/>
          <w:iCs/>
          <w:rFonts w:eastAsia="Arial" w:cs="Arial"/>
          <w:color w:val="auto"/>
        </w:rPr>
        <w:fldChar w:fldCharType="separate"/>
      </w:r>
      <w:r>
        <w:rPr>
          <w:rStyle w:val="LinkdaInternet"/>
          <w:rFonts w:eastAsia="Arial" w:cs="Arial"/>
          <w:iCs/>
          <w:color w:val="auto"/>
          <w:szCs w:val="20"/>
          <w:u w:val="none"/>
        </w:rPr>
        <w:t>artigos 137 e 138 da Lei nº 14.133, de 2021</w:t>
      </w:r>
      <w:r>
        <w:rPr>
          <w:rStyle w:val="LinkdaInternet"/>
          <w:u w:val="none"/>
          <w:szCs w:val="20"/>
          <w:iCs/>
          <w:rFonts w:eastAsia="Arial" w:cs="Arial"/>
          <w:color w:val="auto"/>
        </w:rPr>
        <w:fldChar w:fldCharType="end"/>
      </w:r>
      <w:r>
        <w:rPr>
          <w:rFonts w:eastAsia="Arial" w:cs="Arial"/>
          <w:iCs/>
          <w:szCs w:val="20"/>
        </w:rPr>
        <w:t xml:space="preserve"> e reconhece os direitos da Administração previstos nos </w:t>
      </w:r>
      <w:r>
        <w:fldChar w:fldCharType="begin"/>
      </w:r>
      <w:r>
        <w:rPr>
          <w:rStyle w:val="LinkdaInternet"/>
          <w:u w:val="none"/>
          <w:szCs w:val="20"/>
          <w:iCs/>
          <w:rFonts w:eastAsia="Arial" w:cs="Arial"/>
          <w:color w:val="auto"/>
        </w:rPr>
        <w:instrText xml:space="preserve"> HYPERLINK "http://www.planalto.gov.br/ccivil_03/_ato2019-2022/2021/lei/L14133.htm" \l "art137"</w:instrText>
      </w:r>
      <w:r>
        <w:rPr>
          <w:rStyle w:val="LinkdaInternet"/>
          <w:u w:val="none"/>
          <w:szCs w:val="20"/>
          <w:iCs/>
          <w:rFonts w:eastAsia="Arial" w:cs="Arial"/>
          <w:color w:val="auto"/>
        </w:rPr>
        <w:fldChar w:fldCharType="separate"/>
      </w:r>
      <w:r>
        <w:rPr>
          <w:rStyle w:val="LinkdaInternet"/>
          <w:rFonts w:eastAsia="Arial" w:cs="Arial"/>
          <w:iCs/>
          <w:color w:val="auto"/>
          <w:szCs w:val="20"/>
          <w:u w:val="none"/>
        </w:rPr>
        <w:t>artigos 137 a 139 da mesma Lei</w:t>
      </w:r>
      <w:r>
        <w:rPr>
          <w:rStyle w:val="LinkdaInternet"/>
          <w:u w:val="none"/>
          <w:szCs w:val="20"/>
          <w:iCs/>
          <w:rFonts w:eastAsia="Arial" w:cs="Arial"/>
          <w:color w:val="auto"/>
        </w:rPr>
        <w:fldChar w:fldCharType="end"/>
      </w:r>
      <w:r>
        <w:rPr>
          <w:rFonts w:eastAsia="Arial" w:cs="Arial"/>
          <w:iCs/>
          <w:szCs w:val="20"/>
        </w:rPr>
        <w:t>.</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prazo de vigência da contratação é o estabelecido no Termo de Referência. </w:t>
      </w:r>
    </w:p>
    <w:p>
      <w:pPr>
        <w:pStyle w:val="Normal"/>
        <w:numPr>
          <w:ilvl w:val="1"/>
          <w:numId w:val="1"/>
        </w:numPr>
        <w:spacing w:lineRule="auto" w:line="276" w:before="120" w:after="120"/>
        <w:ind w:left="425" w:hanging="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Ttulo1"/>
        <w:numPr>
          <w:ilvl w:val="0"/>
          <w:numId w:val="1"/>
        </w:numPr>
        <w:rPr/>
      </w:pPr>
      <w:bookmarkStart w:id="8" w:name="_Toc142925870"/>
      <w:r>
        <w:rPr/>
        <w:t>INFRAÇÕES E SANÇÕES ADMINISTRATIVAS</w:t>
      </w:r>
      <w:bookmarkEnd w:id="8"/>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color w:val="auto"/>
        </w:rPr>
        <w:instrText xml:space="preserve"> HYPERLINK "http://www.planalto.gov.br/ccivil_03/_ato2019-2022/2021/lei/L14133.htm" \l "art155"</w:instrText>
      </w:r>
      <w:r>
        <w:rPr>
          <w:rStyle w:val="LinkdaInternet"/>
          <w:rFonts w:cs="Arial"/>
          <w:color w:val="auto"/>
        </w:rPr>
        <w:fldChar w:fldCharType="separate"/>
      </w:r>
      <w:r>
        <w:rPr>
          <w:rStyle w:val="LinkdaInternet"/>
          <w:rFonts w:cs="Arial"/>
          <w:color w:val="auto"/>
        </w:rPr>
        <w:t>art. 155 da Lei nº 14.133, de 2021</w:t>
      </w:r>
      <w:r>
        <w:rPr>
          <w:rStyle w:val="LinkdaInternet"/>
          <w:rFonts w:cs="Arial"/>
          <w:color w:val="auto"/>
        </w:rPr>
        <w:fldChar w:fldCharType="end"/>
      </w:r>
      <w:r>
        <w:rPr>
          <w:rFonts w:cs="Arial"/>
        </w:rPr>
        <w:t xml:space="preserve">, quais sejam: </w:t>
      </w:r>
    </w:p>
    <w:p>
      <w:pPr>
        <w:pStyle w:val="Normal"/>
        <w:numPr>
          <w:ilvl w:val="2"/>
          <w:numId w:val="1"/>
        </w:numPr>
        <w:spacing w:lineRule="auto" w:line="276" w:before="120" w:after="120"/>
        <w:jc w:val="both"/>
        <w:rPr>
          <w:rFonts w:cs="Arial"/>
        </w:rPr>
      </w:pPr>
      <w:bookmarkStart w:id="9" w:name="_Ref143509900"/>
      <w:r>
        <w:rPr>
          <w:rFonts w:cs="Arial"/>
          <w:szCs w:val="20"/>
        </w:rPr>
        <w:t>dar causa à inexecução parcial do contrato</w:t>
      </w:r>
      <w:r>
        <w:rPr>
          <w:rFonts w:cs="Arial"/>
        </w:rPr>
        <w:t>;</w:t>
      </w:r>
      <w:bookmarkEnd w:id="9"/>
    </w:p>
    <w:p>
      <w:pPr>
        <w:pStyle w:val="Normal"/>
        <w:numPr>
          <w:ilvl w:val="2"/>
          <w:numId w:val="1"/>
        </w:numPr>
        <w:spacing w:lineRule="auto" w:line="276" w:before="120" w:after="120"/>
        <w:jc w:val="both"/>
        <w:rPr>
          <w:rFonts w:cs="Arial"/>
        </w:rPr>
      </w:pPr>
      <w:bookmarkStart w:id="10" w:name="_Ref143510015"/>
      <w:r>
        <w:rPr>
          <w:rFonts w:cs="Arial"/>
          <w:szCs w:val="20"/>
        </w:rPr>
        <w:t>dar causa à inexecução parcial do contrato que cause grave dano à Administração, ao funcionamento dos serviços públicos ou ao interesse coletivo;</w:t>
      </w:r>
      <w:bookmarkEnd w:id="10"/>
    </w:p>
    <w:p>
      <w:pPr>
        <w:pStyle w:val="Normal"/>
        <w:numPr>
          <w:ilvl w:val="2"/>
          <w:numId w:val="1"/>
        </w:numPr>
        <w:spacing w:lineRule="auto" w:line="276" w:before="120" w:after="120"/>
        <w:jc w:val="both"/>
        <w:rPr>
          <w:rFonts w:cs="Arial"/>
        </w:rPr>
      </w:pPr>
      <w:r>
        <w:rPr>
          <w:rFonts w:cs="Arial"/>
          <w:szCs w:val="20"/>
        </w:rPr>
        <w:t>dar causa à inexecução total do contrato;</w:t>
      </w:r>
    </w:p>
    <w:p>
      <w:pPr>
        <w:pStyle w:val="Normal"/>
        <w:numPr>
          <w:ilvl w:val="2"/>
          <w:numId w:val="1"/>
        </w:numPr>
        <w:spacing w:lineRule="auto" w:line="276" w:before="120" w:after="120"/>
        <w:jc w:val="both"/>
        <w:rPr>
          <w:rFonts w:cs="Arial"/>
        </w:rPr>
      </w:pPr>
      <w:r>
        <w:rPr>
          <w:rFonts w:cs="Arial"/>
          <w:szCs w:val="20"/>
        </w:rPr>
        <w:t>deixar de entregar a documentação exigida para o certame;</w:t>
      </w:r>
    </w:p>
    <w:p>
      <w:pPr>
        <w:pStyle w:val="Normal"/>
        <w:numPr>
          <w:ilvl w:val="2"/>
          <w:numId w:val="1"/>
        </w:numPr>
        <w:spacing w:lineRule="auto" w:line="276" w:before="120" w:after="120"/>
        <w:jc w:val="both"/>
        <w:rPr>
          <w:rFonts w:cs="Arial"/>
        </w:rPr>
      </w:pPr>
      <w:r>
        <w:rPr>
          <w:rFonts w:cs="Arial"/>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szCs w:val="20"/>
        </w:rPr>
        <w:t> </w:t>
      </w:r>
      <w:bookmarkStart w:id="11" w:name="_Ref143510046"/>
      <w:r>
        <w:rPr>
          <w:rFonts w:cs="Arial"/>
          <w:szCs w:val="20"/>
        </w:rPr>
        <w:t>ensejar o retardamento da execução ou da entrega do objeto da contratação direta sem motivo justificado;</w:t>
      </w:r>
      <w:bookmarkEnd w:id="11"/>
    </w:p>
    <w:p>
      <w:pPr>
        <w:pStyle w:val="Normal"/>
        <w:numPr>
          <w:ilvl w:val="2"/>
          <w:numId w:val="1"/>
        </w:numPr>
        <w:spacing w:lineRule="auto" w:line="276" w:before="120" w:after="120"/>
        <w:jc w:val="both"/>
        <w:rPr>
          <w:rFonts w:cs="Arial"/>
        </w:rPr>
      </w:pPr>
      <w:bookmarkStart w:id="12" w:name="_Ref143510088"/>
      <w:r>
        <w:rPr>
          <w:rFonts w:cs="Arial"/>
          <w:szCs w:val="20"/>
        </w:rPr>
        <w:t>apresentar declaração ou documentação falsa exigida para o certame ou prestar declaração falsa durante a dispensa eletrônica ou a execução do contrato;</w:t>
      </w:r>
      <w:bookmarkEnd w:id="12"/>
    </w:p>
    <w:p>
      <w:pPr>
        <w:pStyle w:val="Normal"/>
        <w:numPr>
          <w:ilvl w:val="2"/>
          <w:numId w:val="1"/>
        </w:numPr>
        <w:spacing w:lineRule="auto" w:line="276" w:before="120" w:after="120"/>
        <w:jc w:val="both"/>
        <w:rPr>
          <w:rFonts w:cs="Arial"/>
        </w:rPr>
      </w:pPr>
      <w:r>
        <w:rPr>
          <w:rFonts w:cs="Arial"/>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szCs w:val="20"/>
        </w:rPr>
        <w:t> </w:t>
      </w:r>
      <w:r>
        <w:rPr>
          <w:rFonts w:cs="Arial"/>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szCs w:val="20"/>
        </w:rPr>
        <w:t> </w:t>
      </w:r>
      <w:r>
        <w:rPr>
          <w:rFonts w:cs="Arial"/>
          <w:szCs w:val="20"/>
        </w:rPr>
        <w:t>praticar atos ilícitos com vistas a frustrar os objetivos deste certame.</w:t>
      </w:r>
    </w:p>
    <w:p>
      <w:pPr>
        <w:pStyle w:val="Normal"/>
        <w:numPr>
          <w:ilvl w:val="2"/>
          <w:numId w:val="1"/>
        </w:numPr>
        <w:spacing w:lineRule="auto" w:line="276" w:before="120" w:after="120"/>
        <w:jc w:val="both"/>
        <w:rPr>
          <w:rStyle w:val="LinkdaInternet"/>
          <w:rFonts w:cs="Arial"/>
          <w:color w:val="auto"/>
          <w:szCs w:val="20"/>
        </w:rPr>
      </w:pPr>
      <w:bookmarkStart w:id="13" w:name="_Ref143509952"/>
      <w:bookmarkEnd w:id="13"/>
      <w:r>
        <w:rPr>
          <w:rFonts w:cs="Arial"/>
          <w:szCs w:val="20"/>
        </w:rPr>
        <w:t>praticar ato lesivo previsto no </w:t>
      </w:r>
      <w:r>
        <w:fldChar w:fldCharType="begin"/>
      </w:r>
      <w:r>
        <w:rPr>
          <w:rStyle w:val="LinkdaInternet"/>
          <w:color w:val="auto"/>
        </w:rPr>
        <w:instrText xml:space="preserve"> HYPERLINK "http://www.planalto.gov.br/ccivil_03/_ato2019-2022/2021/lei/L14133.htm" \l "art5"</w:instrText>
      </w:r>
      <w:r>
        <w:rPr>
          <w:rStyle w:val="LinkdaInternet"/>
          <w:color w:val="auto"/>
        </w:rPr>
        <w:fldChar w:fldCharType="separate"/>
      </w:r>
      <w:r>
        <w:rPr>
          <w:rStyle w:val="LinkdaInternet"/>
          <w:color w:val="auto"/>
        </w:rPr>
        <w:t>art. 5º da Lei nº 12.846, de 1º de agosto de 2013.</w:t>
      </w:r>
      <w:r>
        <w:rPr>
          <w:rStyle w:val="LinkdaInternet"/>
          <w:color w:val="auto"/>
        </w:rPr>
        <w:fldChar w:fldCharType="end"/>
      </w:r>
    </w:p>
    <w:p>
      <w:pPr>
        <w:pStyle w:val="Normal"/>
        <w:numPr>
          <w:ilvl w:val="1"/>
          <w:numId w:val="1"/>
        </w:numPr>
        <w:spacing w:lineRule="auto" w:line="276" w:before="120" w:after="120"/>
        <w:ind w:left="425" w:hanging="0"/>
        <w:jc w:val="both"/>
        <w:rPr>
          <w:rFonts w:cs="Arial"/>
          <w:b/>
          <w:b/>
        </w:rPr>
      </w:pPr>
      <w:r>
        <w:fldChar w:fldCharType="begin"/>
      </w:r>
      <w:r>
        <w:rPr>
          <w:rFonts w:cs="Arial"/>
        </w:rPr>
        <w:instrText xml:space="preserve"> HYPERLINK "http://www.planalto.gov.br/ccivil_03/_ato2019-2022/2021/lei/L14133.htm" \l "art5"</w:instrText>
      </w:r>
      <w:r>
        <w:rPr>
          <w:rFonts w:cs="Arial"/>
        </w:rPr>
        <w:fldChar w:fldCharType="separate"/>
      </w:r>
      <w:bookmarkStart w:id="14" w:name="_Ref1435099521"/>
      <w:bookmarkEnd w:id="14"/>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fldChar w:fldCharType="separate"/>
      </w:r>
      <w:r>
        <w:rPr>
          <w:rFonts w:cs="Arial"/>
        </w:rPr>
        <w:t>7.1.1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 xml:space="preserve">Multa de 30 % (trinta por cento) sobre o valor estimado dos itens prejudicados pela conduta do fornecedor, por qualquer das infrações dos subitens </w:t>
      </w:r>
      <w:r>
        <w:rPr>
          <w:rFonts w:cs="Arial"/>
        </w:rPr>
        <w:fldChar w:fldCharType="begin"/>
      </w:r>
      <w:r>
        <w:rPr>
          <w:rFonts w:cs="Arial"/>
        </w:rPr>
        <w:instrText xml:space="preserve"> REF _Ref143509900 \r \h </w:instrText>
      </w:r>
      <w:r>
        <w:rPr>
          <w:rFonts w:cs="Arial"/>
        </w:rPr>
        <w:fldChar w:fldCharType="separate"/>
      </w:r>
      <w:r>
        <w:rPr>
          <w:rFonts w:cs="Arial"/>
        </w:rPr>
        <w:t>7.1.1</w:t>
      </w:r>
      <w:r>
        <w:rPr>
          <w:rFonts w:cs="Arial"/>
        </w:rPr>
        <w:fldChar w:fldCharType="end"/>
      </w:r>
      <w:r>
        <w:rPr>
          <w:rFonts w:cs="Arial"/>
        </w:rPr>
        <w:t xml:space="preserve"> a </w:t>
      </w:r>
      <w:r>
        <w:rPr>
          <w:rFonts w:cs="Arial"/>
        </w:rPr>
        <w:fldChar w:fldCharType="begin"/>
      </w:r>
      <w:r>
        <w:rPr>
          <w:rFonts w:cs="Arial"/>
        </w:rPr>
        <w:instrText xml:space="preserve"> REF _Ref143509952 \r \h </w:instrText>
      </w:r>
      <w:r>
        <w:rPr>
          <w:rFonts w:cs="Arial"/>
        </w:rPr>
        <w:fldChar w:fldCharType="separate"/>
      </w:r>
      <w:r>
        <w:rPr>
          <w:rFonts w:cs="Arial"/>
        </w:rPr>
        <w:t>7.1.12</w:t>
      </w:r>
      <w:r>
        <w:rPr>
          <w:rFonts w:cs="Arial"/>
        </w:rPr>
        <w:fldChar w:fldCharType="end"/>
      </w:r>
      <w:r>
        <w:rPr>
          <w:rFonts w:cs="Arial"/>
        </w:rPr>
        <w:t>;</w:t>
      </w:r>
    </w:p>
    <w:p>
      <w:pPr>
        <w:pStyle w:val="Normal"/>
        <w:numPr>
          <w:ilvl w:val="2"/>
          <w:numId w:val="5"/>
        </w:numPr>
        <w:spacing w:lineRule="auto" w:line="276" w:before="120" w:after="120"/>
        <w:jc w:val="both"/>
        <w:rPr>
          <w:rFonts w:cs="Arial"/>
        </w:rPr>
      </w:pPr>
      <w:r>
        <w:rPr>
          <w:rFonts w:cs="Arial"/>
          <w:szCs w:val="20"/>
        </w:rPr>
        <w:t>Impedimento de licitar e contratar</w:t>
      </w:r>
      <w:r>
        <w:rPr>
          <w:rFonts w:cs="Arial"/>
        </w:rPr>
        <w:t xml:space="preserve"> </w:t>
      </w:r>
      <w:r>
        <w:rPr>
          <w:rFonts w:cs="Arial"/>
          <w:szCs w:val="20"/>
        </w:rPr>
        <w:t xml:space="preserve">no âmbito da Administração Pública direta e indireta do ente federativo que tiver aplicado a sanção, pelo prazo máximo de 3 (três) anos, nos casos dos subitens </w:t>
      </w:r>
      <w:r>
        <w:rPr>
          <w:rFonts w:cs="Arial"/>
          <w:szCs w:val="20"/>
        </w:rPr>
        <w:fldChar w:fldCharType="begin"/>
      </w:r>
      <w:r>
        <w:rPr>
          <w:szCs w:val="20"/>
          <w:rFonts w:cs="Arial"/>
        </w:rPr>
        <w:instrText xml:space="preserve"> REF _Ref143510015 \r \h </w:instrText>
      </w:r>
      <w:r>
        <w:rPr>
          <w:szCs w:val="20"/>
          <w:rFonts w:cs="Arial"/>
        </w:rPr>
        <w:fldChar w:fldCharType="separate"/>
      </w:r>
      <w:r>
        <w:rPr>
          <w:szCs w:val="20"/>
          <w:rFonts w:cs="Arial"/>
        </w:rPr>
        <w:t>7.1.2</w:t>
      </w:r>
      <w:r>
        <w:rPr>
          <w:szCs w:val="20"/>
          <w:rFonts w:cs="Arial"/>
        </w:rPr>
        <w:fldChar w:fldCharType="end"/>
      </w:r>
      <w:r>
        <w:rPr>
          <w:rFonts w:cs="Arial"/>
          <w:szCs w:val="20"/>
        </w:rPr>
        <w:t xml:space="preserve">  a </w:t>
      </w:r>
      <w:r>
        <w:rPr>
          <w:rFonts w:cs="Arial"/>
          <w:szCs w:val="20"/>
        </w:rPr>
        <w:fldChar w:fldCharType="begin"/>
      </w:r>
      <w:r>
        <w:rPr>
          <w:szCs w:val="20"/>
          <w:rFonts w:cs="Arial"/>
        </w:rPr>
        <w:instrText xml:space="preserve"> REF _Ref143510046 \r \h </w:instrText>
      </w:r>
      <w:r>
        <w:rPr>
          <w:szCs w:val="20"/>
          <w:rFonts w:cs="Arial"/>
        </w:rPr>
        <w:fldChar w:fldCharType="separate"/>
      </w:r>
      <w:r>
        <w:rPr>
          <w:szCs w:val="20"/>
          <w:rFonts w:cs="Arial"/>
        </w:rPr>
        <w:t>7.1.7</w:t>
      </w:r>
      <w:r>
        <w:rPr>
          <w:szCs w:val="20"/>
          <w:rFonts w:cs="Arial"/>
        </w:rPr>
        <w:fldChar w:fldCharType="end"/>
      </w:r>
      <w:r>
        <w:rPr>
          <w:rFonts w:cs="Arial"/>
          <w:szCs w:val="20"/>
        </w:rPr>
        <w:t xml:space="preserve">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szCs w:val="20"/>
        </w:rPr>
        <w:fldChar w:fldCharType="begin"/>
      </w:r>
      <w:r>
        <w:rPr>
          <w:szCs w:val="20"/>
          <w:rFonts w:cs="Arial"/>
        </w:rPr>
        <w:instrText xml:space="preserve"> REF _Ref143510088 \r \h </w:instrText>
      </w:r>
      <w:r>
        <w:rPr>
          <w:szCs w:val="20"/>
          <w:rFonts w:cs="Arial"/>
        </w:rPr>
        <w:fldChar w:fldCharType="separate"/>
      </w:r>
      <w:r>
        <w:rPr>
          <w:szCs w:val="20"/>
          <w:rFonts w:cs="Arial"/>
        </w:rPr>
        <w:t>7.1.8</w:t>
      </w:r>
      <w:r>
        <w:rPr>
          <w:szCs w:val="20"/>
          <w:rFonts w:cs="Arial"/>
        </w:rPr>
        <w:fldChar w:fldCharType="end"/>
      </w:r>
      <w:r>
        <w:rPr>
          <w:rFonts w:cs="Arial"/>
          <w:szCs w:val="20"/>
        </w:rPr>
        <w:t xml:space="preserve"> a </w:t>
      </w:r>
      <w:r>
        <w:rPr>
          <w:rFonts w:cs="Arial"/>
          <w:szCs w:val="20"/>
        </w:rPr>
        <w:fldChar w:fldCharType="begin"/>
      </w:r>
      <w:r>
        <w:rPr>
          <w:szCs w:val="20"/>
          <w:rFonts w:cs="Arial"/>
        </w:rPr>
        <w:instrText xml:space="preserve"> REF _Ref143509952 \r \h </w:instrText>
      </w:r>
      <w:r>
        <w:rPr>
          <w:szCs w:val="20"/>
          <w:rFonts w:cs="Arial"/>
        </w:rPr>
        <w:fldChar w:fldCharType="separate"/>
      </w:r>
      <w:r>
        <w:rPr>
          <w:szCs w:val="20"/>
          <w:rFonts w:cs="Arial"/>
        </w:rPr>
        <w:t>7.1.12</w:t>
      </w:r>
      <w:r>
        <w:rPr>
          <w:szCs w:val="20"/>
          <w:rFonts w:cs="Arial"/>
        </w:rPr>
        <w:fldChar w:fldCharType="end"/>
      </w:r>
      <w:r>
        <w:rPr>
          <w:rFonts w:cs="Arial"/>
          <w:szCs w:val="20"/>
        </w:rPr>
        <w:t>, bem como nos demais casos que justifiquem a imposição da penalidade mais grave</w:t>
      </w:r>
      <w:r>
        <w:rPr>
          <w:rFonts w:cs="Arial"/>
        </w:rPr>
        <w:t>;</w:t>
      </w:r>
    </w:p>
    <w:p>
      <w:pPr>
        <w:pStyle w:val="Normal"/>
        <w:numPr>
          <w:ilvl w:val="1"/>
          <w:numId w:val="1"/>
        </w:numPr>
        <w:spacing w:lineRule="auto" w:line="276" w:before="120" w:after="120"/>
        <w:ind w:left="425" w:hanging="0"/>
        <w:jc w:val="both"/>
        <w:rPr>
          <w:rFonts w:cs="Arial"/>
          <w:bCs/>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color w:val="auto"/>
        </w:rPr>
        <w:instrText xml:space="preserve"> HYPERLINK "http://www.planalto.gov.br/ccivil_03/_ato2019-2022/2021/lei/L14133.htm" \l "art156§9"</w:instrText>
      </w:r>
      <w:r>
        <w:rPr>
          <w:rStyle w:val="LinkdaInternet"/>
          <w:bCs/>
          <w:rFonts w:cs="Arial"/>
          <w:color w:val="auto"/>
        </w:rPr>
        <w:fldChar w:fldCharType="separate"/>
      </w:r>
      <w:r>
        <w:rPr>
          <w:rStyle w:val="LinkdaInternet"/>
          <w:rFonts w:cs="Arial"/>
          <w:bCs/>
          <w:color w:val="auto"/>
        </w:rPr>
        <w:t>art. 156, §9º</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color w:val="auto"/>
        </w:rPr>
        <w:instrText xml:space="preserve"> HYPERLINK "http://www.planalto.gov.br/ccivil_03/_ato2019-2022/2021/lei/L14133.htm" \l "art156§7"</w:instrText>
      </w:r>
      <w:r>
        <w:rPr>
          <w:rStyle w:val="LinkdaInternet"/>
          <w:bCs/>
          <w:rFonts w:cs="Arial"/>
          <w:color w:val="auto"/>
        </w:rPr>
        <w:fldChar w:fldCharType="separate"/>
      </w:r>
      <w:r>
        <w:rPr>
          <w:rStyle w:val="LinkdaInternet"/>
          <w:rFonts w:cs="Arial"/>
          <w:bCs/>
          <w:color w:val="auto"/>
        </w:rPr>
        <w:t>(art. 156, §7º</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color w:val="auto"/>
        </w:rPr>
        <w:instrText xml:space="preserve"> HYPERLINK "http://www.planalto.gov.br/ccivil_03/_ato2019-2022/2021/lei/L14133.htm" \l "art157"</w:instrText>
      </w:r>
      <w:r>
        <w:rPr>
          <w:rStyle w:val="LinkdaInternet"/>
          <w:bCs/>
          <w:rFonts w:cs="Arial"/>
          <w:color w:val="auto"/>
        </w:rPr>
        <w:fldChar w:fldCharType="separate"/>
      </w:r>
      <w:r>
        <w:rPr>
          <w:rStyle w:val="LinkdaInternet"/>
          <w:rFonts w:cs="Arial"/>
          <w:bCs/>
          <w:color w:val="auto"/>
        </w:rPr>
        <w:t>art. 157</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color w:val="auto"/>
        </w:rPr>
        <w:instrText xml:space="preserve"> HYPERLINK "http://www.planalto.gov.br/ccivil_03/_ato2019-2022/2021/lei/L14133.htm" \l "art156§8"</w:instrText>
      </w:r>
      <w:r>
        <w:rPr>
          <w:rStyle w:val="LinkdaInternet"/>
          <w:bCs/>
          <w:rFonts w:cs="Arial"/>
          <w:color w:val="auto"/>
        </w:rPr>
        <w:fldChar w:fldCharType="separate"/>
      </w:r>
      <w:r>
        <w:rPr>
          <w:rStyle w:val="LinkdaInternet"/>
          <w:rFonts w:cs="Arial"/>
          <w:bCs/>
          <w:color w:val="auto"/>
        </w:rPr>
        <w:t>art. 156, §8º</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 xml:space="preserve">Previamente ao encaminhamento à cobrança judicial, a multa poderá ser recolhida administrativamente no prazo máximo de </w:t>
      </w:r>
      <w:r>
        <w:rPr>
          <w:rFonts w:cs="Arial"/>
        </w:rPr>
        <w:t>10 (dez)</w:t>
      </w:r>
      <w:r>
        <w:rPr>
          <w:rFonts w:cs="Arial"/>
          <w:bCs/>
        </w:rPr>
        <w:t xml:space="preserve"> dias, a contar da data do recebimento da comunicação enviada pela autoridade competente.</w:t>
      </w:r>
      <w:bookmarkStart w:id="15" w:name="_Hlk78351618"/>
      <w:bookmarkEnd w:id="15"/>
    </w:p>
    <w:p>
      <w:pPr>
        <w:pStyle w:val="Normal"/>
        <w:numPr>
          <w:ilvl w:val="1"/>
          <w:numId w:val="1"/>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color w:val="auto"/>
        </w:rPr>
        <w:instrText xml:space="preserve"> HYPERLINK "http://www.planalto.gov.br/ccivil_03/_ato2019-2022/2021/lei/L14133.htm" \l "art158"</w:instrText>
      </w:r>
      <w:r>
        <w:rPr>
          <w:rStyle w:val="LinkdaInternet"/>
          <w:bCs/>
          <w:rFonts w:cs="Arial"/>
          <w:color w:val="auto"/>
        </w:rPr>
        <w:fldChar w:fldCharType="separate"/>
      </w:r>
      <w:r>
        <w:rPr>
          <w:rStyle w:val="LinkdaInternet"/>
          <w:rFonts w:cs="Arial"/>
          <w:bCs/>
          <w:color w:val="auto"/>
        </w:rPr>
        <w:t>art. 158 da Lei nº 14.133, de 2021</w:t>
      </w:r>
      <w:r>
        <w:rPr>
          <w:rStyle w:val="LinkdaInternet"/>
          <w:bCs/>
          <w:rFonts w:cs="Arial"/>
          <w:color w:val="auto"/>
        </w:rPr>
        <w:fldChar w:fldCharType="end"/>
      </w:r>
      <w:r>
        <w:rPr>
          <w:rFonts w:cs="Arial"/>
          <w:bCs/>
        </w:rPr>
        <w:t>, para as penalidades de impedimento de licitar e contratar e de declaração de inidoneidade para licitar ou contratar.</w:t>
      </w:r>
    </w:p>
    <w:p>
      <w:pPr>
        <w:pStyle w:val="Normal"/>
        <w:numPr>
          <w:ilvl w:val="1"/>
          <w:numId w:val="1"/>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color w:val="auto"/>
        </w:rPr>
        <w:instrText xml:space="preserve"> HYPERLINK "http://www.planalto.gov.br/ccivil_03/_ato2019-2022/2021/lei/L14133.htm" \l "art156§1"</w:instrText>
      </w:r>
      <w:r>
        <w:rPr>
          <w:rStyle w:val="LinkdaInternet"/>
          <w:bCs/>
          <w:rFonts w:cs="Arial"/>
          <w:color w:val="auto"/>
        </w:rPr>
        <w:fldChar w:fldCharType="separate"/>
      </w:r>
      <w:r>
        <w:rPr>
          <w:rStyle w:val="LinkdaInternet"/>
          <w:rFonts w:cs="Arial"/>
          <w:bCs/>
          <w:color w:val="auto"/>
        </w:rPr>
        <w:t>art. 156, §1º</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1"/>
        </w:numPr>
        <w:spacing w:lineRule="auto" w:line="276" w:before="120" w:after="120"/>
        <w:ind w:left="425" w:hanging="0"/>
        <w:jc w:val="both"/>
        <w:rPr>
          <w:rFonts w:cs="Arial"/>
          <w:bCs/>
        </w:rPr>
      </w:pPr>
      <w:r>
        <w:rPr>
          <w:rFonts w:cs="Arial"/>
          <w:bCs/>
        </w:rPr>
        <w:t>as peculiaridades do caso concreto;</w:t>
      </w:r>
    </w:p>
    <w:p>
      <w:pPr>
        <w:pStyle w:val="Normal"/>
        <w:numPr>
          <w:ilvl w:val="1"/>
          <w:numId w:val="1"/>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1"/>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1"/>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bCs/>
        </w:rPr>
      </w:pPr>
      <w:r>
        <w:rPr>
          <w:rFonts w:cs="Arial"/>
          <w:bCs/>
        </w:rPr>
        <w:t xml:space="preserve">Os atos previstos como infrações administrativas na </w:t>
      </w:r>
      <w:hyperlink r:id="rId10">
        <w:r>
          <w:rPr>
            <w:rStyle w:val="LinkdaInternet"/>
            <w:rFonts w:cs="Arial"/>
            <w:bCs/>
            <w:color w:val="auto"/>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color w:val="auto"/>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color w:val="auto"/>
        </w:rPr>
        <w:instrText xml:space="preserve"> HYPERLINK "http://www.planalto.gov.br/ccivil_03/_ato2019-2022/2021/lei/L14133.htm" \l "art159"</w:instrText>
      </w:r>
      <w:r>
        <w:rPr>
          <w:rStyle w:val="LinkdaInternet"/>
          <w:bCs/>
          <w:rFonts w:cs="Arial"/>
          <w:color w:val="auto"/>
        </w:rPr>
        <w:fldChar w:fldCharType="separate"/>
      </w:r>
      <w:r>
        <w:rPr>
          <w:rStyle w:val="LinkdaInternet"/>
          <w:rFonts w:cs="Arial"/>
          <w:bCs/>
          <w:color w:val="auto"/>
        </w:rPr>
        <w:t>art. 159</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color w:val="auto"/>
        </w:rPr>
        <w:instrText xml:space="preserve"> HYPERLINK "http://www.planalto.gov.br/ccivil_03/_ato2019-2022/2021/lei/L14133.htm" \l "art160"</w:instrText>
      </w:r>
      <w:r>
        <w:rPr>
          <w:rStyle w:val="LinkdaInternet"/>
          <w:bCs/>
          <w:rFonts w:cs="Arial"/>
          <w:color w:val="auto"/>
        </w:rPr>
        <w:fldChar w:fldCharType="separate"/>
      </w:r>
      <w:r>
        <w:rPr>
          <w:rStyle w:val="LinkdaInternet"/>
          <w:rFonts w:cs="Arial"/>
          <w:bCs/>
          <w:color w:val="auto"/>
        </w:rPr>
        <w:t>art. 160</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color w:val="auto"/>
        </w:rPr>
        <w:instrText xml:space="preserve"> HYPERLINK "http://www.planalto.gov.br/ccivil_03/_ato2019-2022/2021/lei/L14133.htm" \l "art161"</w:instrText>
      </w:r>
      <w:r>
        <w:rPr>
          <w:rStyle w:val="LinkdaInternet"/>
          <w:bCs/>
          <w:rFonts w:cs="Arial"/>
          <w:color w:val="auto"/>
        </w:rPr>
        <w:fldChar w:fldCharType="separate"/>
      </w:r>
      <w:r>
        <w:rPr>
          <w:rStyle w:val="LinkdaInternet"/>
          <w:rFonts w:cs="Arial"/>
          <w:bCs/>
          <w:color w:val="auto"/>
        </w:rPr>
        <w:t>Art. 161</w:t>
      </w:r>
      <w:r>
        <w:rPr>
          <w:rStyle w:val="LinkdaInternet"/>
          <w:bCs/>
          <w:rFonts w:cs="Arial"/>
          <w:color w:val="auto"/>
        </w:rPr>
        <w:fldChar w:fldCharType="end"/>
      </w:r>
      <w:r>
        <w:rPr>
          <w:rFonts w:cs="Arial"/>
          <w:bCs/>
        </w:rPr>
        <w:t>)</w:t>
      </w:r>
    </w:p>
    <w:p>
      <w:pPr>
        <w:pStyle w:val="Normal"/>
        <w:numPr>
          <w:ilvl w:val="1"/>
          <w:numId w:val="1"/>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color w:val="auto"/>
        </w:rPr>
        <w:instrText xml:space="preserve"> HYPERLINK "http://www.planalto.gov.br/ccivil_03/_ato2019-2022/2021/lei/L14133.htm" \l "art163"</w:instrText>
      </w:r>
      <w:r>
        <w:rPr>
          <w:rStyle w:val="LinkdaInternet"/>
          <w:bCs/>
          <w:rFonts w:cs="Arial"/>
          <w:color w:val="auto"/>
        </w:rPr>
        <w:fldChar w:fldCharType="separate"/>
      </w:r>
      <w:r>
        <w:rPr>
          <w:rStyle w:val="LinkdaInternet"/>
          <w:rFonts w:cs="Arial"/>
          <w:bCs/>
          <w:color w:val="auto"/>
        </w:rPr>
        <w:t>art. 163 da Lei nº 14.133, de 2021.</w:t>
      </w:r>
      <w:r>
        <w:rPr>
          <w:rStyle w:val="LinkdaInternet"/>
          <w:bCs/>
          <w:rFonts w:cs="Arial"/>
          <w:color w:val="auto"/>
        </w:rPr>
        <w:fldChar w:fldCharType="end"/>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1"/>
        </w:numPr>
        <w:rPr/>
      </w:pPr>
      <w:bookmarkStart w:id="16" w:name="_Toc142925871"/>
      <w:r>
        <w:rPr/>
        <w:t>DAS DISPOSIÇÕES GERAIS</w:t>
      </w:r>
      <w:bookmarkEnd w:id="16"/>
    </w:p>
    <w:p>
      <w:pPr>
        <w:pStyle w:val="Normal"/>
        <w:numPr>
          <w:ilvl w:val="1"/>
          <w:numId w:val="1"/>
        </w:numPr>
        <w:spacing w:lineRule="auto" w:line="276" w:before="120" w:after="120"/>
        <w:ind w:left="425" w:hanging="0"/>
        <w:jc w:val="both"/>
        <w:rPr>
          <w:rFonts w:cs="Arial"/>
          <w:szCs w:val="20"/>
        </w:rPr>
      </w:pPr>
      <w:r>
        <w:rPr>
          <w:rFonts w:cs="Arial"/>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szCs w:val="20"/>
        </w:rPr>
      </w:pPr>
      <w:bookmarkStart w:id="17" w:name="_Ref143510170"/>
      <w:r>
        <w:rPr>
          <w:rFonts w:cs="Arial"/>
          <w:szCs w:val="20"/>
        </w:rPr>
        <w:t>republicar o presente aviso com uma nova data;</w:t>
      </w:r>
      <w:bookmarkEnd w:id="17"/>
    </w:p>
    <w:p>
      <w:pPr>
        <w:pStyle w:val="Normal"/>
        <w:numPr>
          <w:ilvl w:val="2"/>
          <w:numId w:val="1"/>
        </w:numPr>
        <w:spacing w:lineRule="auto" w:line="276" w:before="120" w:after="120"/>
        <w:jc w:val="both"/>
        <w:rPr>
          <w:rFonts w:cs="Arial"/>
          <w:szCs w:val="20"/>
        </w:rPr>
      </w:pPr>
      <w:bookmarkStart w:id="18" w:name="_Ref143510198"/>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pPr>
        <w:pStyle w:val="Normal"/>
        <w:numPr>
          <w:ilvl w:val="3"/>
          <w:numId w:val="1"/>
        </w:numPr>
        <w:spacing w:lineRule="auto" w:line="276" w:before="120" w:after="120"/>
        <w:jc w:val="both"/>
        <w:rPr>
          <w:rFonts w:cs="Arial"/>
          <w:szCs w:val="20"/>
        </w:rPr>
      </w:pPr>
      <w:r>
        <w:rPr>
          <w:rFonts w:cs="Arial"/>
          <w:szCs w:val="20"/>
        </w:rPr>
        <w:t>No caso do subitem anterior, a contratação será operacionalizada fora deste procedimento.</w:t>
      </w:r>
    </w:p>
    <w:p>
      <w:pPr>
        <w:pStyle w:val="Normal"/>
        <w:numPr>
          <w:ilvl w:val="2"/>
          <w:numId w:val="1"/>
        </w:numPr>
        <w:spacing w:lineRule="auto" w:line="276" w:before="120" w:after="120"/>
        <w:jc w:val="both"/>
        <w:rPr>
          <w:rFonts w:cs="Arial"/>
          <w:szCs w:val="20"/>
        </w:rPr>
      </w:pPr>
      <w:r>
        <w:rPr>
          <w:rFonts w:cs="Arial"/>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szCs w:val="20"/>
        </w:rPr>
      </w:pPr>
      <w:r>
        <w:rPr>
          <w:rFonts w:cs="Arial"/>
          <w:szCs w:val="20"/>
        </w:rPr>
        <w:t xml:space="preserve">As providências dos subitens </w:t>
      </w:r>
      <w:r>
        <w:rPr>
          <w:rFonts w:cs="Arial"/>
          <w:szCs w:val="20"/>
        </w:rPr>
        <w:fldChar w:fldCharType="begin"/>
      </w:r>
      <w:r>
        <w:rPr>
          <w:szCs w:val="20"/>
          <w:rFonts w:cs="Arial"/>
        </w:rPr>
        <w:instrText xml:space="preserve"> REF _Ref143510170 \r \h </w:instrText>
      </w:r>
      <w:r>
        <w:rPr>
          <w:szCs w:val="20"/>
          <w:rFonts w:cs="Arial"/>
        </w:rPr>
        <w:fldChar w:fldCharType="separate"/>
      </w:r>
      <w:r>
        <w:rPr>
          <w:szCs w:val="20"/>
          <w:rFonts w:cs="Arial"/>
        </w:rPr>
        <w:t>8.1.1</w:t>
      </w:r>
      <w:r>
        <w:rPr>
          <w:szCs w:val="20"/>
          <w:rFonts w:cs="Arial"/>
        </w:rPr>
        <w:fldChar w:fldCharType="end"/>
      </w:r>
      <w:r>
        <w:rPr>
          <w:rFonts w:cs="Arial"/>
          <w:szCs w:val="20"/>
        </w:rPr>
        <w:t xml:space="preserve">  e </w:t>
      </w:r>
      <w:r>
        <w:rPr>
          <w:rFonts w:cs="Arial"/>
          <w:szCs w:val="20"/>
        </w:rPr>
        <w:fldChar w:fldCharType="begin"/>
      </w:r>
      <w:r>
        <w:rPr>
          <w:szCs w:val="20"/>
          <w:rFonts w:cs="Arial"/>
        </w:rPr>
        <w:instrText xml:space="preserve"> REF _Ref143510198 \r \h </w:instrText>
      </w:r>
      <w:r>
        <w:rPr>
          <w:szCs w:val="20"/>
          <w:rFonts w:cs="Arial"/>
        </w:rPr>
        <w:fldChar w:fldCharType="separate"/>
      </w:r>
      <w:r>
        <w:rPr>
          <w:szCs w:val="20"/>
          <w:rFonts w:cs="Arial"/>
        </w:rPr>
        <w:t>8.1.2</w:t>
      </w:r>
      <w:r>
        <w:rPr>
          <w:szCs w:val="20"/>
          <w:rFonts w:cs="Arial"/>
        </w:rPr>
        <w:fldChar w:fldCharType="end"/>
      </w:r>
      <w:r>
        <w:rPr>
          <w:rFonts w:cs="Arial"/>
          <w:szCs w:val="20"/>
        </w:rPr>
        <w:t xml:space="preserve"> também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szCs w:val="20"/>
        </w:rPr>
      </w:pPr>
      <w:r>
        <w:rPr>
          <w:rFonts w:cs="Arial"/>
          <w:szCs w:val="20"/>
        </w:rPr>
        <w:t>Da sessão pública será divulgada Ata no sistema eletrônico.</w:t>
      </w:r>
    </w:p>
    <w:p>
      <w:pPr>
        <w:pStyle w:val="Normal"/>
        <w:numPr>
          <w:ilvl w:val="1"/>
          <w:numId w:val="1"/>
        </w:numPr>
        <w:spacing w:lineRule="auto" w:line="276" w:before="120" w:after="120"/>
        <w:ind w:left="425" w:hanging="0"/>
        <w:jc w:val="both"/>
        <w:rPr>
          <w:rFonts w:cs="Arial"/>
          <w:szCs w:val="20"/>
        </w:rPr>
      </w:pPr>
      <w:r>
        <w:rPr>
          <w:rFonts w:cs="Arial"/>
          <w:szCs w:val="20"/>
        </w:rPr>
        <w:t>Integram este Aviso de Contratação Direta, para todos os fins e efeitos, os seguintes anexos:</w:t>
      </w:r>
    </w:p>
    <w:p>
      <w:pPr>
        <w:pStyle w:val="Normal"/>
        <w:numPr>
          <w:ilvl w:val="2"/>
          <w:numId w:val="1"/>
        </w:numPr>
        <w:spacing w:lineRule="auto" w:line="276" w:before="120" w:after="120"/>
        <w:jc w:val="both"/>
        <w:rPr>
          <w:rFonts w:cs="Arial"/>
          <w:szCs w:val="20"/>
        </w:rPr>
      </w:pPr>
      <w:r>
        <w:rPr>
          <w:rFonts w:cs="Arial"/>
          <w:szCs w:val="20"/>
        </w:rPr>
        <w:t>ANEXO I –  Termo de Referência</w:t>
      </w:r>
    </w:p>
    <w:p>
      <w:pPr>
        <w:pStyle w:val="Normal"/>
        <w:spacing w:lineRule="auto" w:line="276" w:before="120" w:after="120"/>
        <w:ind w:left="1728" w:hanging="0"/>
        <w:jc w:val="both"/>
        <w:rPr>
          <w:rFonts w:cs="Arial"/>
          <w:i/>
          <w:i/>
          <w:iCs/>
          <w:szCs w:val="20"/>
        </w:rPr>
      </w:pPr>
      <w:r>
        <w:rPr>
          <w:rFonts w:cs="Arial"/>
          <w:i/>
          <w:iCs/>
          <w:szCs w:val="20"/>
        </w:rPr>
      </w:r>
    </w:p>
    <w:p>
      <w:pPr>
        <w:pStyle w:val="Normal"/>
        <w:spacing w:lineRule="auto" w:line="276" w:before="0" w:after="120"/>
        <w:ind w:left="360" w:right="-15" w:hanging="0"/>
        <w:jc w:val="both"/>
        <w:rPr>
          <w:rFonts w:cs="Arial"/>
          <w:szCs w:val="20"/>
        </w:rPr>
      </w:pPr>
      <w:r>
        <w:rPr>
          <w:rFonts w:cs="Arial"/>
          <w:szCs w:val="20"/>
        </w:rPr>
        <w:t>Cuiabá-MT, 17 de Junho de 2024.</w:t>
      </w:r>
    </w:p>
    <w:p>
      <w:pPr>
        <w:pStyle w:val="Normal"/>
        <w:spacing w:lineRule="auto" w:line="276" w:before="0" w:after="120"/>
        <w:ind w:left="360" w:right="-15" w:hanging="0"/>
        <w:jc w:val="both"/>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jc w:val="center"/>
        <w:rPr>
          <w:rFonts w:cs="Arial"/>
          <w:b/>
          <w:b/>
          <w:bCs/>
          <w:iCs/>
          <w:szCs w:val="20"/>
        </w:rPr>
      </w:pPr>
      <w:r>
        <w:rPr>
          <w:rFonts w:cs="Arial"/>
          <w:b/>
          <w:bCs/>
          <w:iCs/>
          <w:szCs w:val="20"/>
        </w:rPr>
        <w:t>ANDERSON ALVES PINTO</w:t>
      </w:r>
    </w:p>
    <w:p>
      <w:pPr>
        <w:pStyle w:val="Normal"/>
        <w:spacing w:lineRule="auto" w:line="276"/>
        <w:jc w:val="center"/>
        <w:rPr>
          <w:rFonts w:cs="Arial"/>
          <w:szCs w:val="20"/>
        </w:rPr>
      </w:pPr>
      <w:r>
        <w:rPr>
          <w:rFonts w:cs="Arial"/>
          <w:b/>
          <w:bCs/>
          <w:iCs/>
          <w:szCs w:val="20"/>
        </w:rPr>
        <w:t>Ordenador de Despesas</w:t>
      </w:r>
    </w:p>
    <w:p>
      <w:pPr>
        <w:pStyle w:val="Normal"/>
        <w:jc w:val="center"/>
        <w:rPr>
          <w:rFonts w:cs="Arial"/>
          <w:b/>
          <w:b/>
          <w:bCs/>
          <w:lang w:eastAsia="en-US"/>
        </w:rPr>
      </w:pPr>
      <w:r>
        <w:rPr>
          <w:rFonts w:cs="Arial"/>
          <w:b/>
          <w:bCs/>
          <w:lang w:eastAsia="en-U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rFonts w:ascii="Calibri Light" w:hAnsi="Calibri Light" w:cs="Calibri Light" w:asciiTheme="majorHAnsi" w:cstheme="majorHAnsi" w:hAnsiTheme="majorHAnsi"/>
          <w:b/>
          <w:b/>
          <w:szCs w:val="20"/>
        </w:rPr>
      </w:pPr>
      <w:r>
        <w:rPr/>
        <w:drawing>
          <wp:inline distT="0" distB="0" distL="0" distR="0">
            <wp:extent cx="739140" cy="807720"/>
            <wp:effectExtent l="0" t="0" r="0" b="0"/>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12"/>
                    <a:stretch>
                      <a:fillRect/>
                    </a:stretch>
                  </pic:blipFill>
                  <pic:spPr bwMode="auto">
                    <a:xfrm>
                      <a:off x="0" y="0"/>
                      <a:ext cx="739140" cy="807720"/>
                    </a:xfrm>
                    <a:prstGeom prst="rect">
                      <a:avLst/>
                    </a:prstGeom>
                  </pic:spPr>
                </pic:pic>
              </a:graphicData>
            </a:graphic>
          </wp:inline>
        </w:drawing>
      </w:r>
      <w:r>
        <w:rPr>
          <w:rFonts w:cs="Calibri Light" w:ascii="Calibri Light" w:hAnsi="Calibri Light" w:asciiTheme="majorHAnsi" w:cstheme="majorHAnsi" w:hAnsiTheme="majorHAnsi"/>
          <w:color w:val="000000"/>
          <w:sz w:val="24"/>
        </w:rPr>
        <w:br/>
      </w:r>
      <w:r>
        <w:rPr>
          <w:rFonts w:cs="Calibri Light" w:ascii="Calibri Light" w:hAnsi="Calibri Light" w:asciiTheme="majorHAnsi" w:cstheme="majorHAnsi" w:hAnsiTheme="majorHAnsi"/>
          <w:b/>
          <w:szCs w:val="20"/>
        </w:rPr>
        <w:t>MINISTÉRIO DA DEFESA</w:t>
      </w:r>
    </w:p>
    <w:p>
      <w:pPr>
        <w:pStyle w:val="Normal"/>
        <w:jc w:val="center"/>
        <w:rPr>
          <w:rFonts w:ascii="Calibri Light" w:hAnsi="Calibri Light" w:cs="Calibri Light" w:asciiTheme="majorHAnsi" w:cstheme="majorHAnsi" w:hAnsiTheme="majorHAnsi"/>
          <w:b/>
          <w:b/>
          <w:szCs w:val="20"/>
        </w:rPr>
      </w:pPr>
      <w:r>
        <w:rPr>
          <w:rFonts w:cs="Calibri Light" w:ascii="Calibri Light" w:hAnsi="Calibri Light" w:asciiTheme="majorHAnsi" w:cstheme="majorHAnsi" w:hAnsiTheme="majorHAnsi"/>
          <w:b/>
          <w:szCs w:val="20"/>
        </w:rPr>
        <w:t>EXÉRCITO BRASILEIRO</w:t>
      </w:r>
    </w:p>
    <w:p>
      <w:pPr>
        <w:pStyle w:val="Normal"/>
        <w:jc w:val="center"/>
        <w:rPr>
          <w:rFonts w:ascii="Calibri Light" w:hAnsi="Calibri Light" w:cs="Calibri Light" w:asciiTheme="majorHAnsi" w:cstheme="majorHAnsi" w:hAnsiTheme="majorHAnsi"/>
          <w:b/>
          <w:b/>
          <w:szCs w:val="20"/>
        </w:rPr>
      </w:pPr>
      <w:r>
        <w:rPr>
          <w:rFonts w:cs="Calibri Light" w:ascii="Calibri Light" w:hAnsi="Calibri Light" w:asciiTheme="majorHAnsi" w:cstheme="majorHAnsi" w:hAnsiTheme="majorHAnsi"/>
          <w:b/>
          <w:szCs w:val="20"/>
        </w:rPr>
        <w:t>13ª BRIGADA DE INFANTARIA MOTORIZADA</w:t>
      </w:r>
    </w:p>
    <w:p>
      <w:pPr>
        <w:pStyle w:val="Normal"/>
        <w:jc w:val="center"/>
        <w:rPr>
          <w:rFonts w:ascii="Calibri Light" w:hAnsi="Calibri Light" w:cs="Calibri Light" w:asciiTheme="majorHAnsi" w:cstheme="majorHAnsi" w:hAnsiTheme="majorHAnsi"/>
          <w:b/>
          <w:b/>
          <w:szCs w:val="20"/>
        </w:rPr>
      </w:pPr>
      <w:r>
        <w:rPr>
          <w:rFonts w:cs="Calibri Light" w:ascii="Calibri Light" w:hAnsi="Calibri Light" w:asciiTheme="majorHAnsi" w:cstheme="majorHAnsi" w:hAnsiTheme="majorHAnsi"/>
          <w:b/>
          <w:szCs w:val="20"/>
        </w:rPr>
        <w:t>(BRIGADA BARÃO DE MELGAÇO)</w:t>
      </w:r>
    </w:p>
    <w:p>
      <w:pPr>
        <w:pStyle w:val="Normal"/>
        <w:jc w:val="center"/>
        <w:rPr/>
      </w:pPr>
      <w:r>
        <w:rPr>
          <w:rFonts w:cs="Calibri Light" w:ascii="Calibri Light" w:hAnsi="Calibri Light" w:asciiTheme="majorHAnsi" w:cstheme="majorHAnsi" w:hAnsiTheme="majorHAnsi"/>
          <w:sz w:val="18"/>
          <w:szCs w:val="18"/>
        </w:rPr>
        <w:t>Av.</w:t>
      </w:r>
      <w:r>
        <w:rPr/>
        <w:t xml:space="preserve"> </w:t>
      </w:r>
      <w:r>
        <w:rPr>
          <w:rFonts w:cs="Calibri Light" w:ascii="Calibri Light" w:hAnsi="Calibri Light" w:asciiTheme="majorHAnsi" w:cstheme="majorHAnsi" w:hAnsiTheme="majorHAnsi"/>
          <w:sz w:val="18"/>
          <w:szCs w:val="18"/>
        </w:rPr>
        <w:t xml:space="preserve">Historiador Rubens de Mendonça, 5001 - Bairro CPA - Cuiabá/MT - CEP 78.049-943, E-mail:  </w:t>
      </w:r>
      <w:r>
        <w:rPr>
          <w:rFonts w:cs="Calibri Light" w:ascii="Calibri Light" w:hAnsi="Calibri Light" w:asciiTheme="majorHAnsi" w:cstheme="majorHAnsi" w:hAnsiTheme="majorHAnsi"/>
          <w:sz w:val="18"/>
          <w:szCs w:val="18"/>
        </w:rPr>
        <w:t>licitacoes@13bda@gmail.com</w:t>
      </w:r>
    </w:p>
    <w:p>
      <w:pPr>
        <w:pStyle w:val="Normal"/>
        <w:tabs>
          <w:tab w:val="clear" w:pos="708"/>
          <w:tab w:val="left" w:pos="1725" w:leader="none"/>
          <w:tab w:val="center" w:pos="5086" w:leader="none"/>
        </w:tabs>
        <w:ind w:left="426" w:hanging="0"/>
        <w:rPr>
          <w:rFonts w:ascii="Calibri Light" w:hAnsi="Calibri Light" w:cs="Calibri Light" w:asciiTheme="majorHAnsi" w:cstheme="majorHAnsi" w:hAnsiTheme="majorHAnsi"/>
          <w:b/>
          <w:b/>
          <w:sz w:val="24"/>
        </w:rPr>
      </w:pPr>
      <w:r>
        <w:rPr>
          <w:rFonts w:cs="Calibri Light" w:cstheme="majorHAnsi" w:ascii="Calibri Light" w:hAnsi="Calibri Light"/>
          <w:b/>
          <w:sz w:val="24"/>
        </w:rPr>
      </w:r>
    </w:p>
    <w:p>
      <w:pPr>
        <w:pStyle w:val="Normal"/>
        <w:tabs>
          <w:tab w:val="clear" w:pos="708"/>
          <w:tab w:val="left" w:pos="1725" w:leader="none"/>
          <w:tab w:val="center" w:pos="5086" w:leader="none"/>
        </w:tabs>
        <w:ind w:left="426" w:hanging="0"/>
        <w:rPr>
          <w:rFonts w:ascii="Calibri Light" w:hAnsi="Calibri Light" w:cs="Calibri Light" w:asciiTheme="majorHAnsi" w:cstheme="majorHAnsi" w:hAnsiTheme="majorHAnsi"/>
          <w:b/>
          <w:b/>
          <w:sz w:val="24"/>
        </w:rPr>
      </w:pPr>
      <w:r>
        <w:rPr>
          <w:rFonts w:cs="Calibri Light" w:cstheme="majorHAnsi" w:ascii="Calibri Light" w:hAnsi="Calibri Light"/>
          <w:b/>
          <w:sz w:val="24"/>
        </w:rPr>
      </w:r>
    </w:p>
    <w:p>
      <w:pPr>
        <w:pStyle w:val="Normal"/>
        <w:tabs>
          <w:tab w:val="clear" w:pos="708"/>
          <w:tab w:val="left" w:pos="1725" w:leader="none"/>
          <w:tab w:val="center" w:pos="5086" w:leader="none"/>
        </w:tabs>
        <w:ind w:left="426" w:hanging="0"/>
        <w:rPr>
          <w:rFonts w:ascii="Calibri Light" w:hAnsi="Calibri Light" w:cs="Calibri Light" w:asciiTheme="majorHAnsi" w:cstheme="majorHAnsi" w:hAnsiTheme="majorHAnsi"/>
          <w:i/>
          <w:i/>
          <w:iCs/>
          <w:sz w:val="24"/>
        </w:rPr>
      </w:pPr>
      <w:r>
        <w:rPr>
          <w:rFonts w:cs="Calibri Light" w:ascii="Calibri Light" w:hAnsi="Calibri Light" w:asciiTheme="majorHAnsi" w:cstheme="majorHAnsi" w:hAnsiTheme="majorHAnsi"/>
          <w:b/>
          <w:sz w:val="24"/>
        </w:rPr>
        <w:tab/>
      </w:r>
    </w:p>
    <w:p>
      <w:pPr>
        <w:pStyle w:val="Normal"/>
        <w:jc w:val="center"/>
        <w:rPr>
          <w:rFonts w:ascii="Calibri Light" w:hAnsi="Calibri Light" w:cs="Calibri Light" w:asciiTheme="majorHAnsi" w:cstheme="majorHAnsi" w:hAnsiTheme="majorHAnsi"/>
          <w:sz w:val="24"/>
        </w:rPr>
      </w:pPr>
      <w:r>
        <w:rPr>
          <w:rFonts w:cs="Calibri Light" w:ascii="Calibri Light" w:hAnsi="Calibri Light" w:asciiTheme="majorHAnsi" w:cstheme="majorHAnsi" w:hAnsiTheme="majorHAnsi"/>
          <w:b/>
          <w:sz w:val="24"/>
        </w:rPr>
        <w:t>DISPENSA ELETRÔNICA nº 900</w:t>
      </w:r>
      <w:r>
        <w:rPr>
          <w:rFonts w:cs="Calibri Light" w:ascii="Calibri Light" w:hAnsi="Calibri Light" w:asciiTheme="majorHAnsi" w:cstheme="majorHAnsi" w:hAnsiTheme="majorHAnsi"/>
          <w:b/>
          <w:sz w:val="24"/>
        </w:rPr>
        <w:t>22</w:t>
      </w:r>
      <w:r>
        <w:rPr>
          <w:rFonts w:cs="Calibri Light" w:ascii="Calibri Light" w:hAnsi="Calibri Light" w:asciiTheme="majorHAnsi" w:cstheme="majorHAnsi" w:hAnsiTheme="majorHAnsi"/>
          <w:b/>
          <w:sz w:val="24"/>
        </w:rPr>
        <w:t>/2024</w:t>
      </w:r>
    </w:p>
    <w:p>
      <w:pPr>
        <w:pStyle w:val="Normal"/>
        <w:tabs>
          <w:tab w:val="clear" w:pos="708"/>
          <w:tab w:val="center" w:pos="4873" w:leader="none"/>
          <w:tab w:val="left" w:pos="6885" w:leader="none"/>
        </w:tabs>
        <w:rPr>
          <w:rFonts w:ascii="Calibri Light" w:hAnsi="Calibri Light" w:cs="Calibri Light" w:asciiTheme="majorHAnsi" w:cstheme="majorHAnsi" w:hAnsiTheme="majorHAnsi"/>
          <w:b/>
          <w:b/>
          <w:bCs/>
          <w:sz w:val="24"/>
        </w:rPr>
      </w:pPr>
      <w:r>
        <w:rPr>
          <w:rFonts w:cs="Calibri Light" w:ascii="Calibri Light" w:hAnsi="Calibri Light" w:asciiTheme="majorHAnsi" w:cstheme="majorHAnsi" w:hAnsiTheme="majorHAnsi"/>
          <w:b/>
          <w:sz w:val="24"/>
        </w:rPr>
        <w:tab/>
        <w:t xml:space="preserve">NUP: </w:t>
      </w:r>
      <w:r>
        <w:rPr>
          <w:rFonts w:cs="Arial" w:ascii="Calibri Light" w:hAnsi="Calibri Light" w:asciiTheme="majorHAnsi" w:hAnsiTheme="majorHAnsi"/>
          <w:b/>
          <w:bCs/>
          <w:sz w:val="24"/>
          <w:szCs w:val="20"/>
        </w:rPr>
        <w:t>64310.004026/2024-91</w:t>
      </w:r>
      <w:r>
        <w:rPr>
          <w:rFonts w:cs="Calibri Light" w:ascii="Calibri Light" w:hAnsi="Calibri Light" w:asciiTheme="majorHAnsi" w:cstheme="majorHAnsi" w:hAnsiTheme="majorHAnsi"/>
          <w:b/>
          <w:bCs/>
          <w:sz w:val="24"/>
        </w:rPr>
        <w:tab/>
      </w:r>
    </w:p>
    <w:p>
      <w:pPr>
        <w:pStyle w:val="Normal"/>
        <w:tabs>
          <w:tab w:val="clear" w:pos="708"/>
          <w:tab w:val="center" w:pos="4873" w:leader="none"/>
          <w:tab w:val="left" w:pos="6885" w:leader="none"/>
        </w:tabs>
        <w:rPr>
          <w:rFonts w:ascii="Calibri Light" w:hAnsi="Calibri Light" w:cs="Calibri Light" w:asciiTheme="majorHAnsi" w:cstheme="majorHAnsi" w:hAnsiTheme="majorHAnsi"/>
          <w:b/>
          <w:b/>
          <w:bCs/>
          <w:sz w:val="24"/>
        </w:rPr>
      </w:pPr>
      <w:r>
        <w:rPr>
          <w:rFonts w:cs="Calibri Light" w:cstheme="majorHAnsi" w:ascii="Calibri Light" w:hAnsi="Calibri Light"/>
          <w:b/>
          <w:bCs/>
          <w:sz w:val="24"/>
        </w:rPr>
      </w:r>
    </w:p>
    <w:p>
      <w:pPr>
        <w:pStyle w:val="Normal"/>
        <w:tabs>
          <w:tab w:val="clear" w:pos="708"/>
          <w:tab w:val="left" w:pos="1725" w:leader="none"/>
          <w:tab w:val="center" w:pos="5086" w:leader="none"/>
        </w:tabs>
        <w:ind w:left="426" w:hanging="0"/>
        <w:jc w:val="center"/>
        <w:rPr>
          <w:rFonts w:ascii="Calibri Light" w:hAnsi="Calibri Light" w:cs="Calibri Light" w:asciiTheme="majorHAnsi" w:cstheme="majorHAnsi" w:hAnsiTheme="majorHAnsi"/>
          <w:b/>
          <w:b/>
          <w:sz w:val="24"/>
        </w:rPr>
      </w:pPr>
      <w:r>
        <w:rPr>
          <w:rFonts w:cs="Calibri Light" w:cstheme="majorHAnsi" w:ascii="Calibri Light" w:hAnsi="Calibri Light"/>
          <w:b/>
          <w:sz w:val="24"/>
        </w:rPr>
      </w:r>
    </w:p>
    <w:p>
      <w:pPr>
        <w:pStyle w:val="Normal"/>
        <w:tabs>
          <w:tab w:val="clear" w:pos="708"/>
          <w:tab w:val="left" w:pos="1725" w:leader="none"/>
          <w:tab w:val="center" w:pos="5086" w:leader="none"/>
        </w:tabs>
        <w:ind w:left="426" w:hanging="0"/>
        <w:jc w:val="center"/>
        <w:rPr>
          <w:rFonts w:ascii="Calibri Light" w:hAnsi="Calibri Light" w:cs="Calibri Light" w:asciiTheme="majorHAnsi" w:cstheme="majorHAnsi" w:hAnsiTheme="majorHAnsi"/>
          <w:b/>
          <w:b/>
          <w:sz w:val="24"/>
        </w:rPr>
      </w:pPr>
      <w:r>
        <w:rPr>
          <w:rFonts w:cs="Calibri Light" w:ascii="Calibri Light" w:hAnsi="Calibri Light" w:asciiTheme="majorHAnsi" w:cstheme="majorHAnsi" w:hAnsiTheme="majorHAnsi"/>
          <w:b/>
          <w:sz w:val="24"/>
        </w:rPr>
        <w:t xml:space="preserve">ANEXO I – </w:t>
      </w:r>
      <w:r>
        <w:rPr>
          <w:rFonts w:cs="Calibri Light" w:ascii="Calibri Light" w:hAnsi="Calibri Light" w:asciiTheme="majorHAnsi" w:cstheme="majorHAnsi" w:hAnsiTheme="majorHAnsi"/>
          <w:b/>
          <w:sz w:val="24"/>
        </w:rPr>
        <w:t>Termo de Referencia</w:t>
      </w:r>
    </w:p>
    <w:p>
      <w:pPr>
        <w:pStyle w:val="Normal"/>
        <w:tabs>
          <w:tab w:val="clear" w:pos="708"/>
          <w:tab w:val="center" w:pos="4873" w:leader="none"/>
          <w:tab w:val="left" w:pos="6885" w:leader="none"/>
        </w:tabs>
        <w:rPr>
          <w:b/>
          <w:b/>
          <w:bCs/>
        </w:rPr>
      </w:pPr>
      <w:r>
        <w:rPr>
          <w:b/>
          <w:bCs/>
        </w:rPr>
      </w:r>
    </w:p>
    <w:p>
      <w:pPr>
        <w:pStyle w:val="Normal"/>
        <w:ind w:left="426" w:hanging="0"/>
        <w:jc w:val="both"/>
        <w:rPr>
          <w:rFonts w:ascii="Calibri Light" w:hAnsi="Calibri Light" w:cs="Calibri Light" w:asciiTheme="majorHAnsi" w:cstheme="majorHAnsi" w:hAnsiTheme="majorHAnsi"/>
          <w:i/>
          <w:i/>
          <w:iCs/>
          <w:sz w:val="24"/>
        </w:rPr>
      </w:pPr>
      <w:r>
        <w:rPr>
          <w:rFonts w:cs="Calibri Light" w:cstheme="majorHAnsi" w:ascii="Calibri Light" w:hAnsi="Calibri Light"/>
          <w:i/>
          <w:iCs/>
          <w:sz w:val="24"/>
        </w:rPr>
      </w:r>
    </w:p>
    <w:p>
      <w:pPr>
        <w:pStyle w:val="Normal"/>
        <w:ind w:left="426" w:hanging="0"/>
        <w:jc w:val="both"/>
        <w:rPr>
          <w:rFonts w:ascii="Calibri Light" w:hAnsi="Calibri Light" w:cs="Calibri Light" w:asciiTheme="majorHAnsi" w:cstheme="majorHAnsi" w:hAnsiTheme="majorHAnsi"/>
          <w:i/>
          <w:i/>
          <w:iCs/>
          <w:sz w:val="24"/>
        </w:rPr>
      </w:pPr>
      <w:r>
        <w:rPr>
          <w:rFonts w:cs="Calibri Light" w:cstheme="majorHAnsi" w:ascii="Calibri Light" w:hAnsi="Calibri Light"/>
          <w:i/>
          <w:iCs/>
          <w:sz w:val="24"/>
        </w:rPr>
      </w:r>
    </w:p>
    <w:p>
      <w:pPr>
        <w:pStyle w:val="Normal"/>
        <w:ind w:left="426" w:hanging="0"/>
        <w:jc w:val="center"/>
        <w:rPr>
          <w:rFonts w:ascii="Calibri Light" w:hAnsi="Calibri Light" w:cs="Calibri Light" w:asciiTheme="majorHAnsi" w:cstheme="majorHAnsi" w:hAnsiTheme="majorHAnsi"/>
          <w:iCs/>
          <w:sz w:val="24"/>
        </w:rPr>
      </w:pPr>
      <w:r>
        <w:rPr/>
      </w:r>
    </w:p>
    <w:p>
      <w:pPr>
        <w:pStyle w:val="Nivel01"/>
        <w:numPr>
          <w:ilvl w:val="0"/>
          <w:numId w:val="1"/>
        </w:numPr>
        <w:ind w:right="-15" w:hanging="0"/>
        <w:rPr>
          <w:rFonts w:ascii="Calibri Light" w:hAnsi="Calibri Light"/>
        </w:rPr>
      </w:pPr>
      <w:bookmarkStart w:id="19" w:name="_Hlk82473550"/>
      <w:bookmarkEnd w:id="19"/>
      <w:r>
        <w:rPr>
          <w:rFonts w:ascii="Calibri Light" w:hAnsi="Calibri Light"/>
        </w:rPr>
        <w:t xml:space="preserve"> </w:t>
      </w:r>
      <w:r>
        <w:rPr>
          <w:rFonts w:ascii="Calibri Light" w:hAnsi="Calibri Light"/>
        </w:rPr>
        <w:t>CONDIÇÕES GERAIS DA CONTRATAÇÃO</w:t>
      </w:r>
    </w:p>
    <w:p>
      <w:pPr>
        <w:pStyle w:val="Nivel2"/>
        <w:numPr>
          <w:ilvl w:val="1"/>
          <w:numId w:val="1"/>
        </w:numPr>
        <w:ind w:left="999" w:right="0" w:hanging="432"/>
        <w:rPr>
          <w:rFonts w:ascii="Calibri Light" w:hAnsi="Calibri Light"/>
        </w:rPr>
      </w:pPr>
      <w:r>
        <w:rPr/>
        <w:t>Contratação de cursos de especialização para motoristas</w:t>
      </w:r>
      <w:r>
        <w:rPr>
          <w:b/>
          <w:bCs/>
        </w:rPr>
        <w:t>,</w:t>
      </w:r>
      <w:r>
        <w:rPr/>
        <w:t xml:space="preserve"> nos termos da tabela abaixo, conforme condições e exigências estabelecidas neste instrumento.</w:t>
      </w:r>
    </w:p>
    <w:tbl>
      <w:tblPr>
        <w:tblW w:w="9856" w:type="dxa"/>
        <w:jc w:val="left"/>
        <w:tblInd w:w="-147" w:type="dxa"/>
        <w:tblLayout w:type="fixed"/>
        <w:tblCellMar>
          <w:top w:w="0" w:type="dxa"/>
          <w:left w:w="108" w:type="dxa"/>
          <w:bottom w:w="0" w:type="dxa"/>
          <w:right w:w="108" w:type="dxa"/>
        </w:tblCellMar>
        <w:tblLook w:firstRow="1" w:noVBand="1" w:lastRow="0" w:firstColumn="1" w:lastColumn="0" w:noHBand="0" w:val="04a0"/>
      </w:tblPr>
      <w:tblGrid>
        <w:gridCol w:w="738"/>
        <w:gridCol w:w="2665"/>
        <w:gridCol w:w="1133"/>
        <w:gridCol w:w="1396"/>
        <w:gridCol w:w="1384"/>
        <w:gridCol w:w="1072"/>
        <w:gridCol w:w="1467"/>
      </w:tblGrid>
      <w:tr>
        <w:trPr/>
        <w:tc>
          <w:tcPr>
            <w:tcW w:w="7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commentRangeStart w:id="0"/>
            <w:r>
              <w:rPr>
                <w:rFonts w:cs="Arial" w:ascii="Calibri Light" w:hAnsi="Calibri Light"/>
                <w:b/>
                <w:bCs/>
                <w:color w:val="000000" w:themeColor="text1"/>
                <w:sz w:val="20"/>
                <w:szCs w:val="20"/>
              </w:rPr>
              <w:t>ITEM</w:t>
            </w:r>
          </w:p>
        </w:tc>
        <w:tc>
          <w:tcPr>
            <w:tcW w:w="26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color w:val="000000" w:themeColor="text1"/>
                <w:sz w:val="20"/>
                <w:szCs w:val="20"/>
              </w:rPr>
              <w:t>ESPECIFICAÇÃO</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color w:val="000000" w:themeColor="text1"/>
                <w:sz w:val="20"/>
                <w:szCs w:val="20"/>
              </w:rPr>
              <w:t>CATSER</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color w:val="000000" w:themeColor="text1"/>
                <w:sz w:val="20"/>
                <w:szCs w:val="20"/>
              </w:rPr>
              <w:t>UNIDADE DE MEDIDA</w:t>
            </w:r>
          </w:p>
        </w:tc>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sz w:val="20"/>
                <w:szCs w:val="20"/>
              </w:rPr>
              <w:t>QUANTIDADE</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sz w:val="20"/>
                <w:szCs w:val="20"/>
              </w:rPr>
              <w:t>VALOR UNITÁRIO</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Calibri Light" w:hAnsi="Calibri Light"/>
              </w:rPr>
            </w:pPr>
            <w:r>
              <w:rPr>
                <w:rFonts w:cs="Arial" w:ascii="Calibri Light" w:hAnsi="Calibri Light"/>
                <w:b/>
                <w:bCs/>
                <w:sz w:val="20"/>
                <w:szCs w:val="20"/>
              </w:rPr>
              <w:t>VALOR TOTAL</w:t>
            </w:r>
            <w:commentRangeEnd w:id="0"/>
            <w:r>
              <w:commentReference w:id="0"/>
            </w:r>
            <w:r>
              <w:rPr>
                <w:rFonts w:cs="Arial" w:ascii="Calibri Light" w:hAnsi="Calibri Light"/>
                <w:b/>
                <w:bCs/>
                <w:sz w:val="20"/>
                <w:szCs w:val="20"/>
              </w:rPr>
            </w:r>
          </w:p>
        </w:tc>
      </w:tr>
      <w:tr>
        <w:trPr/>
        <w:tc>
          <w:tcPr>
            <w:tcW w:w="7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338" w:leader="none"/>
              </w:tabs>
              <w:suppressAutoHyphens w:val="true"/>
              <w:bidi w:val="0"/>
              <w:spacing w:lineRule="auto" w:line="312" w:before="120" w:after="288"/>
              <w:ind w:left="0" w:right="0" w:firstLine="227"/>
              <w:jc w:val="center"/>
              <w:rPr>
                <w:rFonts w:ascii="Calibri Light" w:hAnsi="Calibri Light"/>
              </w:rPr>
            </w:pPr>
            <w:r>
              <w:rPr>
                <w:rFonts w:ascii="Calibri Light" w:hAnsi="Calibri Light"/>
              </w:rPr>
              <w:t>1</w:t>
            </w:r>
          </w:p>
        </w:tc>
        <w:tc>
          <w:tcPr>
            <w:tcW w:w="26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uppressAutoHyphens w:val="true"/>
              <w:snapToGrid w:val="false"/>
              <w:ind w:left="-57" w:right="-57" w:hanging="0"/>
              <w:jc w:val="center"/>
              <w:rPr>
                <w:rFonts w:ascii="Calibri Light" w:hAnsi="Calibri Light" w:cs="Times New Roman"/>
                <w:b w:val="false"/>
                <w:b w:val="false"/>
                <w:bCs w:val="false"/>
                <w:i w:val="false"/>
                <w:i w:val="false"/>
                <w:iCs w:val="false"/>
                <w:color w:val="000000"/>
                <w:sz w:val="22"/>
                <w:szCs w:val="22"/>
              </w:rPr>
            </w:pPr>
            <w:r>
              <w:rPr>
                <w:rFonts w:cs="Times New Roman" w:ascii="Calibri Light" w:hAnsi="Calibri Light"/>
                <w:b w:val="false"/>
                <w:bCs w:val="false"/>
                <w:i w:val="false"/>
                <w:iCs w:val="false"/>
                <w:color w:val="000000"/>
                <w:sz w:val="22"/>
                <w:szCs w:val="22"/>
                <w:shd w:fill="auto" w:val="clear"/>
              </w:rPr>
              <w:t>Contratação de Curso de Transporte de cargas indivisíveis</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 xml:space="preserve">Curso </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8" w:leader="none"/>
                <w:tab w:val="left" w:pos="475" w:leader="none"/>
              </w:tabs>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Instruendos</w:t>
            </w:r>
          </w:p>
        </w:tc>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57"/>
              <w:jc w:val="center"/>
              <w:rPr>
                <w:rFonts w:ascii="Calibri Light" w:hAnsi="Calibri Light" w:cs="Arial"/>
                <w:color w:val="000000"/>
                <w:sz w:val="20"/>
                <w:szCs w:val="20"/>
              </w:rPr>
            </w:pPr>
            <w:r>
              <w:rPr>
                <w:rFonts w:cs="Arial" w:ascii="Calibri Light" w:hAnsi="Calibri Light"/>
                <w:color w:val="000000"/>
                <w:sz w:val="20"/>
                <w:szCs w:val="20"/>
              </w:rPr>
              <w:t>25</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8"/>
              </w:tabs>
              <w:bidi w:val="0"/>
              <w:spacing w:before="0" w:after="0"/>
              <w:ind w:left="113" w:right="0" w:hanging="57"/>
              <w:jc w:val="center"/>
              <w:rPr>
                <w:rFonts w:ascii="Calibri Light" w:hAnsi="Calibri Light"/>
                <w:b w:val="false"/>
                <w:b w:val="false"/>
                <w:bCs w:val="false"/>
                <w:i w:val="false"/>
                <w:i w:val="false"/>
                <w:iCs w:val="false"/>
                <w:color w:val="000000"/>
                <w:sz w:val="22"/>
                <w:szCs w:val="22"/>
              </w:rPr>
            </w:pPr>
            <w:r>
              <w:rPr>
                <w:rFonts w:ascii="Calibri Light" w:hAnsi="Calibri Light"/>
                <w:b w:val="false"/>
                <w:bCs w:val="false"/>
                <w:i w:val="false"/>
                <w:iCs w:val="false"/>
                <w:color w:val="000000"/>
                <w:sz w:val="22"/>
                <w:szCs w:val="22"/>
              </w:rPr>
              <w:t>395,00</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bidi w:val="0"/>
              <w:spacing w:before="0" w:after="0"/>
              <w:ind w:left="113" w:right="113" w:hanging="113"/>
              <w:jc w:val="center"/>
              <w:textAlignment w:val="auto"/>
              <w:rPr>
                <w:rFonts w:ascii="Calibri Light" w:hAnsi="Calibri Light" w:eastAsia="Times New Roman" w:cs="Times New Roman"/>
                <w:b w:val="false"/>
                <w:b w:val="false"/>
                <w:bCs w:val="false"/>
                <w:color w:val="000000"/>
                <w:kern w:val="0"/>
                <w:sz w:val="20"/>
                <w:szCs w:val="20"/>
                <w:lang w:eastAsia="pt-BR" w:bidi="ar-SA"/>
              </w:rPr>
            </w:pPr>
            <w:r>
              <w:rPr>
                <w:rFonts w:eastAsia="Times New Roman" w:cs="Times New Roman" w:ascii="Calibri Light" w:hAnsi="Calibri Light"/>
                <w:b w:val="false"/>
                <w:bCs w:val="false"/>
                <w:color w:val="000000"/>
                <w:kern w:val="0"/>
                <w:sz w:val="20"/>
                <w:szCs w:val="20"/>
                <w:lang w:eastAsia="pt-BR" w:bidi="ar-SA"/>
              </w:rPr>
              <w:t>9.875,00</w:t>
            </w:r>
          </w:p>
        </w:tc>
      </w:tr>
      <w:tr>
        <w:trPr/>
        <w:tc>
          <w:tcPr>
            <w:tcW w:w="7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338" w:leader="none"/>
              </w:tabs>
              <w:suppressAutoHyphens w:val="true"/>
              <w:bidi w:val="0"/>
              <w:spacing w:lineRule="auto" w:line="312" w:before="120" w:after="288"/>
              <w:ind w:left="0" w:right="0" w:firstLine="113"/>
              <w:jc w:val="center"/>
              <w:rPr>
                <w:rFonts w:ascii="Calibri Light" w:hAnsi="Calibri Light"/>
              </w:rPr>
            </w:pPr>
            <w:r>
              <w:rPr>
                <w:rFonts w:ascii="Calibri Light" w:hAnsi="Calibri Light"/>
              </w:rPr>
              <w:t>2</w:t>
            </w:r>
          </w:p>
        </w:tc>
        <w:tc>
          <w:tcPr>
            <w:tcW w:w="26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uppressAutoHyphens w:val="true"/>
              <w:snapToGrid w:val="false"/>
              <w:ind w:left="-57" w:right="-57" w:hanging="0"/>
              <w:jc w:val="center"/>
              <w:rPr>
                <w:rFonts w:ascii="Calibri Light" w:hAnsi="Calibri Light" w:cs="Times New Roman"/>
                <w:b w:val="false"/>
                <w:b w:val="false"/>
                <w:bCs w:val="false"/>
                <w:i w:val="false"/>
                <w:i w:val="false"/>
                <w:iCs w:val="false"/>
                <w:color w:val="000000"/>
                <w:sz w:val="24"/>
                <w:szCs w:val="24"/>
              </w:rPr>
            </w:pPr>
            <w:r>
              <w:rPr>
                <w:rFonts w:cs="Times New Roman" w:ascii="Calibri Light" w:hAnsi="Calibri Light"/>
                <w:b w:val="false"/>
                <w:bCs w:val="false"/>
                <w:i w:val="false"/>
                <w:iCs w:val="false"/>
                <w:color w:val="000000"/>
                <w:sz w:val="24"/>
                <w:szCs w:val="24"/>
                <w:shd w:fill="auto" w:val="clear"/>
              </w:rPr>
              <w:t>Contratação de Curso de Transporte coletivo de passageiros</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 xml:space="preserve">Curso </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8" w:leader="none"/>
                <w:tab w:val="left" w:pos="475" w:leader="none"/>
              </w:tabs>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Instruendos</w:t>
            </w:r>
          </w:p>
        </w:tc>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57"/>
              <w:jc w:val="center"/>
              <w:rPr>
                <w:rFonts w:ascii="Calibri Light" w:hAnsi="Calibri Light" w:cs="Arial"/>
                <w:color w:val="000000"/>
                <w:sz w:val="20"/>
                <w:szCs w:val="20"/>
              </w:rPr>
            </w:pPr>
            <w:r>
              <w:rPr>
                <w:rFonts w:cs="Arial" w:ascii="Calibri Light" w:hAnsi="Calibri Light"/>
                <w:color w:val="000000"/>
                <w:sz w:val="20"/>
                <w:szCs w:val="20"/>
              </w:rPr>
              <w:t>25</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8"/>
              </w:tabs>
              <w:bidi w:val="0"/>
              <w:spacing w:before="0" w:after="0"/>
              <w:ind w:left="113" w:right="0" w:hanging="57"/>
              <w:jc w:val="center"/>
              <w:rPr>
                <w:rFonts w:ascii="Calibri Light" w:hAnsi="Calibri Light"/>
                <w:b w:val="false"/>
                <w:b w:val="false"/>
                <w:bCs w:val="false"/>
                <w:i w:val="false"/>
                <w:i w:val="false"/>
                <w:iCs w:val="false"/>
                <w:color w:val="000000"/>
                <w:sz w:val="22"/>
                <w:szCs w:val="22"/>
              </w:rPr>
            </w:pPr>
            <w:r>
              <w:rPr>
                <w:rFonts w:ascii="Calibri Light" w:hAnsi="Calibri Light"/>
                <w:b w:val="false"/>
                <w:bCs w:val="false"/>
                <w:i w:val="false"/>
                <w:iCs w:val="false"/>
                <w:color w:val="000000"/>
                <w:sz w:val="22"/>
                <w:szCs w:val="22"/>
              </w:rPr>
              <w:t>395,00</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bidi w:val="0"/>
              <w:spacing w:before="0" w:after="0"/>
              <w:ind w:left="113" w:right="113" w:hanging="113"/>
              <w:jc w:val="center"/>
              <w:textAlignment w:val="auto"/>
              <w:rPr>
                <w:rFonts w:ascii="Calibri Light" w:hAnsi="Calibri Light" w:eastAsia="Times New Roman" w:cs="Times New Roman"/>
                <w:b w:val="false"/>
                <w:b w:val="false"/>
                <w:bCs w:val="false"/>
                <w:color w:val="000000"/>
                <w:kern w:val="0"/>
                <w:sz w:val="20"/>
                <w:szCs w:val="20"/>
                <w:lang w:eastAsia="pt-BR" w:bidi="ar-SA"/>
              </w:rPr>
            </w:pPr>
            <w:r>
              <w:rPr>
                <w:rFonts w:eastAsia="Times New Roman" w:cs="Times New Roman" w:ascii="Calibri Light" w:hAnsi="Calibri Light"/>
                <w:b w:val="false"/>
                <w:bCs w:val="false"/>
                <w:color w:val="000000"/>
                <w:kern w:val="0"/>
                <w:sz w:val="20"/>
                <w:szCs w:val="20"/>
                <w:lang w:eastAsia="pt-BR" w:bidi="ar-SA"/>
              </w:rPr>
              <w:t>9.875,00</w:t>
            </w:r>
          </w:p>
        </w:tc>
      </w:tr>
      <w:tr>
        <w:trPr/>
        <w:tc>
          <w:tcPr>
            <w:tcW w:w="7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338" w:leader="none"/>
              </w:tabs>
              <w:suppressAutoHyphens w:val="true"/>
              <w:bidi w:val="0"/>
              <w:spacing w:lineRule="auto" w:line="312" w:before="120" w:after="288"/>
              <w:ind w:left="0" w:right="0" w:firstLine="113"/>
              <w:jc w:val="center"/>
              <w:rPr>
                <w:rFonts w:ascii="Calibri Light" w:hAnsi="Calibri Light"/>
              </w:rPr>
            </w:pPr>
            <w:r>
              <w:rPr>
                <w:rFonts w:ascii="Calibri Light" w:hAnsi="Calibri Light"/>
              </w:rPr>
              <w:t>3</w:t>
            </w:r>
          </w:p>
        </w:tc>
        <w:tc>
          <w:tcPr>
            <w:tcW w:w="26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uppressAutoHyphens w:val="true"/>
              <w:snapToGrid w:val="false"/>
              <w:ind w:left="-57" w:right="-57" w:hanging="0"/>
              <w:jc w:val="center"/>
              <w:rPr>
                <w:rFonts w:ascii="Calibri Light" w:hAnsi="Calibri Light" w:cs="Times New Roman"/>
                <w:b w:val="false"/>
                <w:b w:val="false"/>
                <w:bCs w:val="false"/>
                <w:i w:val="false"/>
                <w:i w:val="false"/>
                <w:iCs w:val="false"/>
                <w:color w:val="000000"/>
                <w:sz w:val="24"/>
                <w:szCs w:val="24"/>
              </w:rPr>
            </w:pPr>
            <w:r>
              <w:rPr>
                <w:rFonts w:cs="Times New Roman" w:ascii="Calibri Light" w:hAnsi="Calibri Light"/>
                <w:b w:val="false"/>
                <w:bCs w:val="false"/>
                <w:i w:val="false"/>
                <w:iCs w:val="false"/>
                <w:color w:val="000000"/>
                <w:sz w:val="24"/>
                <w:szCs w:val="24"/>
                <w:shd w:fill="auto" w:val="clear"/>
              </w:rPr>
              <w:t>Contratação de Curso de Transporte de produtos perigosos</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 xml:space="preserve">Curso </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8" w:leader="none"/>
                <w:tab w:val="left" w:pos="475" w:leader="none"/>
              </w:tabs>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Instruendos</w:t>
            </w:r>
          </w:p>
        </w:tc>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57"/>
              <w:jc w:val="center"/>
              <w:rPr>
                <w:rFonts w:ascii="Calibri Light" w:hAnsi="Calibri Light" w:cs="Arial"/>
                <w:color w:val="000000"/>
                <w:sz w:val="20"/>
                <w:szCs w:val="20"/>
              </w:rPr>
            </w:pPr>
            <w:r>
              <w:rPr>
                <w:rFonts w:cs="Arial" w:ascii="Calibri Light" w:hAnsi="Calibri Light"/>
                <w:color w:val="000000"/>
                <w:sz w:val="20"/>
                <w:szCs w:val="20"/>
              </w:rPr>
              <w:t>25</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8"/>
              </w:tabs>
              <w:bidi w:val="0"/>
              <w:spacing w:before="0" w:after="0"/>
              <w:ind w:left="113" w:right="0" w:hanging="57"/>
              <w:jc w:val="center"/>
              <w:rPr>
                <w:rFonts w:ascii="Calibri Light" w:hAnsi="Calibri Light"/>
                <w:b w:val="false"/>
                <w:b w:val="false"/>
                <w:bCs w:val="false"/>
                <w:i w:val="false"/>
                <w:i w:val="false"/>
                <w:iCs w:val="false"/>
                <w:color w:val="000000"/>
                <w:sz w:val="22"/>
                <w:szCs w:val="22"/>
              </w:rPr>
            </w:pPr>
            <w:r>
              <w:rPr>
                <w:rFonts w:ascii="Calibri Light" w:hAnsi="Calibri Light"/>
                <w:b w:val="false"/>
                <w:bCs w:val="false"/>
                <w:i w:val="false"/>
                <w:iCs w:val="false"/>
                <w:color w:val="000000"/>
                <w:sz w:val="22"/>
                <w:szCs w:val="22"/>
              </w:rPr>
              <w:t>395,00</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bidi w:val="0"/>
              <w:spacing w:before="0" w:after="0"/>
              <w:ind w:left="113" w:right="113" w:hanging="113"/>
              <w:jc w:val="center"/>
              <w:textAlignment w:val="auto"/>
              <w:rPr>
                <w:rFonts w:ascii="Calibri Light" w:hAnsi="Calibri Light" w:eastAsia="Times New Roman" w:cs="Times New Roman"/>
                <w:b w:val="false"/>
                <w:b w:val="false"/>
                <w:bCs w:val="false"/>
                <w:color w:val="000000"/>
                <w:kern w:val="0"/>
                <w:sz w:val="20"/>
                <w:szCs w:val="20"/>
                <w:lang w:eastAsia="pt-BR" w:bidi="ar-SA"/>
              </w:rPr>
            </w:pPr>
            <w:r>
              <w:rPr>
                <w:rFonts w:eastAsia="Times New Roman" w:cs="Times New Roman" w:ascii="Calibri Light" w:hAnsi="Calibri Light"/>
                <w:b w:val="false"/>
                <w:bCs w:val="false"/>
                <w:color w:val="000000"/>
                <w:kern w:val="0"/>
                <w:sz w:val="20"/>
                <w:szCs w:val="20"/>
                <w:lang w:eastAsia="pt-BR" w:bidi="ar-SA"/>
              </w:rPr>
              <w:t>9.875,00</w:t>
            </w:r>
          </w:p>
        </w:tc>
      </w:tr>
      <w:tr>
        <w:trPr/>
        <w:tc>
          <w:tcPr>
            <w:tcW w:w="7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338" w:leader="none"/>
              </w:tabs>
              <w:suppressAutoHyphens w:val="true"/>
              <w:bidi w:val="0"/>
              <w:spacing w:lineRule="auto" w:line="312" w:before="120" w:after="288"/>
              <w:ind w:left="0" w:right="0" w:firstLine="113"/>
              <w:jc w:val="center"/>
              <w:rPr>
                <w:rFonts w:ascii="Calibri Light" w:hAnsi="Calibri Light"/>
              </w:rPr>
            </w:pPr>
            <w:r>
              <w:rPr>
                <w:rFonts w:ascii="Calibri Light" w:hAnsi="Calibri Light"/>
              </w:rPr>
              <w:t>4</w:t>
            </w:r>
          </w:p>
        </w:tc>
        <w:tc>
          <w:tcPr>
            <w:tcW w:w="26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s>
              <w:suppressAutoHyphens w:val="true"/>
              <w:snapToGrid w:val="false"/>
              <w:ind w:left="-57" w:right="-57" w:hanging="0"/>
              <w:jc w:val="center"/>
              <w:rPr>
                <w:rFonts w:ascii="Calibri Light" w:hAnsi="Calibri Light" w:cs="Times New Roman"/>
                <w:b w:val="false"/>
                <w:b w:val="false"/>
                <w:bCs w:val="false"/>
                <w:i w:val="false"/>
                <w:i w:val="false"/>
                <w:iCs w:val="false"/>
                <w:color w:val="000000"/>
                <w:sz w:val="24"/>
                <w:szCs w:val="24"/>
              </w:rPr>
            </w:pPr>
            <w:r>
              <w:rPr>
                <w:rFonts w:cs="Times New Roman" w:ascii="Calibri Light" w:hAnsi="Calibri Light"/>
                <w:b w:val="false"/>
                <w:bCs w:val="false"/>
                <w:i w:val="false"/>
                <w:iCs w:val="false"/>
                <w:color w:val="000000"/>
                <w:sz w:val="24"/>
                <w:szCs w:val="24"/>
                <w:shd w:fill="auto" w:val="clear"/>
              </w:rPr>
              <w:t>Contratação de Curso de Condutor de veículos de emergência</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 xml:space="preserve">Curso </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8" w:leader="none"/>
                <w:tab w:val="left" w:pos="475" w:leader="none"/>
              </w:tabs>
              <w:suppressAutoHyphens w:val="true"/>
              <w:bidi w:val="0"/>
              <w:spacing w:lineRule="auto" w:line="312" w:before="120" w:after="288"/>
              <w:ind w:left="113" w:right="0" w:hanging="0"/>
              <w:jc w:val="center"/>
              <w:rPr>
                <w:rFonts w:ascii="Calibri Light" w:hAnsi="Calibri Light" w:cs="Arial"/>
                <w:color w:val="000000"/>
                <w:sz w:val="20"/>
                <w:szCs w:val="20"/>
              </w:rPr>
            </w:pPr>
            <w:r>
              <w:rPr>
                <w:rFonts w:cs="Arial" w:ascii="Calibri Light" w:hAnsi="Calibri Light"/>
                <w:color w:val="000000"/>
                <w:sz w:val="20"/>
                <w:szCs w:val="20"/>
              </w:rPr>
              <w:t>Instruendos</w:t>
            </w:r>
          </w:p>
        </w:tc>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113" w:right="0" w:hanging="57"/>
              <w:jc w:val="center"/>
              <w:rPr>
                <w:rFonts w:ascii="Calibri Light" w:hAnsi="Calibri Light" w:cs="Arial"/>
                <w:color w:val="000000"/>
                <w:sz w:val="20"/>
                <w:szCs w:val="20"/>
              </w:rPr>
            </w:pPr>
            <w:r>
              <w:rPr>
                <w:rFonts w:cs="Arial" w:ascii="Calibri Light" w:hAnsi="Calibri Light"/>
                <w:color w:val="000000"/>
                <w:sz w:val="20"/>
                <w:szCs w:val="20"/>
              </w:rPr>
              <w:t>25</w:t>
            </w:r>
          </w:p>
        </w:tc>
        <w:tc>
          <w:tcPr>
            <w:tcW w:w="1072" w:type="dxa"/>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8"/>
              </w:tabs>
              <w:bidi w:val="0"/>
              <w:spacing w:before="0" w:after="0"/>
              <w:ind w:left="113" w:right="0" w:hanging="57"/>
              <w:jc w:val="center"/>
              <w:rPr>
                <w:rFonts w:ascii="Calibri Light" w:hAnsi="Calibri Light"/>
                <w:b w:val="false"/>
                <w:b w:val="false"/>
                <w:bCs w:val="false"/>
                <w:i w:val="false"/>
                <w:i w:val="false"/>
                <w:iCs w:val="false"/>
                <w:color w:val="000000"/>
                <w:sz w:val="22"/>
                <w:szCs w:val="22"/>
              </w:rPr>
            </w:pPr>
            <w:r>
              <w:rPr>
                <w:rFonts w:ascii="Calibri Light" w:hAnsi="Calibri Light"/>
                <w:b w:val="false"/>
                <w:bCs w:val="false"/>
                <w:i w:val="false"/>
                <w:iCs w:val="false"/>
                <w:color w:val="000000"/>
                <w:sz w:val="22"/>
                <w:szCs w:val="22"/>
              </w:rPr>
              <w:t>395,00</w:t>
            </w:r>
          </w:p>
        </w:tc>
        <w:tc>
          <w:tcPr>
            <w:tcW w:w="14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bidi w:val="0"/>
              <w:spacing w:before="0" w:after="0"/>
              <w:ind w:left="113" w:right="113" w:hanging="113"/>
              <w:jc w:val="center"/>
              <w:textAlignment w:val="auto"/>
              <w:rPr>
                <w:rFonts w:ascii="Calibri Light" w:hAnsi="Calibri Light" w:eastAsia="Times New Roman" w:cs="Times New Roman"/>
                <w:b w:val="false"/>
                <w:b w:val="false"/>
                <w:bCs w:val="false"/>
                <w:color w:val="000000"/>
                <w:kern w:val="0"/>
                <w:sz w:val="20"/>
                <w:szCs w:val="20"/>
                <w:lang w:eastAsia="pt-BR" w:bidi="ar-SA"/>
              </w:rPr>
            </w:pPr>
            <w:r>
              <w:rPr>
                <w:rFonts w:eastAsia="Times New Roman" w:cs="Times New Roman" w:ascii="Calibri Light" w:hAnsi="Calibri Light"/>
                <w:b w:val="false"/>
                <w:bCs w:val="false"/>
                <w:color w:val="000000"/>
                <w:kern w:val="0"/>
                <w:sz w:val="20"/>
                <w:szCs w:val="20"/>
                <w:lang w:eastAsia="pt-BR" w:bidi="ar-SA"/>
              </w:rPr>
              <w:t>9.875,00</w:t>
            </w:r>
          </w:p>
        </w:tc>
      </w:tr>
    </w:tbl>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O prazo de vigência da contratação é de  1 (um) ano, contados a partir da confecção da Nota de Empenho (NE)., na forma do artigo 105 da Lei n° 14.133, de 2021.</w:t>
      </w:r>
    </w:p>
    <w:p>
      <w:pPr>
        <w:pStyle w:val="Nivel01"/>
        <w:numPr>
          <w:ilvl w:val="0"/>
          <w:numId w:val="1"/>
        </w:numPr>
        <w:rPr>
          <w:rFonts w:ascii="Calibri Light" w:hAnsi="Calibri Light"/>
        </w:rPr>
      </w:pPr>
      <w:r>
        <w:rPr>
          <w:rFonts w:ascii="Calibri Light" w:hAnsi="Calibri Light"/>
        </w:rPr>
        <w:t>FUNDAMENTAÇÃO E DESCRIÇÃO DA NECESSIDADE DA CONTRATAÇÃO</w:t>
      </w:r>
    </w:p>
    <w:p>
      <w:pPr>
        <w:pStyle w:val="Nivel2"/>
        <w:numPr>
          <w:ilvl w:val="1"/>
          <w:numId w:val="1"/>
        </w:numPr>
        <w:ind w:left="999" w:right="0" w:hanging="432"/>
        <w:rPr>
          <w:rFonts w:eastAsia="ＭＳ 明朝" w:eastAsiaTheme="minorEastAsia"/>
          <w:highlight w:val="none"/>
          <w:shd w:fill="auto" w:val="clear"/>
        </w:rPr>
      </w:pPr>
      <w:commentRangeStart w:id="1"/>
      <w:r>
        <w:rPr>
          <w:rFonts w:eastAsia="ＭＳ 明朝" w:eastAsiaTheme="minorEastAsia"/>
          <w:shd w:fill="auto" w:val="clear"/>
        </w:rPr>
        <w:t>A Fundamentação da Contratação e de seus quantitativos encontra-se pormenorizada em tópico específico dos Estudos Técnicos Preliminares, apêndice deste Termo de Referência.</w:t>
      </w:r>
      <w:commentRangeEnd w:id="1"/>
      <w:r>
        <w:commentReference w:id="1"/>
      </w:r>
      <w:r>
        <w:rPr>
          <w:rFonts w:eastAsia="ＭＳ 明朝" w:eastAsiaTheme="minorEastAsia"/>
          <w:shd w:fill="auto" w:val="clear"/>
        </w:rPr>
      </w:r>
    </w:p>
    <w:p>
      <w:pPr>
        <w:pStyle w:val="Nivel2"/>
        <w:numPr>
          <w:ilvl w:val="1"/>
          <w:numId w:val="1"/>
        </w:numPr>
        <w:ind w:left="999" w:right="0" w:hanging="432"/>
        <w:rPr>
          <w:rFonts w:ascii="Calibri Light" w:hAnsi="Calibri Light"/>
        </w:rPr>
      </w:pPr>
      <w:r>
        <w:rPr/>
        <w:t>O objeto da contratação está previsto no Plano de Contratações Anual2024</w:t>
      </w:r>
      <w:r>
        <w:rPr>
          <w:highlight w:val="yellow"/>
        </w:rPr>
        <w:t>.</w:t>
      </w:r>
    </w:p>
    <w:p>
      <w:pPr>
        <w:pStyle w:val="Nivel3"/>
        <w:numPr>
          <w:ilvl w:val="0"/>
          <w:numId w:val="0"/>
        </w:numPr>
        <w:ind w:left="2835" w:right="0" w:hanging="0"/>
        <w:rPr/>
      </w:pPr>
      <w:r>
        <w:rPr/>
      </w:r>
    </w:p>
    <w:p>
      <w:pPr>
        <w:pStyle w:val="Nivel01"/>
        <w:numPr>
          <w:ilvl w:val="0"/>
          <w:numId w:val="1"/>
        </w:numPr>
        <w:rPr>
          <w:rFonts w:ascii="Calibri Light" w:hAnsi="Calibri Light"/>
        </w:rPr>
      </w:pPr>
      <w:r>
        <w:rPr>
          <w:rFonts w:ascii="Calibri Light" w:hAnsi="Calibri Light"/>
        </w:rPr>
        <w:t>DESCRIÇÃO DA SOLUÇÃO COMO UM TODO CONSIDERADO O CICLO DE VIDA DO OBJETO</w:t>
      </w:r>
    </w:p>
    <w:p>
      <w:pPr>
        <w:pStyle w:val="Nvel2Red"/>
        <w:numPr>
          <w:ilvl w:val="1"/>
          <w:numId w:val="1"/>
        </w:numPr>
        <w:ind w:left="999" w:right="0" w:hanging="432"/>
        <w:rPr>
          <w:rFonts w:ascii="Ecofont_Spranq_eco_Sans" w:hAnsi="Ecofont_Spranq_eco_Sans" w:eastAsia="ＭＳ 明朝" w:cs="Times New Roman" w:eastAsiaTheme="minorEastAsia"/>
          <w:color w:val="auto"/>
          <w:kern w:val="0"/>
          <w:sz w:val="20"/>
          <w:szCs w:val="20"/>
          <w:shd w:fill="auto" w:val="clear"/>
          <w:lang w:val="pt-BR" w:eastAsia="pt-BR" w:bidi="ar-SA"/>
        </w:rPr>
      </w:pPr>
      <w:bookmarkStart w:id="20" w:name="_Ref121236534"/>
      <w:commentRangeStart w:id="2"/>
      <w:r>
        <w:rPr>
          <w:rFonts w:eastAsia="ＭＳ 明朝" w:cs="Times New Roman" w:eastAsiaTheme="minorEastAsia" w:ascii="Ecofont_Spranq_eco_Sans" w:hAnsi="Ecofont_Spranq_eco_Sans"/>
          <w:color w:val="000000"/>
          <w:kern w:val="0"/>
          <w:sz w:val="20"/>
          <w:szCs w:val="20"/>
          <w:shd w:fill="auto" w:val="clear"/>
          <w:lang w:val="pt-BR" w:eastAsia="pt-BR" w:bidi="ar-SA"/>
        </w:rPr>
        <w:t>A descrição da solução como um todo encontra-se pormenorizada em tópico específico dos Estudos Técnicos Preliminares, apêndice deste Termo de Referência.</w:t>
      </w:r>
      <w:bookmarkEnd w:id="20"/>
      <w:commentRangeEnd w:id="2"/>
      <w:r>
        <w:commentReference w:id="2"/>
      </w:r>
      <w:r>
        <w:rPr>
          <w:rFonts w:eastAsia="ＭＳ 明朝" w:cs="Times New Roman" w:eastAsiaTheme="minorEastAsia" w:ascii="Ecofont_Spranq_eco_Sans" w:hAnsi="Ecofont_Spranq_eco_Sans"/>
          <w:color w:val="000000"/>
          <w:kern w:val="0"/>
          <w:sz w:val="20"/>
          <w:szCs w:val="20"/>
          <w:shd w:fill="auto" w:val="clear"/>
          <w:lang w:val="pt-BR" w:eastAsia="pt-BR" w:bidi="ar-SA"/>
        </w:rPr>
      </w:r>
    </w:p>
    <w:p>
      <w:pPr>
        <w:pStyle w:val="Nvel2Red"/>
        <w:numPr>
          <w:ilvl w:val="0"/>
          <w:numId w:val="0"/>
        </w:numPr>
        <w:ind w:left="999" w:right="0" w:hanging="0"/>
        <w:rPr>
          <w:rFonts w:ascii="Ecofont_Spranq_eco_Sans" w:hAnsi="Ecofont_Spranq_eco_Sans" w:eastAsia="ＭＳ 明朝" w:cs="Times New Roman" w:eastAsiaTheme="minorEastAsia"/>
          <w:color w:val="auto"/>
          <w:kern w:val="0"/>
          <w:sz w:val="20"/>
          <w:szCs w:val="20"/>
          <w:shd w:fill="auto" w:val="clear"/>
          <w:lang w:val="pt-BR" w:eastAsia="pt-BR" w:bidi="ar-SA"/>
        </w:rPr>
      </w:pPr>
      <w:r>
        <w:rPr>
          <w:rFonts w:eastAsia="ＭＳ 明朝" w:cs="Times New Roman" w:eastAsiaTheme="minorEastAsia" w:ascii="Ecofont_Spranq_eco_Sans" w:hAnsi="Ecofont_Spranq_eco_Sans"/>
          <w:color w:val="000000"/>
          <w:kern w:val="0"/>
          <w:sz w:val="20"/>
          <w:szCs w:val="20"/>
          <w:shd w:fill="auto" w:val="clear"/>
          <w:lang w:val="pt-BR" w:eastAsia="pt-BR" w:bidi="ar-SA"/>
        </w:rPr>
      </w:r>
    </w:p>
    <w:p>
      <w:pPr>
        <w:pStyle w:val="Nvel01SemNumerao"/>
        <w:rPr>
          <w:rFonts w:ascii="Calibri Light" w:hAnsi="Calibri Light"/>
        </w:rPr>
      </w:pPr>
      <w:commentRangeStart w:id="3"/>
      <w:r>
        <w:rPr>
          <w:rFonts w:ascii="Calibri Light" w:hAnsi="Calibri Light"/>
        </w:rPr>
        <w:t>REQUISITOS DA CONTRATAÇÃO</w:t>
      </w:r>
      <w:commentRangeStart w:id="4"/>
      <w:r>
        <w:rPr>
          <w:rFonts w:ascii="Calibri Light" w:hAnsi="Calibri Light"/>
        </w:rPr>
      </w:r>
      <w:commentRangeEnd w:id="3"/>
      <w:r>
        <w:commentReference w:id="3"/>
      </w:r>
      <w:r>
        <w:rPr>
          <w:rFonts w:ascii="Calibri Light" w:hAnsi="Calibri Light"/>
        </w:rPr>
        <w:t xml:space="preserve"> Sustentabilidade</w:t>
      </w:r>
      <w:commentRangeEnd w:id="4"/>
      <w:r>
        <w:commentReference w:id="4"/>
      </w:r>
      <w:r>
        <w:rPr>
          <w:rFonts w:ascii="Calibri Light" w:hAnsi="Calibri Light"/>
        </w:rPr>
      </w:r>
    </w:p>
    <w:p>
      <w:pPr>
        <w:pStyle w:val="Nivel2"/>
        <w:numPr>
          <w:ilvl w:val="1"/>
          <w:numId w:val="1"/>
        </w:numPr>
        <w:ind w:left="999" w:right="0" w:hanging="432"/>
        <w:rPr>
          <w:rFonts w:ascii="Calibri Light" w:hAnsi="Calibri Light"/>
        </w:rPr>
      </w:pPr>
      <w:r>
        <w:rPr/>
        <w:t>Além dos critérios de sustentabilidade eventualmente inseridos na descrição do objeto, devem ser atendidos os seguintes requisitos, que se baseiam no Guia Nacional de Contratações Sustentáveis:</w:t>
      </w:r>
    </w:p>
    <w:p>
      <w:pPr>
        <w:pStyle w:val="Nvel1SemNum"/>
        <w:rPr>
          <w:rFonts w:ascii="Calibri Light" w:hAnsi="Calibri Light"/>
        </w:rPr>
      </w:pPr>
      <w:r>
        <w:rPr>
          <w:rFonts w:ascii="Calibri Light" w:hAnsi="Calibri Light"/>
          <w:highlight w:val="yellow"/>
        </w:rPr>
        <w:t>I</w:t>
      </w:r>
    </w:p>
    <w:p>
      <w:pPr>
        <w:pStyle w:val="Nvel01SemNumerao"/>
        <w:rPr>
          <w:rFonts w:ascii="Calibri Light" w:hAnsi="Calibri Light"/>
        </w:rPr>
      </w:pPr>
      <w:commentRangeStart w:id="5"/>
      <w:r>
        <w:rPr>
          <w:rFonts w:ascii="Calibri Light" w:hAnsi="Calibri Light"/>
        </w:rPr>
        <w:t>Subcontratação</w:t>
      </w:r>
      <w:commentRangeEnd w:id="5"/>
      <w:r>
        <w:commentReference w:id="5"/>
      </w:r>
      <w:r>
        <w:rPr>
          <w:rFonts w:ascii="Calibri Light" w:hAnsi="Calibri Light"/>
        </w:rPr>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Não é admitida a subcontratação do objeto contratual.</w:t>
      </w:r>
    </w:p>
    <w:p>
      <w:pPr>
        <w:pStyle w:val="Nvel01SemNumerao"/>
        <w:rPr>
          <w:rFonts w:ascii="Calibri Light" w:hAnsi="Calibri Light"/>
        </w:rPr>
      </w:pPr>
      <w:r>
        <w:rPr>
          <w:rFonts w:ascii="Calibri Light" w:hAnsi="Calibri Light"/>
        </w:rPr>
        <w:t>Garant</w:t>
      </w:r>
      <w:r>
        <w:rPr>
          <w:rFonts w:eastAsia="Arial Unicode MS" w:cs="Times New Roman" w:ascii="Ecofont_Spranq_eco_Sans" w:hAnsi="Ecofont_Spranq_eco_Sans"/>
          <w:i/>
          <w:iCs/>
          <w:color w:val="auto"/>
          <w:kern w:val="0"/>
          <w:sz w:val="20"/>
          <w:szCs w:val="20"/>
          <w:lang w:val="pt-BR" w:eastAsia="pt-BR" w:bidi="ar-SA"/>
        </w:rPr>
        <w:t>ia da contratação</w:t>
      </w:r>
    </w:p>
    <w:p>
      <w:pPr>
        <w:pStyle w:val="Nvel2Red"/>
        <w:numPr>
          <w:ilvl w:val="1"/>
          <w:numId w:val="1"/>
        </w:numPr>
        <w:ind w:left="999" w:right="0" w:hanging="432"/>
        <w:rPr/>
      </w:pPr>
      <w:r>
        <w:rPr>
          <w:rFonts w:eastAsia="Arial Unicode MS" w:cs="Times New Roman" w:ascii="Ecofont_Spranq_eco_Sans" w:hAnsi="Ecofont_Spranq_eco_Sans"/>
          <w:i/>
          <w:iCs/>
          <w:color w:val="auto"/>
          <w:kern w:val="0"/>
          <w:sz w:val="20"/>
          <w:szCs w:val="20"/>
          <w:lang w:val="pt-BR" w:eastAsia="pt-BR" w:bidi="ar-SA"/>
        </w:rPr>
        <w:t xml:space="preserve">Não haverá exigência da garantia da contratação dos </w:t>
      </w:r>
      <w:r>
        <w:fldChar w:fldCharType="begin"/>
      </w:r>
      <w:r>
        <w:rPr>
          <w:sz w:val="20"/>
          <w:i/>
          <w:kern w:val="0"/>
          <w:szCs w:val="20"/>
          <w:iCs/>
          <w:rFonts w:eastAsia="Arial Unicode MS" w:cs="Times New Roman" w:ascii="Ecofont_Spranq_eco_Sans" w:hAnsi="Ecofont_Spranq_eco_Sans"/>
          <w:color w:val="auto"/>
          <w:lang w:val="pt-BR" w:eastAsia="pt-BR" w:bidi="ar-SA"/>
        </w:rPr>
        <w:instrText xml:space="preserve"> HYPERLINK "http://www.planalto.gov.br/ccivil_03/_ato2019-2022/2021/lei/L14133.htm" \l "art96"</w:instrText>
      </w:r>
      <w:r>
        <w:rPr>
          <w:sz w:val="20"/>
          <w:i/>
          <w:kern w:val="0"/>
          <w:szCs w:val="20"/>
          <w:iCs/>
          <w:rFonts w:eastAsia="Arial Unicode MS" w:cs="Times New Roman" w:ascii="Ecofont_Spranq_eco_Sans" w:hAnsi="Ecofont_Spranq_eco_Sans"/>
          <w:color w:val="auto"/>
          <w:lang w:val="pt-BR" w:eastAsia="pt-BR" w:bidi="ar-SA"/>
        </w:rPr>
        <w:fldChar w:fldCharType="separate"/>
      </w:r>
      <w:r>
        <w:rPr>
          <w:rFonts w:eastAsia="Arial Unicode MS" w:cs="Times New Roman" w:ascii="Ecofont_Spranq_eco_Sans" w:hAnsi="Ecofont_Spranq_eco_Sans"/>
          <w:i/>
          <w:iCs/>
          <w:color w:val="auto"/>
          <w:kern w:val="0"/>
          <w:sz w:val="20"/>
          <w:szCs w:val="20"/>
          <w:lang w:val="pt-BR" w:eastAsia="pt-BR" w:bidi="ar-SA"/>
        </w:rPr>
        <w:t>artigos 96 e seguintes da Lei nº 14.133, de 2021</w:t>
      </w:r>
      <w:r>
        <w:rPr>
          <w:sz w:val="20"/>
          <w:i/>
          <w:kern w:val="0"/>
          <w:szCs w:val="20"/>
          <w:iCs/>
          <w:rFonts w:eastAsia="Arial Unicode MS" w:cs="Times New Roman" w:ascii="Ecofont_Spranq_eco_Sans" w:hAnsi="Ecofont_Spranq_eco_Sans"/>
          <w:color w:val="auto"/>
          <w:lang w:val="pt-BR" w:eastAsia="pt-BR" w:bidi="ar-SA"/>
        </w:rPr>
        <w:fldChar w:fldCharType="end"/>
      </w:r>
      <w:r>
        <w:rPr>
          <w:rFonts w:eastAsia="Arial Unicode MS" w:cs="Times New Roman" w:ascii="Ecofont_Spranq_eco_Sans" w:hAnsi="Ecofont_Spranq_eco_Sans"/>
          <w:i/>
          <w:iCs/>
          <w:color w:val="auto"/>
          <w:kern w:val="0"/>
          <w:sz w:val="20"/>
          <w:szCs w:val="20"/>
          <w:lang w:val="pt-BR" w:eastAsia="pt-BR" w:bidi="ar-SA"/>
        </w:rPr>
        <w:t>, pelas razões constantes do Estudo Técnico Preliminar.</w:t>
      </w:r>
    </w:p>
    <w:p>
      <w:pPr>
        <w:pStyle w:val="Nvel01SemNumerao"/>
        <w:rPr>
          <w:rFonts w:ascii="Ecofont_Spranq_eco_Sans" w:hAnsi="Ecofont_Spranq_eco_Sans" w:eastAsia="Arial Unicode MS" w:cs="Times New Roman"/>
          <w:i/>
          <w:i/>
          <w:iCs/>
          <w:color w:val="auto"/>
          <w:kern w:val="0"/>
          <w:sz w:val="20"/>
          <w:szCs w:val="20"/>
          <w:lang w:val="pt-BR" w:eastAsia="pt-BR" w:bidi="ar-SA"/>
        </w:rPr>
      </w:pPr>
      <w:commentRangeStart w:id="6"/>
      <w:r>
        <w:rPr>
          <w:rFonts w:eastAsia="Arial Unicode MS" w:cs="Times New Roman" w:ascii="Ecofont_Spranq_eco_Sans" w:hAnsi="Ecofont_Spranq_eco_Sans"/>
          <w:i/>
          <w:iCs/>
          <w:color w:val="auto"/>
          <w:kern w:val="0"/>
          <w:sz w:val="20"/>
          <w:szCs w:val="20"/>
          <w:lang w:val="pt-BR" w:eastAsia="pt-BR" w:bidi="ar-SA"/>
        </w:rPr>
        <w:t>Vistoria</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Não há necessidade de realização de avaliação prévia do local de execução dos serviços.</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Serão disponibilizados data e horário diferentes aos interessados em realizar a vistoria prévia. </w:t>
      </w:r>
      <w:commentRangeEnd w:id="6"/>
      <w:r>
        <w:commentReference w:id="6"/>
      </w:r>
      <w:r>
        <w:rPr>
          <w:rFonts w:eastAsia="Arial Unicode MS" w:cs="Times New Roman" w:ascii="Ecofont_Spranq_eco_Sans" w:hAnsi="Ecofont_Spranq_eco_Sans"/>
          <w:i/>
          <w:iCs/>
          <w:color w:val="auto"/>
          <w:kern w:val="0"/>
          <w:sz w:val="20"/>
          <w:szCs w:val="20"/>
          <w:lang w:val="pt-BR" w:eastAsia="pt-BR" w:bidi="ar-SA"/>
        </w:rPr>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commentRangeStart w:id="7"/>
      <w:r>
        <w:rPr>
          <w:rFonts w:eastAsia="Arial Unicode MS" w:cs="Times New Roman" w:ascii="Ecofont_Spranq_eco_Sans" w:hAnsi="Ecofont_Spranq_eco_Sans"/>
          <w:i/>
          <w:iCs/>
          <w:color w:val="auto"/>
          <w:kern w:val="0"/>
          <w:sz w:val="20"/>
          <w:szCs w:val="20"/>
          <w:lang w:val="pt-BR" w:eastAsia="pt-BR" w:bidi="ar-SA"/>
        </w:rPr>
        <w:t>Para a vistoria, o representante legal da empresa ou responsável técnico deverá estar devidamente identificado, apresentando documento de identidade civil e documento expedido pela empresa comprovando sua habilitação para a realização da vistoria</w:t>
      </w:r>
      <w:r>
        <w:rPr>
          <w:rFonts w:eastAsia="Arial Unicode MS" w:cs="Times New Roman" w:ascii="Ecofont_Spranq_eco_Sans" w:hAnsi="Ecofont_Spranq_eco_Sans"/>
          <w:i/>
          <w:iCs/>
          <w:color w:val="auto"/>
          <w:kern w:val="0"/>
          <w:sz w:val="20"/>
          <w:szCs w:val="20"/>
          <w:lang w:val="pt-BR" w:eastAsia="pt-BR" w:bidi="ar-SA"/>
        </w:rPr>
      </w:r>
      <w:commentRangeEnd w:id="7"/>
      <w:r>
        <w:commentReference w:id="7"/>
      </w:r>
      <w:r>
        <w:rPr>
          <w:rFonts w:eastAsia="Arial Unicode MS" w:cs="Times New Roman" w:ascii="Ecofont_Spranq_eco_Sans" w:hAnsi="Ecofont_Spranq_eco_Sans"/>
          <w:i/>
          <w:iCs/>
          <w:color w:val="auto"/>
          <w:kern w:val="0"/>
          <w:sz w:val="20"/>
          <w:szCs w:val="20"/>
          <w:lang w:val="pt-BR" w:eastAsia="pt-BR" w:bidi="ar-SA"/>
        </w:rPr>
        <w:t xml:space="preserve">. </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pPr>
        <w:pStyle w:val="Nvel01SemNumerao"/>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commentReference w:id="8"/>
      </w:r>
      <w:r>
        <w:rPr>
          <w:rFonts w:eastAsia="Arial Unicode MS" w:cs="Times New Roman" w:ascii="Ecofont_Spranq_eco_Sans" w:hAnsi="Ecofont_Spranq_eco_Sans"/>
          <w:i/>
          <w:iCs/>
          <w:color w:val="auto"/>
          <w:kern w:val="0"/>
          <w:sz w:val="20"/>
          <w:szCs w:val="20"/>
          <w:lang w:val="pt-BR" w:eastAsia="pt-BR" w:bidi="ar-SA"/>
        </w:rPr>
        <w:t>Condições de execução</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commentRangeStart w:id="9"/>
      <w:r>
        <w:rPr>
          <w:rFonts w:eastAsia="Arial Unicode MS" w:cs="Times New Roman" w:ascii="Ecofont_Spranq_eco_Sans" w:hAnsi="Ecofont_Spranq_eco_Sans"/>
          <w:i/>
          <w:iCs/>
          <w:color w:val="auto"/>
          <w:kern w:val="0"/>
          <w:sz w:val="20"/>
          <w:szCs w:val="20"/>
          <w:lang w:val="pt-BR" w:eastAsia="pt-BR" w:bidi="ar-SA"/>
        </w:rPr>
        <w:t>A execução do objeto seguirá a seguinte dinâmica:</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Início da execução do objeto: a partir da assinatura do contrato e confecção da nota de empenho</w:t>
      </w:r>
    </w:p>
    <w:p>
      <w:pPr>
        <w:pStyle w:val="Nvel3R"/>
        <w:widowControl/>
        <w:numPr>
          <w:ilvl w:val="2"/>
          <w:numId w:val="1"/>
        </w:numPr>
        <w:suppressAutoHyphens w:val="true"/>
        <w:bidi w:val="0"/>
        <w:spacing w:lineRule="auto" w:line="276" w:before="120" w:after="120"/>
        <w:ind w:left="284" w:right="0" w:hanging="0"/>
        <w:jc w:val="both"/>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Os cursos serão realizados na 13ª Brigada de Infantaria Motorizada que deverá disponibilizar as instalações e os alunos.</w:t>
      </w:r>
    </w:p>
    <w:p>
      <w:pPr>
        <w:pStyle w:val="Nvel3R"/>
        <w:widowControl/>
        <w:numPr>
          <w:ilvl w:val="2"/>
          <w:numId w:val="1"/>
        </w:numPr>
        <w:suppressAutoHyphens w:val="true"/>
        <w:bidi w:val="0"/>
        <w:spacing w:lineRule="auto" w:line="276" w:before="120" w:after="120"/>
        <w:ind w:left="284" w:right="0" w:hanging="0"/>
        <w:jc w:val="both"/>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A entidade contratada ficará responsável pela execução direta dos cursos, da matrícula dos alunos, do corpo técnico e instrutores necessários e entrega dos certificados ao término dos cursos.</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Cronograma de realização dos serviços:</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Cada curso terá a carga horária de 50 (cinquenta) horas e será dividida em 7 (sete) dias úteis com carga horária de 08 (oito) horas/dia de segunda a quinta Feira e 04 (quatro) horas/ dia na sexta feira.</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 xml:space="preserve">Caso seja necessário qualquer uma das partes pode solicitar, com antecedência mínima de 24 (vinte e quatro) horas </w:t>
      </w:r>
      <w:r>
        <w:rPr>
          <w:rFonts w:eastAsia="Arial Unicode MS" w:cs="Times New Roman" w:ascii="Ecofont_Spranq_eco_Sans" w:hAnsi="Ecofont_Spranq_eco_Sans"/>
          <w:i/>
          <w:iCs/>
          <w:color w:val="auto"/>
          <w:kern w:val="0"/>
          <w:sz w:val="20"/>
          <w:szCs w:val="20"/>
          <w:lang w:val="pt-BR" w:eastAsia="pt-BR" w:bidi="ar-SA"/>
        </w:rPr>
      </w:r>
      <w:commentRangeEnd w:id="9"/>
      <w:r>
        <w:commentReference w:id="9"/>
      </w:r>
      <w:r>
        <w:rPr>
          <w:rFonts w:eastAsia="Arial Unicode MS" w:cs="Times New Roman" w:ascii="Ecofont_Spranq_eco_Sans" w:hAnsi="Ecofont_Spranq_eco_Sans"/>
          <w:i/>
          <w:iCs/>
          <w:color w:val="auto"/>
          <w:kern w:val="0"/>
          <w:sz w:val="20"/>
          <w:szCs w:val="20"/>
          <w:lang w:val="pt-BR" w:eastAsia="pt-BR" w:bidi="ar-SA"/>
        </w:rPr>
        <w:t xml:space="preserve">a mudança de horários. </w:t>
      </w:r>
    </w:p>
    <w:p>
      <w:pPr>
        <w:pStyle w:val="Nvel01SemNumerao"/>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r>
    </w:p>
    <w:p>
      <w:pPr>
        <w:pStyle w:val="Nvel01SemNumerao"/>
        <w:rPr>
          <w:rFonts w:ascii="Ecofont_Spranq_eco_Sans" w:hAnsi="Ecofont_Spranq_eco_Sans" w:eastAsia="Arial Unicode MS" w:cs="Times New Roman"/>
          <w:i/>
          <w:i/>
          <w:iCs/>
          <w:color w:val="auto"/>
          <w:kern w:val="0"/>
          <w:sz w:val="20"/>
          <w:szCs w:val="20"/>
          <w:lang w:val="pt-BR" w:eastAsia="pt-BR" w:bidi="ar-SA"/>
        </w:rPr>
      </w:pPr>
      <w:commentRangeStart w:id="10"/>
      <w:r>
        <w:rPr>
          <w:rFonts w:eastAsia="Arial Unicode MS" w:cs="Times New Roman" w:ascii="Ecofont_Spranq_eco_Sans" w:hAnsi="Ecofont_Spranq_eco_Sans"/>
          <w:i/>
          <w:iCs/>
          <w:color w:val="auto"/>
          <w:kern w:val="0"/>
          <w:sz w:val="20"/>
          <w:szCs w:val="20"/>
          <w:lang w:val="pt-BR" w:eastAsia="pt-BR" w:bidi="ar-SA"/>
        </w:rPr>
        <w:t>Local e horário da prestação dos serviços</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Os serviços serão prestados no seguinte endereço:  13ª Brigada de Infantaria Motorizada, Av Historiador R´bens de Mendonça, 5001, CPA - Cuiabá-MT</w:t>
      </w:r>
      <w:commentRangeEnd w:id="10"/>
      <w:r>
        <w:commentReference w:id="10"/>
      </w:r>
      <w:r>
        <w:rPr>
          <w:rFonts w:eastAsia="Arial Unicode MS" w:cs="Times New Roman" w:ascii="Ecofont_Spranq_eco_Sans" w:hAnsi="Ecofont_Spranq_eco_Sans"/>
          <w:i/>
          <w:iCs/>
          <w:color w:val="auto"/>
          <w:kern w:val="0"/>
          <w:sz w:val="20"/>
          <w:szCs w:val="20"/>
          <w:lang w:val="pt-BR" w:eastAsia="pt-BR" w:bidi="ar-SA"/>
        </w:rPr>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Os serviços serão prestados no seguinte horário: Das 07:30 às 11:30 e das 13:00 às 17:00</w:t>
      </w:r>
    </w:p>
    <w:p>
      <w:pPr>
        <w:pStyle w:val="Nvel01SemNumerao"/>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Rotinas a serem cumpridas</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A execução contratual observará as rotinas abaixo:</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Inicio das atividades :às 07:30 h, parada para o almoço às 11:30 , reinício das atividades às 13:00 h e término das atividade às 17:00 h</w:t>
      </w:r>
    </w:p>
    <w:p>
      <w:pPr>
        <w:pStyle w:val="Nvel01SemNumerao"/>
        <w:rPr>
          <w:rFonts w:ascii="Ecofont_Spranq_eco_Sans" w:hAnsi="Ecofont_Spranq_eco_Sans" w:eastAsia="Arial Unicode MS" w:cs="Times New Roman"/>
          <w:i/>
          <w:i/>
          <w:iCs/>
          <w:color w:val="auto"/>
          <w:kern w:val="0"/>
          <w:sz w:val="20"/>
          <w:szCs w:val="20"/>
          <w:lang w:val="pt-BR" w:eastAsia="pt-BR" w:bidi="ar-SA"/>
        </w:rPr>
      </w:pPr>
      <w:commentRangeStart w:id="11"/>
      <w:r>
        <w:rPr>
          <w:rFonts w:eastAsia="Arial Unicode MS" w:cs="Times New Roman" w:ascii="Ecofont_Spranq_eco_Sans" w:hAnsi="Ecofont_Spranq_eco_Sans"/>
          <w:i/>
          <w:iCs/>
          <w:color w:val="auto"/>
          <w:kern w:val="0"/>
          <w:sz w:val="20"/>
          <w:szCs w:val="20"/>
          <w:lang w:val="pt-BR" w:eastAsia="pt-BR" w:bidi="ar-SA"/>
        </w:rPr>
        <w:t>Materiais a serem disponibilizados</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Para a perfeita execução dos serviços, a Contratada deverá disponibilizar os materiais, equipamentos, ferramentas e utensílios necessários, nas quantidades estimadas e qualidades a seguir estabelecidas, promovendo sua substituição quando necessário:</w:t>
      </w:r>
      <w:commentRangeEnd w:id="11"/>
      <w:r>
        <w:commentReference w:id="11"/>
      </w:r>
      <w:r>
        <w:rPr>
          <w:rFonts w:eastAsia="Arial Unicode MS" w:cs="Times New Roman" w:ascii="Ecofont_Spranq_eco_Sans" w:hAnsi="Ecofont_Spranq_eco_Sans"/>
          <w:i/>
          <w:iCs/>
          <w:color w:val="auto"/>
          <w:kern w:val="0"/>
          <w:sz w:val="20"/>
          <w:szCs w:val="20"/>
          <w:lang w:val="pt-BR" w:eastAsia="pt-BR" w:bidi="ar-SA"/>
        </w:rPr>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 xml:space="preserve">Corpo técnico  administrativo e Instrutores </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Material didático;</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Efetuar o monitoramento das atividades;</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Emitir certificados de conclusão de cursos aos alunos que obtiverem aproveitamento;</w:t>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Cumprir as leis  e normas de proteção de dados pessoais.</w:t>
      </w:r>
    </w:p>
    <w:p>
      <w:pPr>
        <w:pStyle w:val="Nvel01SemNumerao"/>
        <w:rPr>
          <w:rFonts w:ascii="Calibri Light" w:hAnsi="Calibri Light"/>
        </w:rPr>
      </w:pPr>
      <w:r>
        <w:rPr>
          <w:rFonts w:ascii="Calibri Light" w:hAnsi="Calibri Light"/>
        </w:rPr>
      </w:r>
    </w:p>
    <w:p>
      <w:pPr>
        <w:pStyle w:val="Nvel01SemNumerao"/>
        <w:rPr>
          <w:rFonts w:ascii="Calibri Light" w:hAnsi="Calibri Light"/>
        </w:rPr>
      </w:pPr>
      <w:commentRangeStart w:id="12"/>
      <w:r>
        <w:rPr>
          <w:rFonts w:ascii="Calibri Light" w:hAnsi="Calibri Light"/>
        </w:rPr>
        <w:t>Informações relevantes para o dimensionamento da proposta</w:t>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A demanda do órgão tem como base as seguintes características:</w:t>
      </w:r>
      <w:commentRangeEnd w:id="12"/>
      <w:r>
        <w:commentReference w:id="12"/>
      </w:r>
      <w:r>
        <w:rPr>
          <w:rFonts w:eastAsia="Arial Unicode MS" w:cs="Times New Roman" w:ascii="Ecofont_Spranq_eco_Sans" w:hAnsi="Ecofont_Spranq_eco_Sans"/>
          <w:i/>
          <w:iCs/>
          <w:color w:val="auto"/>
          <w:kern w:val="0"/>
          <w:sz w:val="20"/>
          <w:szCs w:val="20"/>
          <w:lang w:val="pt-BR" w:eastAsia="pt-BR" w:bidi="ar-SA"/>
        </w:rPr>
      </w:r>
    </w:p>
    <w:p>
      <w:pPr>
        <w:pStyle w:val="Nvel3R"/>
        <w:numPr>
          <w:ilvl w:val="2"/>
          <w:numId w:val="1"/>
        </w:numPr>
        <w:ind w:left="284" w:right="0" w:hanging="0"/>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Especialização de motoristas para as diversas áreas das atividades militares.</w:t>
      </w:r>
    </w:p>
    <w:p>
      <w:pPr>
        <w:pStyle w:val="Nvel01SemNumerao"/>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r>
    </w:p>
    <w:p>
      <w:pPr>
        <w:pStyle w:val="Nvel01SemNumerao"/>
        <w:rPr>
          <w:rFonts w:ascii="Ecofont_Spranq_eco_Sans" w:hAnsi="Ecofont_Spranq_eco_Sans" w:eastAsia="Arial Unicode MS" w:cs="Times New Roman"/>
          <w:i/>
          <w:i/>
          <w:iCs/>
          <w:color w:val="auto"/>
          <w:kern w:val="0"/>
          <w:sz w:val="20"/>
          <w:szCs w:val="20"/>
          <w:lang w:val="pt-BR" w:eastAsia="pt-BR" w:bidi="ar-SA"/>
        </w:rPr>
      </w:pPr>
      <w:commentRangeStart w:id="13"/>
      <w:r>
        <w:rPr>
          <w:rFonts w:eastAsia="Arial Unicode MS" w:cs="Times New Roman" w:ascii="Ecofont_Spranq_eco_Sans" w:hAnsi="Ecofont_Spranq_eco_Sans"/>
          <w:i/>
          <w:iCs/>
          <w:color w:val="auto"/>
          <w:kern w:val="0"/>
          <w:sz w:val="20"/>
          <w:szCs w:val="20"/>
          <w:lang w:val="pt-BR" w:eastAsia="pt-BR" w:bidi="ar-SA"/>
        </w:rPr>
        <w:t>Especificação da garantia do serviço (art. 40, §1º, inciso III, da Lei nº 14.133, de 2021)</w:t>
      </w:r>
      <w:commentRangeEnd w:id="13"/>
      <w:r>
        <w:commentReference w:id="13"/>
      </w:r>
      <w:r>
        <w:rPr>
          <w:rFonts w:eastAsia="Arial Unicode MS" w:cs="Times New Roman" w:ascii="Ecofont_Spranq_eco_Sans" w:hAnsi="Ecofont_Spranq_eco_Sans"/>
          <w:i/>
          <w:iCs/>
          <w:color w:val="auto"/>
          <w:kern w:val="0"/>
          <w:sz w:val="20"/>
          <w:szCs w:val="20"/>
          <w:lang w:val="pt-BR" w:eastAsia="pt-BR" w:bidi="ar-SA"/>
        </w:rPr>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O prazo de garantia contratual dos serviços é aquele estabelecido na Lei nº 8.078, de 11 de setembro de 1990 (Código de Defesa do Consumidor).</w:t>
      </w:r>
    </w:p>
    <w:p>
      <w:pPr>
        <w:pStyle w:val="Nvel1SemNum"/>
        <w:rPr>
          <w:rFonts w:ascii="Ecofont_Spranq_eco_Sans" w:hAnsi="Ecofont_Spranq_eco_Sans" w:eastAsia="Arial Unicode MS" w:cs="Times New Roman"/>
          <w:i/>
          <w:i/>
          <w:iCs/>
          <w:color w:val="auto"/>
          <w:kern w:val="0"/>
          <w:sz w:val="20"/>
          <w:szCs w:val="20"/>
          <w:lang w:val="pt-BR" w:eastAsia="pt-BR" w:bidi="ar-SA"/>
        </w:rPr>
      </w:pPr>
      <w:commentRangeStart w:id="14"/>
      <w:r>
        <w:rPr>
          <w:rFonts w:eastAsia="Arial Unicode MS" w:cs="Times New Roman" w:ascii="Ecofont_Spranq_eco_Sans" w:hAnsi="Ecofont_Spranq_eco_Sans"/>
          <w:i/>
          <w:iCs/>
          <w:color w:val="auto"/>
          <w:kern w:val="0"/>
          <w:sz w:val="20"/>
          <w:szCs w:val="20"/>
          <w:lang w:val="pt-BR" w:eastAsia="pt-BR" w:bidi="ar-SA"/>
        </w:rPr>
        <w:t>Procedimentos de transição e finalização do contrato</w:t>
      </w:r>
      <w:commentRangeEnd w:id="14"/>
      <w:r>
        <w:commentReference w:id="14"/>
      </w:r>
      <w:r>
        <w:rPr>
          <w:rFonts w:eastAsia="Arial Unicode MS" w:cs="Times New Roman" w:ascii="Ecofont_Spranq_eco_Sans" w:hAnsi="Ecofont_Spranq_eco_Sans"/>
          <w:i/>
          <w:iCs/>
          <w:color w:val="auto"/>
          <w:kern w:val="0"/>
          <w:sz w:val="20"/>
          <w:szCs w:val="20"/>
          <w:lang w:val="pt-BR" w:eastAsia="pt-BR" w:bidi="ar-SA"/>
        </w:rPr>
      </w:r>
    </w:p>
    <w:p>
      <w:pPr>
        <w:pStyle w:val="Nvel2Red"/>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ascii="Ecofont_Spranq_eco_Sans" w:hAnsi="Ecofont_Spranq_eco_Sans"/>
          <w:i/>
          <w:iCs/>
          <w:color w:val="auto"/>
          <w:kern w:val="0"/>
          <w:sz w:val="20"/>
          <w:szCs w:val="20"/>
          <w:lang w:val="pt-BR" w:eastAsia="pt-BR" w:bidi="ar-SA"/>
        </w:rPr>
        <w:t xml:space="preserve"> </w:t>
      </w:r>
      <w:r>
        <w:rPr>
          <w:rFonts w:eastAsia="Arial Unicode MS" w:cs="Times New Roman" w:ascii="Ecofont_Spranq_eco_Sans" w:hAnsi="Ecofont_Spranq_eco_Sans"/>
          <w:i/>
          <w:iCs/>
          <w:color w:val="auto"/>
          <w:kern w:val="0"/>
          <w:sz w:val="20"/>
          <w:szCs w:val="20"/>
          <w:lang w:val="pt-BR" w:eastAsia="pt-BR" w:bidi="ar-SA"/>
        </w:rPr>
        <w:t>Não serão necessários procedimentos de transição e finalização do contrato devido às características do objeto.</w:t>
      </w:r>
    </w:p>
    <w:p>
      <w:pPr>
        <w:pStyle w:val="Nivel2"/>
        <w:numPr>
          <w:ilvl w:val="1"/>
          <w:numId w:val="1"/>
        </w:numPr>
        <w:ind w:left="999" w:right="0" w:hanging="432"/>
        <w:rPr>
          <w:rFonts w:ascii="Ecofont_Spranq_eco_Sans" w:hAnsi="Ecofont_Spranq_eco_Sans" w:eastAsia="Arial Unicode MS" w:cs="Times New Roman"/>
          <w:i/>
          <w:i/>
          <w:iCs/>
          <w:color w:val="auto"/>
          <w:kern w:val="0"/>
          <w:sz w:val="20"/>
          <w:szCs w:val="20"/>
          <w:lang w:val="pt-BR" w:eastAsia="pt-BR" w:bidi="ar-SA"/>
        </w:rPr>
      </w:pPr>
      <w:r>
        <w:rPr>
          <w:rFonts w:eastAsia="Arial Unicode MS" w:cs="Times New Roman"/>
          <w:i/>
          <w:iCs/>
          <w:color w:val="auto"/>
          <w:kern w:val="0"/>
          <w:sz w:val="20"/>
          <w:szCs w:val="20"/>
          <w:lang w:val="pt-BR" w:eastAsia="pt-BR" w:bidi="ar-SA"/>
        </w:rPr>
        <w:commentReference w:id="15"/>
      </w:r>
      <w:r>
        <w:rPr>
          <w:rFonts w:eastAsia="Arial Unicode MS" w:cs="Times New Roman"/>
          <w:i/>
          <w:iCs/>
          <w:color w:val="auto"/>
          <w:kern w:val="0"/>
          <w:sz w:val="20"/>
          <w:szCs w:val="20"/>
          <w:lang w:val="pt-BR" w:eastAsia="pt-BR" w:bidi="ar-SA"/>
        </w:rPr>
        <w:t>O contrato deverá ser executado fielmente pelas partes, de acordo com as cláusulas avençadas e as normas da Lei nº 14.133, de 2021, e cada parte responderá pelas consequências de sua inexecução total ou parcial.</w:t>
      </w:r>
    </w:p>
    <w:p>
      <w:pPr>
        <w:pStyle w:val="Nivel2"/>
        <w:numPr>
          <w:ilvl w:val="1"/>
          <w:numId w:val="1"/>
        </w:numPr>
        <w:ind w:left="999" w:right="0" w:hanging="432"/>
        <w:rPr>
          <w:rFonts w:ascii="Calibri Light" w:hAnsi="Calibri Light"/>
        </w:rPr>
      </w:pPr>
      <w:r>
        <w:rPr>
          <w:rFonts w:eastAsia="Arial Unicode MS" w:cs="Times New Roman"/>
          <w:i/>
          <w:iCs/>
          <w:color w:val="auto"/>
          <w:kern w:val="0"/>
          <w:sz w:val="20"/>
          <w:szCs w:val="20"/>
          <w:lang w:val="pt-BR" w:eastAsia="pt-BR" w:bidi="ar-SA"/>
        </w:rPr>
        <w:t>Em caso de impedimento, ordem de paralisação ou suspensão do con</w:t>
      </w:r>
      <w:r>
        <w:rPr/>
        <w:t>trato, o cronograma de execução será prorrogado automaticamente pelo tempo correspondente, anotadas tais circunstâncias mediante simples apostila.</w:t>
      </w:r>
    </w:p>
    <w:p>
      <w:pPr>
        <w:pStyle w:val="Nivel2"/>
        <w:numPr>
          <w:ilvl w:val="1"/>
          <w:numId w:val="1"/>
        </w:numPr>
        <w:ind w:left="999" w:right="0" w:hanging="432"/>
        <w:rPr>
          <w:rFonts w:ascii="Calibri Light" w:hAnsi="Calibri Light"/>
        </w:rPr>
      </w:pPr>
      <w:r>
        <w:rPr/>
        <w:t>As comunicações entre o órgão ou entidade e a contratada devem ser realizadas por escrito sempre que o ato exigir tal formalidade, admitindo-se o uso de mensagem eletrônica para esse fim.</w:t>
      </w:r>
    </w:p>
    <w:p>
      <w:pPr>
        <w:pStyle w:val="Nivel2"/>
        <w:numPr>
          <w:ilvl w:val="1"/>
          <w:numId w:val="1"/>
        </w:numPr>
        <w:ind w:left="999" w:right="0" w:hanging="432"/>
        <w:rPr>
          <w:rFonts w:ascii="Calibri Light" w:hAnsi="Calibri Light"/>
        </w:rPr>
      </w:pPr>
      <w:r>
        <w:rPr/>
        <w:t>O órgão ou entidade poderá convocar representante da empresa para adoção de providências que devam ser cumpridas de imediato.</w:t>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numPr>
          <w:ilvl w:val="1"/>
          <w:numId w:val="1"/>
        </w:numPr>
        <w:ind w:left="999" w:right="0" w:hanging="432"/>
        <w:rPr>
          <w:rFonts w:ascii="Calibri Light" w:hAnsi="Calibri Light"/>
        </w:rPr>
      </w:pPr>
      <w:r>
        <w:rPr/>
        <w:t>A Contratada designará formalmente o preposto da empresa, antes do início da prestação dos serviços, indicando no instrumento os poderes e deveres em relação à execução do objeto contratado.</w:t>
      </w:r>
    </w:p>
    <w:p>
      <w:pPr>
        <w:pStyle w:val="Nivel2"/>
        <w:numPr>
          <w:ilvl w:val="1"/>
          <w:numId w:val="1"/>
        </w:numPr>
        <w:ind w:left="999" w:right="0" w:hanging="432"/>
        <w:rPr>
          <w:rFonts w:ascii="Calibri Light" w:hAnsi="Calibri Light"/>
        </w:rPr>
      </w:pPr>
      <w:r>
        <w:rPr/>
        <w:t xml:space="preserve">A Contratada deverá manter preposto da empresa no local da execução do objeto durante o período </w:t>
      </w:r>
      <w:r>
        <w:rPr>
          <w:highlight w:val="yellow"/>
        </w:rPr>
        <w:t xml:space="preserve"> </w:t>
      </w:r>
      <w:r>
        <w:rPr>
          <w:shd w:fill="auto" w:val="clear"/>
        </w:rPr>
        <w:t>da execução</w:t>
      </w:r>
      <w:r>
        <w:rPr/>
        <w:t xml:space="preserve"> </w:t>
      </w:r>
    </w:p>
    <w:p>
      <w:pPr>
        <w:pStyle w:val="Nivel2"/>
        <w:numPr>
          <w:ilvl w:val="0"/>
          <w:numId w:val="0"/>
        </w:numPr>
        <w:ind w:left="999" w:right="0" w:hanging="0"/>
        <w:rPr>
          <w:rFonts w:ascii="Calibri Light" w:hAnsi="Calibri Light"/>
        </w:rPr>
      </w:pPr>
      <w:r>
        <w:rPr>
          <w:rFonts w:ascii="Calibri Light" w:hAnsi="Calibri Light"/>
        </w:rPr>
      </w:r>
    </w:p>
    <w:p>
      <w:pPr>
        <w:pStyle w:val="Nvel01SemNumerao"/>
        <w:rPr>
          <w:rFonts w:ascii="Calibri Light" w:hAnsi="Calibri Light"/>
        </w:rPr>
      </w:pPr>
      <w:r>
        <w:rPr>
          <w:rFonts w:ascii="Calibri Light" w:hAnsi="Calibri Light"/>
        </w:rPr>
        <w:t>Fiscalização</w:t>
      </w:r>
    </w:p>
    <w:p>
      <w:pPr>
        <w:pStyle w:val="Nivel2"/>
        <w:numPr>
          <w:ilvl w:val="1"/>
          <w:numId w:val="1"/>
        </w:numPr>
        <w:ind w:left="999" w:right="0" w:hanging="432"/>
        <w:rPr>
          <w:rFonts w:ascii="Calibri Light" w:hAnsi="Calibri Light"/>
        </w:rPr>
      </w:pPr>
      <w:commentRangeStart w:id="16"/>
      <w:r>
        <w:rPr/>
        <w:t>A execução do contrato deverá ser acompanhada e fiscalizada pelo fiscal do contrato, ou pelos respectivos substitutos (Lei nº 14.133, de 2021, art. 117, caput).</w:t>
      </w:r>
      <w:commentRangeEnd w:id="16"/>
      <w:r>
        <w:commentReference w:id="16"/>
      </w:r>
      <w:r>
        <w:rPr/>
      </w:r>
    </w:p>
    <w:p>
      <w:pPr>
        <w:pStyle w:val="Nvel01SemNumerao"/>
        <w:rPr>
          <w:rFonts w:ascii="Calibri Light" w:hAnsi="Calibri Light"/>
        </w:rPr>
      </w:pPr>
      <w:r>
        <w:rPr>
          <w:rFonts w:ascii="Calibri Light" w:hAnsi="Calibri Light"/>
        </w:rPr>
        <w:t>Fiscalização Técnica</w:t>
      </w:r>
    </w:p>
    <w:p>
      <w:pPr>
        <w:pStyle w:val="Nivel2"/>
        <w:numPr>
          <w:ilvl w:val="1"/>
          <w:numId w:val="1"/>
        </w:numPr>
        <w:ind w:left="999" w:right="0" w:hanging="432"/>
        <w:rPr>
          <w:rFonts w:ascii="Calibri Light" w:hAnsi="Calibri Light"/>
        </w:rPr>
      </w:pPr>
      <w:r>
        <w:rPr/>
        <w:t>O fiscal técnico do contrato acompanhará a execução do contrato, para que sejam cumpridas todas as condições estabelecidas no contrato, de modo a assegurar os melhores resultados para a Administração. (Decreto nº 11.246, de 2022, art. 22, VI);</w:t>
      </w:r>
    </w:p>
    <w:p>
      <w:pPr>
        <w:pStyle w:val="Nivel2"/>
        <w:numPr>
          <w:ilvl w:val="1"/>
          <w:numId w:val="1"/>
        </w:numPr>
        <w:ind w:left="999" w:right="0" w:hanging="432"/>
        <w:rPr>
          <w:rFonts w:ascii="Calibri Light" w:hAnsi="Calibri Light"/>
        </w:rPr>
      </w:pPr>
      <w:r>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pPr>
        <w:pStyle w:val="Nivel2"/>
        <w:numPr>
          <w:ilvl w:val="1"/>
          <w:numId w:val="1"/>
        </w:numPr>
        <w:ind w:left="999" w:right="0" w:hanging="432"/>
        <w:rPr>
          <w:rFonts w:ascii="Calibri Light" w:hAnsi="Calibri Light"/>
        </w:rPr>
      </w:pPr>
      <w:r>
        <w:rPr/>
        <w:t xml:space="preserve">Identificada qualquer inexatidão ou irregularidade, o fiscal técnico do contrato emitirá notificações para a correção da execução do contrato, determinando prazo para a correção. (Decreto nº 11.246, de 2022, art. 22, III); </w:t>
      </w:r>
    </w:p>
    <w:p>
      <w:pPr>
        <w:pStyle w:val="Nivel2"/>
        <w:numPr>
          <w:ilvl w:val="1"/>
          <w:numId w:val="1"/>
        </w:numPr>
        <w:ind w:left="999" w:right="0" w:hanging="432"/>
        <w:rPr>
          <w:rFonts w:ascii="Calibri Light" w:hAnsi="Calibri Light"/>
        </w:rPr>
      </w:pPr>
      <w:r>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pPr>
        <w:pStyle w:val="Nivel2"/>
        <w:numPr>
          <w:ilvl w:val="1"/>
          <w:numId w:val="1"/>
        </w:numPr>
        <w:ind w:left="999" w:right="0" w:hanging="432"/>
        <w:rPr>
          <w:rFonts w:ascii="Calibri Light" w:hAnsi="Calibri Light"/>
        </w:rPr>
      </w:pPr>
      <w:r>
        <w:rPr/>
        <w:t>No caso de ocorrências que possam inviabilizar a execução do contrato nas datas aprazadas, o fiscal técnico do contrato comunicará o fato imediatamente ao gestor do contrato. (Decreto nº 11.246, de 2022, art. 22, V</w:t>
      </w:r>
      <w:r>
        <w:rPr>
          <w:rFonts w:eastAsia="Times New Roman"/>
        </w:rPr>
        <w:t>);</w:t>
      </w:r>
    </w:p>
    <w:p>
      <w:pPr>
        <w:pStyle w:val="Nivel2"/>
        <w:numPr>
          <w:ilvl w:val="1"/>
          <w:numId w:val="1"/>
        </w:numPr>
        <w:ind w:left="999" w:right="0" w:hanging="432"/>
        <w:rPr/>
      </w:pPr>
      <w:r>
        <w:rPr/>
        <w:t xml:space="preserve">O fiscal técnico do contrato comunicará ao gestor do contrato, em tempo hábil, o término do contrato sob sua responsabilidade, com vistas à tempestiva </w:t>
      </w:r>
      <w:r>
        <w:rPr>
          <w:rFonts w:eastAsia="Times New Roman"/>
        </w:rPr>
        <w:t xml:space="preserve">renovação </w:t>
      </w:r>
      <w:r>
        <w:rPr/>
        <w:t>ou à prorrogação contratual (</w:t>
      </w:r>
      <w:r>
        <w:fldChar w:fldCharType="begin"/>
      </w:r>
      <w:r>
        <w:rPr>
          <w:rStyle w:val="LinkdaInternet"/>
          <w:color w:val="auto"/>
        </w:rPr>
        <w:instrText xml:space="preserve"> HYPERLINK "http://www.planalto.gov.br/ccivil_03/_ato2019-2022/2022/decreto/D11246.htm" \l "art22"</w:instrText>
      </w:r>
      <w:r>
        <w:rPr>
          <w:rStyle w:val="LinkdaInternet"/>
          <w:color w:val="auto"/>
        </w:rPr>
        <w:fldChar w:fldCharType="separate"/>
      </w:r>
      <w:r>
        <w:rPr>
          <w:rStyle w:val="LinkdaInternet"/>
          <w:color w:val="auto"/>
        </w:rPr>
        <w:t>Decreto nº 11.246, de 2022, art. 22, VII</w:t>
      </w:r>
      <w:r>
        <w:rPr>
          <w:rStyle w:val="LinkdaInternet"/>
          <w:color w:val="auto"/>
        </w:rPr>
        <w:fldChar w:fldCharType="end"/>
      </w:r>
      <w:r>
        <w:rPr/>
        <w:t>).</w:t>
      </w:r>
    </w:p>
    <w:p>
      <w:pPr>
        <w:pStyle w:val="Nvel01SemNumerao"/>
        <w:rPr>
          <w:rFonts w:ascii="Calibri Light" w:hAnsi="Calibri Light"/>
        </w:rPr>
      </w:pPr>
      <w:r>
        <w:rPr>
          <w:rFonts w:ascii="Calibri Light" w:hAnsi="Calibri Light"/>
        </w:rPr>
        <w:t>Fiscalização Administrativa</w:t>
      </w:r>
    </w:p>
    <w:p>
      <w:pPr>
        <w:pStyle w:val="Nivel2"/>
        <w:numPr>
          <w:ilvl w:val="1"/>
          <w:numId w:val="1"/>
        </w:numPr>
        <w:ind w:left="999" w:right="0" w:hanging="432"/>
        <w:rPr>
          <w:rFonts w:ascii="Calibri Light" w:hAnsi="Calibri Light"/>
        </w:rPr>
      </w:pPr>
      <w: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Nivel2"/>
        <w:numPr>
          <w:ilvl w:val="1"/>
          <w:numId w:val="1"/>
        </w:numPr>
        <w:ind w:left="999" w:right="0" w:hanging="432"/>
        <w:rPr>
          <w:rFonts w:ascii="Calibri Light" w:hAnsi="Calibri Light"/>
        </w:rPr>
      </w:pPr>
      <w:r>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Além do disposto acima, a fiscalização contratual obedecerá às seguintes rotinas:</w:t>
      </w:r>
    </w:p>
    <w:p>
      <w:pPr>
        <w:pStyle w:val="Nvel3R"/>
        <w:numPr>
          <w:ilvl w:val="2"/>
          <w:numId w:val="1"/>
        </w:numPr>
        <w:ind w:left="284" w:right="0" w:hanging="0"/>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w:t>
      </w:r>
    </w:p>
    <w:p>
      <w:pPr>
        <w:pStyle w:val="Nvel01SemNumerao"/>
        <w:rPr>
          <w:rFonts w:ascii="Calibri Light" w:hAnsi="Calibri Light"/>
        </w:rPr>
      </w:pPr>
      <w:r>
        <w:rPr>
          <w:rFonts w:ascii="Calibri Light" w:hAnsi="Calibri Light"/>
        </w:rPr>
        <w:t>Gestor do Contrato</w:t>
      </w:r>
    </w:p>
    <w:p>
      <w:pPr>
        <w:pStyle w:val="Nivel2"/>
        <w:numPr>
          <w:ilvl w:val="1"/>
          <w:numId w:val="1"/>
        </w:numPr>
        <w:ind w:left="999" w:right="0" w:hanging="432"/>
        <w:rPr>
          <w:rFonts w:ascii="Calibri Light" w:hAnsi="Calibri Light"/>
        </w:rPr>
      </w:pPr>
      <w: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1"/>
          <w:numId w:val="1"/>
        </w:numPr>
        <w:ind w:left="999" w:right="0" w:hanging="432"/>
        <w:rPr>
          <w:rFonts w:ascii="Calibri Light" w:hAnsi="Calibri Light"/>
        </w:rPr>
      </w:pPr>
      <w: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1"/>
          <w:numId w:val="1"/>
        </w:numPr>
        <w:ind w:left="999" w:right="0" w:hanging="432"/>
        <w:rPr>
          <w:rFonts w:ascii="Calibri Light" w:hAnsi="Calibri Light"/>
        </w:rPr>
      </w:pPr>
      <w: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1"/>
          <w:numId w:val="1"/>
        </w:numPr>
        <w:ind w:left="999" w:right="0" w:hanging="432"/>
        <w:rPr>
          <w:rFonts w:ascii="Calibri Light" w:hAnsi="Calibri Light"/>
        </w:rPr>
      </w:pPr>
      <w:r>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1"/>
          <w:numId w:val="1"/>
        </w:numPr>
        <w:ind w:left="999" w:right="0" w:hanging="432"/>
        <w:rPr>
          <w:rFonts w:ascii="Calibri Light" w:hAnsi="Calibri Light"/>
        </w:rPr>
      </w:pPr>
      <w: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1"/>
          <w:numId w:val="1"/>
        </w:numPr>
        <w:ind w:left="999" w:right="0" w:hanging="432"/>
        <w:rPr>
          <w:rFonts w:ascii="Calibri Light" w:hAnsi="Calibri Light"/>
        </w:rPr>
      </w:pPr>
      <w:r>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1"/>
          <w:numId w:val="1"/>
        </w:numPr>
        <w:ind w:left="999" w:right="0" w:hanging="432"/>
        <w:rPr>
          <w:rFonts w:ascii="Calibri Light" w:hAnsi="Calibri Light"/>
        </w:rPr>
      </w:pPr>
      <w:r>
        <w:rPr/>
        <w:t>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1"/>
        </w:numPr>
        <w:ind w:right="-15" w:hanging="0"/>
        <w:rPr>
          <w:rFonts w:ascii="Calibri Light" w:hAnsi="Calibri Light"/>
        </w:rPr>
      </w:pPr>
      <w:r>
        <w:rPr>
          <w:rFonts w:ascii="Calibri Light" w:hAnsi="Calibri Light"/>
        </w:rPr>
      </w:r>
    </w:p>
    <w:p>
      <w:pPr>
        <w:pStyle w:val="Nvel01SemNumerao"/>
        <w:rPr>
          <w:rFonts w:ascii="Calibri Light" w:hAnsi="Calibri Light"/>
          <w:lang w:eastAsia="en-US"/>
        </w:rPr>
      </w:pPr>
      <w:r>
        <w:rPr>
          <w:rFonts w:ascii="Calibri Light" w:hAnsi="Calibri Light"/>
          <w:color w:val="000000" w:themeColor="text1"/>
        </w:rPr>
        <w:tab/>
        <w:t xml:space="preserve">A avaliação da execução do objeto utilizará </w:t>
      </w:r>
      <w:r>
        <w:rPr>
          <w:rFonts w:ascii="Calibri Light" w:hAnsi="Calibri Light"/>
        </w:rPr>
        <w:t xml:space="preserve">o Instrumento de Medição de Resultado (IMR), Será indicada a retenção ou glosa no pagamento, proporcional à irregularidade verificada, sem prejuízo das sanções cabíveis, caso se constate que a Contratada:não produzir os resultados acordados, deixar de executar, ou não executar com a qualidade mínima exigida as atividades contratadas; ou deixar de utilizar materiais e recursos humanos exigidos para a execução do serviço, ou utilizá-los com qualidade ou quantidade inferior à demanda. </w:t>
      </w:r>
      <w:commentRangeStart w:id="17"/>
      <w:r>
        <w:rPr>
          <w:rFonts w:ascii="Calibri Light" w:hAnsi="Calibri Light"/>
        </w:rPr>
        <w:t>A utilização do IMR não impede a aplicação concomitante de outros mecanismos para a avaliação da prestação dos serviços.</w:t>
      </w:r>
      <w:r>
        <w:rPr>
          <w:rFonts w:ascii="Calibri Light" w:hAnsi="Calibri Light"/>
        </w:rPr>
      </w:r>
      <w:commentRangeEnd w:id="17"/>
      <w:r>
        <w:commentReference w:id="17"/>
      </w:r>
      <w:r>
        <w:rPr>
          <w:rFonts w:ascii="Calibri Light" w:hAnsi="Calibri Light"/>
        </w:rPr>
        <w:t xml:space="preserve"> A aferição da execução contratual para fins de pagamento considerará o critérios do término de cada curso com a avaliação dos alunos</w:t>
      </w:r>
    </w:p>
    <w:p>
      <w:pPr>
        <w:pStyle w:val="Nvel01SemNumerao"/>
        <w:rPr>
          <w:rFonts w:ascii="Calibri Light" w:hAnsi="Calibri Light"/>
        </w:rPr>
      </w:pPr>
      <w:r>
        <w:rPr>
          <w:rFonts w:ascii="Calibri Light" w:hAnsi="Calibri Light"/>
          <w:lang w:eastAsia="en-US"/>
        </w:rPr>
        <w:t>Do recebimento</w:t>
      </w:r>
    </w:p>
    <w:p>
      <w:pPr>
        <w:pStyle w:val="Nivel2"/>
        <w:numPr>
          <w:ilvl w:val="1"/>
          <w:numId w:val="1"/>
        </w:numPr>
        <w:ind w:left="999" w:right="0" w:hanging="432"/>
        <w:rPr/>
      </w:pPr>
      <w:commentRangeStart w:id="18"/>
      <w:r>
        <w:rPr>
          <w:lang w:eastAsia="en-US"/>
        </w:rPr>
        <w:t>Os serviços serão recebidos provisoriamente, no prazo de 02 (dois) dias, pelos fiscais técnico e administrativo, quando verificado o cumprimento das exigências de caráter técnico e administrativo. (</w:t>
      </w:r>
      <w:r>
        <w:fldChar w:fldCharType="begin"/>
      </w:r>
      <w:r>
        <w:rPr>
          <w:lang w:eastAsia="en-US"/>
        </w:rPr>
        <w:instrText xml:space="preserve"> HYPERLINK "http://www.planalto.gov.br/ccivil_03/_ato2019-2022/2021/lei/L14133.htm" \l "art140"</w:instrText>
      </w:r>
      <w:r>
        <w:rPr>
          <w:lang w:eastAsia="en-US"/>
        </w:rPr>
        <w:fldChar w:fldCharType="separate"/>
      </w:r>
      <w:r>
        <w:rPr>
          <w:lang w:eastAsia="en-US"/>
        </w:rPr>
        <w:t>Art. 140, I, a , da Lei nº 14.133</w:t>
      </w:r>
      <w:r>
        <w:rPr>
          <w:lang w:eastAsia="en-US"/>
        </w:rPr>
        <w:fldChar w:fldCharType="end"/>
      </w:r>
      <w:r>
        <w:rPr>
          <w:lang w:eastAsia="en-US"/>
        </w:rPr>
        <w:t xml:space="preserve">, de 2021 e </w:t>
      </w:r>
      <w:r>
        <w:fldChar w:fldCharType="begin"/>
      </w:r>
      <w:r>
        <w:rPr>
          <w:rStyle w:val="LinkdaInternet"/>
          <w:i w:val="false"/>
          <w:color w:val="auto"/>
          <w:lang w:eastAsia="en-US"/>
        </w:rPr>
        <w:instrText xml:space="preserve"> HYPERLINK "http://www.planalto.gov.br/ccivil_03/_ato2019-2022/2022/decreto/D11246.htm" \l "art22"</w:instrText>
      </w:r>
      <w:r>
        <w:rPr>
          <w:rStyle w:val="LinkdaInternet"/>
          <w:i w:val="false"/>
          <w:color w:val="auto"/>
          <w:lang w:eastAsia="en-US"/>
        </w:rPr>
        <w:fldChar w:fldCharType="separate"/>
      </w:r>
      <w:r>
        <w:rPr>
          <w:rStyle w:val="LinkdaInternet"/>
          <w:i w:val="false"/>
          <w:color w:val="auto"/>
          <w:lang w:eastAsia="en-US"/>
        </w:rPr>
        <w:t>Arts. 22, X e 23, X do Decreto nº 11.246, de 2022</w:t>
      </w:r>
      <w:r>
        <w:rPr>
          <w:rStyle w:val="LinkdaInternet"/>
          <w:i w:val="false"/>
          <w:color w:val="auto"/>
          <w:lang w:eastAsia="en-US"/>
        </w:rPr>
        <w:fldChar w:fldCharType="end"/>
      </w:r>
      <w:r>
        <w:rPr>
          <w:lang w:eastAsia="en-US"/>
        </w:rPr>
        <w:t>).</w:t>
      </w:r>
      <w:commentRangeEnd w:id="18"/>
      <w:r>
        <w:commentReference w:id="18"/>
      </w:r>
      <w:r>
        <w:rPr>
          <w:lang w:eastAsia="en-US"/>
        </w:rPr>
      </w:r>
    </w:p>
    <w:p>
      <w:pPr>
        <w:pStyle w:val="Nivel2"/>
        <w:numPr>
          <w:ilvl w:val="1"/>
          <w:numId w:val="1"/>
        </w:numPr>
        <w:ind w:left="999" w:right="0" w:hanging="432"/>
        <w:rPr>
          <w:rFonts w:ascii="Calibri Light" w:hAnsi="Calibri Light"/>
        </w:rPr>
      </w:pPr>
      <w:r>
        <w:rPr>
          <w:lang w:eastAsia="en-US"/>
        </w:rPr>
        <w:t>O prazo da disposição acima será contado do recebimento de comunicação de cobrança oriunda do contratado com a comprovação da prestação dos serviços a que se referem a parcela a ser paga.</w:t>
      </w:r>
    </w:p>
    <w:p>
      <w:pPr>
        <w:pStyle w:val="Nivel2"/>
        <w:numPr>
          <w:ilvl w:val="1"/>
          <w:numId w:val="1"/>
        </w:numPr>
        <w:ind w:left="999" w:right="0" w:hanging="432"/>
        <w:rPr/>
      </w:pPr>
      <w:r>
        <w:rPr>
          <w:lang w:eastAsia="en-US"/>
        </w:rPr>
        <w:t>O fiscal administrativo do contrato realizará o recebimento provisório do objeto do contrato mediante termo detalhado que comprove o cumprimento das exigências de caráter administrativo. (</w:t>
      </w:r>
      <w:r>
        <w:fldChar w:fldCharType="begin"/>
      </w:r>
      <w:r>
        <w:rPr>
          <w:rStyle w:val="LinkdaInternet"/>
          <w:i w:val="false"/>
          <w:color w:val="auto"/>
          <w:lang w:eastAsia="en-US"/>
        </w:rPr>
        <w:instrText xml:space="preserve"> HYPERLINK "http://www.planalto.gov.br/ccivil_03/_ato2019-2022/2022/decreto/D11246.htm" \l "art23"</w:instrText>
      </w:r>
      <w:r>
        <w:rPr>
          <w:rStyle w:val="LinkdaInternet"/>
          <w:i w:val="false"/>
          <w:color w:val="auto"/>
          <w:lang w:eastAsia="en-US"/>
        </w:rPr>
        <w:fldChar w:fldCharType="separate"/>
      </w:r>
      <w:r>
        <w:rPr>
          <w:rStyle w:val="LinkdaInternet"/>
          <w:i w:val="false"/>
          <w:color w:val="auto"/>
          <w:lang w:eastAsia="en-US"/>
        </w:rPr>
        <w:t>Art. 23, X, Decreto nº 11.246, de 2022</w:t>
      </w:r>
      <w:r>
        <w:rPr>
          <w:rStyle w:val="LinkdaInternet"/>
          <w:i w:val="false"/>
          <w:color w:val="auto"/>
          <w:lang w:eastAsia="en-US"/>
        </w:rPr>
        <w:fldChar w:fldCharType="end"/>
      </w:r>
      <w:r>
        <w:rPr>
          <w:lang w:eastAsia="en-US"/>
        </w:rPr>
        <w:t>).</w:t>
      </w:r>
    </w:p>
    <w:p>
      <w:pPr>
        <w:pStyle w:val="Nivel2"/>
        <w:numPr>
          <w:ilvl w:val="1"/>
          <w:numId w:val="1"/>
        </w:numPr>
        <w:ind w:left="999" w:right="0" w:hanging="432"/>
        <w:rPr>
          <w:rFonts w:ascii="Calibri Light" w:hAnsi="Calibri Light"/>
        </w:rPr>
      </w:pPr>
      <w:r>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pPr>
        <w:pStyle w:val="Nivel3"/>
        <w:numPr>
          <w:ilvl w:val="2"/>
          <w:numId w:val="1"/>
        </w:numPr>
        <w:ind w:left="284" w:right="0" w:hanging="0"/>
        <w:rPr>
          <w:rFonts w:ascii="Calibri Light" w:hAnsi="Calibri Light"/>
        </w:rPr>
      </w:pPr>
      <w:r>
        <w:rPr>
          <w:rFonts w:ascii="Calibri Light" w:hAnsi="Calibri Light"/>
          <w:lang w:eastAsia="en-US"/>
        </w:rPr>
        <w:t>Será considerado como ocorrido o recebimento provisório com a entrega do termino de cada um dos cursos</w:t>
      </w:r>
    </w:p>
    <w:p>
      <w:pPr>
        <w:pStyle w:val="Nivel2"/>
        <w:numPr>
          <w:ilvl w:val="1"/>
          <w:numId w:val="1"/>
        </w:numPr>
        <w:ind w:left="999" w:right="0" w:hanging="432"/>
        <w:rPr>
          <w:rFonts w:ascii="Calibri Light" w:hAnsi="Calibri Light"/>
        </w:rPr>
      </w:pPr>
      <w:r>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ivel2"/>
        <w:numPr>
          <w:ilvl w:val="1"/>
          <w:numId w:val="1"/>
        </w:numPr>
        <w:ind w:left="999" w:right="0" w:hanging="432"/>
        <w:rPr>
          <w:rFonts w:ascii="Calibri Light" w:hAnsi="Calibri Light"/>
        </w:rPr>
      </w:pPr>
      <w:commentRangeStart w:id="19"/>
      <w:r>
        <w:rPr>
          <w:lang w:eastAsia="en-US"/>
        </w:rPr>
        <w:t>Os serviços serão recebidos definitivamente no prazo de 2 (dois) dias, contados do recebimento provisório, por servidor ou comissão designada pela autoridade competente, após a verificação da qualidade e quantidade do serviço e consequente aceitação mediante termo detalhado.</w:t>
      </w:r>
    </w:p>
    <w:p>
      <w:pPr>
        <w:pStyle w:val="Nivel3"/>
        <w:numPr>
          <w:ilvl w:val="2"/>
          <w:numId w:val="1"/>
        </w:numPr>
        <w:ind w:left="284" w:right="0" w:hanging="0"/>
        <w:rPr>
          <w:rFonts w:ascii="Calibri Light" w:hAnsi="Calibri Light"/>
        </w:rPr>
      </w:pPr>
      <w:r>
        <w:rPr>
          <w:rFonts w:ascii="Calibri Light" w:hAnsi="Calibri Light"/>
          <w:lang w:eastAsia="en-US"/>
        </w:rPr>
        <w:t>Emitir Termo Detalhado para efeito de recebimento definitivo dos serviços prestados, com base nos relatórios e documentações apresentadas; e</w:t>
      </w:r>
    </w:p>
    <w:p>
      <w:pPr>
        <w:pStyle w:val="Nivel3"/>
        <w:numPr>
          <w:ilvl w:val="2"/>
          <w:numId w:val="1"/>
        </w:numPr>
        <w:ind w:left="284" w:right="0" w:hanging="0"/>
        <w:rPr>
          <w:rFonts w:ascii="Calibri Light" w:hAnsi="Calibri Light"/>
        </w:rPr>
      </w:pPr>
      <w:r>
        <w:rPr>
          <w:rFonts w:ascii="Calibri Light" w:hAnsi="Calibri Light"/>
          <w:lang w:eastAsia="en-US"/>
        </w:rPr>
        <w:t>Comunicar a empresa para que emita a Nota Fiscal ou Fatura, com o valor exato dimensionado pela fiscalização.</w:t>
      </w:r>
    </w:p>
    <w:p>
      <w:pPr>
        <w:pStyle w:val="Nivel3"/>
        <w:numPr>
          <w:ilvl w:val="2"/>
          <w:numId w:val="1"/>
        </w:numPr>
        <w:ind w:left="284" w:right="0" w:hanging="0"/>
        <w:rPr>
          <w:rFonts w:ascii="Calibri Light" w:hAnsi="Calibri Light"/>
        </w:rPr>
      </w:pPr>
      <w:r>
        <w:rPr>
          <w:rFonts w:ascii="Calibri Light" w:hAnsi="Calibri Light"/>
          <w:lang w:eastAsia="en-US"/>
        </w:rPr>
        <w:t>Enviar a documentação pertinente ao setor de contratos para a formalização dos procedimentos de liquidação e pagamento, no valor dimensionado pela fiscalização e gestão.</w:t>
      </w:r>
      <w:commentRangeEnd w:id="19"/>
      <w:r>
        <w:commentReference w:id="19"/>
      </w:r>
      <w:r>
        <w:rPr>
          <w:rFonts w:ascii="Calibri Light" w:hAnsi="Calibri Light"/>
          <w:lang w:eastAsia="en-US"/>
        </w:rPr>
      </w:r>
    </w:p>
    <w:p>
      <w:pPr>
        <w:pStyle w:val="Nivel2"/>
        <w:numPr>
          <w:ilvl w:val="1"/>
          <w:numId w:val="1"/>
        </w:numPr>
        <w:ind w:left="999" w:right="0" w:hanging="432"/>
        <w:rPr/>
      </w:pPr>
      <w:r>
        <w:rPr>
          <w:lang w:eastAsia="en-US"/>
        </w:rPr>
        <w:t xml:space="preserve">No caso de controvérsia sobre a execução do objeto, quanto à dimensão, qualidade e quantidade, deverá ser observado o teor do </w:t>
      </w:r>
      <w:r>
        <w:fldChar w:fldCharType="begin"/>
      </w:r>
      <w:r>
        <w:rPr>
          <w:rStyle w:val="LinkdaInternet"/>
          <w:color w:val="auto"/>
          <w:lang w:eastAsia="en-US"/>
        </w:rPr>
        <w:instrText xml:space="preserve"> HYPERLINK "http://www.planalto.gov.br/ccivil_03/_ato2019-2022/2021/lei/L14133.htm" \l "art143"</w:instrText>
      </w:r>
      <w:r>
        <w:rPr>
          <w:rStyle w:val="LinkdaInternet"/>
          <w:color w:val="auto"/>
          <w:lang w:eastAsia="en-US"/>
        </w:rPr>
        <w:fldChar w:fldCharType="separate"/>
      </w:r>
      <w:r>
        <w:rPr>
          <w:rStyle w:val="LinkdaInternet"/>
          <w:color w:val="auto"/>
          <w:lang w:eastAsia="en-US"/>
        </w:rPr>
        <w:t>art. 143 da Lei nº 14.133, de 2021</w:t>
      </w:r>
      <w:r>
        <w:rPr>
          <w:rStyle w:val="LinkdaInternet"/>
          <w:color w:val="auto"/>
          <w:lang w:eastAsia="en-US"/>
        </w:rPr>
        <w:fldChar w:fldCharType="end"/>
      </w:r>
      <w:r>
        <w:rPr>
          <w:lang w:eastAsia="en-US"/>
        </w:rPr>
        <w:t>, comunicando-se à empresa para emissão de Nota Fiscal no que pertine à parcela incontroversa da execução do objeto, para efeito de liquidação e pagamento.</w:t>
      </w:r>
    </w:p>
    <w:p>
      <w:pPr>
        <w:pStyle w:val="Nivel2"/>
        <w:numPr>
          <w:ilvl w:val="1"/>
          <w:numId w:val="1"/>
        </w:numPr>
        <w:ind w:left="999" w:right="0" w:hanging="432"/>
        <w:rPr>
          <w:rFonts w:ascii="Calibri Light" w:hAnsi="Calibri Light"/>
        </w:rPr>
      </w:pPr>
      <w:r>
        <w:rPr>
          <w:lang w:eastAsia="en-US"/>
        </w:rPr>
        <w:t>Nenhum prazo de recebimento ocorrerá enquanto pendente a solução, pelo contratado, de inconsistências verificadas na execução do objeto ou no instrumento de cobrança.</w:t>
      </w:r>
    </w:p>
    <w:p>
      <w:pPr>
        <w:pStyle w:val="Nivel2"/>
        <w:numPr>
          <w:ilvl w:val="1"/>
          <w:numId w:val="1"/>
        </w:numPr>
        <w:ind w:left="999" w:right="0" w:hanging="432"/>
        <w:rPr>
          <w:rFonts w:ascii="Calibri Light" w:hAnsi="Calibri Light"/>
        </w:rPr>
      </w:pPr>
      <w:r>
        <w:rPr>
          <w:lang w:eastAsia="en-US"/>
        </w:rPr>
        <w:t>O recebimento provisório ou definitivo não excluirá a responsabilidade civil pela solidez e pela segurança do serviço nem a responsabilidade ético-profissional pela perfeita execução do contrato.</w:t>
      </w:r>
    </w:p>
    <w:p>
      <w:pPr>
        <w:pStyle w:val="Nvel01SemNumerao"/>
        <w:rPr>
          <w:rFonts w:ascii="Calibri Light" w:hAnsi="Calibri Light"/>
        </w:rPr>
      </w:pPr>
      <w:r>
        <w:rPr>
          <w:rFonts w:ascii="Calibri Light" w:hAnsi="Calibri Light"/>
        </w:rPr>
        <w:t>Liquidação</w:t>
      </w:r>
    </w:p>
    <w:p>
      <w:pPr>
        <w:pStyle w:val="Nivel2"/>
        <w:numPr>
          <w:ilvl w:val="1"/>
          <w:numId w:val="1"/>
        </w:numPr>
        <w:ind w:left="999" w:right="0" w:hanging="432"/>
        <w:rPr/>
      </w:pPr>
      <w:r>
        <w:rPr/>
        <w:t xml:space="preserve">Recebida a Nota Fiscal ou documento de cobrança equivalente, correrá o prazo de dez dias úteis para fins de liquidação, na forma desta seção, prorrogáveis por igual período, nos termos do </w:t>
      </w:r>
      <w:hyperlink r:id="rId13">
        <w:r>
          <w:rPr>
            <w:rStyle w:val="LinkdaInternet"/>
            <w:color w:val="auto"/>
          </w:rPr>
          <w:t>art. 7º, §2º da Instrução Normativa SEGES/ME nº 77/2022.</w:t>
        </w:r>
      </w:hyperlink>
    </w:p>
    <w:p>
      <w:pPr>
        <w:pStyle w:val="Nivel2"/>
        <w:numPr>
          <w:ilvl w:val="1"/>
          <w:numId w:val="1"/>
        </w:numPr>
        <w:ind w:left="999" w:right="0" w:hanging="432"/>
        <w:rPr/>
      </w:pPr>
      <w:r>
        <w:rPr/>
        <w:t xml:space="preserve">O prazo de que trata o item anterior será reduzido à metade, mantendo-se a possibilidade de prorrogação, nos casos de contratações decorrentes de despesas cujos valores não ultrapassem o limite de que trata o </w:t>
      </w:r>
      <w:r>
        <w:fldChar w:fldCharType="begin"/>
      </w:r>
      <w:r>
        <w:rPr>
          <w:rStyle w:val="LinkdaInternet"/>
          <w:color w:val="auto"/>
        </w:rPr>
        <w:instrText xml:space="preserve"> HYPERLINK "http://www.planalto.gov.br/ccivil_03/_ato2019-2022/2021/lei/L14133.htm" \l "art75"</w:instrText>
      </w:r>
      <w:r>
        <w:rPr>
          <w:rStyle w:val="LinkdaInternet"/>
          <w:color w:val="auto"/>
        </w:rPr>
        <w:fldChar w:fldCharType="separate"/>
      </w:r>
      <w:r>
        <w:rPr>
          <w:rStyle w:val="LinkdaInternet"/>
          <w:color w:val="auto"/>
        </w:rPr>
        <w:t>inciso II do art. 75 da Lei nº 14.133, de 2021</w:t>
      </w:r>
      <w:r>
        <w:rPr>
          <w:rStyle w:val="LinkdaInternet"/>
          <w:color w:val="auto"/>
        </w:rPr>
        <w:fldChar w:fldCharType="end"/>
      </w:r>
    </w:p>
    <w:p>
      <w:pPr>
        <w:pStyle w:val="Nivel2"/>
        <w:numPr>
          <w:ilvl w:val="1"/>
          <w:numId w:val="1"/>
        </w:numPr>
        <w:ind w:left="999" w:right="0" w:hanging="432"/>
        <w:rPr>
          <w:rFonts w:ascii="Calibri Light" w:hAnsi="Calibri Light"/>
        </w:rPr>
      </w:pPr>
      <w:r>
        <w:rPr/>
        <w:t>Para fins de liquidação, o setor competente deve verificar se a Nota Fiscal ou Fatura apresentada expressa os elementos necessários e essenciais do documento, tais como:</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o prazo de validade;</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a data da emissão;</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os dados do contrato e do órgão contratante;</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o período respectivo de execução do contrato;</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o valor a pagar; e</w:t>
      </w:r>
    </w:p>
    <w:p>
      <w:pPr>
        <w:pStyle w:val="Nivel3"/>
        <w:numPr>
          <w:ilvl w:val="2"/>
          <w:numId w:val="1"/>
        </w:numPr>
        <w:ind w:left="284" w:right="0" w:hanging="0"/>
        <w:rPr>
          <w:rFonts w:ascii="Calibri Light" w:hAnsi="Calibri Light"/>
        </w:rPr>
      </w:pPr>
      <w:r>
        <w:rPr>
          <w:rFonts w:ascii="Calibri Light" w:hAnsi="Calibri Light"/>
          <w:lang w:eastAsia="en-US"/>
        </w:rPr>
        <w:t xml:space="preserve"> </w:t>
      </w:r>
      <w:r>
        <w:rPr>
          <w:rFonts w:ascii="Calibri Light" w:hAnsi="Calibri Light"/>
          <w:lang w:eastAsia="en-US"/>
        </w:rPr>
        <w:t>eventual destaque do valor de retenções tributárias cabíveis.</w:t>
      </w:r>
    </w:p>
    <w:p>
      <w:pPr>
        <w:pStyle w:val="Nivel2"/>
        <w:numPr>
          <w:ilvl w:val="1"/>
          <w:numId w:val="1"/>
        </w:numPr>
        <w:ind w:left="999" w:right="0" w:hanging="432"/>
        <w:rPr>
          <w:rFonts w:ascii="Calibri Light" w:hAnsi="Calibri Light"/>
        </w:rPr>
      </w:pPr>
      <w: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pPr>
        <w:pStyle w:val="Nivel2"/>
        <w:numPr>
          <w:ilvl w:val="1"/>
          <w:numId w:val="1"/>
        </w:numPr>
        <w:ind w:left="999" w:right="0" w:hanging="432"/>
        <w:rPr>
          <w:rFonts w:ascii="Calibri Light" w:hAnsi="Calibri Light"/>
        </w:rPr>
      </w:pPr>
      <w:r>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ivel2"/>
        <w:numPr>
          <w:ilvl w:val="1"/>
          <w:numId w:val="1"/>
        </w:numPr>
        <w:ind w:left="999" w:right="0" w:hanging="432"/>
        <w:rPr>
          <w:highlight w:val="none"/>
          <w:shd w:fill="auto" w:val="clear"/>
        </w:rPr>
      </w:pPr>
      <w:r>
        <w:rPr>
          <w:rFonts w:eastAsia="Arial Unicode MS" w:cs="Times New Roman"/>
          <w:color w:val="000000"/>
          <w:kern w:val="0"/>
          <w:sz w:val="20"/>
          <w:szCs w:val="20"/>
          <w:shd w:fill="auto" w:val="clear"/>
          <w:lang w:val="pt-BR" w:eastAsia="pt-BR" w:bidi="ar-SA"/>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bookmarkStart w:id="21" w:name="_Int_T4XqlsQA"/>
      <w:r>
        <w:rPr>
          <w:rFonts w:eastAsia="Arial Unicode MS" w:cs="Times New Roman"/>
          <w:color w:val="000000"/>
          <w:kern w:val="0"/>
          <w:sz w:val="20"/>
          <w:szCs w:val="20"/>
          <w:shd w:fill="auto" w:val="clear"/>
          <w:lang w:val="pt-BR" w:eastAsia="pt-BR" w:bidi="ar-SA"/>
        </w:rPr>
        <w:t>).</w:t>
      </w:r>
      <w:bookmarkEnd w:id="21"/>
    </w:p>
    <w:p>
      <w:pPr>
        <w:pStyle w:val="Nivel2"/>
        <w:numPr>
          <w:ilvl w:val="1"/>
          <w:numId w:val="1"/>
        </w:numPr>
        <w:ind w:left="999" w:right="0" w:hanging="432"/>
        <w:rPr>
          <w:rFonts w:ascii="Calibri Light" w:hAnsi="Calibri Light"/>
        </w:rPr>
      </w:pPr>
      <w: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1"/>
        </w:numPr>
        <w:ind w:left="999" w:right="0" w:hanging="432"/>
        <w:rPr>
          <w:rFonts w:ascii="Calibri Light" w:hAnsi="Calibri Light"/>
        </w:rPr>
      </w:pPr>
      <w: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1"/>
        </w:numPr>
        <w:ind w:left="999" w:right="0" w:hanging="432"/>
        <w:rPr>
          <w:rFonts w:ascii="Calibri Light" w:hAnsi="Calibri Light"/>
        </w:rPr>
      </w:pPr>
      <w:r>
        <w:rPr/>
        <w:t>Persistindo a irregularidade, o contratante deverá adotar as medidas necessárias à rescisão contratual nos autos do processo administrativo correspondente, assegurada ao contratado a ampla defesa.</w:t>
      </w:r>
    </w:p>
    <w:p>
      <w:pPr>
        <w:pStyle w:val="Nivel2"/>
        <w:numPr>
          <w:ilvl w:val="1"/>
          <w:numId w:val="1"/>
        </w:numPr>
        <w:ind w:left="999" w:right="0" w:hanging="432"/>
        <w:rPr>
          <w:rFonts w:ascii="Calibri Light" w:hAnsi="Calibri Light"/>
        </w:rPr>
      </w:pPr>
      <w:r>
        <w:rPr/>
        <w:t xml:space="preserve">Havendo a efetiva execução do objeto, os pagamentos serão realizados normalmente, até que se decida pela rescisão do contrato, caso o contratado não regularize sua situação junto ao SICAF. </w:t>
      </w:r>
    </w:p>
    <w:p>
      <w:pPr>
        <w:pStyle w:val="Nvel01SemNumerao"/>
        <w:rPr>
          <w:rFonts w:ascii="Calibri Light" w:hAnsi="Calibri Light"/>
        </w:rPr>
      </w:pPr>
      <w:r>
        <w:rPr>
          <w:rFonts w:ascii="Calibri Light" w:hAnsi="Calibri Light"/>
        </w:rPr>
        <w:t>Prazo de pagamento</w:t>
      </w:r>
    </w:p>
    <w:p>
      <w:pPr>
        <w:pStyle w:val="Nivel2"/>
        <w:numPr>
          <w:ilvl w:val="1"/>
          <w:numId w:val="1"/>
        </w:numPr>
        <w:ind w:left="999" w:right="0" w:hanging="432"/>
        <w:rPr>
          <w:rFonts w:ascii="Calibri Light" w:hAnsi="Calibri Light"/>
        </w:rPr>
      </w:pPr>
      <w:r>
        <w:rPr/>
        <w:t>O pagamento será efetuado no prazo máximo de até dez dias úteis, contados da finalização da liquidação da despesa, conforme seção anterior, nos termos da Instrução Normativa SEGES/ME nº 77, de 2022.</w:t>
      </w:r>
    </w:p>
    <w:p>
      <w:pPr>
        <w:pStyle w:val="Nvel01SemNumerao"/>
        <w:rPr>
          <w:rFonts w:ascii="Calibri Light" w:hAnsi="Calibri Light"/>
        </w:rPr>
      </w:pPr>
      <w:r>
        <w:rPr>
          <w:rFonts w:ascii="Calibri Light" w:hAnsi="Calibri Light"/>
        </w:rPr>
        <w:t>Forma de pagamento</w:t>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O pagamento será realizado através de ordem bancária, para crédito em banco, agência e conta corrente indicados pelo contratado.</w:t>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t>Será considerada data do pagamento o dia em que constar como emitida a ordem bancária para pagamento.</w:t>
      </w:r>
    </w:p>
    <w:p>
      <w:pPr>
        <w:pStyle w:val="Nivel2"/>
        <w:numPr>
          <w:ilvl w:val="1"/>
          <w:numId w:val="1"/>
        </w:numPr>
        <w:ind w:left="999" w:right="0" w:hanging="432"/>
        <w:rPr>
          <w:rFonts w:ascii="Ecofont_Spranq_eco_Sans" w:hAnsi="Ecofont_Spranq_eco_Sans" w:eastAsia="Arial Unicode MS" w:cs="Times New Roman"/>
          <w:color w:val="auto"/>
          <w:kern w:val="0"/>
          <w:sz w:val="20"/>
          <w:szCs w:val="20"/>
          <w:lang w:val="pt-BR" w:eastAsia="pt-BR" w:bidi="ar-SA"/>
        </w:rPr>
      </w:pPr>
      <w:commentRangeStart w:id="20"/>
      <w:r>
        <w:rPr>
          <w:rFonts w:eastAsia="Arial Unicode MS" w:cs="Times New Roman"/>
          <w:color w:val="auto"/>
          <w:kern w:val="0"/>
          <w:sz w:val="20"/>
          <w:szCs w:val="20"/>
          <w:lang w:val="pt-BR" w:eastAsia="pt-BR" w:bidi="ar-SA"/>
        </w:rPr>
        <w:t>Quando do pagamento, será efetuada a retenção tributária prevista na legislação aplicável.</w:t>
      </w:r>
      <w:commentRangeEnd w:id="20"/>
      <w:r>
        <w:commentReference w:id="20"/>
      </w:r>
      <w:r>
        <w:rPr>
          <w:rFonts w:eastAsia="Arial Unicode MS" w:cs="Times New Roman"/>
          <w:color w:val="auto"/>
          <w:kern w:val="0"/>
          <w:sz w:val="20"/>
          <w:szCs w:val="20"/>
          <w:lang w:val="pt-BR" w:eastAsia="pt-BR" w:bidi="ar-SA"/>
        </w:rPr>
      </w:r>
    </w:p>
    <w:p>
      <w:pPr>
        <w:pStyle w:val="Nivel3"/>
        <w:numPr>
          <w:ilvl w:val="2"/>
          <w:numId w:val="1"/>
        </w:numPr>
        <w:ind w:left="284" w:right="0" w:hanging="0"/>
        <w:rPr>
          <w:rFonts w:ascii="Calibri Light" w:hAnsi="Calibri Light"/>
        </w:rPr>
      </w:pPr>
      <w:r>
        <w:rPr>
          <w:rFonts w:ascii="Calibri Light" w:hAnsi="Calibri Light"/>
          <w:lang w:eastAsia="en-US"/>
        </w:rPr>
        <w:t>Independentemente do percentual de tributo inserido na planilha, quando houver, serão retidos na fonte, quando da realização do pagamento, os percentuais estabelecidos na legislação vigente.</w:t>
      </w:r>
    </w:p>
    <w:p>
      <w:pPr>
        <w:pStyle w:val="Nivel2"/>
        <w:numPr>
          <w:ilvl w:val="1"/>
          <w:numId w:val="1"/>
        </w:numPr>
        <w:ind w:left="999" w:right="0" w:hanging="432"/>
        <w:rPr>
          <w:rFonts w:ascii="Calibri Light" w:hAnsi="Calibri Light"/>
        </w:rPr>
      </w:pPr>
      <w:r>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01"/>
        <w:numPr>
          <w:ilvl w:val="0"/>
          <w:numId w:val="1"/>
        </w:numPr>
        <w:rPr>
          <w:highlight w:val="none"/>
          <w:shd w:fill="auto" w:val="clear"/>
        </w:rPr>
      </w:pPr>
      <w:r>
        <w:rPr>
          <w:rFonts w:ascii="Calibri Light" w:hAnsi="Calibri Light"/>
          <w:shd w:fill="auto" w:val="clear"/>
        </w:rPr>
        <w:t>FORMA E CRITÉRIOS DE SELEÇÃO E REGIME DE EXECUÇÃO</w:t>
      </w:r>
    </w:p>
    <w:p>
      <w:pPr>
        <w:pStyle w:val="Nvel01SemNumerao"/>
        <w:rPr>
          <w:rFonts w:ascii="Calibri Light" w:hAnsi="Calibri Light"/>
        </w:rPr>
      </w:pPr>
      <w:r>
        <w:rPr>
          <w:rFonts w:ascii="Calibri Light" w:hAnsi="Calibri Light"/>
        </w:rPr>
        <w:t>Forma de seleção e critério de julgamento da proposta</w:t>
      </w:r>
    </w:p>
    <w:p>
      <w:pPr>
        <w:pStyle w:val="Nivel2"/>
        <w:numPr>
          <w:ilvl w:val="1"/>
          <w:numId w:val="1"/>
        </w:numPr>
        <w:ind w:left="999" w:right="0" w:hanging="432"/>
        <w:rPr/>
      </w:pPr>
      <w:r>
        <w:rPr>
          <w:rStyle w:val="Normaltextrun"/>
          <w:shd w:fill="auto" w:val="clear"/>
        </w:rPr>
        <w:t xml:space="preserve">O </w:t>
      </w:r>
      <w:r>
        <w:rPr>
          <w:rStyle w:val="Normaltextrun"/>
          <w:i w:val="false"/>
          <w:iCs w:val="false"/>
          <w:shd w:fill="auto" w:val="clear"/>
        </w:rPr>
        <w:t xml:space="preserve">contratado </w:t>
      </w:r>
      <w:r>
        <w:rPr>
          <w:rStyle w:val="Normaltextrun"/>
          <w:shd w:fill="auto" w:val="clear"/>
        </w:rPr>
        <w:t>será selecionado por meio da realização de procedimento de dispensa de lic</w:t>
      </w:r>
      <w:r>
        <w:rPr>
          <w:rStyle w:val="Normaltextrun"/>
        </w:rPr>
        <w:t>itação, na forma eletrônica, com fundamento na hipótese do art. 75, inciso II e IX da Lei nº 14.133/2021.</w:t>
      </w:r>
    </w:p>
    <w:p>
      <w:pPr>
        <w:pStyle w:val="Nvel01SemNumerao"/>
        <w:rPr>
          <w:rFonts w:ascii="Calibri Light" w:hAnsi="Calibri Light"/>
        </w:rPr>
      </w:pPr>
      <w:commentRangeStart w:id="21"/>
      <w:r>
        <w:rPr>
          <w:rFonts w:ascii="Calibri Light" w:hAnsi="Calibri Light"/>
        </w:rPr>
        <w:t>Regime de execução</w:t>
      </w:r>
      <w:commentRangeEnd w:id="21"/>
      <w:r>
        <w:commentReference w:id="21"/>
      </w:r>
      <w:r>
        <w:rPr>
          <w:rFonts w:ascii="Calibri Light" w:hAnsi="Calibri Light"/>
        </w:rPr>
      </w:r>
    </w:p>
    <w:p>
      <w:pPr>
        <w:pStyle w:val="Nivel2"/>
        <w:numPr>
          <w:ilvl w:val="1"/>
          <w:numId w:val="1"/>
        </w:numPr>
        <w:ind w:left="999" w:right="0" w:hanging="432"/>
        <w:rPr>
          <w:rFonts w:ascii="Calibri Light" w:hAnsi="Calibri Light"/>
        </w:rPr>
      </w:pPr>
      <w:r>
        <w:rPr/>
        <w:t>O regime de execução do contrato será a Dispensa de Licitação.</w:t>
      </w:r>
    </w:p>
    <w:p>
      <w:pPr>
        <w:pStyle w:val="Nvel01SemNumerao"/>
        <w:rPr>
          <w:rFonts w:ascii="Calibri Light" w:hAnsi="Calibri Light"/>
        </w:rPr>
      </w:pPr>
      <w:r>
        <w:rPr>
          <w:rFonts w:ascii="Calibri Light" w:hAnsi="Calibri Light"/>
        </w:rPr>
      </w:r>
    </w:p>
    <w:p>
      <w:pPr>
        <w:pStyle w:val="Nvel01SemNumerao"/>
        <w:rPr>
          <w:highlight w:val="none"/>
          <w:shd w:fill="auto" w:val="clear"/>
        </w:rPr>
      </w:pPr>
      <w:r>
        <w:rPr>
          <w:rFonts w:ascii="Calibri Light" w:hAnsi="Calibri Light"/>
          <w:shd w:fill="auto" w:val="clear"/>
        </w:rPr>
        <w:t>Exigências de habilitação</w:t>
      </w:r>
    </w:p>
    <w:p>
      <w:pPr>
        <w:pStyle w:val="Nivel2"/>
        <w:numPr>
          <w:ilvl w:val="1"/>
          <w:numId w:val="1"/>
        </w:numPr>
        <w:ind w:left="999" w:right="0" w:hanging="432"/>
        <w:rPr/>
      </w:pPr>
      <w:r>
        <w:rPr>
          <w:rStyle w:val="Normaltextrun"/>
          <w:shd w:fill="auto" w:val="clear"/>
        </w:rPr>
        <w:t>Previamente à celebração do contrato, a Administração verificará o eventual descumprimento das condições para contratação, especialmente quanto à existência de sanção que a impeça, mediante a consulta a cadastros informativos oficiais, tais como:  </w:t>
      </w:r>
      <w:r>
        <w:rPr>
          <w:rStyle w:val="Eop"/>
          <w:shd w:fill="auto" w:val="clear"/>
        </w:rPr>
        <w:t> </w:t>
      </w:r>
    </w:p>
    <w:p>
      <w:pPr>
        <w:pStyle w:val="Paragraph"/>
        <w:spacing w:beforeAutospacing="0" w:before="0" w:afterAutospacing="0" w:after="0"/>
        <w:ind w:left="2124" w:hanging="0"/>
        <w:jc w:val="both"/>
        <w:textAlignment w:val="baseline"/>
        <w:rPr/>
      </w:pPr>
      <w:r>
        <w:rPr>
          <w:rStyle w:val="Normaltextrun"/>
          <w:rFonts w:cs="Arial" w:ascii="Calibri Light" w:hAnsi="Calibri Light"/>
          <w:i/>
          <w:iCs/>
          <w:sz w:val="20"/>
          <w:szCs w:val="20"/>
          <w:shd w:fill="auto" w:val="clear"/>
        </w:rPr>
        <w:t xml:space="preserve">a) SICAF;  </w:t>
      </w:r>
      <w:r>
        <w:rPr>
          <w:rStyle w:val="Eop"/>
          <w:rFonts w:cs="Arial" w:ascii="Calibri Light" w:hAnsi="Calibri Light"/>
          <w:sz w:val="20"/>
          <w:szCs w:val="20"/>
          <w:shd w:fill="auto" w:val="clear"/>
        </w:rPr>
        <w:t> </w:t>
      </w:r>
    </w:p>
    <w:p>
      <w:pPr>
        <w:pStyle w:val="Paragraph"/>
        <w:spacing w:beforeAutospacing="0" w:before="0" w:afterAutospacing="0" w:after="0"/>
        <w:ind w:left="2124" w:hanging="0"/>
        <w:jc w:val="both"/>
        <w:textAlignment w:val="baseline"/>
        <w:rPr/>
      </w:pPr>
      <w:r>
        <w:rPr>
          <w:rStyle w:val="Normaltextrun"/>
          <w:rFonts w:cs="Arial" w:ascii="Calibri Light" w:hAnsi="Calibri Light"/>
          <w:i/>
          <w:iCs/>
          <w:sz w:val="20"/>
          <w:szCs w:val="20"/>
          <w:shd w:fill="auto" w:val="clear"/>
        </w:rPr>
        <w:t>b) Cadastro Nacional de Empresas Inidôneas e Suspensas - CEIS, mantido pela Controladoria-Geral da União (</w:t>
      </w:r>
      <w:hyperlink r:id="rId14" w:tgtFrame="_blank">
        <w:r>
          <w:rPr>
            <w:rStyle w:val="Normaltextrun"/>
            <w:rFonts w:cs="Arial" w:ascii="Calibri Light" w:hAnsi="Calibri Light"/>
            <w:i/>
            <w:iCs/>
            <w:sz w:val="20"/>
            <w:szCs w:val="20"/>
            <w:u w:val="single"/>
            <w:shd w:fill="auto" w:val="clear"/>
          </w:rPr>
          <w:t>www.portaldatransparencia.gov.br/ceis</w:t>
        </w:r>
      </w:hyperlink>
      <w:r>
        <w:rPr>
          <w:rStyle w:val="Normaltextrun"/>
          <w:rFonts w:cs="Arial" w:ascii="Calibri Light" w:hAnsi="Calibri Light"/>
          <w:i/>
          <w:iCs/>
          <w:sz w:val="20"/>
          <w:szCs w:val="20"/>
          <w:shd w:fill="auto" w:val="clear"/>
        </w:rPr>
        <w:t>);  </w:t>
      </w:r>
      <w:r>
        <w:rPr>
          <w:rStyle w:val="Eop"/>
          <w:rFonts w:cs="Arial" w:ascii="Calibri Light" w:hAnsi="Calibri Light"/>
          <w:sz w:val="20"/>
          <w:szCs w:val="20"/>
          <w:shd w:fill="auto" w:val="clear"/>
        </w:rPr>
        <w:t> </w:t>
      </w:r>
    </w:p>
    <w:p>
      <w:pPr>
        <w:pStyle w:val="Paragraph"/>
        <w:spacing w:beforeAutospacing="0" w:before="0" w:afterAutospacing="0" w:after="0"/>
        <w:ind w:left="2124" w:hanging="0"/>
        <w:jc w:val="both"/>
        <w:textAlignment w:val="baseline"/>
        <w:rPr/>
      </w:pPr>
      <w:r>
        <w:rPr>
          <w:rStyle w:val="Normaltextrun"/>
          <w:rFonts w:cs="Arial" w:ascii="Calibri Light" w:hAnsi="Calibri Light"/>
          <w:i/>
          <w:iCs/>
          <w:sz w:val="20"/>
          <w:szCs w:val="20"/>
          <w:shd w:fill="auto" w:val="clear"/>
        </w:rPr>
        <w:t>c) Cadastro Nacional de Empresas Punidas – CNEP, mantido pela Controladoria-Geral da União (</w:t>
      </w:r>
      <w:hyperlink r:id="rId15" w:tgtFrame="_blank">
        <w:r>
          <w:rPr>
            <w:rStyle w:val="Normaltextrun"/>
            <w:rFonts w:cs="Arial" w:ascii="Calibri Light" w:hAnsi="Calibri Light"/>
            <w:i/>
            <w:iCs/>
            <w:sz w:val="20"/>
            <w:szCs w:val="20"/>
            <w:u w:val="single"/>
            <w:shd w:fill="auto" w:val="clear"/>
          </w:rPr>
          <w:t>https://www.portaltransparencia.gov.br/sancoes/cnep</w:t>
        </w:r>
      </w:hyperlink>
      <w:r>
        <w:rPr>
          <w:rStyle w:val="Normaltextrun"/>
          <w:rFonts w:cs="Arial" w:ascii="Calibri Light" w:hAnsi="Calibri Light"/>
          <w:i/>
          <w:iCs/>
          <w:sz w:val="20"/>
          <w:szCs w:val="20"/>
          <w:shd w:fill="auto" w:val="clear"/>
        </w:rPr>
        <w:t>)</w:t>
      </w:r>
      <w:r>
        <w:rPr>
          <w:rStyle w:val="Eop"/>
          <w:rFonts w:cs="Arial" w:ascii="Calibri Light" w:hAnsi="Calibri Light"/>
          <w:sz w:val="20"/>
          <w:szCs w:val="20"/>
          <w:shd w:fill="auto" w:val="clear"/>
        </w:rPr>
        <w:t> </w:t>
      </w:r>
    </w:p>
    <w:p>
      <w:pPr>
        <w:pStyle w:val="Nivel2"/>
        <w:numPr>
          <w:ilvl w:val="0"/>
          <w:numId w:val="0"/>
        </w:numPr>
        <w:ind w:left="999" w:right="0" w:hanging="0"/>
        <w:rPr>
          <w:rFonts w:ascii="Calibri Light" w:hAnsi="Calibri Light"/>
          <w:highlight w:val="none"/>
          <w:shd w:fill="auto" w:val="clear"/>
        </w:rPr>
      </w:pPr>
      <w:r>
        <w:rPr>
          <w:rFonts w:ascii="Calibri Light" w:hAnsi="Calibri Light"/>
          <w:shd w:fill="auto" w:val="clear"/>
        </w:rPr>
      </w:r>
    </w:p>
    <w:p>
      <w:pPr>
        <w:pStyle w:val="Nivel2"/>
        <w:numPr>
          <w:ilvl w:val="1"/>
          <w:numId w:val="1"/>
        </w:numPr>
        <w:ind w:left="999" w:right="0" w:hanging="432"/>
        <w:rPr/>
      </w:pPr>
      <w:r>
        <w:rPr>
          <w:rStyle w:val="Normaltextrun"/>
          <w:i w:val="false"/>
          <w:iCs w:val="false"/>
          <w:shd w:fill="auto" w:val="clear"/>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Style w:val="Eop"/>
          <w:shd w:fill="auto" w:val="clear"/>
        </w:rPr>
        <w:t> </w:t>
      </w:r>
    </w:p>
    <w:p>
      <w:pPr>
        <w:pStyle w:val="Nivel2"/>
        <w:numPr>
          <w:ilvl w:val="1"/>
          <w:numId w:val="1"/>
        </w:numPr>
        <w:ind w:left="999" w:right="0" w:hanging="432"/>
        <w:rPr/>
      </w:pPr>
      <w:r>
        <w:rPr>
          <w:rStyle w:val="Normaltextrun"/>
          <w:i w:val="false"/>
          <w:iCs w:val="false"/>
          <w:shd w:fill="auto" w:val="clear"/>
        </w:rPr>
        <w:t>Caso conste na Consulta de Situação do interessado a existência de Ocorrências Impeditivas Indiretas, o gestor diligenciará para verificar se houve fraude por parte das empresas apontadas no Relatório de Ocorrências Impeditivas Indiretas. </w:t>
      </w:r>
    </w:p>
    <w:p>
      <w:pPr>
        <w:pStyle w:val="Nivel2"/>
        <w:numPr>
          <w:ilvl w:val="1"/>
          <w:numId w:val="1"/>
        </w:numPr>
        <w:ind w:left="999" w:right="0" w:hanging="432"/>
        <w:rPr/>
      </w:pPr>
      <w:r>
        <w:rPr>
          <w:rStyle w:val="Normaltextrun"/>
          <w:i w:val="false"/>
          <w:iCs w:val="false"/>
          <w:shd w:fill="auto" w:val="clear"/>
        </w:rPr>
        <w:t>A tentativa de burla será verificada por meio dos vínculos societários, linhas de fornecimento similares, dentre outros. </w:t>
      </w:r>
    </w:p>
    <w:p>
      <w:pPr>
        <w:pStyle w:val="Nivel2"/>
        <w:numPr>
          <w:ilvl w:val="1"/>
          <w:numId w:val="1"/>
        </w:numPr>
        <w:ind w:left="999" w:right="0" w:hanging="432"/>
        <w:rPr/>
      </w:pPr>
      <w:r>
        <w:rPr>
          <w:rStyle w:val="Normaltextrun"/>
          <w:i w:val="false"/>
          <w:iCs w:val="false"/>
          <w:shd w:fill="auto" w:val="clear"/>
        </w:rPr>
        <w:t>O interessado será convocado para manifestação previamente a uma eventual negativa de contratação. </w:t>
      </w:r>
    </w:p>
    <w:p>
      <w:pPr>
        <w:pStyle w:val="Nivel2"/>
        <w:numPr>
          <w:ilvl w:val="1"/>
          <w:numId w:val="1"/>
        </w:numPr>
        <w:ind w:left="999" w:right="0" w:hanging="432"/>
        <w:rPr/>
      </w:pPr>
      <w:r>
        <w:rPr>
          <w:rStyle w:val="Normaltextrun"/>
          <w:i w:val="false"/>
          <w:iCs w:val="false"/>
          <w:shd w:fill="auto" w:val="clear"/>
        </w:rPr>
        <w:t>Caso atendidas as condições para contratação, a habilitação do interessado será verificada por meio do SICAF, nos documentos por ele abrangidos. </w:t>
      </w:r>
    </w:p>
    <w:p>
      <w:pPr>
        <w:pStyle w:val="Nivel2"/>
        <w:numPr>
          <w:ilvl w:val="1"/>
          <w:numId w:val="1"/>
        </w:numPr>
        <w:ind w:left="999" w:right="0" w:hanging="432"/>
        <w:rPr/>
      </w:pPr>
      <w:r>
        <w:rPr>
          <w:rStyle w:val="Normaltextrun"/>
          <w:i w:val="false"/>
          <w:iCs w:val="false"/>
          <w:shd w:fill="auto" w:val="clear"/>
        </w:rPr>
        <w:t>É dever do interessado manter atualizada a respectiva documentação constante do SICAF, ou encaminhar, quando solicitado pela Administração, a respectiva documentação atualizada. </w:t>
      </w:r>
    </w:p>
    <w:p>
      <w:pPr>
        <w:pStyle w:val="Nivel2"/>
        <w:numPr>
          <w:ilvl w:val="1"/>
          <w:numId w:val="1"/>
        </w:numPr>
        <w:ind w:left="999" w:right="0" w:hanging="432"/>
        <w:rPr/>
      </w:pPr>
      <w:r>
        <w:rPr>
          <w:rStyle w:val="Normaltextrun"/>
          <w:i w:val="false"/>
          <w:iCs w:val="false"/>
          <w:shd w:fill="auto" w:val="clear"/>
        </w:rPr>
        <w:t>Não serão aceitos documentos de habilitação com indicação de CNPJ/CPF diferentes, salvo aqueles legalmente permitidos. </w:t>
      </w:r>
    </w:p>
    <w:p>
      <w:pPr>
        <w:pStyle w:val="Nivel2"/>
        <w:numPr>
          <w:ilvl w:val="1"/>
          <w:numId w:val="1"/>
        </w:numPr>
        <w:ind w:left="999" w:right="0" w:hanging="432"/>
        <w:rPr/>
      </w:pPr>
      <w:r>
        <w:rPr>
          <w:rStyle w:val="Normaltextrun"/>
          <w:i w:val="false"/>
          <w:iCs w:val="false"/>
          <w:shd w:fill="auto" w:val="clear"/>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pPr>
        <w:pStyle w:val="Nivel2"/>
        <w:numPr>
          <w:ilvl w:val="1"/>
          <w:numId w:val="1"/>
        </w:numPr>
        <w:ind w:left="999" w:right="0" w:hanging="432"/>
        <w:rPr/>
      </w:pPr>
      <w:r>
        <w:rPr>
          <w:rStyle w:val="Normaltextrun"/>
          <w:i w:val="false"/>
          <w:iCs w:val="false"/>
          <w:shd w:fill="auto" w:val="clear"/>
        </w:rPr>
        <w:t>Serão aceitos registros de CNPJ de fornecedor matriz e filial com diferenças de números de documentos pertinentes ao CND e ao CRF/FGTS, quando for comprovada a centralização do recolhimento dessas contribuições. </w:t>
      </w:r>
    </w:p>
    <w:p>
      <w:pPr>
        <w:pStyle w:val="Nivel2"/>
        <w:numPr>
          <w:ilvl w:val="1"/>
          <w:numId w:val="1"/>
        </w:numPr>
        <w:ind w:left="999" w:right="0" w:hanging="432"/>
        <w:rPr/>
      </w:pPr>
      <w:r>
        <w:rPr>
          <w:rStyle w:val="Normaltextrun"/>
          <w:shd w:fill="auto" w:val="clear"/>
        </w:rPr>
        <w:t xml:space="preserve">Para fins de habilitação, deverá o </w:t>
      </w:r>
      <w:r>
        <w:rPr>
          <w:rStyle w:val="Normaltextrun"/>
          <w:shd w:fill="auto" w:val="clear"/>
        </w:rPr>
        <w:t>interessado</w:t>
      </w:r>
      <w:r>
        <w:rPr>
          <w:rStyle w:val="Normaltextrun"/>
          <w:shd w:fill="auto" w:val="clear"/>
        </w:rPr>
        <w:t xml:space="preserve"> comprovar os seguintes requisitos</w:t>
      </w:r>
      <w:r>
        <w:rPr>
          <w:rStyle w:val="Normaltextrun"/>
          <w:shd w:fill="auto" w:val="clear"/>
        </w:rPr>
        <w:t>, que serão exigidos conforme sua natureza jurídica</w:t>
      </w:r>
      <w:r>
        <w:rPr>
          <w:rStyle w:val="Normaltextrun"/>
          <w:shd w:fill="auto" w:val="clear"/>
        </w:rPr>
        <w:t>:</w:t>
      </w:r>
      <w:r>
        <w:rPr>
          <w:rStyle w:val="Eop"/>
          <w:highlight w:val="green"/>
        </w:rPr>
        <w:t> </w:t>
      </w:r>
    </w:p>
    <w:p>
      <w:pPr>
        <w:pStyle w:val="Nvel01SemNumerao"/>
        <w:rPr>
          <w:rFonts w:ascii="Calibri Light" w:hAnsi="Calibri Light"/>
        </w:rPr>
      </w:pPr>
      <w:r>
        <w:rPr>
          <w:rFonts w:ascii="Calibri Light" w:hAnsi="Calibri Light"/>
        </w:rPr>
        <w:t>Habilitação jurídica</w:t>
      </w:r>
    </w:p>
    <w:p>
      <w:pPr>
        <w:pStyle w:val="Nivel2"/>
        <w:numPr>
          <w:ilvl w:val="1"/>
          <w:numId w:val="8"/>
        </w:numPr>
        <w:ind w:left="999" w:right="0" w:hanging="432"/>
        <w:rPr>
          <w:rFonts w:ascii="Calibri Light" w:hAnsi="Calibri Light"/>
        </w:rPr>
      </w:pPr>
      <w:bookmarkStart w:id="22" w:name="_Ref115800561"/>
      <w:commentRangeStart w:id="22"/>
      <w:r>
        <w:rPr>
          <w:b/>
          <w:bCs/>
        </w:rPr>
        <w:t>Pessoa física:</w:t>
      </w:r>
      <w:r>
        <w:rPr/>
        <w:t xml:space="preserve"> cédula de identidade (RG) ou documento equivalente que, por força de lei, tenha validade para fins de identificação em todo o território nacional;</w:t>
      </w:r>
      <w:bookmarkEnd w:id="22"/>
      <w:commentRangeEnd w:id="22"/>
      <w:r>
        <w:commentReference w:id="22"/>
      </w:r>
      <w:r>
        <w:rPr/>
      </w:r>
    </w:p>
    <w:p>
      <w:pPr>
        <w:pStyle w:val="Nivel2"/>
        <w:numPr>
          <w:ilvl w:val="1"/>
          <w:numId w:val="1"/>
        </w:numPr>
        <w:ind w:left="999" w:right="0" w:hanging="432"/>
        <w:rPr>
          <w:rFonts w:ascii="Calibri Light" w:hAnsi="Calibri Light"/>
        </w:rPr>
      </w:pPr>
      <w:r>
        <w:rPr>
          <w:b/>
          <w:bCs/>
        </w:rPr>
        <w:t>Empresário individual</w:t>
      </w:r>
      <w:r>
        <w:rPr/>
        <w:t xml:space="preserve">: inscrição no Registro Público de Empresas Mercantis, a cargo da Junta Comercial da respectiva sede; </w:t>
      </w:r>
    </w:p>
    <w:p>
      <w:pPr>
        <w:pStyle w:val="Nivel2"/>
        <w:numPr>
          <w:ilvl w:val="1"/>
          <w:numId w:val="1"/>
        </w:numPr>
        <w:ind w:left="999" w:right="0" w:hanging="432"/>
        <w:rPr/>
      </w:pPr>
      <w:r>
        <w:rPr>
          <w:b/>
          <w:bCs/>
        </w:rPr>
        <w:t>Microempreendedor Individual - MEI</w:t>
      </w:r>
      <w:r>
        <w:rPr/>
        <w:t xml:space="preserve">: Certificado da Condição de Microempreendedor Individual - CCMEI, cuja aceitação ficará condicionada à verificação da autenticidade no sítio </w:t>
      </w:r>
      <w:hyperlink r:id="rId16">
        <w:r>
          <w:rPr>
            <w:rStyle w:val="LinkdaInternet"/>
            <w:i w:val="false"/>
            <w:color w:val="auto"/>
          </w:rPr>
          <w:t>https://www.gov.br/empresas-e-negocios/pt-br/empreendedor</w:t>
        </w:r>
      </w:hyperlink>
      <w:r>
        <w:rPr/>
        <w:t>;</w:t>
      </w:r>
    </w:p>
    <w:p>
      <w:pPr>
        <w:pStyle w:val="Nivel2"/>
        <w:numPr>
          <w:ilvl w:val="1"/>
          <w:numId w:val="1"/>
        </w:numPr>
        <w:ind w:left="999" w:right="0" w:hanging="432"/>
        <w:rPr>
          <w:rFonts w:ascii="Calibri Light" w:hAnsi="Calibri Light"/>
        </w:rPr>
      </w:pPr>
      <w:commentRangeStart w:id="23"/>
      <w: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commentRangeEnd w:id="23"/>
      <w:r>
        <w:commentReference w:id="23"/>
      </w:r>
      <w:r>
        <w:rPr/>
      </w:r>
    </w:p>
    <w:p>
      <w:pPr>
        <w:pStyle w:val="Nivel2"/>
        <w:numPr>
          <w:ilvl w:val="1"/>
          <w:numId w:val="1"/>
        </w:numPr>
        <w:ind w:left="999" w:right="0" w:hanging="432"/>
        <w:rPr>
          <w:rFonts w:ascii="Calibri Light" w:hAnsi="Calibri Light"/>
        </w:rPr>
      </w:pPr>
      <w:r>
        <w:rPr>
          <w:b/>
          <w:bCs/>
        </w:rPr>
        <w:t>Sociedade empresária estrangeira</w:t>
      </w:r>
      <w: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1"/>
          <w:numId w:val="1"/>
        </w:numPr>
        <w:ind w:left="999" w:right="0" w:hanging="432"/>
        <w:rPr>
          <w:rFonts w:ascii="Calibri Light" w:hAnsi="Calibri Light"/>
        </w:rPr>
      </w:pPr>
      <w:r>
        <w:rPr>
          <w:b/>
          <w:bCs/>
        </w:rPr>
        <w:t>Sociedade simples</w:t>
      </w:r>
      <w:r>
        <w:rPr/>
        <w:t>: inscrição do ato constitutivo no Registro Civil de Pessoas Jurídicas do local de sua sede, acompanhada de documento comprobatório de seus administradores;</w:t>
      </w:r>
    </w:p>
    <w:p>
      <w:pPr>
        <w:pStyle w:val="Nivel2"/>
        <w:numPr>
          <w:ilvl w:val="1"/>
          <w:numId w:val="1"/>
        </w:numPr>
        <w:ind w:left="999" w:right="0" w:hanging="432"/>
        <w:rPr>
          <w:rFonts w:ascii="Calibri Light" w:hAnsi="Calibri Light"/>
        </w:rPr>
      </w:pPr>
      <w:r>
        <w:rPr>
          <w:b/>
          <w:bCs/>
        </w:rPr>
        <w:t>Filial, sucursal ou agência de sociedade simples ou empresária</w:t>
      </w:r>
      <w:r>
        <w:rPr/>
        <w:t xml:space="preserve">: inscrição do ato constitutivo da filial, sucursal ou agência da sociedade simples ou empresária, respectivamente, no Registro Civil das Pessoas Jurídicas ou no Registro Público de Empresas </w:t>
      </w:r>
      <w:bookmarkStart w:id="23" w:name="_Int_ySfCXwr4"/>
      <w:r>
        <w:rPr/>
        <w:t>Mercantis onde</w:t>
      </w:r>
      <w:bookmarkEnd w:id="23"/>
      <w:r>
        <w:rPr/>
        <w:t xml:space="preserve"> opera, com averbação no Registro onde tem sede a matriz</w:t>
      </w:r>
    </w:p>
    <w:p>
      <w:pPr>
        <w:pStyle w:val="Nivel2"/>
        <w:numPr>
          <w:ilvl w:val="1"/>
          <w:numId w:val="1"/>
        </w:numPr>
        <w:ind w:left="999" w:right="0" w:hanging="432"/>
        <w:rPr>
          <w:rFonts w:ascii="Calibri Light" w:hAnsi="Calibri Light"/>
        </w:rPr>
      </w:pPr>
      <w:r>
        <w:rPr>
          <w:b/>
          <w:bCs/>
        </w:rPr>
        <w:t>Sociedade cooperativa</w:t>
      </w:r>
      <w: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2Red"/>
        <w:numPr>
          <w:ilvl w:val="0"/>
          <w:numId w:val="0"/>
        </w:numPr>
        <w:ind w:left="567" w:right="0" w:hanging="0"/>
        <w:rPr>
          <w:rFonts w:ascii="Ecofont_Spranq_eco_Sans" w:hAnsi="Ecofont_Spranq_eco_Sans" w:eastAsia="Arial Unicode MS" w:cs="Times New Roman"/>
          <w:color w:val="auto"/>
          <w:kern w:val="0"/>
          <w:sz w:val="20"/>
          <w:szCs w:val="20"/>
          <w:lang w:val="pt-BR" w:eastAsia="pt-BR" w:bidi="ar-SA"/>
        </w:rPr>
      </w:pPr>
      <w:r>
        <w:rPr>
          <w:rFonts w:eastAsia="Arial Unicode MS" w:cs="Times New Roman" w:ascii="Ecofont_Spranq_eco_Sans" w:hAnsi="Ecofont_Spranq_eco_Sans"/>
          <w:color w:val="auto"/>
          <w:kern w:val="0"/>
          <w:sz w:val="20"/>
          <w:szCs w:val="20"/>
          <w:lang w:val="pt-BR" w:eastAsia="pt-BR" w:bidi="ar-SA"/>
        </w:rPr>
      </w:r>
    </w:p>
    <w:p>
      <w:pPr>
        <w:pStyle w:val="Nivel2"/>
        <w:numPr>
          <w:ilvl w:val="1"/>
          <w:numId w:val="1"/>
        </w:numPr>
        <w:ind w:left="999" w:right="0" w:hanging="432"/>
        <w:rPr>
          <w:rFonts w:ascii="Calibri Light" w:hAnsi="Calibri Light"/>
        </w:rPr>
      </w:pPr>
      <w:r>
        <w:rPr/>
        <w:t>Os documentos apresentados deverão estar acompanhados de todas as alterações ou da consolidação respectiva.</w:t>
      </w:r>
    </w:p>
    <w:p>
      <w:pPr>
        <w:pStyle w:val="Nvel01SemNumerao"/>
        <w:rPr>
          <w:rFonts w:ascii="Calibri Light" w:hAnsi="Calibri Light"/>
        </w:rPr>
      </w:pPr>
      <w:r>
        <w:rPr>
          <w:rFonts w:ascii="Calibri Light" w:hAnsi="Calibri Light"/>
        </w:rPr>
        <w:t>Habilitação fiscal, social e trabalhista</w:t>
      </w:r>
    </w:p>
    <w:p>
      <w:pPr>
        <w:pStyle w:val="Nivel2"/>
        <w:numPr>
          <w:ilvl w:val="1"/>
          <w:numId w:val="1"/>
        </w:numPr>
        <w:ind w:left="999" w:right="0" w:hanging="432"/>
        <w:rPr>
          <w:rFonts w:ascii="Calibri Light" w:hAnsi="Calibri Light"/>
        </w:rPr>
      </w:pPr>
      <w:r>
        <w:rPr/>
        <w:t>Prova de inscrição no Cadastro Nacional de Pessoas Jurídicas ou no Cadastro de Pessoas Físicas, conforme o caso;</w:t>
      </w:r>
    </w:p>
    <w:p>
      <w:pPr>
        <w:pStyle w:val="Nivel2"/>
        <w:numPr>
          <w:ilvl w:val="1"/>
          <w:numId w:val="1"/>
        </w:numPr>
        <w:ind w:left="999" w:right="0" w:hanging="432"/>
        <w:rPr>
          <w:rFonts w:ascii="Calibri Light" w:hAnsi="Calibri Light"/>
        </w:rPr>
      </w:pPr>
      <w: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1"/>
        </w:numPr>
        <w:ind w:left="999" w:right="0" w:hanging="432"/>
        <w:rPr>
          <w:rFonts w:ascii="Calibri Light" w:hAnsi="Calibri Light"/>
        </w:rPr>
      </w:pPr>
      <w:r>
        <w:rPr/>
        <w:t>Prova de regularidade com o Fundo de Garantia do Tempo de Serviço (FGTS);</w:t>
      </w:r>
    </w:p>
    <w:p>
      <w:pPr>
        <w:pStyle w:val="Nivel2"/>
        <w:numPr>
          <w:ilvl w:val="1"/>
          <w:numId w:val="1"/>
        </w:numPr>
        <w:ind w:left="999" w:right="0" w:hanging="432"/>
        <w:rPr>
          <w:rFonts w:ascii="Calibri Light" w:hAnsi="Calibri Light"/>
        </w:rPr>
      </w:pPr>
      <w:r>
        <w:rPr/>
        <w:t>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1"/>
          <w:numId w:val="1"/>
        </w:numPr>
        <w:ind w:left="999" w:right="0" w:hanging="432"/>
        <w:rPr/>
      </w:pPr>
      <w: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
        <w:r>
          <w:rPr>
            <w:rStyle w:val="LinkdaInternet"/>
            <w:i w:val="false"/>
            <w:color w:val="auto"/>
          </w:rPr>
          <w:t>Decreto-Lei nº 5.452, de 1º de maio de 1943;</w:t>
        </w:r>
      </w:hyperlink>
    </w:p>
    <w:p>
      <w:pPr>
        <w:pStyle w:val="Nivel2"/>
        <w:numPr>
          <w:ilvl w:val="1"/>
          <w:numId w:val="1"/>
        </w:numPr>
        <w:ind w:left="999" w:right="0" w:hanging="432"/>
        <w:rPr>
          <w:rFonts w:ascii="Calibri Light" w:hAnsi="Calibri Light"/>
        </w:rPr>
      </w:pPr>
      <w:commentRangeStart w:id="24"/>
      <w:r>
        <w:rPr/>
        <w:t xml:space="preserve">Prova de inscrição no cadastro de contribuintes [Estadual/Distrital] ou [Municipal/Distrital] relativo ao domicílio ou sede do fornecedor, pertinente ao seu ramo de atividade e compatível com o objeto contratual; </w:t>
      </w:r>
    </w:p>
    <w:p>
      <w:pPr>
        <w:pStyle w:val="Nivel2"/>
        <w:numPr>
          <w:ilvl w:val="1"/>
          <w:numId w:val="1"/>
        </w:numPr>
        <w:ind w:left="999" w:right="0" w:hanging="432"/>
        <w:rPr>
          <w:rFonts w:ascii="Calibri Light" w:hAnsi="Calibri Light"/>
        </w:rPr>
      </w:pPr>
      <w:r>
        <w:rPr/>
        <w:t>Prova de regularidade com a Fazenda [Estadual/Distrital] ou [Municipal/Distrital] do domicílio ou sede do fornecedor, relativa à atividade em cujo exercício contrata ou concorre;</w:t>
      </w:r>
      <w:commentRangeEnd w:id="24"/>
      <w:r>
        <w:commentReference w:id="24"/>
      </w:r>
      <w:r>
        <w:rPr/>
      </w:r>
    </w:p>
    <w:p>
      <w:pPr>
        <w:pStyle w:val="Nivel2"/>
        <w:numPr>
          <w:ilvl w:val="1"/>
          <w:numId w:val="1"/>
        </w:numPr>
        <w:ind w:left="999" w:right="0" w:hanging="432"/>
        <w:rPr>
          <w:rFonts w:ascii="Calibri Light" w:hAnsi="Calibri Light"/>
        </w:rPr>
      </w:pPr>
      <w:r>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pPr>
        <w:pStyle w:val="Nivel2"/>
        <w:numPr>
          <w:ilvl w:val="1"/>
          <w:numId w:val="1"/>
        </w:numPr>
        <w:ind w:left="999" w:right="0" w:hanging="432"/>
        <w:rPr>
          <w:rFonts w:ascii="Calibri Light" w:hAnsi="Calibri Light"/>
        </w:rPr>
      </w:pPr>
      <w:bookmarkStart w:id="24" w:name="_Hlk121934117"/>
      <w:commentRangeStart w:id="25"/>
      <w:r>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4"/>
      <w:commentRangeEnd w:id="25"/>
      <w:r>
        <w:commentReference w:id="25"/>
      </w:r>
      <w:r>
        <w:rPr/>
      </w:r>
    </w:p>
    <w:p>
      <w:pPr>
        <w:pStyle w:val="Nvel01SemNumerao"/>
        <w:rPr>
          <w:rFonts w:ascii="Calibri Light" w:hAnsi="Calibri Light"/>
        </w:rPr>
      </w:pPr>
      <w:r>
        <w:rPr>
          <w:rFonts w:ascii="Calibri Light" w:hAnsi="Calibri Light"/>
        </w:rPr>
      </w:r>
    </w:p>
    <w:p>
      <w:pPr>
        <w:pStyle w:val="Nvel01SemNumerao"/>
        <w:rPr>
          <w:rFonts w:ascii="Calibri Light" w:hAnsi="Calibri Light"/>
        </w:rPr>
      </w:pPr>
      <w:commentRangeStart w:id="26"/>
      <w:r>
        <w:rPr>
          <w:rFonts w:ascii="Calibri Light" w:hAnsi="Calibri Light"/>
        </w:rPr>
        <w:t>Qualificação Econômico-Financeira</w:t>
      </w:r>
      <w:commentRangeEnd w:id="26"/>
      <w:r>
        <w:commentReference w:id="26"/>
      </w:r>
      <w:r>
        <w:rPr>
          <w:rFonts w:ascii="Calibri Light" w:hAnsi="Calibri Light"/>
        </w:rPr>
      </w:r>
    </w:p>
    <w:p>
      <w:pPr>
        <w:pStyle w:val="Nivel2"/>
        <w:numPr>
          <w:ilvl w:val="1"/>
          <w:numId w:val="1"/>
        </w:numPr>
        <w:ind w:left="999" w:right="0" w:hanging="432"/>
        <w:rPr>
          <w:highlight w:val="none"/>
          <w:shd w:fill="auto" w:val="clear"/>
        </w:rPr>
      </w:pPr>
      <w:r>
        <w:rPr>
          <w:shd w:fill="auto" w:val="clear"/>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pPr>
        <w:pStyle w:val="Nvel01SemNumerao"/>
        <w:rPr>
          <w:rFonts w:ascii="Calibri Light" w:hAnsi="Calibri Light"/>
        </w:rPr>
      </w:pPr>
      <w:commentRangeStart w:id="27"/>
      <w:r>
        <w:rPr>
          <w:rFonts w:ascii="Calibri Light" w:hAnsi="Calibri Light"/>
        </w:rPr>
        <w:t xml:space="preserve">Qualificação </w:t>
      </w:r>
      <w:commentRangeStart w:id="28"/>
      <w:r>
        <w:rPr>
          <w:rFonts w:ascii="Calibri Light" w:hAnsi="Calibri Light"/>
        </w:rPr>
        <w:t>Técnica</w:t>
      </w:r>
      <w:r>
        <w:rPr>
          <w:rFonts w:ascii="Calibri Light" w:hAnsi="Calibri Light"/>
        </w:rPr>
      </w:r>
      <w:commentRangeEnd w:id="27"/>
      <w:r>
        <w:commentReference w:id="27"/>
      </w:r>
      <w:commentRangeEnd w:id="28"/>
      <w:r>
        <w:commentReference w:id="28"/>
      </w:r>
      <w:r>
        <w:rPr>
          <w:rFonts w:ascii="Calibri Light" w:hAnsi="Calibri Light"/>
        </w:rPr>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highlight w:val="none"/>
          <w:shd w:fill="auto" w:val="clear"/>
          <w:lang w:val="pt-BR" w:eastAsia="pt-BR" w:bidi="ar-SA"/>
        </w:rPr>
      </w:pPr>
      <w:commentRangeStart w:id="29"/>
      <w:r>
        <w:rPr>
          <w:rFonts w:eastAsia="Arial Unicode MS" w:cs="Times New Roman" w:ascii="Ecofont_Spranq_eco_Sans" w:hAnsi="Ecofont_Spranq_eco_Sans"/>
          <w:color w:val="000000"/>
          <w:kern w:val="0"/>
          <w:sz w:val="20"/>
          <w:szCs w:val="20"/>
          <w:shd w:fill="auto" w:val="clear"/>
          <w:lang w:val="pt-BR" w:eastAsia="pt-BR" w:bidi="ar-SA"/>
        </w:rPr>
        <w:t>Declaração de que o interessado tomou conhecimento de todas as informações e das condições locais para o cumprimento das obrigações objeto da contratação;</w:t>
      </w:r>
      <w:commentRangeEnd w:id="29"/>
      <w:r>
        <w:commentReference w:id="29"/>
      </w:r>
      <w:r>
        <w:rPr>
          <w:rFonts w:eastAsia="Arial Unicode MS" w:cs="Times New Roman" w:ascii="Ecofont_Spranq_eco_Sans" w:hAnsi="Ecofont_Spranq_eco_Sans"/>
          <w:color w:val="000000"/>
          <w:kern w:val="0"/>
          <w:sz w:val="20"/>
          <w:szCs w:val="20"/>
          <w:shd w:fill="auto" w:val="clear"/>
          <w:lang w:val="pt-BR" w:eastAsia="pt-BR" w:bidi="ar-SA"/>
        </w:rPr>
      </w:r>
    </w:p>
    <w:p>
      <w:pPr>
        <w:pStyle w:val="Nvel2Red"/>
        <w:numPr>
          <w:ilvl w:val="1"/>
          <w:numId w:val="1"/>
        </w:numPr>
        <w:ind w:left="999" w:right="0" w:hanging="432"/>
        <w:rPr>
          <w:rFonts w:ascii="Ecofont_Spranq_eco_Sans" w:hAnsi="Ecofont_Spranq_eco_Sans" w:eastAsia="Arial Unicode MS" w:cs="Times New Roman"/>
          <w:color w:val="auto"/>
          <w:kern w:val="0"/>
          <w:sz w:val="20"/>
          <w:szCs w:val="20"/>
          <w:highlight w:val="none"/>
          <w:shd w:fill="auto" w:val="clear"/>
          <w:lang w:val="pt-BR" w:eastAsia="pt-BR" w:bidi="ar-SA"/>
        </w:rPr>
      </w:pPr>
      <w:r>
        <w:rPr>
          <w:rFonts w:eastAsia="Arial Unicode MS" w:cs="Times New Roman" w:ascii="Ecofont_Spranq_eco_Sans" w:hAnsi="Ecofont_Spranq_eco_Sans"/>
          <w:color w:val="000000"/>
          <w:kern w:val="0"/>
          <w:sz w:val="20"/>
          <w:szCs w:val="20"/>
          <w:shd w:fill="auto" w:val="clear"/>
          <w:lang w:val="pt-BR" w:eastAsia="pt-BR" w:bidi="ar-SA"/>
        </w:rPr>
        <w:t>A declaração acima poderá ser substituída por declaração formal assinada pelo responsável técnico do interessado acerca do conhecimento pleno das condições e peculiaridades da contratação.</w:t>
      </w:r>
    </w:p>
    <w:p>
      <w:pPr>
        <w:pStyle w:val="Nvel3R"/>
        <w:numPr>
          <w:ilvl w:val="2"/>
          <w:numId w:val="1"/>
        </w:numPr>
        <w:ind w:left="284" w:right="0" w:hanging="0"/>
        <w:rPr>
          <w:rFonts w:ascii="Ecofont_Spranq_eco_Sans" w:hAnsi="Ecofont_Spranq_eco_Sans" w:eastAsia="Arial Unicode MS" w:cs="Times New Roman"/>
          <w:color w:val="auto"/>
          <w:kern w:val="0"/>
          <w:sz w:val="20"/>
          <w:szCs w:val="20"/>
          <w:highlight w:val="none"/>
          <w:shd w:fill="auto" w:val="clear"/>
          <w:lang w:val="pt-BR" w:eastAsia="pt-BR" w:bidi="ar-SA"/>
        </w:rPr>
      </w:pPr>
      <w:r>
        <w:rPr>
          <w:rFonts w:eastAsia="Arial Unicode MS" w:cs="Times New Roman" w:ascii="Ecofont_Spranq_eco_Sans" w:hAnsi="Ecofont_Spranq_eco_Sans"/>
          <w:i w:val="false"/>
          <w:color w:val="000000"/>
          <w:kern w:val="0"/>
          <w:sz w:val="20"/>
          <w:szCs w:val="20"/>
          <w:shd w:fill="auto" w:val="clear"/>
          <w:lang w:val="pt-BR" w:eastAsia="pt-BR" w:bidi="ar-SA"/>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Start w:id="25" w:name="_Hlk82473550_Copia_1"/>
      <w:bookmarkEnd w:id="25"/>
    </w:p>
    <w:p>
      <w:pPr>
        <w:pStyle w:val="Nivel01"/>
        <w:numPr>
          <w:ilvl w:val="0"/>
          <w:numId w:val="1"/>
        </w:numPr>
        <w:rPr>
          <w:rFonts w:ascii="Calibri Light" w:hAnsi="Calibri Light"/>
        </w:rPr>
      </w:pPr>
      <w:r>
        <w:rPr>
          <w:rFonts w:ascii="Calibri Light" w:hAnsi="Calibri Light"/>
        </w:rPr>
        <w:t>ESTIMATIVAS DO VALOR DA CONTRATAÇÃO</w:t>
      </w:r>
    </w:p>
    <w:p>
      <w:pPr>
        <w:pStyle w:val="Nivel2"/>
        <w:numPr>
          <w:ilvl w:val="1"/>
          <w:numId w:val="1"/>
        </w:numPr>
        <w:ind w:left="999" w:right="0" w:hanging="432"/>
        <w:rPr>
          <w:rFonts w:ascii="Calibri Light" w:hAnsi="Calibri Light"/>
        </w:rPr>
      </w:pPr>
      <w:r>
        <w:rPr/>
        <w:t>O custo estimado total da contratação é de R$.39.500,00. (trinta e nove mil e quinhentos reais), conforme custos unitários apostos na tabela acima.</w:t>
      </w:r>
    </w:p>
    <w:p>
      <w:pPr>
        <w:pStyle w:val="Nivel01"/>
        <w:numPr>
          <w:ilvl w:val="0"/>
          <w:numId w:val="1"/>
        </w:numPr>
        <w:ind w:right="-15" w:hanging="0"/>
        <w:rPr>
          <w:rFonts w:ascii="Calibri Light" w:hAnsi="Calibri Light"/>
        </w:rPr>
      </w:pPr>
      <w:r>
        <w:rPr>
          <w:rFonts w:ascii="Calibri Light" w:hAnsi="Calibri Light"/>
        </w:rPr>
        <w:t>ADEQUAÇÃO ORÇAMENTÁRIA</w:t>
      </w:r>
    </w:p>
    <w:p>
      <w:pPr>
        <w:pStyle w:val="Nivel2"/>
        <w:numPr>
          <w:ilvl w:val="1"/>
          <w:numId w:val="1"/>
        </w:numPr>
        <w:ind w:left="999" w:right="0" w:hanging="432"/>
        <w:rPr>
          <w:rFonts w:ascii="Calibri Light" w:hAnsi="Calibri Light"/>
        </w:rPr>
      </w:pPr>
      <w:r>
        <w:rPr/>
        <w:t>As despesas decorrentes da presente contratação correrão à conta de recursos específicos consignados no Orçamento Geral da União.</w:t>
      </w:r>
    </w:p>
    <w:p>
      <w:pPr>
        <w:pStyle w:val="Nivel3"/>
        <w:numPr>
          <w:ilvl w:val="0"/>
          <w:numId w:val="0"/>
        </w:numPr>
        <w:ind w:left="284" w:right="0" w:hanging="0"/>
        <w:rPr>
          <w:rFonts w:ascii="Calibri Light" w:hAnsi="Calibri Light"/>
        </w:rPr>
      </w:pPr>
      <w:r>
        <w:rPr>
          <w:rFonts w:ascii="Calibri Light" w:hAnsi="Calibri Light"/>
        </w:rPr>
      </w:r>
    </w:p>
    <w:p>
      <w:pPr>
        <w:pStyle w:val="Nivel2"/>
        <w:widowControl/>
        <w:numPr>
          <w:ilvl w:val="0"/>
          <w:numId w:val="0"/>
        </w:numPr>
        <w:suppressAutoHyphens w:val="true"/>
        <w:bidi w:val="0"/>
        <w:spacing w:lineRule="auto" w:line="276" w:before="120" w:after="120"/>
        <w:ind w:left="1134" w:right="0" w:hanging="0"/>
        <w:jc w:val="both"/>
        <w:rPr>
          <w:rFonts w:eastAsia="Arial" w:cs="Arial"/>
          <w:i/>
          <w:i/>
          <w:iCs/>
          <w:color w:val="auto"/>
          <w:kern w:val="0"/>
          <w:sz w:val="20"/>
          <w:szCs w:val="20"/>
          <w:lang w:val="pt-BR" w:eastAsia="pt-BR" w:bidi="ar-SA"/>
        </w:rPr>
      </w:pPr>
      <w:r>
        <w:rPr>
          <w:rFonts w:eastAsia="Arial" w:cs="Arial"/>
          <w:i/>
          <w:iCs/>
          <w:color w:val="auto"/>
          <w:kern w:val="0"/>
          <w:sz w:val="20"/>
          <w:szCs w:val="20"/>
          <w:lang w:val="pt-BR" w:eastAsia="pt-BR" w:bidi="ar-SA"/>
        </w:rPr>
        <w:t>Cuiabá-MT, 10 de junho de 2023.</w:t>
      </w:r>
    </w:p>
    <w:p>
      <w:pPr>
        <w:pStyle w:val="Nivel2"/>
        <w:widowControl/>
        <w:numPr>
          <w:ilvl w:val="0"/>
          <w:numId w:val="0"/>
        </w:numPr>
        <w:suppressAutoHyphens w:val="true"/>
        <w:bidi w:val="0"/>
        <w:spacing w:lineRule="auto" w:line="276" w:before="120" w:after="120"/>
        <w:ind w:left="1134" w:right="0" w:hanging="0"/>
        <w:jc w:val="both"/>
        <w:rPr>
          <w:rFonts w:eastAsia="Arial" w:cs="Arial"/>
          <w:i/>
          <w:i/>
          <w:iCs/>
          <w:color w:val="auto"/>
          <w:kern w:val="0"/>
          <w:sz w:val="20"/>
          <w:szCs w:val="20"/>
          <w:lang w:val="pt-BR" w:eastAsia="pt-BR" w:bidi="ar-SA"/>
        </w:rPr>
      </w:pPr>
      <w:r>
        <w:rPr/>
      </w:r>
    </w:p>
    <w:p>
      <w:pPr>
        <w:pStyle w:val="Nivel2"/>
        <w:widowControl/>
        <w:numPr>
          <w:ilvl w:val="0"/>
          <w:numId w:val="0"/>
        </w:numPr>
        <w:suppressAutoHyphens w:val="true"/>
        <w:bidi w:val="0"/>
        <w:spacing w:lineRule="auto" w:line="276" w:before="120" w:after="120"/>
        <w:ind w:left="1134" w:right="0" w:hanging="0"/>
        <w:jc w:val="both"/>
        <w:rPr>
          <w:rFonts w:eastAsia="Arial" w:cs="Arial"/>
          <w:i/>
          <w:i/>
          <w:iCs/>
          <w:color w:val="auto"/>
          <w:kern w:val="0"/>
          <w:sz w:val="20"/>
          <w:szCs w:val="20"/>
          <w:lang w:val="pt-BR" w:eastAsia="pt-BR" w:bidi="ar-SA"/>
        </w:rPr>
      </w:pPr>
      <w:r>
        <w:rPr/>
      </w:r>
    </w:p>
    <w:p>
      <w:pPr>
        <w:pStyle w:val="Nivel2"/>
        <w:numPr>
          <w:ilvl w:val="0"/>
          <w:numId w:val="0"/>
        </w:numPr>
        <w:ind w:left="0" w:right="0" w:hanging="0"/>
        <w:rPr>
          <w:rFonts w:ascii="Calibri Light" w:hAnsi="Calibri Light"/>
        </w:rPr>
      </w:pPr>
      <w:r>
        <w:rPr>
          <w:rFonts w:ascii="Calibri Light" w:hAnsi="Calibri Light"/>
        </w:rPr>
      </w:r>
    </w:p>
    <w:p>
      <w:pPr>
        <w:pStyle w:val="Nivel2"/>
        <w:numPr>
          <w:ilvl w:val="0"/>
          <w:numId w:val="0"/>
        </w:numPr>
        <w:ind w:left="0" w:right="0" w:hanging="0"/>
        <w:rPr>
          <w:rFonts w:ascii="Calibri Light" w:hAnsi="Calibri Light"/>
        </w:rPr>
      </w:pPr>
      <w:r>
        <w:rPr>
          <w:rFonts w:ascii="Calibri Light" w:hAnsi="Calibri Light"/>
        </w:rPr>
      </w:r>
    </w:p>
    <w:p>
      <w:pPr>
        <w:pStyle w:val="Normal"/>
        <w:widowControl/>
        <w:suppressAutoHyphens w:val="true"/>
        <w:bidi w:val="0"/>
        <w:spacing w:lineRule="auto" w:line="240" w:before="0" w:after="0"/>
        <w:ind w:left="340" w:right="0" w:hanging="340"/>
        <w:jc w:val="center"/>
        <w:rPr/>
      </w:pPr>
      <w:r>
        <w:rPr>
          <w:rFonts w:eastAsia="Arial" w:cs="Arial" w:ascii="Calibri Light" w:hAnsi="Calibri Light"/>
          <w:sz w:val="20"/>
          <w:szCs w:val="20"/>
        </w:rPr>
        <w:t>_________________________________________________</w:t>
      </w:r>
    </w:p>
    <w:p>
      <w:pPr>
        <w:pStyle w:val="Corpodotexto"/>
        <w:widowControl/>
        <w:tabs>
          <w:tab w:val="clear" w:pos="708"/>
          <w:tab w:val="left" w:pos="850" w:leader="none"/>
        </w:tabs>
        <w:overflowPunct w:val="false"/>
        <w:bidi w:val="0"/>
        <w:spacing w:lineRule="auto" w:line="240" w:before="0" w:after="0"/>
        <w:ind w:left="0" w:right="0" w:hanging="0"/>
        <w:jc w:val="center"/>
        <w:rPr>
          <w:rFonts w:ascii="Calibri Light" w:hAnsi="Calibri Light" w:eastAsia="Times New Roman" w:cs="Times New Roman"/>
          <w:b w:val="false"/>
          <w:b w:val="false"/>
          <w:bCs w:val="false"/>
          <w:i w:val="false"/>
          <w:i w:val="false"/>
          <w:iCs w:val="false"/>
          <w:strike w:val="false"/>
          <w:dstrike w:val="false"/>
          <w:outline w:val="false"/>
          <w:shadow w:val="false"/>
          <w:color w:val="auto"/>
          <w:kern w:val="2"/>
          <w:sz w:val="24"/>
          <w:szCs w:val="24"/>
          <w:u w:val="none"/>
          <w:em w:val="none"/>
          <w:lang w:val="pt-BR" w:eastAsia="pt-BR" w:bidi="ar-SA"/>
        </w:rPr>
      </w:pPr>
      <w:r>
        <w:rPr>
          <w:rFonts w:eastAsia="Times New Roman" w:cs="Times New Roman" w:ascii="Calibri Light" w:hAnsi="Calibri Light"/>
          <w:b w:val="false"/>
          <w:bCs w:val="false"/>
          <w:i w:val="false"/>
          <w:iCs w:val="false"/>
          <w:strike w:val="false"/>
          <w:dstrike w:val="false"/>
          <w:outline w:val="false"/>
          <w:shadow w:val="false"/>
          <w:color w:val="auto"/>
          <w:kern w:val="2"/>
          <w:sz w:val="24"/>
          <w:szCs w:val="24"/>
          <w:u w:val="none"/>
          <w:em w:val="none"/>
          <w:lang w:val="pt-BR" w:eastAsia="pt-BR" w:bidi="ar-SA"/>
        </w:rPr>
        <w:t>AUGUSTO PABLO DE ALMEIDA BARBOSA – Cel</w:t>
      </w:r>
    </w:p>
    <w:p>
      <w:pPr>
        <w:pStyle w:val="Corpodotexto"/>
        <w:widowControl/>
        <w:tabs>
          <w:tab w:val="clear" w:pos="708"/>
          <w:tab w:val="left" w:pos="850" w:leader="none"/>
        </w:tabs>
        <w:overflowPunct w:val="false"/>
        <w:bidi w:val="0"/>
        <w:spacing w:lineRule="auto" w:line="240" w:before="0" w:after="0"/>
        <w:ind w:left="0" w:right="0" w:hanging="0"/>
        <w:jc w:val="center"/>
        <w:rPr>
          <w:rFonts w:ascii="Calibri Light" w:hAnsi="Calibri Light" w:eastAsia="Times New Roman" w:cs="Times New Roman"/>
          <w:b w:val="false"/>
          <w:b w:val="false"/>
          <w:bCs w:val="false"/>
          <w:i w:val="false"/>
          <w:i w:val="false"/>
          <w:iCs w:val="false"/>
          <w:strike w:val="false"/>
          <w:dstrike w:val="false"/>
          <w:outline w:val="false"/>
          <w:shadow w:val="false"/>
          <w:color w:val="auto"/>
          <w:kern w:val="2"/>
          <w:sz w:val="24"/>
          <w:szCs w:val="24"/>
          <w:u w:val="none"/>
          <w:em w:val="none"/>
          <w:lang w:val="pt-BR" w:eastAsia="pt-BR" w:bidi="ar-SA"/>
        </w:rPr>
      </w:pPr>
      <w:r>
        <w:rPr>
          <w:rFonts w:eastAsia="Times New Roman" w:cs="Times New Roman" w:ascii="Calibri Light" w:hAnsi="Calibri Light"/>
          <w:b w:val="false"/>
          <w:bCs w:val="false"/>
          <w:i w:val="false"/>
          <w:iCs w:val="false"/>
          <w:strike w:val="false"/>
          <w:dstrike w:val="false"/>
          <w:outline w:val="false"/>
          <w:shadow w:val="false"/>
          <w:color w:val="auto"/>
          <w:kern w:val="2"/>
          <w:sz w:val="24"/>
          <w:szCs w:val="24"/>
          <w:u w:val="none"/>
          <w:em w:val="none"/>
          <w:lang w:val="pt-BR" w:eastAsia="pt-BR" w:bidi="ar-SA"/>
        </w:rPr>
        <w:t>Chefe da 3ª Seç/EMG/13ª Brigada de Infantaria Motorizada</w:t>
      </w:r>
    </w:p>
    <w:p>
      <w:pPr>
        <w:pStyle w:val="Normal"/>
        <w:ind w:left="426" w:hanging="0"/>
        <w:jc w:val="center"/>
        <w:rPr>
          <w:rFonts w:ascii="Calibri Light" w:hAnsi="Calibri Light" w:cs="Calibri Light" w:asciiTheme="majorHAnsi" w:cstheme="majorHAnsi" w:hAnsiTheme="majorHAnsi"/>
          <w:iCs/>
          <w:sz w:val="24"/>
        </w:rPr>
      </w:pPr>
      <w:r>
        <w:rPr>
          <w:rFonts w:cs="Calibri Light" w:ascii="Calibri Light" w:hAnsi="Calibri Light" w:asciiTheme="majorHAnsi" w:cstheme="majorHAnsi" w:hAnsiTheme="majorHAnsi"/>
          <w:iCs/>
          <w:sz w:val="24"/>
        </w:rPr>
        <w:t>Razão Social da Licitante – CNPJ</w:t>
      </w:r>
    </w:p>
    <w:p>
      <w:pPr>
        <w:pStyle w:val="Normal"/>
        <w:ind w:left="426" w:hanging="0"/>
        <w:jc w:val="both"/>
        <w:rPr>
          <w:rFonts w:ascii="Calibri Light" w:hAnsi="Calibri Light" w:cs="Calibri Light" w:asciiTheme="majorHAnsi" w:cstheme="majorHAnsi" w:hAnsiTheme="majorHAnsi"/>
          <w:iCs/>
          <w:sz w:val="24"/>
        </w:rPr>
      </w:pPr>
      <w:r>
        <w:rPr>
          <w:rFonts w:cs="Calibri Light" w:cstheme="majorHAnsi" w:ascii="Calibri Light" w:hAnsi="Calibri Light"/>
          <w:iCs/>
          <w:sz w:val="24"/>
        </w:rPr>
      </w:r>
    </w:p>
    <w:p>
      <w:pPr>
        <w:pStyle w:val="Normal"/>
        <w:ind w:left="426" w:hanging="0"/>
        <w:jc w:val="both"/>
        <w:rPr>
          <w:rFonts w:ascii="Calibri Light" w:hAnsi="Calibri Light" w:cs="Calibri Light" w:asciiTheme="majorHAnsi" w:cstheme="majorHAnsi" w:hAnsiTheme="majorHAnsi"/>
          <w:iCs/>
          <w:sz w:val="24"/>
        </w:rPr>
      </w:pPr>
      <w:r>
        <w:rPr>
          <w:rFonts w:cs="Calibri Light" w:cstheme="majorHAnsi" w:ascii="Calibri Light" w:hAnsi="Calibri Light"/>
          <w:iCs/>
          <w:sz w:val="24"/>
        </w:rPr>
      </w:r>
    </w:p>
    <w:p>
      <w:pPr>
        <w:pStyle w:val="Normal"/>
        <w:ind w:left="426" w:hanging="0"/>
        <w:jc w:val="both"/>
        <w:rPr>
          <w:rFonts w:ascii="Calibri Light" w:hAnsi="Calibri Light" w:cs="Calibri Light" w:asciiTheme="majorHAnsi" w:cstheme="majorHAnsi" w:hAnsiTheme="majorHAnsi"/>
          <w:iCs/>
          <w:sz w:val="24"/>
        </w:rPr>
      </w:pPr>
      <w:r>
        <w:rPr>
          <w:rFonts w:cs="Calibri Light" w:cstheme="majorHAnsi" w:ascii="Calibri Light" w:hAnsi="Calibri Light"/>
          <w:iCs/>
          <w:sz w:val="24"/>
        </w:rPr>
      </w:r>
    </w:p>
    <w:p>
      <w:pPr>
        <w:pStyle w:val="Normal"/>
        <w:ind w:left="426" w:hanging="0"/>
        <w:jc w:val="both"/>
        <w:rPr>
          <w:rFonts w:ascii="Calibri Light" w:hAnsi="Calibri Light" w:cs="Calibri Light" w:asciiTheme="majorHAnsi" w:cstheme="majorHAnsi" w:hAnsiTheme="majorHAnsi"/>
          <w:iCs/>
          <w:sz w:val="24"/>
        </w:rPr>
      </w:pPr>
      <w:r>
        <w:rPr/>
      </w:r>
    </w:p>
    <w:p>
      <w:pPr>
        <w:pStyle w:val="Normal"/>
        <w:rPr/>
      </w:pPr>
      <w:r>
        <w:rPr/>
      </w:r>
    </w:p>
    <w:p>
      <w:pPr>
        <w:pStyle w:val="Normal"/>
        <w:rPr/>
      </w:pPr>
      <w:r>
        <w:rPr/>
      </w:r>
    </w:p>
    <w:p>
      <w:pPr>
        <w:pStyle w:val="Normal"/>
        <w:rPr/>
      </w:pPr>
      <w:r>
        <w:rPr/>
      </w:r>
    </w:p>
    <w:sectPr>
      <w:headerReference w:type="default" r:id="rId18"/>
      <w:headerReference w:type="first" r:id="rId19"/>
      <w:footerReference w:type="default" r:id="rId20"/>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A tabela acima é meramente ilustrativa, podendo ser livremente alterada conforme o caso concreto.</w:t>
      </w:r>
    </w:p>
    <w:p>
      <w:r>
        <w:rPr>
          <w:rFonts w:ascii="Liberation Serif" w:hAnsi="Liberation Serif" w:eastAsia="Segoe UI"/>
          <w:b/>
          <w:bCs/>
          <w:i/>
          <w:iCs/>
          <w:color w:val="000000"/>
          <w:sz w:val="24"/>
          <w:lang w:val="en-US" w:eastAsia="en-US" w:bidi="en-US"/>
        </w:rPr>
        <w:t xml:space="preserve">Nota Explicativa 2: </w:t>
      </w:r>
      <w:r>
        <w:rPr>
          <w:rFonts w:ascii="Liberation Serif" w:hAnsi="Liberation Serif" w:eastAsia="Segoe UI"/>
          <w:i/>
          <w:iCs/>
          <w:color w:val="000000"/>
          <w:sz w:val="24"/>
          <w:lang w:val="en-US" w:eastAsia="en-US" w:bidi="en-US"/>
        </w:rPr>
        <w:t>A justificativa para o parcelamento ou não do objeto deve constar do Estudo Técnico Preliminar (</w:t>
      </w:r>
      <w:r>
        <w:fldChar w:fldCharType="begin"/>
      </w:r>
      <w:r>
        <w:instrText xml:space="preserve"> HYPERLINK "http://www.planalto.gov.br/ccivil_03/_ato2019-2022/2021/lei/L14133.htm" \l "art18§1"</w:instrText>
      </w:r>
      <w:r>
        <w:fldChar w:fldCharType="separate"/>
      </w:r>
      <w:r>
        <w:rPr>
          <w:rFonts w:ascii="Liberation Serif" w:hAnsi="Liberation Serif" w:eastAsia="Segoe UI"/>
          <w:i/>
          <w:iCs/>
          <w:color w:val="000000"/>
          <w:sz w:val="24"/>
          <w:lang w:val="en-US" w:eastAsia="en-US" w:bidi="en-US"/>
        </w:rPr>
        <w:t>art. 18, §1º, inciso VIII, da Lei nº 14.133, de 2021</w:t>
      </w:r>
      <w:r>
        <w:fldChar w:fldCharType="end"/>
      </w:r>
      <w:r>
        <w:rPr>
          <w:rFonts w:ascii="Liberation Serif" w:hAnsi="Liberation Serif" w:eastAsia="Segoe UI"/>
          <w:i/>
          <w:iCs/>
          <w:color w:val="000000"/>
          <w:sz w:val="24"/>
          <w:lang w:val="en-US" w:eastAsia="en-US" w:bidi="en-US"/>
        </w:rPr>
        <w:t xml:space="preserve">, e </w:t>
      </w:r>
      <w:r>
        <w:fldChar w:fldCharType="begin"/>
      </w:r>
      <w:r>
        <w:instrText xml:space="preserve"> HYPERLINK "https://www.gov.br/compras/pt-br/acesso-a-informacao/legislacao/instrucoes-normativas/instrucao-normativa-seges-no-58-de-8-de-agosto-de-2022" \l "art9"</w:instrText>
      </w:r>
      <w:r>
        <w:fldChar w:fldCharType="separate"/>
      </w:r>
      <w:r>
        <w:rPr>
          <w:rFonts w:ascii="Liberation Serif" w:hAnsi="Liberation Serif" w:eastAsia="Segoe UI"/>
          <w:i/>
          <w:iCs/>
          <w:color w:val="000000"/>
          <w:sz w:val="24"/>
          <w:lang w:val="en-US" w:eastAsia="en-US" w:bidi="en-US"/>
        </w:rPr>
        <w:t>art. 9º, inciso VII, da Instrução Normativa SEGES nº 58, de 8 de agosto de 2022</w:t>
      </w:r>
      <w:r>
        <w:fldChar w:fldCharType="end"/>
      </w:r>
      <w:r>
        <w:rPr>
          <w:rFonts w:ascii="Liberation Serif" w:hAnsi="Liberation Serif" w:eastAsia="Segoe UI"/>
          <w:i/>
          <w:iCs/>
          <w:color w:val="000000"/>
          <w:sz w:val="24"/>
          <w:lang w:val="en-US" w:eastAsia="en-US" w:bidi="en-US"/>
        </w:rPr>
        <w:t>). Os serviços, como regra, devem atender ao parcelamento quando for tecnicamente viável e economicamente vantajoso (</w:t>
      </w:r>
      <w:r>
        <w:fldChar w:fldCharType="begin"/>
      </w:r>
      <w:r>
        <w:instrText xml:space="preserve"> HYPERLINK "http://www.planalto.gov.br/ccivil_03/_ato2019-2022/2021/lei/L14133.htm" \l "art47"</w:instrText>
      </w:r>
      <w:r>
        <w:fldChar w:fldCharType="separate"/>
      </w:r>
      <w:r>
        <w:rPr>
          <w:rFonts w:ascii="Liberation Serif" w:hAnsi="Liberation Serif" w:eastAsia="Segoe UI"/>
          <w:i/>
          <w:iCs/>
          <w:color w:val="000000"/>
          <w:sz w:val="24"/>
          <w:lang w:val="en-US" w:eastAsia="en-US" w:bidi="en-US"/>
        </w:rPr>
        <w:t>art. 47, inciso II, da Lei n. 14.133, de 2021</w:t>
      </w:r>
      <w:r>
        <w:fldChar w:fldCharType="end"/>
      </w:r>
      <w:r>
        <w:rPr>
          <w:rFonts w:ascii="Liberation Serif" w:hAnsi="Liberation Serif" w:eastAsia="Segoe UI"/>
          <w:i/>
          <w:iCs/>
          <w:color w:val="000000"/>
          <w:sz w:val="24"/>
          <w:lang w:val="en-US" w:eastAsia="en-US" w:bidi="en-US"/>
        </w:rPr>
        <w:t xml:space="preserve">). Devem também ser observadas as regras do </w:t>
      </w:r>
      <w:r>
        <w:fldChar w:fldCharType="begin"/>
      </w:r>
      <w:r>
        <w:instrText xml:space="preserve"> HYPERLINK "http://www.planalto.gov.br/ccivil_03/_ato2019-2022/2021/lei/L14133.htm" \l "art47§1"</w:instrText>
      </w:r>
      <w:r>
        <w:fldChar w:fldCharType="separate"/>
      </w:r>
      <w:r>
        <w:rPr>
          <w:rFonts w:ascii="Liberation Serif" w:hAnsi="Liberation Serif" w:eastAsia="Segoe UI"/>
          <w:i/>
          <w:iCs/>
          <w:color w:val="000000"/>
          <w:sz w:val="24"/>
          <w:lang w:val="en-US" w:eastAsia="en-US" w:bidi="en-US"/>
        </w:rPr>
        <w:t>artigo 47, § 1º, da Lei n. 14.133, de 2021</w:t>
      </w:r>
      <w:r>
        <w:fldChar w:fldCharType="end"/>
      </w:r>
      <w:r>
        <w:rPr>
          <w:rFonts w:ascii="Liberation Serif" w:hAnsi="Liberation Serif" w:eastAsia="Segoe UI"/>
          <w:i/>
          <w:iCs/>
          <w:color w:val="000000"/>
          <w:sz w:val="24"/>
          <w:lang w:val="en-US" w:eastAsia="en-US" w:bidi="en-US"/>
        </w:rPr>
        <w:t>, que trata de aspectos a serem considerados na aplicação do princípio do parcelamento.</w:t>
      </w:r>
    </w:p>
    <w:p>
      <w:r>
        <w:rPr>
          <w:rFonts w:ascii="Liberation Serif" w:hAnsi="Liberation Serif" w:eastAsia="Segoe UI"/>
          <w:b/>
          <w:bCs/>
          <w:i/>
          <w:iCs/>
          <w:color w:val="000000"/>
          <w:sz w:val="24"/>
          <w:lang w:val="en-US" w:eastAsia="en-US" w:bidi="en-US"/>
        </w:rPr>
        <w:t xml:space="preserve">Nota Explicativa 3: </w:t>
      </w:r>
      <w:r>
        <w:rPr>
          <w:rFonts w:ascii="Liberation Serif" w:hAnsi="Liberation Serif" w:eastAsia="Segoe UI"/>
          <w:i/>
          <w:iCs/>
          <w:color w:val="000000"/>
          <w:sz w:val="24"/>
          <w:lang w:val="en-US" w:eastAsia="en-US" w:bidi="en-US"/>
        </w:rPr>
        <w:t xml:space="preserve">Em caso de itens de valor correspondente a até R$ 80.000,00 deve ser garantida a participação exclusiva de Microempresa e Empresa de Pequeno Porte (ME e EPP), conforme </w:t>
      </w:r>
      <w:r>
        <w:fldChar w:fldCharType="begin"/>
      </w:r>
      <w:r>
        <w:instrText xml:space="preserve"> HYPERLINK "http://www.planalto.gov.br/ccivil_03/Leis/LCP/Lcp123.htm" \l "art48"</w:instrText>
      </w:r>
      <w:r>
        <w:fldChar w:fldCharType="separate"/>
      </w:r>
      <w:r>
        <w:rPr>
          <w:rFonts w:ascii="Liberation Serif" w:hAnsi="Liberation Serif" w:eastAsia="Segoe UI"/>
          <w:i/>
          <w:iCs/>
          <w:color w:val="000000"/>
          <w:sz w:val="24"/>
          <w:lang w:val="en-US" w:eastAsia="en-US" w:bidi="en-US"/>
        </w:rPr>
        <w:t>artigo 48, inciso I, da Lei Complementar nº 123, de 14 de dezembro de 2006</w:t>
      </w:r>
      <w:r>
        <w:fldChar w:fldCharType="end"/>
      </w:r>
      <w:r>
        <w:rPr>
          <w:rFonts w:ascii="Liberation Serif" w:hAnsi="Liberation Serif" w:eastAsia="Segoe UI"/>
          <w:i/>
          <w:iCs/>
          <w:color w:val="000000"/>
          <w:sz w:val="24"/>
          <w:lang w:val="en-US" w:eastAsia="en-US" w:bidi="en-US"/>
        </w:rPr>
        <w:t xml:space="preserve">, e </w:t>
      </w:r>
      <w:r>
        <w:fldChar w:fldCharType="begin"/>
      </w:r>
      <w:r>
        <w:instrText xml:space="preserve"> HYPERLINK "http://www.planalto.gov.br/ccivil_03/_Ato2015-2018/2015/Decreto/D8538.htm" \l "art6"</w:instrText>
      </w:r>
      <w:r>
        <w:fldChar w:fldCharType="separate"/>
      </w:r>
      <w:r>
        <w:rPr>
          <w:rFonts w:ascii="Liberation Serif" w:hAnsi="Liberation Serif" w:eastAsia="Segoe UI"/>
          <w:i/>
          <w:iCs/>
          <w:color w:val="000000"/>
          <w:sz w:val="24"/>
          <w:lang w:val="en-US" w:eastAsia="en-US" w:bidi="en-US"/>
        </w:rPr>
        <w:t>artigo 6º do Decreto nº 8.538, de 06 de outubro de 2015).</w:t>
      </w:r>
      <w:r>
        <w:fldChar w:fldCharType="end"/>
      </w:r>
    </w:p>
    <w:p>
      <w:r>
        <w:rPr>
          <w:rFonts w:ascii="Liberation Serif" w:hAnsi="Liberation Serif" w:eastAsia="Segoe UI"/>
          <w:sz w:val="24"/>
          <w:lang w:val="en-US" w:eastAsia="en-US" w:bidi="en-US"/>
        </w:rPr>
      </w:r>
    </w:p>
    <w:p>
      <w:r>
        <w:rPr>
          <w:rFonts w:ascii="Liberation Serif" w:hAnsi="Liberation Serif" w:eastAsia="Segoe UI" w:cs="Arial"/>
          <w:b/>
          <w:i/>
          <w:sz w:val="24"/>
          <w:szCs w:val="20"/>
          <w:lang w:val="en-US" w:eastAsia="en-US" w:bidi="en-US"/>
        </w:rPr>
        <w:t>Nota Explicativa 4:</w:t>
      </w:r>
      <w:r>
        <w:rPr>
          <w:rFonts w:ascii="Liberation Serif" w:hAnsi="Liberation Serif" w:eastAsia="Segoe UI" w:cs="Arial"/>
          <w:sz w:val="24"/>
          <w:szCs w:val="20"/>
          <w:lang w:val="en-US" w:eastAsia="en-US" w:bidi="en-US"/>
        </w:rPr>
        <w:t xml:space="preserve"> A justificativa para o parcelamento ou não do objeto deve constar do Estudo Técnico Preliminar (art. 18, §1º, VIII, da Lei n. 14.133/2021). Os serviços, como regra, devem atender ao parcelamento quando for tecnicamente viável e economicamente vantajoso (art. 47, inciso II, da Lei n. 14.133/2021). Devem também ser observadas as regras do artigo 47, § 1º, da Lei n. 14.133/2021. O Parcelamento, usualmente, não é ponto verificado em contratações diretas, já que estas não são feitas em regime competitivo. No entanto, no caso de se tratar de dispensa de pequeno valor feita pelo sistema de dispensa eletrônica ou qualquer outro caso de dispensa submetida a algum regime competitivo, a análise sobre o parcelamento deverá ocorrer nos moldes acima</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r>
    </w:p>
  </w:comment>
  <w:comment w:id="1"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De acordo com o </w:t>
      </w:r>
      <w:r>
        <w:fldChar w:fldCharType="begin"/>
      </w:r>
      <w:r>
        <w:instrText xml:space="preserve"> HYPERLINK "http://www.planalto.gov.br/ccivil_03/_ato2019-2022/2021/lei/L14133.htm" \l "art6"</w:instrText>
      </w:r>
      <w:r>
        <w:fldChar w:fldCharType="separate"/>
      </w:r>
      <w:r>
        <w:rPr>
          <w:rFonts w:ascii="Liberation Serif" w:hAnsi="Liberation Serif" w:eastAsia="Segoe UI"/>
          <w:i/>
          <w:iCs/>
          <w:color w:val="000000"/>
          <w:sz w:val="24"/>
          <w:lang w:val="en-US" w:eastAsia="en-US" w:bidi="en-US"/>
        </w:rPr>
        <w:t>artigo 6º, inciso XXIII, alínea ‘c’, da Lei nº 14.133, de 2021</w:t>
      </w:r>
      <w:r>
        <w:fldChar w:fldCharType="end"/>
      </w:r>
      <w:r>
        <w:rPr>
          <w:rFonts w:ascii="Liberation Serif" w:hAnsi="Liberation Serif" w:eastAsia="Segoe UI"/>
          <w:i/>
          <w:iCs/>
          <w:color w:val="000000"/>
          <w:sz w:val="24"/>
          <w:lang w:val="en-US" w:eastAsia="en-US" w:bidi="en-US"/>
        </w:rPr>
        <w:t xml:space="preserve">, a fundamentação da contratação é realizada mediante “referência aos estudos técnicos preliminares correspondentes ou, quando não for possível divulgar esses estudos, no extrato das partes que não contiverem informações sigilosas”. A </w:t>
      </w:r>
      <w:hyperlink r:id="rId1">
        <w:r>
          <w:rPr>
            <w:rFonts w:ascii="Liberation Serif" w:hAnsi="Liberation Serif" w:eastAsia="Segoe UI"/>
            <w:i/>
            <w:iCs/>
            <w:color w:val="000000"/>
            <w:sz w:val="24"/>
            <w:lang w:val="en-US" w:eastAsia="en-US" w:bidi="en-US"/>
          </w:rPr>
          <w:t>Instrução Normativa SEGES/ME nº 58, de 8 de agosto de 2022</w:t>
        </w:r>
      </w:hyperlink>
      <w:r>
        <w:rPr>
          <w:rFonts w:ascii="Liberation Serif" w:hAnsi="Liberation Serif" w:eastAsia="Segoe UI"/>
          <w:i/>
          <w:iCs/>
          <w:color w:val="000000"/>
          <w:sz w:val="24"/>
          <w:lang w:val="en-US" w:eastAsia="en-US" w:bidi="en-US"/>
        </w:rPr>
        <w:t xml:space="preserve">, dispõe sobre a “elaboração do ETP, para a aquisição de bens e a contratação de serviços e obras, no âmbito da administração pública federal direta, autárquica e fundacional, e sobre o Sistema ETP digital”. No mesmo sentido é a previsão do </w:t>
      </w:r>
      <w:r>
        <w:fldChar w:fldCharType="begin"/>
      </w:r>
      <w:r>
        <w:instrText xml:space="preserve"> HYPERLINK "https://www.gov.br/compras/pt-br/acesso-a-informacao/legislacao/instrucoes-normativas/instrucao-normativa-seges-me-no-81-de-25-de-novembro-de-2022" \l "art9"</w:instrText>
      </w:r>
      <w:r>
        <w:fldChar w:fldCharType="separate"/>
      </w:r>
      <w:r>
        <w:rPr>
          <w:rFonts w:ascii="Liberation Serif" w:hAnsi="Liberation Serif" w:eastAsia="Segoe UI"/>
          <w:i/>
          <w:iCs/>
          <w:color w:val="000000"/>
          <w:sz w:val="24"/>
          <w:lang w:val="en-US" w:eastAsia="en-US" w:bidi="en-US"/>
        </w:rPr>
        <w:t>art. 9º, inciso II, da Instrução Normativa Seges/ME nº 81, de 2022</w:t>
      </w:r>
      <w:r>
        <w:fldChar w:fldCharType="end"/>
      </w:r>
      <w:r>
        <w:rPr>
          <w:rFonts w:ascii="Liberation Serif" w:hAnsi="Liberation Serif" w:eastAsia="Segoe UI"/>
          <w:i/>
          <w:iCs/>
          <w:color w:val="000000"/>
          <w:sz w:val="24"/>
          <w:lang w:val="en-US" w:eastAsia="en-US" w:bidi="en-US"/>
        </w:rPr>
        <w:t>.</w:t>
      </w:r>
    </w:p>
  </w:comment>
  <w:comment w:id="2"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O </w:t>
      </w:r>
      <w:r>
        <w:fldChar w:fldCharType="begin"/>
      </w:r>
      <w:r>
        <w:instrText xml:space="preserve"> HYPERLINK "http://www.planalto.gov.br/ccivil_03/_ato2019-2022/2021/lei/L14133.htm" \l "art18§1"</w:instrText>
      </w:r>
      <w:r>
        <w:fldChar w:fldCharType="separate"/>
      </w:r>
      <w:r>
        <w:rPr>
          <w:rFonts w:ascii="Liberation Serif" w:hAnsi="Liberation Serif" w:eastAsia="Segoe UI"/>
          <w:i/>
          <w:iCs/>
          <w:color w:val="000000"/>
          <w:sz w:val="24"/>
          <w:lang w:val="en-US" w:eastAsia="en-US" w:bidi="en-US"/>
        </w:rPr>
        <w:t>artigo 18, §1º, da Lei nº 14.133, de 2021</w:t>
      </w:r>
      <w:r>
        <w:fldChar w:fldCharType="end"/>
      </w:r>
      <w:r>
        <w:rPr>
          <w:rFonts w:ascii="Liberation Serif" w:hAnsi="Liberation Serif" w:eastAsia="Segoe UI"/>
          <w:i/>
          <w:iCs/>
          <w:color w:val="000000"/>
          <w:sz w:val="24"/>
          <w:lang w:val="en-US" w:eastAsia="en-US" w:bidi="en-US"/>
        </w:rPr>
        <w:t>, dispõe:</w:t>
      </w:r>
    </w:p>
    <w:p>
      <w:r>
        <w:rPr>
          <w:rFonts w:ascii="Liberation Serif" w:hAnsi="Liberation Serif" w:eastAsia="Segoe UI"/>
          <w:i/>
          <w:iCs/>
          <w:color w:val="000000"/>
          <w:sz w:val="24"/>
          <w:lang w:val="en-US" w:eastAsia="en-US" w:bidi="en-US"/>
        </w:rPr>
        <w:t xml:space="preserve">§ 1º O estudo técnico preliminar a que se refere o inciso I do caput deste artigo deverá evidenciar o problema a ser resolvido e a sua melhor solução, de modo a permitir a avaliação da viabilidade técnica e econômica da contratação, e conterá os seguintes elementos: </w:t>
      </w:r>
    </w:p>
    <w:p>
      <w:r>
        <w:rPr>
          <w:rFonts w:ascii="Liberation Serif" w:hAnsi="Liberation Serif" w:eastAsia="Segoe UI"/>
          <w:i/>
          <w:iCs/>
          <w:color w:val="000000"/>
          <w:sz w:val="24"/>
          <w:lang w:val="en-US" w:eastAsia="en-US" w:bidi="en-US"/>
        </w:rPr>
        <w:t>(...)</w:t>
      </w:r>
    </w:p>
    <w:p>
      <w:r>
        <w:rPr>
          <w:rFonts w:ascii="Liberation Serif" w:hAnsi="Liberation Serif" w:eastAsia="Segoe UI"/>
          <w:i/>
          <w:iCs/>
          <w:color w:val="000000"/>
          <w:sz w:val="24"/>
          <w:lang w:val="en-US" w:eastAsia="en-US" w:bidi="en-US"/>
        </w:rPr>
        <w:t>VII - descrição da solução como um todo, inclusive das exigências relacionadas à manutenção e à assistência técnica, quando for o caso.</w:t>
      </w:r>
    </w:p>
    <w:p>
      <w:r>
        <w:rPr>
          <w:rFonts w:ascii="Liberation Serif" w:hAnsi="Liberation Serif" w:eastAsia="Segoe UI"/>
          <w:i/>
          <w:iCs/>
          <w:color w:val="000000"/>
          <w:sz w:val="24"/>
          <w:lang w:val="en-US" w:eastAsia="en-US" w:bidi="en-US"/>
        </w:rPr>
        <w:t xml:space="preserve">Ver também </w:t>
      </w:r>
      <w:hyperlink r:id="rId2">
        <w:r>
          <w:rPr>
            <w:rFonts w:ascii="Liberation Serif" w:hAnsi="Liberation Serif" w:eastAsia="Segoe UI"/>
            <w:i/>
            <w:iCs/>
            <w:color w:val="000000"/>
            <w:sz w:val="24"/>
            <w:lang w:val="en-US" w:eastAsia="en-US" w:bidi="en-US"/>
          </w:rPr>
          <w:t>Instrução Normativa SEGES/ME nº 58, de 08 de agosto de 2022</w:t>
        </w:r>
      </w:hyperlink>
      <w:r>
        <w:rPr>
          <w:rFonts w:ascii="Liberation Serif" w:hAnsi="Liberation Serif" w:eastAsia="Segoe UI"/>
          <w:i/>
          <w:iCs/>
          <w:color w:val="000000"/>
          <w:sz w:val="24"/>
          <w:lang w:val="en-US" w:eastAsia="en-US" w:bidi="en-US"/>
        </w:rPr>
        <w:t xml:space="preserve"> (ETP), art. 3º, inciso I e art. 6º.</w:t>
      </w:r>
    </w:p>
    <w:p>
      <w:r>
        <w:rPr>
          <w:rFonts w:ascii="Liberation Serif" w:hAnsi="Liberation Serif" w:eastAsia="Segoe UI"/>
          <w:i/>
          <w:iCs/>
          <w:color w:val="000000"/>
          <w:sz w:val="24"/>
          <w:lang w:val="en-US" w:eastAsia="en-US" w:bidi="en-US"/>
        </w:rPr>
        <w:t xml:space="preserve">Caso haja a necessidade de modificação da descrição em relação à originalmente feita nos estudos </w:t>
      </w:r>
      <w:r>
        <w:rPr>
          <w:rFonts w:ascii="Liberation Serif" w:hAnsi="Liberation Serif" w:eastAsia="Segoe UI"/>
          <w:i/>
          <w:iCs/>
          <w:sz w:val="24"/>
          <w:lang w:val="en-US" w:eastAsia="en-US" w:bidi="en-US"/>
        </w:rPr>
        <w:t>técnicos preliminares, recomenda-se ajustar a redação do dispositivo acima, para que passe a contemplar essa alteração.</w:t>
      </w:r>
    </w:p>
    <w:p>
      <w:r>
        <w:rPr>
          <w:rFonts w:ascii="Liberation Serif" w:hAnsi="Liberation Serif" w:eastAsia="Segoe UI"/>
          <w:i/>
          <w:iCs/>
          <w:color w:val="000000"/>
          <w:sz w:val="24"/>
          <w:lang w:val="en-US" w:eastAsia="en-US" w:bidi="en-US"/>
        </w:rPr>
        <w:t xml:space="preserve">A </w:t>
      </w:r>
      <w:hyperlink r:id="rId3">
        <w:r>
          <w:rPr>
            <w:rFonts w:ascii="Liberation Serif" w:hAnsi="Liberation Serif" w:eastAsia="Segoe UI"/>
            <w:i/>
            <w:iCs/>
            <w:color w:val="000000"/>
            <w:sz w:val="24"/>
            <w:lang w:val="en-US" w:eastAsia="en-US" w:bidi="en-US"/>
          </w:rPr>
          <w:t>Instrução Normativa Seges/ME nº 81, de 2022</w:t>
        </w:r>
      </w:hyperlink>
      <w:r>
        <w:rPr>
          <w:rFonts w:ascii="Liberation Serif" w:hAnsi="Liberation Serif" w:eastAsia="Segoe UI"/>
          <w:i/>
          <w:iCs/>
          <w:color w:val="000000"/>
          <w:sz w:val="24"/>
          <w:lang w:val="en-US" w:eastAsia="en-US" w:bidi="en-US"/>
        </w:rPr>
        <w:t>, também trata da necessidade de descrição da solução como um todo, considerado todo o ciclo de vida do objeto, com preferência a arranjos inovadores em sede de economia circular, conforme seu artigo 9º, inciso III. Tal orientação deve ser adotada naquilo em que compatível com a contratação de serviços.</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A </w:t>
      </w:r>
      <w:hyperlink r:id="rId4">
        <w:r>
          <w:rPr>
            <w:rFonts w:ascii="Liberation Serif" w:hAnsi="Liberation Serif" w:eastAsia="Segoe UI"/>
            <w:i/>
            <w:iCs/>
            <w:color w:val="000000"/>
            <w:sz w:val="24"/>
            <w:lang w:val="en-US" w:eastAsia="en-US" w:bidi="en-US"/>
          </w:rPr>
          <w:t>Instrução Normativa SEGES/ME nº 73, de 30 de setembro de 2022</w:t>
        </w:r>
      </w:hyperlink>
      <w:r>
        <w:rPr>
          <w:rFonts w:ascii="Liberation Serif" w:hAnsi="Liberation Serif" w:eastAsia="Segoe UI"/>
          <w:i/>
          <w:iCs/>
          <w:color w:val="000000"/>
          <w:sz w:val="24"/>
          <w:lang w:val="en-US" w:eastAsia="en-US" w:bidi="en-US"/>
        </w:rPr>
        <w:t xml:space="preserve">, em seu art. 9º, §1º, estabelece que os custos indiretos, relacionados às despesas de manutenção, utilização, reposição, depreciação e impacto ambiental, entre outros fatores vinculados ao seu ciclo de vida, poderão ser considerados para a definição do menor dispêndio, sempre que objetivamente mensuráveis, conforme parâmetros definidos em regulamento, de acordo com o </w:t>
      </w:r>
      <w:r>
        <w:fldChar w:fldCharType="begin"/>
      </w:r>
      <w:r>
        <w:instrText xml:space="preserve"> HYPERLINK "http://www.planalto.gov.br/ccivil_03/_ato2019-2022/2021/lei/L14133.htm" \l "art34§1"</w:instrText>
      </w:r>
      <w:r>
        <w:fldChar w:fldCharType="separate"/>
      </w:r>
      <w:r>
        <w:rPr>
          <w:rFonts w:ascii="Liberation Serif" w:hAnsi="Liberation Serif" w:eastAsia="Segoe UI"/>
          <w:i/>
          <w:iCs/>
          <w:color w:val="000000"/>
          <w:sz w:val="24"/>
          <w:lang w:val="en-US" w:eastAsia="en-US" w:bidi="en-US"/>
        </w:rPr>
        <w:t>§ 1º do art. 34 da Lei nº 14.133, de 2021</w:t>
      </w:r>
      <w:r>
        <w:fldChar w:fldCharType="end"/>
      </w:r>
      <w:r>
        <w:rPr>
          <w:rFonts w:ascii="Liberation Serif" w:hAnsi="Liberation Serif" w:eastAsia="Segoe UI"/>
          <w:i/>
          <w:iCs/>
          <w:color w:val="000000"/>
          <w:sz w:val="24"/>
          <w:lang w:val="en-US" w:eastAsia="en-US" w:bidi="en-US"/>
        </w:rPr>
        <w:t>. Logo, a definição do menor dispêndio para Administração deve levar em consideração esse aspecto.</w:t>
      </w:r>
    </w:p>
    <w:p>
      <w:r>
        <w:rPr>
          <w:rFonts w:ascii="Liberation Serif" w:hAnsi="Liberation Serif" w:eastAsia="Segoe UI"/>
          <w:b/>
          <w:bCs/>
          <w:i/>
          <w:iCs/>
          <w:color w:val="000000"/>
          <w:sz w:val="24"/>
          <w:lang w:val="en-US" w:eastAsia="en-US" w:bidi="en-US"/>
        </w:rPr>
        <w:t>Nota Explicativa 3:</w:t>
      </w:r>
      <w:r>
        <w:rPr>
          <w:rFonts w:ascii="Liberation Serif" w:hAnsi="Liberation Serif" w:eastAsia="Segoe UI"/>
          <w:i/>
          <w:iCs/>
          <w:color w:val="000000"/>
          <w:sz w:val="24"/>
          <w:lang w:val="en-US" w:eastAsia="en-US" w:bidi="en-US"/>
        </w:rPr>
        <w:t xml:space="preserve"> O objeto deve ser descrito de forma detalhada, com todas as especificações necessárias e suficientes para garantir a qualidade da contratação, cuidando-se para que não sejam admitidas, previstas ou incluídas condições impertinentes ou irrelevantes para o específico objeto do contrato. Deve-se levar em consideração as normas técnicas eventualmente existentes, elaboradas pela Associação Brasileira de Normas Técnicas – ABNT, quanto a requisitos mínimos de qualidade, utilidade, resistência e segurança, nos termos da </w:t>
      </w:r>
      <w:r>
        <w:fldChar w:fldCharType="begin"/>
      </w:r>
      <w:r>
        <w:instrText xml:space="preserve"> HYPERLINK "https://www.planalto.gov.br/ccivil_03/leis/1950-1969/L4150.htm" \l ":~:text=LEI Nº 4.150%2C DE 21,Técnicas e dá outras providências."</w:instrText>
      </w:r>
      <w:r>
        <w:fldChar w:fldCharType="separate"/>
      </w:r>
      <w:r>
        <w:rPr>
          <w:rFonts w:ascii="Liberation Serif" w:hAnsi="Liberation Serif" w:eastAsia="Segoe UI"/>
          <w:i/>
          <w:iCs/>
          <w:color w:val="000000"/>
          <w:sz w:val="24"/>
          <w:lang w:val="en-US" w:eastAsia="en-US" w:bidi="en-US"/>
        </w:rPr>
        <w:t>Lei n° 4.150, de 21 de novembro de 1962</w:t>
      </w:r>
      <w:r>
        <w:fldChar w:fldCharType="end"/>
      </w:r>
      <w:r>
        <w:rPr>
          <w:rFonts w:ascii="Liberation Serif" w:hAnsi="Liberation Serif" w:eastAsia="Segoe UI"/>
          <w:i/>
          <w:iCs/>
          <w:color w:val="000000"/>
          <w:sz w:val="24"/>
          <w:lang w:val="en-US" w:eastAsia="en-US" w:bidi="en-US"/>
        </w:rPr>
        <w:t>.</w:t>
      </w:r>
    </w:p>
    <w:p>
      <w:r>
        <w:rPr>
          <w:rFonts w:ascii="Liberation Serif" w:hAnsi="Liberation Serif" w:eastAsia="Segoe UI"/>
          <w:b/>
          <w:bCs/>
          <w:i/>
          <w:iCs/>
          <w:color w:val="000000"/>
          <w:sz w:val="24"/>
          <w:lang w:val="en-US" w:eastAsia="en-US" w:bidi="en-US"/>
        </w:rPr>
        <w:t xml:space="preserve">Nota Explicativa 4: </w:t>
      </w:r>
      <w:r>
        <w:rPr>
          <w:rFonts w:ascii="Liberation Serif" w:hAnsi="Liberation Serif" w:eastAsia="Segoe UI"/>
          <w:i/>
          <w:iCs/>
          <w:color w:val="000000"/>
          <w:sz w:val="24"/>
          <w:lang w:val="en-US" w:eastAsia="en-US" w:bidi="en-US"/>
        </w:rPr>
        <w:t xml:space="preserve">O </w:t>
      </w:r>
      <w:r>
        <w:fldChar w:fldCharType="begin"/>
      </w:r>
      <w:r>
        <w:instrText xml:space="preserve"> HYPERLINK "http://www.planalto.gov.br/ccivil_03/_ato2019-2022/2021/lei/L14133.htm" \l "art6"</w:instrText>
      </w:r>
      <w:r>
        <w:fldChar w:fldCharType="separate"/>
      </w:r>
      <w:r>
        <w:rPr>
          <w:rFonts w:ascii="Liberation Serif" w:hAnsi="Liberation Serif" w:eastAsia="Segoe UI"/>
          <w:i/>
          <w:iCs/>
          <w:color w:val="000000"/>
          <w:sz w:val="24"/>
          <w:lang w:val="en-US" w:eastAsia="en-US" w:bidi="en-US"/>
        </w:rPr>
        <w:t>art. 6º, XXIII, “c”, da Lei nº 14.133, de 2021</w:t>
      </w:r>
      <w:r>
        <w:fldChar w:fldCharType="end"/>
      </w:r>
      <w:r>
        <w:rPr>
          <w:rFonts w:ascii="Liberation Serif" w:hAnsi="Liberation Serif" w:eastAsia="Segoe UI"/>
          <w:i/>
          <w:iCs/>
          <w:color w:val="000000"/>
          <w:sz w:val="24"/>
          <w:lang w:val="en-US" w:eastAsia="en-US" w:bidi="en-US"/>
        </w:rPr>
        <w:t xml:space="preserve">, e o </w:t>
      </w:r>
      <w:hyperlink r:id="rId5">
        <w:r>
          <w:rPr>
            <w:rFonts w:ascii="Liberation Serif" w:hAnsi="Liberation Serif" w:eastAsia="Segoe UI"/>
            <w:i/>
            <w:iCs/>
            <w:color w:val="000000"/>
            <w:sz w:val="24"/>
            <w:lang w:val="en-US" w:eastAsia="en-US" w:bidi="en-US"/>
          </w:rPr>
          <w:t>art. 9º, IIII, da Instrução Normativa Seges/ME nº 81, de 2022</w:t>
        </w:r>
      </w:hyperlink>
      <w:r>
        <w:rPr>
          <w:rFonts w:ascii="Liberation Serif" w:hAnsi="Liberation Serif" w:eastAsia="Segoe UI"/>
          <w:i/>
          <w:iCs/>
          <w:color w:val="000000"/>
          <w:sz w:val="24"/>
          <w:lang w:val="en-US" w:eastAsia="en-US" w:bidi="en-US"/>
        </w:rPr>
        <w:t>, dispõem que a descrição da solução como um todo deve considerar todo o ciclo de vida do objeto. “Ciclo de Vida” é definido no art. 3º da Lei nº 12.305, de 02 de agosto de 2010, como sendo “série de etapas que envolvem o desenvolvimento do 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 ou mais durável) até a destinação final. Reitere-se: se a descrição contida no ETP não contiver esse ponto, deve ser complementada neste TR. A preocupação com o ciclo de vida é mais comum para bens, porém, não se afasta, em princípio, analisar eventual cabimento desse aspecto no planejamento do serviço que envolver o emprego de bens, como ocorre em manutenção de veículos ou elevadores, por exemplo.</w:t>
      </w:r>
    </w:p>
    <w:p>
      <w:r>
        <w:rPr>
          <w:rFonts w:ascii="Liberation Serif" w:hAnsi="Liberation Serif" w:eastAsia="Segoe UI"/>
          <w:b/>
          <w:bCs/>
          <w:i/>
          <w:iCs/>
          <w:color w:val="000000"/>
          <w:sz w:val="24"/>
          <w:lang w:val="en-US" w:eastAsia="en-US" w:bidi="en-US"/>
        </w:rPr>
        <w:t>Nota Explicativa 5:</w:t>
      </w:r>
      <w:r>
        <w:rPr>
          <w:rFonts w:ascii="Liberation Serif" w:hAnsi="Liberation Serif" w:eastAsia="Segoe UI"/>
          <w:i/>
          <w:iCs/>
          <w:color w:val="000000"/>
          <w:sz w:val="24"/>
          <w:lang w:val="en-US" w:eastAsia="en-US" w:bidi="en-US"/>
        </w:rPr>
        <w:t xml:space="preserve"> O </w:t>
      </w:r>
      <w:r>
        <w:fldChar w:fldCharType="begin"/>
      </w:r>
      <w:r>
        <w:instrText xml:space="preserve"> HYPERLINK "http://www.planalto.gov.br/ccivil_03/_ato2019-2022/2021/lei/L14133.htm" \l "art47"</w:instrText>
      </w:r>
      <w:r>
        <w:fldChar w:fldCharType="separate"/>
      </w:r>
      <w:r>
        <w:rPr>
          <w:rFonts w:ascii="Liberation Serif" w:hAnsi="Liberation Serif" w:eastAsia="Segoe UI"/>
          <w:i/>
          <w:iCs/>
          <w:color w:val="000000"/>
          <w:sz w:val="24"/>
          <w:lang w:val="en-US" w:eastAsia="en-US" w:bidi="en-US"/>
        </w:rPr>
        <w:t>art. 47, I, da Lei nº 14.133, de 2021,</w:t>
      </w:r>
      <w:r>
        <w:fldChar w:fldCharType="end"/>
      </w:r>
      <w:r>
        <w:rPr>
          <w:rFonts w:ascii="Liberation Serif" w:hAnsi="Liberation Serif" w:eastAsia="Segoe UI"/>
          <w:i/>
          <w:iCs/>
          <w:color w:val="000000"/>
          <w:sz w:val="24"/>
          <w:lang w:val="en-US" w:eastAsia="en-US" w:bidi="en-US"/>
        </w:rPr>
        <w:t xml:space="preserve"> e o </w:t>
      </w:r>
      <w:hyperlink r:id="rId6">
        <w:r>
          <w:rPr>
            <w:rFonts w:ascii="Liberation Serif" w:hAnsi="Liberation Serif" w:eastAsia="Segoe UI"/>
            <w:i/>
            <w:iCs/>
            <w:color w:val="000000"/>
            <w:sz w:val="24"/>
            <w:lang w:val="en-US" w:eastAsia="en-US" w:bidi="en-US"/>
          </w:rPr>
          <w:t>art. 9º, inciso I, alínea b, da Instrução Normativa Seges/ME nº 81, de 2022</w:t>
        </w:r>
      </w:hyperlink>
      <w:r>
        <w:rPr>
          <w:rFonts w:ascii="Liberation Serif" w:hAnsi="Liberation Serif" w:eastAsia="Segoe UI"/>
          <w:i/>
          <w:iCs/>
          <w:color w:val="000000"/>
          <w:sz w:val="24"/>
          <w:lang w:val="en-US" w:eastAsia="en-US" w:bidi="en-US"/>
        </w:rPr>
        <w:t xml:space="preserve">, estabelece que deve ser feita a especificação do produto/bem/serviço, preferencialmente conforme catálogo eletrônico de padronização, observados os requisitos de qualidade, rendimento, durabilidade e segurança considerada a compatibilidade de especificações estéticas, técnicas ou de desempenho. A </w:t>
      </w:r>
      <w:hyperlink r:id="rId7">
        <w:r>
          <w:rPr>
            <w:rFonts w:ascii="Liberation Serif" w:hAnsi="Liberation Serif" w:eastAsia="Segoe UI"/>
            <w:i/>
            <w:iCs/>
            <w:color w:val="000000"/>
            <w:sz w:val="24"/>
            <w:lang w:val="en-US" w:eastAsia="en-US" w:bidi="en-US"/>
          </w:rPr>
          <w:t>Portaria SEGES/ME nº 938, de 02 de fevereiro de 2022</w:t>
        </w:r>
      </w:hyperlink>
      <w:r>
        <w:rPr>
          <w:rFonts w:ascii="Liberation Serif" w:hAnsi="Liberation Serif" w:eastAsia="Segoe UI"/>
          <w:i/>
          <w:iCs/>
          <w:color w:val="000000"/>
          <w:sz w:val="24"/>
          <w:lang w:val="en-US" w:eastAsia="en-US" w:bidi="en-US"/>
        </w:rPr>
        <w:t xml:space="preserve">, instituiu o catálogo eletrônico de padronização, o qual deverá ser consultado para verificar se a contratação almejada está contemplada em seus termos. quando das </w:t>
      </w:r>
      <w:r>
        <w:rPr>
          <w:rFonts w:ascii="Liberation Serif" w:hAnsi="Liberation Serif" w:eastAsia="Segoe UI"/>
          <w:sz w:val="24"/>
          <w:lang w:val="en-US" w:eastAsia="en-US" w:bidi="en-US"/>
        </w:rPr>
        <w:t>contratações</w:t>
      </w:r>
      <w:r>
        <w:rPr>
          <w:rFonts w:ascii="Liberation Serif" w:hAnsi="Liberation Serif" w:eastAsia="Segoe UI"/>
          <w:i/>
          <w:iCs/>
          <w:color w:val="000000"/>
          <w:sz w:val="24"/>
          <w:lang w:val="en-US" w:eastAsia="en-US" w:bidi="en-US"/>
        </w:rPr>
        <w:t xml:space="preserve"> cujo critério de julgamento seja o de menor preço ou o de maior desconto, bem como nas contratações diretas de que tratam os </w:t>
      </w:r>
      <w:r>
        <w:fldChar w:fldCharType="begin"/>
      </w:r>
      <w:r>
        <w:instrText xml:space="preserve"> HYPERLINK "http://www.planalto.gov.br/ccivil_03/_ato2019-2022/2021/lei/L14133.htm" \l "art74"</w:instrText>
      </w:r>
      <w:r>
        <w:fldChar w:fldCharType="separate"/>
      </w:r>
      <w:r>
        <w:rPr>
          <w:rFonts w:ascii="Liberation Serif" w:hAnsi="Liberation Serif" w:eastAsia="Segoe UI"/>
          <w:i/>
          <w:iCs/>
          <w:color w:val="000000"/>
          <w:sz w:val="24"/>
          <w:lang w:val="en-US" w:eastAsia="en-US" w:bidi="en-US"/>
        </w:rPr>
        <w:t>incisos I do art. 74 e os incisos I e II do art. 75 da Lei nº 14.133, de 2021</w:t>
      </w:r>
      <w:r>
        <w:fldChar w:fldCharType="end"/>
      </w:r>
      <w:r>
        <w:rPr>
          <w:rFonts w:ascii="Liberation Serif" w:hAnsi="Liberation Serif" w:eastAsia="Segoe UI"/>
          <w:i/>
          <w:iCs/>
          <w:color w:val="000000"/>
          <w:sz w:val="24"/>
          <w:lang w:val="en-US" w:eastAsia="en-US" w:bidi="en-US"/>
        </w:rPr>
        <w:t>. Em existindo padronização aprovada, ela deve ser considerada e eventual não-uso justificado nos autos.</w:t>
      </w:r>
    </w:p>
    <w:p>
      <w:r>
        <w:rPr>
          <w:rFonts w:ascii="Liberation Serif" w:hAnsi="Liberation Serif" w:eastAsia="Segoe UI"/>
          <w:b/>
          <w:bCs/>
          <w:i/>
          <w:iCs/>
          <w:color w:val="000000"/>
          <w:sz w:val="24"/>
          <w:lang w:val="en-US" w:eastAsia="en-US" w:bidi="en-US"/>
        </w:rPr>
        <w:t>Nota Explicativa 6:</w:t>
      </w:r>
      <w:r>
        <w:rPr>
          <w:rFonts w:ascii="Liberation Serif" w:hAnsi="Liberation Serif" w:eastAsia="Segoe UI"/>
          <w:i/>
          <w:iCs/>
          <w:color w:val="000000"/>
          <w:sz w:val="24"/>
          <w:lang w:val="en-US" w:eastAsia="en-US" w:bidi="en-US"/>
        </w:rPr>
        <w:t xml:space="preserve"> O </w:t>
      </w:r>
      <w:r>
        <w:fldChar w:fldCharType="begin"/>
      </w:r>
      <w:r>
        <w:instrText xml:space="preserve"> HYPERLINK "http://www.planalto.gov.br/ccivil_03/_ato2019-2022/2021/lei/L14133.htm" \l "art6"</w:instrText>
      </w:r>
      <w:r>
        <w:fldChar w:fldCharType="separate"/>
      </w:r>
      <w:r>
        <w:rPr>
          <w:rFonts w:ascii="Liberation Serif" w:hAnsi="Liberation Serif" w:eastAsia="Segoe UI"/>
          <w:i/>
          <w:iCs/>
          <w:color w:val="000000"/>
          <w:sz w:val="24"/>
          <w:lang w:val="en-US" w:eastAsia="en-US" w:bidi="en-US"/>
        </w:rPr>
        <w:t>art. 6º, XXIII, “c”, da Lei nº 14.133, de 2021</w:t>
      </w:r>
      <w:r>
        <w:fldChar w:fldCharType="end"/>
      </w:r>
      <w:r>
        <w:rPr>
          <w:rFonts w:ascii="Liberation Serif" w:hAnsi="Liberation Serif" w:eastAsia="Segoe UI"/>
          <w:i/>
          <w:iCs/>
          <w:color w:val="000000"/>
          <w:sz w:val="24"/>
          <w:lang w:val="en-US" w:eastAsia="en-US" w:bidi="en-US"/>
        </w:rPr>
        <w:t xml:space="preserve">, e o </w:t>
      </w:r>
      <w:r>
        <w:fldChar w:fldCharType="begin"/>
      </w:r>
      <w:r>
        <w:instrText xml:space="preserve"> HYPERLINK "https://www.gov.br/compras/pt-br/acesso-a-informacao/legislacao/instrucoes-normativas/instrucao-normativa-seges-me-no-81-de-25-de-novembro-de-2022" \l "art9"</w:instrText>
      </w:r>
      <w:r>
        <w:fldChar w:fldCharType="separate"/>
      </w:r>
      <w:r>
        <w:rPr>
          <w:rFonts w:ascii="Liberation Serif" w:hAnsi="Liberation Serif" w:eastAsia="Segoe UI"/>
          <w:i/>
          <w:iCs/>
          <w:color w:val="000000"/>
          <w:sz w:val="24"/>
          <w:lang w:val="en-US" w:eastAsia="en-US" w:bidi="en-US"/>
        </w:rPr>
        <w:t>art. 9º, IIII, da Instrução Normativa Seges/ME nº 81, de 2022</w:t>
      </w:r>
      <w:r>
        <w:fldChar w:fldCharType="end"/>
      </w:r>
      <w:r>
        <w:rPr>
          <w:rFonts w:ascii="Liberation Serif" w:hAnsi="Liberation Serif" w:eastAsia="Segoe UI"/>
          <w:i/>
          <w:iCs/>
          <w:color w:val="000000"/>
          <w:sz w:val="24"/>
          <w:lang w:val="en-US" w:eastAsia="en-US" w:bidi="en-US"/>
        </w:rPr>
        <w:t>, dispõem que a descrição da solução como um todo deve considerar todo o ciclo de vida do objeto. “Ciclo de Vida” é definido no art. 3º da Lei nº 12.305, de 2010 como sendo “série de etapas que envolvem o desenvolvimento do 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 ou mais durável) até a destinação final. Reitere-se: se a descrição contida no ETP não contiver esse ponto, deve ser complementada neste documento. A preocupação com o ciclo de vida é mais comum para bens, porém, não se afasta, em princípio, analisar eventual cabimento desse aspecto no planejamento do serviço, principalmente em serviços que envolvam fornecimento de bens e materiais.</w:t>
      </w:r>
    </w:p>
    <w:p>
      <w:r>
        <w:rPr>
          <w:rFonts w:ascii="Liberation Serif" w:hAnsi="Liberation Serif" w:eastAsia="Segoe UI"/>
          <w:b/>
          <w:bCs/>
          <w:i/>
          <w:iCs/>
          <w:color w:val="000000"/>
          <w:sz w:val="24"/>
          <w:lang w:val="en-US" w:eastAsia="en-US" w:bidi="en-US"/>
        </w:rPr>
        <w:t>Nota Explicativa 7:</w:t>
      </w:r>
      <w:r>
        <w:rPr>
          <w:rFonts w:ascii="Liberation Serif" w:hAnsi="Liberation Serif" w:eastAsia="Segoe UI"/>
          <w:i/>
          <w:iCs/>
          <w:color w:val="000000"/>
          <w:sz w:val="24"/>
          <w:lang w:val="en-US" w:eastAsia="en-US" w:bidi="en-US"/>
        </w:rPr>
        <w:t xml:space="preserve"> Em havendo elementos de sustentabilidade (fornecimento em material reciclável ou com madeira de reflorestamento etc.) inerentes ao objeto contratual, estes devem estar na solução como um todo de modo específico e concreto, evitando-se descrições genéricas, de difícil aferição e controle. Recomenda-se destacar em tópicos específicos da descrição do objeto seus elementos atinentes a aspectos de sustentabilidade. Sugere-se consultar o </w:t>
      </w:r>
      <w:hyperlink r:id="rId8">
        <w:r>
          <w:rPr>
            <w:rFonts w:ascii="Liberation Serif" w:hAnsi="Liberation Serif" w:eastAsia="Segoe UI"/>
            <w:i/>
            <w:iCs/>
            <w:color w:val="000000"/>
            <w:sz w:val="24"/>
            <w:lang w:val="en-US" w:eastAsia="en-US" w:bidi="en-US"/>
          </w:rPr>
          <w:t>Guia Nacional de Contratações Sustentáveis da AGU</w:t>
        </w:r>
      </w:hyperlink>
      <w:r>
        <w:rPr>
          <w:rFonts w:ascii="Liberation Serif" w:hAnsi="Liberation Serif" w:eastAsia="Segoe UI"/>
          <w:i/>
          <w:iCs/>
          <w:color w:val="000000"/>
          <w:sz w:val="24"/>
          <w:lang w:val="en-US" w:eastAsia="en-US" w:bidi="en-US"/>
        </w:rPr>
        <w:t xml:space="preserve"> para tal fim. Caso o Estudo Técnico Preliminar seja silente ou insuficiente a esse respeito, recomenda-se abrir tópico específico nesta seção sobre a matéria.</w:t>
      </w:r>
    </w:p>
    <w:p>
      <w:r>
        <w:rPr>
          <w:rFonts w:ascii="Liberation Serif" w:hAnsi="Liberation Serif" w:eastAsia="Segoe UI"/>
          <w:i/>
          <w:iCs/>
          <w:color w:val="000000"/>
          <w:sz w:val="24"/>
          <w:lang w:val="en-US" w:eastAsia="en-US" w:bidi="en-US"/>
        </w:rPr>
        <w:t>Vale registrar que a sustentabilidade pode incidir a partir de características do próprio objeto a ser contratado como também de outros modos, compilados no tópico “requisitos da contratação” deste TR.</w:t>
      </w:r>
    </w:p>
  </w:comment>
  <w:comment w:id="3"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 xml:space="preserve">Os requisitos da contratação deverão ser registrados nos Sistemas TR DIGITAL e ETP DIGITAL, nos </w:t>
      </w:r>
      <w:r>
        <w:rPr>
          <w:rFonts w:ascii="Liberation Serif" w:hAnsi="Liberation Serif" w:eastAsia="Segoe UI"/>
          <w:i/>
          <w:iCs/>
          <w:sz w:val="24"/>
          <w:lang w:val="en-US" w:eastAsia="en-US" w:bidi="en-US"/>
        </w:rPr>
        <w:t xml:space="preserve">termos do </w:t>
      </w:r>
      <w:hyperlink r:id="rId9">
        <w:r>
          <w:rPr>
            <w:rFonts w:ascii="Liberation Serif" w:hAnsi="Liberation Serif" w:eastAsia="Segoe UI"/>
            <w:i/>
            <w:iCs/>
            <w:sz w:val="24"/>
            <w:lang w:val="en-US" w:eastAsia="en-US" w:bidi="en-US"/>
          </w:rPr>
          <w:t>art. 9º, inciso IV da IN Seges/ME nº 81, de 2022</w:t>
        </w:r>
      </w:hyperlink>
      <w:r>
        <w:rPr>
          <w:rFonts w:ascii="Liberation Serif" w:hAnsi="Liberation Serif" w:eastAsia="Segoe UI"/>
          <w:i/>
          <w:iCs/>
          <w:sz w:val="24"/>
          <w:lang w:val="en-US" w:eastAsia="en-US" w:bidi="en-US"/>
        </w:rPr>
        <w:t xml:space="preserve"> </w:t>
      </w:r>
      <w:r>
        <w:rPr>
          <w:rFonts w:ascii="Liberation Serif" w:hAnsi="Liberation Serif" w:eastAsia="Segoe UI"/>
          <w:i/>
          <w:iCs/>
          <w:color w:val="000000"/>
          <w:sz w:val="24"/>
          <w:lang w:val="en-US" w:eastAsia="en-US" w:bidi="en-US"/>
        </w:rPr>
        <w:t xml:space="preserve">e </w:t>
      </w:r>
      <w:hyperlink r:id="rId10">
        <w:r>
          <w:rPr>
            <w:rFonts w:ascii="Liberation Serif" w:hAnsi="Liberation Serif" w:eastAsia="Segoe UI"/>
            <w:i/>
            <w:iCs/>
            <w:color w:val="000000"/>
            <w:sz w:val="24"/>
            <w:lang w:val="en-US" w:eastAsia="en-US" w:bidi="en-US"/>
          </w:rPr>
          <w:t>art. 9º, II, da Instrução Normativa Seges/ME nº 58, de 2022.</w:t>
        </w:r>
      </w:hyperlink>
    </w:p>
    <w:p>
      <w:r>
        <w:rPr>
          <w:rFonts w:ascii="Liberation Serif" w:hAnsi="Liberation Serif" w:eastAsia="Segoe UI"/>
          <w:b/>
          <w:bCs/>
          <w:i/>
          <w:iCs/>
          <w:color w:val="000000"/>
          <w:sz w:val="24"/>
          <w:lang w:val="en-US" w:eastAsia="en-US" w:bidi="en-US"/>
        </w:rPr>
        <w:t xml:space="preserve">Nota Explicativa 2: </w:t>
      </w:r>
      <w:r>
        <w:rPr>
          <w:rFonts w:ascii="Liberation Serif" w:hAnsi="Liberation Serif" w:eastAsia="Segoe UI"/>
          <w:i/>
          <w:iCs/>
          <w:color w:val="000000"/>
          <w:sz w:val="24"/>
          <w:lang w:val="en-US" w:eastAsia="en-US" w:bidi="en-US"/>
        </w:rPr>
        <w:t>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deste TR (CRITÉRIOS DE SELEÇÃO DO FORNECEDOR) de modo que sua inclusão aqui seria redundante.</w:t>
      </w:r>
    </w:p>
  </w:comment>
  <w:comment w:id="4"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 xml:space="preserve">O Termo de Referência e os Estudos Técnicos Preliminares deverão estar alinhados com o Plano Diretor de </w:t>
      </w:r>
      <w:r>
        <w:rPr>
          <w:rFonts w:ascii="Liberation Serif" w:hAnsi="Liberation Serif" w:eastAsia="Segoe UI"/>
          <w:i/>
          <w:iCs/>
          <w:sz w:val="24"/>
          <w:lang w:val="en-US" w:eastAsia="en-US" w:bidi="en-US"/>
        </w:rPr>
        <w:t>Logística Sustentável, Plano de Contratações Anual, além de outros instrumentos de planejamento da Administração,</w:t>
      </w:r>
      <w:r>
        <w:rPr>
          <w:rFonts w:ascii="Liberation Serif" w:hAnsi="Liberation Serif" w:eastAsia="Segoe UI"/>
          <w:b/>
          <w:bCs/>
          <w:i/>
          <w:iCs/>
          <w:sz w:val="24"/>
          <w:lang w:val="en-US" w:eastAsia="en-US" w:bidi="en-US"/>
        </w:rPr>
        <w:t xml:space="preserve"> </w:t>
      </w:r>
      <w:r>
        <w:rPr>
          <w:rFonts w:ascii="Liberation Serif" w:hAnsi="Liberation Serif" w:eastAsia="Segoe UI"/>
          <w:i/>
          <w:iCs/>
          <w:sz w:val="24"/>
          <w:lang w:val="en-US" w:eastAsia="en-US" w:bidi="en-US"/>
        </w:rPr>
        <w:t xml:space="preserve">de acordo com o </w:t>
      </w:r>
      <w:hyperlink r:id="rId11">
        <w:r>
          <w:rPr>
            <w:rFonts w:ascii="Liberation Serif" w:hAnsi="Liberation Serif" w:eastAsia="Segoe UI"/>
            <w:i/>
            <w:iCs/>
            <w:sz w:val="24"/>
            <w:lang w:val="en-US" w:eastAsia="en-US" w:bidi="en-US"/>
          </w:rPr>
          <w:t>art. 7º da IN Seges/ME nº 81, de 2022</w:t>
        </w:r>
      </w:hyperlink>
      <w:r>
        <w:rPr>
          <w:rFonts w:ascii="Liberation Serif" w:hAnsi="Liberation Serif" w:eastAsia="Segoe UI"/>
          <w:i/>
          <w:iCs/>
          <w:sz w:val="24"/>
          <w:lang w:val="en-US" w:eastAsia="en-US" w:bidi="en-US"/>
        </w:rPr>
        <w:t xml:space="preserve">, e </w:t>
      </w:r>
      <w:hyperlink r:id="rId12">
        <w:r>
          <w:rPr>
            <w:rFonts w:ascii="Liberation Serif" w:hAnsi="Liberation Serif" w:eastAsia="Segoe UI"/>
            <w:i/>
            <w:iCs/>
            <w:sz w:val="24"/>
            <w:lang w:val="en-US" w:eastAsia="en-US" w:bidi="en-US"/>
          </w:rPr>
          <w:t>art. 7º da Instrução Normativa Seges/ME nº 58, de 2022</w:t>
        </w:r>
      </w:hyperlink>
      <w:r>
        <w:rPr>
          <w:rFonts w:ascii="Liberation Serif" w:hAnsi="Liberation Serif" w:eastAsia="Segoe UI"/>
          <w:i/>
          <w:iCs/>
          <w:sz w:val="24"/>
          <w:lang w:val="en-US" w:eastAsia="en-US" w:bidi="en-US"/>
        </w:rPr>
        <w:t xml:space="preserve">. </w:t>
      </w:r>
    </w:p>
    <w:p>
      <w:r>
        <w:rPr>
          <w:rFonts w:ascii="Liberation Serif" w:hAnsi="Liberation Serif" w:eastAsia="Segoe UI"/>
          <w:b/>
          <w:bCs/>
          <w:i/>
          <w:iCs/>
          <w:sz w:val="24"/>
          <w:lang w:val="en-US" w:eastAsia="en-US" w:bidi="en-US"/>
        </w:rPr>
        <w:t>Nota Explicativa 2:</w:t>
      </w:r>
      <w:r>
        <w:rPr>
          <w:rFonts w:ascii="Liberation Serif" w:hAnsi="Liberation Serif" w:eastAsia="Segoe UI"/>
          <w:i/>
          <w:iCs/>
          <w:sz w:val="24"/>
          <w:lang w:val="en-US" w:eastAsia="en-US" w:bidi="en-US"/>
        </w:rPr>
        <w:t xml:space="preserve"> Nos termos da </w:t>
      </w:r>
      <w:hyperlink r:id="rId13">
        <w:r>
          <w:rPr>
            <w:rFonts w:ascii="Liberation Serif" w:hAnsi="Liberation Serif" w:eastAsia="Segoe UI"/>
            <w:i/>
            <w:iCs/>
            <w:sz w:val="24"/>
            <w:lang w:val="en-US" w:eastAsia="en-US" w:bidi="en-US"/>
          </w:rPr>
          <w:t>Portaria SEGES/ME nº 8.678, de 19 de julho de 2021</w:t>
        </w:r>
      </w:hyperlink>
      <w:r>
        <w:rPr>
          <w:rFonts w:ascii="Liberation Serif" w:hAnsi="Liberation Serif" w:eastAsia="Segoe UI"/>
          <w:i/>
          <w:iCs/>
          <w:color w:val="000000"/>
          <w:sz w:val="24"/>
          <w:lang w:val="en-US" w:eastAsia="en-US" w:bidi="en-US"/>
        </w:rPr>
        <w:t xml:space="preserve">, o  Plano Diretor de Logística Sustentável é </w:t>
      </w:r>
      <w:r>
        <w:rPr>
          <w:rFonts w:ascii="Liberation Serif" w:hAnsi="Liberation Serif" w:eastAsia="Segoe UI"/>
          <w:i/>
          <w:iCs/>
          <w:color w:val="555555"/>
          <w:sz w:val="24"/>
          <w:lang w:val="en-US" w:eastAsia="en-US" w:bidi="en-US"/>
        </w:rPr>
        <w:t> </w:t>
      </w:r>
      <w:r>
        <w:rPr>
          <w:rFonts w:ascii="Liberation Serif" w:hAnsi="Liberation Serif" w:eastAsia="Segoe UI"/>
          <w:i/>
          <w:iCs/>
          <w:color w:val="000000"/>
          <w:sz w:val="24"/>
          <w:lang w:val="en-US" w:eastAsia="en-US" w:bidi="en-US"/>
        </w:rPr>
        <w:t>instrumento de governança, vinculado ao planejamento estratégico do órgão ou entidade, ou instrumento equivalente, e às leis orçamentárias, que estabelece a estratégia das contratações e da logística no âmbito do órgão ou entidade, considerando objetivos e ações referentes a critérios e a práticas de sustentabilidade, nas dimensões econômica, social, ambiental e cultural.</w:t>
      </w:r>
    </w:p>
    <w:p>
      <w:r>
        <w:rPr>
          <w:rFonts w:ascii="Liberation Serif" w:hAnsi="Liberation Serif" w:eastAsia="Segoe UI"/>
          <w:i/>
          <w:iCs/>
          <w:color w:val="000000"/>
          <w:sz w:val="24"/>
          <w:lang w:val="en-US" w:eastAsia="en-US" w:bidi="en-US"/>
        </w:rPr>
        <w:t xml:space="preserve">Destaque-se ainda que, de acordo com o </w:t>
      </w:r>
      <w:r>
        <w:fldChar w:fldCharType="begin"/>
      </w:r>
      <w:r>
        <w:instrText xml:space="preserve"> HYPERLINK "https://www.gov.br/compras/pt-br/acesso-a-informacao/legislacao/portarias/portaria-seges-me-no-8-678-de-19-de-julho-de-2021" \l "art8"</w:instrText>
      </w:r>
      <w:r>
        <w:fldChar w:fldCharType="separate"/>
      </w:r>
      <w:r>
        <w:rPr>
          <w:rFonts w:ascii="Liberation Serif" w:hAnsi="Liberation Serif" w:eastAsia="Segoe UI"/>
          <w:i/>
          <w:iCs/>
          <w:color w:val="000000"/>
          <w:sz w:val="24"/>
          <w:lang w:val="en-US" w:eastAsia="en-US" w:bidi="en-US"/>
        </w:rPr>
        <w:t>artigo 8º, §1º, III, da Portaria SEGES/ME nº 8.678, de 2021</w:t>
      </w:r>
      <w:r>
        <w:fldChar w:fldCharType="end"/>
      </w:r>
      <w:r>
        <w:rPr>
          <w:rFonts w:ascii="Liberation Serif" w:hAnsi="Liberation Serif" w:eastAsia="Segoe UI"/>
          <w:i/>
          <w:iCs/>
          <w:color w:val="000000"/>
          <w:sz w:val="24"/>
          <w:lang w:val="en-US" w:eastAsia="en-US" w:bidi="en-US"/>
        </w:rPr>
        <w:t xml:space="preserve">, o Plano Diretor de Logística Sustentável deverá nortear a elaboração dos anteprojetos, dos projetos básicos ou dos termos de referência de cada contratação. </w:t>
      </w:r>
    </w:p>
    <w:p>
      <w:r>
        <w:rPr>
          <w:rFonts w:ascii="Liberation Serif" w:hAnsi="Liberation Serif" w:eastAsia="Segoe UI"/>
          <w:b/>
          <w:bCs/>
          <w:i/>
          <w:iCs/>
          <w:color w:val="000000"/>
          <w:sz w:val="24"/>
          <w:lang w:val="en-US" w:eastAsia="en-US" w:bidi="en-US"/>
        </w:rPr>
        <w:t xml:space="preserve">Nota Explicativa 3: </w:t>
      </w:r>
      <w:r>
        <w:rPr>
          <w:rFonts w:ascii="Liberation Serif" w:hAnsi="Liberation Serif" w:eastAsia="Segoe UI"/>
          <w:i/>
          <w:iCs/>
          <w:sz w:val="24"/>
          <w:lang w:val="en-US" w:eastAsia="en-US" w:bidi="en-US"/>
        </w:rPr>
        <w:t xml:space="preserve">Os preceitos do desenvolvimento sustentável devem ser observados na fase preparatória da </w:t>
      </w:r>
      <w:r>
        <w:rPr>
          <w:rFonts w:ascii="Liberation Serif" w:hAnsi="Liberation Serif" w:eastAsia="Segoe UI"/>
          <w:sz w:val="24"/>
          <w:lang w:val="en-US" w:eastAsia="en-US" w:bidi="en-US"/>
        </w:rPr>
        <w:t>contratação</w:t>
      </w:r>
      <w:r>
        <w:rPr>
          <w:rFonts w:ascii="Liberation Serif" w:hAnsi="Liberation Serif" w:eastAsia="Segoe UI"/>
          <w:i/>
          <w:iCs/>
          <w:sz w:val="24"/>
          <w:lang w:val="en-US" w:eastAsia="en-US" w:bidi="en-US"/>
        </w:rPr>
        <w:t xml:space="preserve">, em suas dimensões econômica, social, ambiental e cultural, no mínimo, com base nos planos de gestão de logística sustentável dos órgãos e das entidades, conforme prevê o parágrafo único do </w:t>
      </w:r>
      <w:r>
        <w:fldChar w:fldCharType="begin"/>
      </w:r>
      <w:r>
        <w:instrText xml:space="preserve"> HYPERLINK "https://www.gov.br/compras/pt-br/acesso-a-informacao/legislacao/instrucoes-normativas/instrucao-normativa-seges-me-no-73-de-30-de-setembro-de-2022" \l "art11"</w:instrText>
      </w:r>
      <w:r>
        <w:fldChar w:fldCharType="separate"/>
      </w:r>
      <w:r>
        <w:rPr>
          <w:rFonts w:ascii="Liberation Serif" w:hAnsi="Liberation Serif" w:eastAsia="Segoe UI"/>
          <w:i/>
          <w:iCs/>
          <w:sz w:val="24"/>
          <w:lang w:val="en-US" w:eastAsia="en-US" w:bidi="en-US"/>
        </w:rPr>
        <w:t>artigo 11 da Instrução Normativa SEGES/ME nº 73, de 2022</w:t>
      </w:r>
      <w:r>
        <w:fldChar w:fldCharType="end"/>
      </w:r>
      <w:r>
        <w:rPr>
          <w:rFonts w:ascii="Liberation Serif" w:hAnsi="Liberation Serif" w:eastAsia="Segoe UI"/>
          <w:i/>
          <w:iCs/>
          <w:sz w:val="24"/>
          <w:lang w:val="en-US" w:eastAsia="en-US" w:bidi="en-US"/>
        </w:rPr>
        <w:t>.</w:t>
      </w:r>
    </w:p>
    <w:p>
      <w:r>
        <w:rPr>
          <w:rFonts w:ascii="Liberation Serif" w:hAnsi="Liberation Serif" w:eastAsia="Segoe UI"/>
          <w:b/>
          <w:bCs/>
          <w:i/>
          <w:iCs/>
          <w:color w:val="000000"/>
          <w:sz w:val="24"/>
          <w:lang w:val="en-US" w:eastAsia="en-US" w:bidi="en-US"/>
        </w:rPr>
        <w:t>Nota Explicativa 4:</w:t>
      </w:r>
      <w:r>
        <w:rPr>
          <w:rFonts w:ascii="Liberation Serif" w:hAnsi="Liberation Serif" w:eastAsia="Segoe UI"/>
          <w:i/>
          <w:iCs/>
          <w:color w:val="000000"/>
          <w:sz w:val="24"/>
          <w:lang w:val="en-US" w:eastAsia="en-US" w:bidi="en-US"/>
        </w:rPr>
        <w:t xml:space="preserve"> Os critérios e práticas de sustentabilidade deverão ser registrados no sistema de ETP Digital, conforme previsão do </w:t>
      </w:r>
      <w:r>
        <w:fldChar w:fldCharType="begin"/>
      </w:r>
      <w:r>
        <w:instrText xml:space="preserve"> HYPERLINK "https://www.gov.br/compras/pt-br/acesso-a-informacao/legislacao/instrucoes-normativas/instrucao-normativa-seges-no-58-de-8-de-agosto-de-2022" \l "art9"</w:instrText>
      </w:r>
      <w:r>
        <w:fldChar w:fldCharType="separate"/>
      </w:r>
      <w:r>
        <w:rPr>
          <w:rFonts w:ascii="Liberation Serif" w:hAnsi="Liberation Serif" w:eastAsia="Segoe UI"/>
          <w:i/>
          <w:iCs/>
          <w:color w:val="000000"/>
          <w:sz w:val="24"/>
          <w:lang w:val="en-US" w:eastAsia="en-US" w:bidi="en-US"/>
        </w:rPr>
        <w:t>Art. 9º, II, da Instrução Normativa SEGES/ME nº 58, de 2022</w:t>
      </w:r>
      <w:r>
        <w:fldChar w:fldCharType="end"/>
      </w:r>
      <w:r>
        <w:rPr>
          <w:rFonts w:ascii="Liberation Serif" w:hAnsi="Liberation Serif" w:eastAsia="Segoe UI"/>
          <w:i/>
          <w:iCs/>
          <w:color w:val="000000"/>
          <w:sz w:val="24"/>
          <w:lang w:val="en-US" w:eastAsia="en-US" w:bidi="en-US"/>
        </w:rPr>
        <w:t xml:space="preserve">. </w:t>
      </w:r>
    </w:p>
    <w:p>
      <w:r>
        <w:rPr>
          <w:rFonts w:ascii="Liberation Serif" w:hAnsi="Liberation Serif" w:eastAsia="Segoe UI"/>
          <w:i/>
          <w:iCs/>
          <w:color w:val="000000"/>
          <w:sz w:val="24"/>
          <w:lang w:val="en-US" w:eastAsia="en-US" w:bidi="en-US"/>
        </w:rPr>
        <w:t xml:space="preserve">Soma-se a essa previsão, o </w:t>
      </w:r>
      <w:hyperlink r:id="rId14">
        <w:r>
          <w:rPr>
            <w:rFonts w:ascii="Liberation Serif" w:hAnsi="Liberation Serif" w:eastAsia="Segoe UI"/>
            <w:i/>
            <w:iCs/>
            <w:color w:val="000000"/>
            <w:sz w:val="24"/>
            <w:lang w:val="en-US" w:eastAsia="en-US" w:bidi="en-US"/>
          </w:rPr>
          <w:t xml:space="preserve">Parecer n. </w:t>
        </w:r>
      </w:hyperlink>
      <w:r>
        <w:rPr>
          <w:rFonts w:ascii="Liberation Serif" w:hAnsi="Liberation Serif" w:eastAsia="Segoe UI"/>
          <w:i/>
          <w:iCs/>
          <w:color w:val="000080"/>
          <w:sz w:val="24"/>
          <w:u w:val="single"/>
          <w:lang w:val="en-US" w:eastAsia="en-US" w:bidi="en-US"/>
        </w:rPr>
        <w:t>00001/2021/CNS/CGU/AGU, da Consultoria –Geral da União aprovado nos termos do DESPACHO n. 00525/2021/GAB/CGU/AGU (NUP: 00688.000723/2019-45)</w:t>
      </w:r>
      <w:r>
        <w:rPr>
          <w:rFonts w:ascii="Liberation Serif" w:hAnsi="Liberation Serif" w:eastAsia="Segoe UI"/>
          <w:i/>
          <w:iCs/>
          <w:color w:val="000000"/>
          <w:sz w:val="24"/>
          <w:lang w:val="en-US" w:eastAsia="en-US" w:bidi="en-US"/>
        </w:rPr>
        <w:t xml:space="preserve"> que consolidou o entendimento de que a “administração pública é obrigada a adotar critérios e práticas de sustentabilidade socioambiental e de acessibilidade nas contratações públicas, nas fases de planejamento, seleção de fornecedor, execução contratual, fiscalização e na gestão dos resíduos sólidos.” </w:t>
      </w:r>
    </w:p>
    <w:p>
      <w:r>
        <w:rPr>
          <w:rFonts w:ascii="Liberation Serif" w:hAnsi="Liberation Serif" w:eastAsia="Segoe UI"/>
          <w:i/>
          <w:iCs/>
          <w:color w:val="000000"/>
          <w:sz w:val="24"/>
          <w:lang w:val="en-US" w:eastAsia="en-US" w:bidi="en-US"/>
        </w:rPr>
        <w:t xml:space="preserve">Dessa forma, a sustentabilidade deve ser considerada pelo gestor público: a) na fase de planejamento da contratação, b) na elaboração das minutas, com consulta ao Guia, c) na fase de execução contratual e d) na adequada destinação ambiental dos resíduos decorrentes dos serviços prestados, levando em conta as diretrizes estabelecidas pela </w:t>
      </w:r>
      <w:hyperlink r:id="rId15">
        <w:r>
          <w:rPr>
            <w:rFonts w:ascii="Liberation Serif" w:hAnsi="Liberation Serif" w:eastAsia="Segoe UI"/>
            <w:i/>
            <w:iCs/>
            <w:color w:val="000000"/>
            <w:sz w:val="24"/>
            <w:lang w:val="en-US" w:eastAsia="en-US" w:bidi="en-US"/>
          </w:rPr>
          <w:t>Lei 12.305/2010</w:t>
        </w:r>
      </w:hyperlink>
      <w:r>
        <w:rPr>
          <w:rFonts w:ascii="Liberation Serif" w:hAnsi="Liberation Serif" w:eastAsia="Segoe UI"/>
          <w:i/>
          <w:iCs/>
          <w:color w:val="000000"/>
          <w:sz w:val="24"/>
          <w:lang w:val="en-US" w:eastAsia="en-US" w:bidi="en-US"/>
        </w:rPr>
        <w:t xml:space="preserve"> - Política Nacional de Resíduos Sólidos. Ainda que não constante do termo de referência, destaque-se que as contratações mediante pregão eletrônico deverão estar alinhadas com o Plano de Gestão e Logística Sustentável do órgão.</w:t>
      </w:r>
    </w:p>
    <w:p>
      <w:r>
        <w:rPr>
          <w:rFonts w:ascii="Liberation Serif" w:hAnsi="Liberation Serif" w:eastAsia="Segoe UI"/>
          <w:b/>
          <w:bCs/>
          <w:i/>
          <w:iCs/>
          <w:color w:val="000000"/>
          <w:sz w:val="24"/>
          <w:lang w:val="en-US" w:eastAsia="en-US" w:bidi="en-US"/>
        </w:rPr>
        <w:t xml:space="preserve">Nota Explicativa 5: </w:t>
      </w:r>
      <w:r>
        <w:rPr>
          <w:rFonts w:ascii="Liberation Serif" w:hAnsi="Liberation Serif" w:eastAsia="Segoe UI"/>
          <w:i/>
          <w:iCs/>
          <w:color w:val="000000"/>
          <w:sz w:val="24"/>
          <w:lang w:val="en-US" w:eastAsia="en-US" w:bidi="en-US"/>
        </w:rPr>
        <w:t xml:space="preserve">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conforme o </w:t>
      </w:r>
      <w:hyperlink r:id="rId16">
        <w:r>
          <w:rPr>
            <w:rFonts w:ascii="Liberation Serif" w:hAnsi="Liberation Serif" w:eastAsia="Segoe UI"/>
            <w:i/>
            <w:iCs/>
            <w:color w:val="000000"/>
            <w:sz w:val="24"/>
            <w:lang w:val="en-US" w:eastAsia="en-US" w:bidi="en-US"/>
          </w:rPr>
          <w:t>Parecer n. 00001/2021/CNS/CGU/AGU</w:t>
        </w:r>
      </w:hyperlink>
      <w:r>
        <w:rPr>
          <w:rFonts w:ascii="Liberation Serif" w:hAnsi="Liberation Serif" w:eastAsia="Segoe UI"/>
          <w:i/>
          <w:iCs/>
          <w:color w:val="000000"/>
          <w:sz w:val="24"/>
          <w:lang w:val="en-US" w:eastAsia="en-US" w:bidi="en-US"/>
        </w:rPr>
        <w:t xml:space="preserve"> e previsão do </w:t>
      </w:r>
      <w:r>
        <w:fldChar w:fldCharType="begin"/>
      </w:r>
      <w:r>
        <w:instrText xml:space="preserve"> HYPERLINK "https://www.gov.br/compras/pt-br/acesso-a-informacao/legislacao/instrucoes-normativas/instrucao-normativa-seges-no-58-de-8-de-agosto-de-2022" \l "art9§1"</w:instrText>
      </w:r>
      <w:r>
        <w:fldChar w:fldCharType="separate"/>
      </w:r>
      <w:r>
        <w:rPr>
          <w:rFonts w:ascii="Liberation Serif" w:hAnsi="Liberation Serif" w:eastAsia="Segoe UI"/>
          <w:i/>
          <w:iCs/>
          <w:color w:val="000000"/>
          <w:sz w:val="24"/>
          <w:lang w:val="en-US" w:eastAsia="en-US" w:bidi="en-US"/>
        </w:rPr>
        <w:t>§1º do art. 9º da Instrução Normativa SEGES/ME nº 58, de 2022</w:t>
      </w:r>
      <w:r>
        <w:fldChar w:fldCharType="end"/>
      </w:r>
      <w:r>
        <w:rPr>
          <w:rFonts w:ascii="Liberation Serif" w:hAnsi="Liberation Serif" w:eastAsia="Segoe UI"/>
          <w:i/>
          <w:iCs/>
          <w:color w:val="000000"/>
          <w:sz w:val="24"/>
          <w:lang w:val="en-US" w:eastAsia="en-US" w:bidi="en-US"/>
        </w:rPr>
        <w:t xml:space="preserve">, que dispõe sobre a elaboração dos Estudos Técnicos Preliminares - ETP.   </w:t>
      </w:r>
    </w:p>
    <w:p>
      <w:r>
        <w:rPr>
          <w:rFonts w:ascii="Liberation Serif" w:hAnsi="Liberation Serif" w:eastAsia="Segoe UI"/>
          <w:i/>
          <w:iCs/>
          <w:color w:val="000000"/>
          <w:sz w:val="24"/>
          <w:lang w:val="en-US" w:eastAsia="en-US" w:bidi="en-US"/>
        </w:rPr>
        <w:t xml:space="preserve">Se houver justificativa nos autos para a não-adoção de critérios de sustentabilidade (e apenas nesse caso), deverá haver a supressão dos dispositivos específicos acima. </w:t>
      </w:r>
    </w:p>
    <w:p>
      <w:r>
        <w:rPr>
          <w:rFonts w:ascii="Liberation Serif" w:hAnsi="Liberation Serif" w:eastAsia="Segoe UI"/>
          <w:b/>
          <w:bCs/>
          <w:i/>
          <w:iCs/>
          <w:color w:val="000000"/>
          <w:sz w:val="24"/>
          <w:lang w:val="en-US" w:eastAsia="en-US" w:bidi="en-US"/>
        </w:rPr>
        <w:t xml:space="preserve">Nota Explicativa 6: </w:t>
      </w:r>
      <w:r>
        <w:rPr>
          <w:rFonts w:ascii="Liberation Serif" w:hAnsi="Liberation Serif" w:eastAsia="Segoe UI"/>
          <w:i/>
          <w:iCs/>
          <w:color w:val="000000"/>
          <w:sz w:val="24"/>
          <w:lang w:val="en-US" w:eastAsia="en-US" w:bidi="en-US"/>
        </w:rPr>
        <w:t xml:space="preserve">Aos agentes da administração pública federal encarregados de realizar contratações públicas, recomenda-se que, no exercício de suas atribuições funcionais, consultem o </w:t>
      </w:r>
      <w:hyperlink r:id="rId17">
        <w:r>
          <w:rPr>
            <w:rFonts w:ascii="Liberation Serif" w:hAnsi="Liberation Serif" w:eastAsia="Segoe UI"/>
            <w:i/>
            <w:iCs/>
            <w:color w:val="000000"/>
            <w:sz w:val="24"/>
            <w:lang w:val="en-US" w:eastAsia="en-US" w:bidi="en-US"/>
          </w:rPr>
          <w:t>Guia Nacional de Contratações Sustentáveis da Advocacia-Geral da União</w:t>
        </w:r>
      </w:hyperlink>
      <w:r>
        <w:rPr>
          <w:rFonts w:ascii="Liberation Serif" w:hAnsi="Liberation Serif" w:eastAsia="Segoe UI"/>
          <w:i/>
          <w:iCs/>
          <w:color w:val="000000"/>
          <w:sz w:val="24"/>
          <w:lang w:val="en-US" w:eastAsia="en-US" w:bidi="en-US"/>
        </w:rPr>
        <w:t xml:space="preserve">, disponibilizado pela Consultoria-Geral da União e no site da AGU. </w:t>
      </w:r>
    </w:p>
    <w:p>
      <w:r>
        <w:rPr>
          <w:rFonts w:ascii="Liberation Serif" w:hAnsi="Liberation Serif" w:eastAsia="Segoe UI"/>
          <w:b/>
          <w:bCs/>
          <w:i/>
          <w:iCs/>
          <w:color w:val="000000"/>
          <w:sz w:val="24"/>
          <w:lang w:val="en-US" w:eastAsia="en-US" w:bidi="en-US"/>
        </w:rPr>
        <w:t xml:space="preserve">Nota Explicativa 7: </w:t>
      </w:r>
      <w:r>
        <w:rPr>
          <w:rFonts w:ascii="Liberation Serif" w:hAnsi="Liberation Serif" w:eastAsia="Segoe UI"/>
          <w:i/>
          <w:iCs/>
          <w:color w:val="000000"/>
          <w:sz w:val="24"/>
          <w:lang w:val="en-US" w:eastAsia="en-US" w:bidi="en-US"/>
        </w:rPr>
        <w:t xml:space="preserve">De acordo com o </w:t>
      </w:r>
      <w:hyperlink r:id="rId18">
        <w:r>
          <w:rPr>
            <w:rFonts w:ascii="Liberation Serif" w:hAnsi="Liberation Serif" w:eastAsia="Segoe UI"/>
            <w:i/>
            <w:iCs/>
            <w:color w:val="000000"/>
            <w:sz w:val="24"/>
            <w:lang w:val="en-US" w:eastAsia="en-US" w:bidi="en-US"/>
          </w:rPr>
          <w:t>Guia Nacional de Contratações Sustentáveis da AGU</w:t>
        </w:r>
      </w:hyperlink>
      <w:r>
        <w:rPr>
          <w:rFonts w:ascii="Liberation Serif" w:hAnsi="Liberation Serif" w:eastAsia="Segoe UI"/>
          <w:i/>
          <w:iCs/>
          <w:color w:val="000000"/>
          <w:sz w:val="24"/>
          <w:lang w:val="en-US" w:eastAsia="en-US" w:bidi="en-US"/>
        </w:rPr>
        <w:t>, a inclusão de critérios de sustentabilidade deve ser feita de modo claro e objetivo. Deve-se evitar a transcrição literal e automática das previsões legais ou normativas, sem efetuar o exame da incidência real e efetiva delas na contratação em apreço.</w:t>
      </w:r>
    </w:p>
    <w:p>
      <w:r>
        <w:rPr>
          <w:rFonts w:ascii="Liberation Serif" w:hAnsi="Liberation Serif" w:eastAsia="Segoe UI"/>
          <w:i/>
          <w:iCs/>
          <w:color w:val="000000"/>
          <w:sz w:val="24"/>
          <w:lang w:val="en-US" w:eastAsia="en-US" w:bidi="en-US"/>
        </w:rPr>
        <w:t>Assim, uma vez exigido qualquer requisito ambiental na especificação do objeto e/ou edital, e/ou contrato, deve ser prevista a forma objetiva de comprovação. É preciso saber quais critérios de sustentabilidade devem ser incluídos nas peças “editalícias”, como fazer essas exigências e de que forma as pretendidas contratadas devem comprovar o cumprimento desses critérios de sustentabilidade exigidos pela Administração. (</w:t>
      </w:r>
      <w:r>
        <w:fldChar w:fldCharType="begin"/>
      </w:r>
      <w:r>
        <w:instrText xml:space="preserve"> HYPERLINK "https://www.gov.br/compras/pt-br/acesso-a-informacao/legislacao/instrucoes-normativas/instrucao-normativa-seges-no-58-de-8-de-agosto-de-2022" \l "art9"</w:instrText>
      </w:r>
      <w:r>
        <w:fldChar w:fldCharType="separate"/>
      </w:r>
      <w:r>
        <w:rPr>
          <w:rFonts w:ascii="Liberation Serif" w:hAnsi="Liberation Serif" w:eastAsia="Segoe UI"/>
          <w:i/>
          <w:iCs/>
          <w:color w:val="000000"/>
          <w:sz w:val="24"/>
          <w:lang w:val="en-US" w:eastAsia="en-US" w:bidi="en-US"/>
        </w:rPr>
        <w:t>artigo 9, inciso XII, da Instrução Normativa SEGES/ME nº 58, de 2022</w:t>
      </w:r>
      <w:r>
        <w:fldChar w:fldCharType="end"/>
      </w:r>
      <w:r>
        <w:rPr>
          <w:rFonts w:ascii="Liberation Serif" w:hAnsi="Liberation Serif" w:eastAsia="Segoe UI"/>
          <w:i/>
          <w:iCs/>
          <w:color w:val="000000"/>
          <w:sz w:val="24"/>
          <w:lang w:val="en-US" w:eastAsia="en-US" w:bidi="en-US"/>
        </w:rPr>
        <w:t>, que dispõe sobre a elaboração dos Estudos Técnicos Preliminares - ETP)</w:t>
      </w:r>
    </w:p>
    <w:p>
      <w:r>
        <w:rPr>
          <w:rFonts w:ascii="Liberation Serif" w:hAnsi="Liberation Serif" w:eastAsia="Segoe UI"/>
          <w:b/>
          <w:bCs/>
          <w:i/>
          <w:iCs/>
          <w:color w:val="000000"/>
          <w:sz w:val="24"/>
          <w:lang w:val="en-US" w:eastAsia="en-US" w:bidi="en-US"/>
        </w:rPr>
        <w:t xml:space="preserve">Nota Explicativa 8: </w:t>
      </w:r>
      <w:r>
        <w:rPr>
          <w:rFonts w:ascii="Liberation Serif" w:hAnsi="Liberation Serif" w:eastAsia="Segoe UI"/>
          <w:i/>
          <w:iCs/>
          <w:color w:val="000000"/>
          <w:sz w:val="24"/>
          <w:lang w:val="en-US" w:eastAsia="en-US" w:bidi="en-US"/>
        </w:rPr>
        <w:t>Nas aquisições e contratações governamentais, deve ser dada prioridade para produtos reciclados e recicláveis e para bens, serviços e obras que considerem critérios compatíveis com padrões de consumo sustentáveis (</w:t>
      </w:r>
      <w:r>
        <w:fldChar w:fldCharType="begin"/>
      </w:r>
      <w:r>
        <w:instrText xml:space="preserve"> HYPERLINK "https://www.planalto.gov.br/ccivil_03/_ato2007-2010/2010/lei/l12305.htm" \l "art7"</w:instrText>
      </w:r>
      <w:r>
        <w:fldChar w:fldCharType="separate"/>
      </w:r>
      <w:r>
        <w:rPr>
          <w:rFonts w:ascii="Liberation Serif" w:hAnsi="Liberation Serif" w:eastAsia="Segoe UI"/>
          <w:i/>
          <w:iCs/>
          <w:color w:val="000000"/>
          <w:sz w:val="24"/>
          <w:lang w:val="en-US" w:eastAsia="en-US" w:bidi="en-US"/>
        </w:rPr>
        <w:t>artigo 7º, XI, da Lei nº 12.305, de 2010</w:t>
      </w:r>
      <w:r>
        <w:fldChar w:fldCharType="end"/>
      </w:r>
      <w:r>
        <w:rPr>
          <w:rFonts w:ascii="Liberation Serif" w:hAnsi="Liberation Serif" w:eastAsia="Segoe UI"/>
          <w:i/>
          <w:iCs/>
          <w:color w:val="000000"/>
          <w:sz w:val="24"/>
          <w:lang w:val="en-US" w:eastAsia="en-US" w:bidi="en-US"/>
        </w:rPr>
        <w:t xml:space="preserve"> – Política Nacional de Resíduos Sólidos). Deve-se observar, também, a regulamentação a ser editada a luz da nova legislação.</w:t>
      </w:r>
    </w:p>
    <w:p>
      <w:r>
        <w:rPr>
          <w:rFonts w:ascii="Liberation Serif" w:hAnsi="Liberation Serif" w:eastAsia="Segoe UI"/>
          <w:b/>
          <w:bCs/>
          <w:i/>
          <w:iCs/>
          <w:color w:val="000000"/>
          <w:sz w:val="24"/>
          <w:lang w:val="en-US" w:eastAsia="en-US" w:bidi="en-US"/>
        </w:rPr>
        <w:t xml:space="preserve">Nota Explicativa 9: </w:t>
      </w:r>
      <w:r>
        <w:rPr>
          <w:rFonts w:ascii="Liberation Serif" w:hAnsi="Liberation Serif" w:eastAsia="Segoe UI"/>
          <w:i/>
          <w:iCs/>
          <w:color w:val="000000"/>
          <w:sz w:val="24"/>
          <w:lang w:val="en-US" w:eastAsia="en-US" w:bidi="en-US"/>
        </w:rPr>
        <w:t xml:space="preserve">Recomenda-se, igualmente, consulta ao Catálogo de Materiais Sustentáveis (CATMAT Sustentável), bem como consulta prévia ao site governamental </w:t>
      </w:r>
      <w:hyperlink r:id="rId19">
        <w:r>
          <w:rPr>
            <w:rFonts w:ascii="Liberation Serif" w:hAnsi="Liberation Serif" w:eastAsia="Segoe UI"/>
            <w:i/>
            <w:iCs/>
            <w:color w:val="000000"/>
            <w:sz w:val="24"/>
            <w:lang w:val="en-US" w:eastAsia="en-US" w:bidi="en-US"/>
          </w:rPr>
          <w:t>https://doacoes.gov.br</w:t>
        </w:r>
      </w:hyperlink>
      <w:r>
        <w:rPr>
          <w:rFonts w:ascii="Liberation Serif" w:hAnsi="Liberation Serif" w:eastAsia="Segoe UI"/>
          <w:i/>
          <w:iCs/>
          <w:color w:val="000000"/>
          <w:sz w:val="24"/>
          <w:lang w:val="en-US" w:eastAsia="en-US" w:bidi="en-US"/>
        </w:rPr>
        <w:t>/, solução desenvolvida pelo Ministério da Gestão e da Inovação em Serviços Públicos, que oferta bens móveis e serviços para a administração pública, disponibilizados pelos próprios órgãos de governo ou oferecidos por particulares de forma não onerosa, otimizando a gestão do recurso público com consumo consciente e sustentável.</w:t>
      </w:r>
    </w:p>
  </w:comment>
  <w:comment w:id="5"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w:t>
      </w:r>
      <w:r>
        <w:rPr>
          <w:rFonts w:ascii="Liberation Serif" w:hAnsi="Liberation Serif" w:eastAsia="Segoe UI"/>
          <w:iCs/>
          <w:color w:val="000000"/>
          <w:sz w:val="24"/>
          <w:lang w:val="en-US" w:eastAsia="en-US" w:bidi="en-US"/>
        </w:rPr>
        <w:t xml:space="preserve">A subcontratação deve ser avaliada à luz do </w:t>
      </w:r>
      <w:r>
        <w:fldChar w:fldCharType="begin"/>
      </w:r>
      <w:r>
        <w:instrText xml:space="preserve"> HYPERLINK "http://www.planalto.gov.br/ccivil_03/_ato2019-2022/2021/lei/L14133.htm" \l "art122"</w:instrText>
      </w:r>
      <w:r>
        <w:fldChar w:fldCharType="separate"/>
      </w:r>
      <w:r>
        <w:rPr>
          <w:rFonts w:ascii="Liberation Serif" w:hAnsi="Liberation Serif" w:eastAsia="Segoe UI"/>
          <w:iCs/>
          <w:color w:val="000000"/>
          <w:sz w:val="24"/>
          <w:lang w:val="en-US" w:eastAsia="en-US" w:bidi="en-US"/>
        </w:rPr>
        <w:t>artigo 122 da Lei nº 14.133, de 2021</w:t>
      </w:r>
      <w:r>
        <w:fldChar w:fldCharType="end"/>
      </w:r>
      <w:r>
        <w:rPr>
          <w:rFonts w:ascii="Liberation Serif" w:hAnsi="Liberation Serif" w:eastAsia="Segoe UI"/>
          <w:iCs/>
          <w:color w:val="000000"/>
          <w:sz w:val="24"/>
          <w:lang w:val="en-US" w:eastAsia="en-US" w:bidi="en-US"/>
        </w:rPr>
        <w:t>:</w:t>
      </w:r>
    </w:p>
    <w:p>
      <w:r>
        <w:rPr>
          <w:rFonts w:ascii="Liberation Serif" w:hAnsi="Liberation Serif" w:eastAsia="Segoe UI"/>
          <w:iCs/>
          <w:color w:val="000000"/>
          <w:sz w:val="24"/>
          <w:lang w:val="en-US" w:eastAsia="en-US" w:bidi="en-US"/>
        </w:rPr>
        <w:t>“Art. 122. Na execução do contrato e sem prejuízo das responsabilidades contratuais e legais, o contratado poderá subcontratar partes da obra, do serviço ou do fornecimento até o limite autorizado, em cada caso, pela Administração.</w:t>
      </w:r>
    </w:p>
    <w:p>
      <w:r>
        <w:rPr>
          <w:rFonts w:ascii="Liberation Serif" w:hAnsi="Liberation Serif" w:eastAsia="Segoe UI"/>
          <w:iCs/>
          <w:color w:val="000000"/>
          <w:sz w:val="24"/>
          <w:lang w:val="en-US" w:eastAsia="en-US" w:bidi="en-US"/>
        </w:rPr>
        <w:t>§ 1º O contratado apresentará à Administração documentação que comprove a capacidade técnica do subcontratado, que será avaliada e juntada aos autos do processo correspondente.</w:t>
      </w:r>
    </w:p>
    <w:p>
      <w:r>
        <w:rPr>
          <w:rFonts w:ascii="Liberation Serif" w:hAnsi="Liberation Serif" w:eastAsia="Segoe UI"/>
          <w:iCs/>
          <w:color w:val="000000"/>
          <w:sz w:val="24"/>
          <w:lang w:val="en-US" w:eastAsia="en-US" w:bidi="en-US"/>
        </w:rPr>
        <w:t>§ 2º Regulamento ou edital de licitação poderão vedar, restringir ou estabelecer condições para a subcontratação.</w:t>
      </w:r>
    </w:p>
    <w:p>
      <w:r>
        <w:rPr>
          <w:rFonts w:ascii="Liberation Serif" w:hAnsi="Liberation Serif" w:eastAsia="Segoe UI"/>
          <w:iCs/>
          <w:color w:val="000000"/>
          <w:sz w:val="24"/>
          <w:lang w:val="en-US" w:eastAsia="en-US" w:bidi="en-US"/>
        </w:rPr>
        <w:t>§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r>
        <w:rPr>
          <w:rFonts w:ascii="Liberation Serif" w:hAnsi="Liberation Serif" w:eastAsia="Segoe UI"/>
          <w:sz w:val="24"/>
          <w:lang w:val="en-US" w:eastAsia="en-US" w:bidi="en-US"/>
        </w:rPr>
      </w:r>
    </w:p>
    <w:p>
      <w:r>
        <w:rPr>
          <w:rFonts w:ascii="Liberation Serif" w:hAnsi="Liberation Serif" w:eastAsia="Segoe UI" w:cs="Arial"/>
          <w:b/>
          <w:i/>
          <w:sz w:val="24"/>
          <w:lang w:val="en-US" w:eastAsia="en-US" w:bidi="en-US"/>
        </w:rPr>
        <w:t>Nota Explicativa 2</w:t>
      </w:r>
      <w:r>
        <w:rPr>
          <w:rFonts w:ascii="Liberation Serif" w:hAnsi="Liberation Serif" w:eastAsia="Segoe UI" w:cs="Arial"/>
          <w:sz w:val="24"/>
          <w:lang w:val="en-US" w:eastAsia="en-US" w:bidi="en-US"/>
        </w:rPr>
        <w:t>: É vedada a subcontratação completa ou da parcela principal da obrigação. Ademais, é vedada qualquer subcontratação ou a atuação de profissionais distintos daqueles que tenham justificado a inexigibilidade de licitação para contratação direta dos serviços técnicos especializados de natureza predominantemente intelectual, nos casos previstos no art. 74, III, da Lei n. 14.133/21</w:t>
      </w:r>
    </w:p>
  </w:comment>
  <w:comment w:id="6"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É assegurado ao </w:t>
      </w:r>
      <w:r>
        <w:rPr>
          <w:rFonts w:ascii="Liberation Serif" w:hAnsi="Liberation Serif" w:eastAsia="Segoe UI"/>
          <w:sz w:val="24"/>
          <w:lang w:val="en-US" w:eastAsia="en-US" w:bidi="en-US"/>
        </w:rPr>
        <w:t>interessado</w:t>
      </w:r>
      <w:r>
        <w:rPr>
          <w:rFonts w:ascii="Liberation Serif" w:hAnsi="Liberation Serif" w:eastAsia="Segoe UI"/>
          <w:i/>
          <w:iCs/>
          <w:color w:val="000000"/>
          <w:sz w:val="24"/>
          <w:lang w:val="en-US" w:eastAsia="en-US" w:bidi="en-US"/>
        </w:rPr>
        <w:t xml:space="preserve"> o direito de realizar vistoria prévia no local de execução do serviço sempre que o órgão ou entidade contratante considerar essa avaliação imprescindível para o conhecimento pleno das condições e peculiaridades do objeto a ser contratado (</w:t>
      </w:r>
      <w:r>
        <w:fldChar w:fldCharType="begin"/>
      </w:r>
      <w:r>
        <w:instrText xml:space="preserve"> HYPERLINK "http://www.planalto.gov.br/ccivil_03/_ato2019-2022/2021/lei/L14133.htm" \l "art63§2"</w:instrText>
      </w:r>
      <w:r>
        <w:fldChar w:fldCharType="separate"/>
      </w:r>
      <w:r>
        <w:rPr>
          <w:rFonts w:ascii="Liberation Serif" w:hAnsi="Liberation Serif" w:eastAsia="Segoe UI"/>
          <w:i/>
          <w:iCs/>
          <w:color w:val="000000"/>
          <w:sz w:val="24"/>
          <w:lang w:val="en-US" w:eastAsia="en-US" w:bidi="en-US"/>
        </w:rPr>
        <w:t>art. 63, § 2º, da Lei nº 14.133, de 2021</w:t>
      </w:r>
      <w:r>
        <w:fldChar w:fldCharType="end"/>
      </w:r>
      <w:r>
        <w:rPr>
          <w:rFonts w:ascii="Liberation Serif" w:hAnsi="Liberation Serif" w:eastAsia="Segoe UI"/>
          <w:i/>
          <w:iCs/>
          <w:color w:val="000000"/>
          <w:sz w:val="24"/>
          <w:lang w:val="en-US" w:eastAsia="en-US" w:bidi="en-US"/>
        </w:rPr>
        <w:t>). Ainda assim, segundo o texto legal, o contratado poderá optar por não realizar a vistoria, caso em que terá de atestar o conhecimento pleno das condições e peculiaridades da contratação, mediante declaração formal do seu responsável técnico (art. 63, §3º).</w:t>
      </w:r>
    </w:p>
    <w:p>
      <w:r>
        <w:rPr>
          <w:rFonts w:ascii="Liberation Serif" w:hAnsi="Liberation Serif" w:eastAsia="Segoe UI"/>
          <w:i/>
          <w:iCs/>
          <w:color w:val="000000"/>
          <w:sz w:val="24"/>
          <w:lang w:val="en-US" w:eastAsia="en-US" w:bidi="en-US"/>
        </w:rPr>
        <w:t>Nesse contexto, uma vez facultada a realização da vistoria prévia no Termo de Referência, os interessados terão três opções para cumprir o requisito de habilitação correspondente, conforme §§2º e 3º do art. 63, da Lei nº 14.133, de 2021, a saber:</w:t>
      </w:r>
    </w:p>
    <w:p>
      <w:r>
        <w:rPr>
          <w:rFonts w:ascii="Liberation Serif" w:hAnsi="Liberation Serif" w:eastAsia="Segoe UI"/>
          <w:i/>
          <w:iCs/>
          <w:color w:val="000000"/>
          <w:sz w:val="24"/>
          <w:lang w:val="en-US" w:eastAsia="en-US" w:bidi="en-US"/>
        </w:rPr>
        <w:t xml:space="preserve">a) realizar a vistoria e atestar que conhece o local e as condições da realização da obra ou serviço; </w:t>
      </w:r>
    </w:p>
    <w:p>
      <w:r>
        <w:rPr>
          <w:rFonts w:ascii="Liberation Serif" w:hAnsi="Liberation Serif" w:eastAsia="Segoe UI"/>
          <w:i/>
          <w:iCs/>
          <w:color w:val="000000"/>
          <w:sz w:val="24"/>
          <w:lang w:val="en-US" w:eastAsia="en-US" w:bidi="en-US"/>
        </w:rPr>
        <w:t xml:space="preserve">b) atestar que conhece o local e as condições da realização da obra ou serviço; </w:t>
      </w:r>
    </w:p>
    <w:p>
      <w:r>
        <w:rPr>
          <w:rFonts w:ascii="Liberation Serif" w:hAnsi="Liberation Serif" w:eastAsia="Segoe UI"/>
          <w:i/>
          <w:iCs/>
          <w:color w:val="000000"/>
          <w:sz w:val="24"/>
          <w:lang w:val="en-US" w:eastAsia="en-US" w:bidi="en-US"/>
        </w:rPr>
        <w:t xml:space="preserve">c) declarar formalmente, por meio do respectivo responsável técnico, que possui conhecimento pleno das condições e peculiaridades da contratação. </w:t>
      </w:r>
    </w:p>
    <w:p>
      <w:r>
        <w:rPr>
          <w:rFonts w:ascii="Liberation Serif" w:hAnsi="Liberation Serif" w:eastAsia="Segoe UI"/>
          <w:i/>
          <w:iCs/>
          <w:color w:val="000000"/>
          <w:sz w:val="24"/>
          <w:lang w:val="en-US" w:eastAsia="en-US" w:bidi="en-US"/>
        </w:rPr>
        <w:t xml:space="preserve">A hipótese “a” dispensa maiores comentários, a não ser o de que é o próprio </w:t>
      </w:r>
      <w:r>
        <w:rPr>
          <w:rFonts w:ascii="Liberation Serif" w:hAnsi="Liberation Serif" w:eastAsia="Segoe UI"/>
          <w:sz w:val="24"/>
          <w:lang w:val="en-US" w:eastAsia="en-US" w:bidi="en-US"/>
        </w:rPr>
        <w:t>interessado</w:t>
      </w:r>
      <w:r>
        <w:rPr>
          <w:rFonts w:ascii="Liberation Serif" w:hAnsi="Liberation Serif" w:eastAsia="Segoe UI"/>
          <w:i/>
          <w:iCs/>
          <w:color w:val="000000"/>
          <w:sz w:val="24"/>
          <w:lang w:val="en-US" w:eastAsia="en-US" w:bidi="en-US"/>
        </w:rPr>
        <w:t xml:space="preserve"> que atesta conhecer o local e as condições, e não a Administração que tem o ônus de emitir o atestado de vistoria, como se passa no âmbito da </w:t>
      </w:r>
      <w:hyperlink r:id="rId20">
        <w:r>
          <w:rPr>
            <w:rFonts w:ascii="Liberation Serif" w:hAnsi="Liberation Serif" w:eastAsia="Segoe UI"/>
            <w:i/>
            <w:iCs/>
            <w:color w:val="000000"/>
            <w:sz w:val="24"/>
            <w:lang w:val="en-US" w:eastAsia="en-US" w:bidi="en-US"/>
          </w:rPr>
          <w:t>Lei nº 8.666, de 1993</w:t>
        </w:r>
      </w:hyperlink>
      <w:r>
        <w:rPr>
          <w:rFonts w:ascii="Liberation Serif" w:hAnsi="Liberation Serif" w:eastAsia="Segoe UI"/>
          <w:i/>
          <w:iCs/>
          <w:color w:val="000000"/>
          <w:sz w:val="24"/>
          <w:lang w:val="en-US" w:eastAsia="en-US" w:bidi="en-US"/>
        </w:rPr>
        <w:t>.</w:t>
      </w:r>
    </w:p>
    <w:p>
      <w:r>
        <w:rPr>
          <w:rFonts w:ascii="Liberation Serif" w:hAnsi="Liberation Serif" w:eastAsia="Segoe UI"/>
          <w:i/>
          <w:iCs/>
          <w:color w:val="000000"/>
          <w:sz w:val="24"/>
          <w:lang w:val="en-US" w:eastAsia="en-US" w:bidi="en-US"/>
        </w:rPr>
        <w:t xml:space="preserve">Já na hipótese “b”, o </w:t>
      </w:r>
      <w:r>
        <w:rPr>
          <w:rFonts w:ascii="Liberation Serif" w:hAnsi="Liberation Serif" w:eastAsia="Segoe UI"/>
          <w:sz w:val="24"/>
          <w:lang w:val="en-US" w:eastAsia="en-US" w:bidi="en-US"/>
        </w:rPr>
        <w:t>interessado</w:t>
      </w:r>
      <w:r>
        <w:rPr>
          <w:rFonts w:ascii="Liberation Serif" w:hAnsi="Liberation Serif" w:eastAsia="Segoe UI"/>
          <w:i/>
          <w:iCs/>
          <w:color w:val="000000"/>
          <w:sz w:val="24"/>
          <w:lang w:val="en-US" w:eastAsia="en-US" w:bidi="en-US"/>
        </w:rPr>
        <w:t xml:space="preserve"> não necessariamente realiza a vistoria facultada na licitação ou </w:t>
      </w:r>
      <w:r>
        <w:rPr>
          <w:rFonts w:ascii="Liberation Serif" w:hAnsi="Liberation Serif" w:eastAsia="Segoe UI"/>
          <w:sz w:val="24"/>
          <w:lang w:val="en-US" w:eastAsia="en-US" w:bidi="en-US"/>
        </w:rPr>
        <w:t>contratação direta</w:t>
      </w:r>
      <w:r>
        <w:rPr>
          <w:rFonts w:ascii="Liberation Serif" w:hAnsi="Liberation Serif" w:eastAsia="Segoe UI"/>
          <w:i/>
          <w:iCs/>
          <w:color w:val="000000"/>
          <w:sz w:val="24"/>
          <w:lang w:val="en-US" w:eastAsia="en-US" w:bidi="en-US"/>
        </w:rPr>
        <w:t xml:space="preserve">,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r>
        <w:rPr>
          <w:rFonts w:ascii="Liberation Serif" w:hAnsi="Liberation Serif" w:eastAsia="Segoe UI"/>
          <w:i/>
          <w:iCs/>
          <w:color w:val="000000"/>
          <w:sz w:val="24"/>
          <w:lang w:val="en-US" w:eastAsia="en-US" w:bidi="en-US"/>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w:t>
      </w:r>
      <w:r>
        <w:rPr>
          <w:rFonts w:ascii="Liberation Serif" w:hAnsi="Liberation Serif" w:eastAsia="Segoe UI"/>
          <w:sz w:val="24"/>
          <w:lang w:val="en-US" w:eastAsia="en-US" w:bidi="en-US"/>
        </w:rPr>
        <w:t>dos documentos da licitação ou contratação dire</w:t>
      </w:r>
      <w:r>
        <w:rPr>
          <w:rFonts w:ascii="Liberation Serif" w:hAnsi="Liberation Serif" w:eastAsia="Segoe UI"/>
          <w:i/>
          <w:iCs/>
          <w:color w:val="000000"/>
          <w:sz w:val="24"/>
          <w:lang w:val="en-US" w:eastAsia="en-US" w:bidi="en-US"/>
        </w:rPr>
        <w:t>ta e anexos, somada à sua experiência profissional, que lhe permite emitir a declaração sem conhecer o local e sem incorrer em falsidade.</w:t>
      </w:r>
    </w:p>
    <w:p>
      <w:r>
        <w:rPr>
          <w:rFonts w:ascii="Liberation Serif" w:hAnsi="Liberation Serif" w:eastAsia="Segoe UI"/>
          <w:i/>
          <w:iCs/>
          <w:color w:val="000000"/>
          <w:sz w:val="24"/>
          <w:lang w:val="en-US" w:eastAsia="en-US" w:bidi="en-US"/>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r>
        <w:rPr>
          <w:rFonts w:ascii="Liberation Serif" w:hAnsi="Liberation Serif" w:eastAsia="Segoe UI"/>
          <w:i/>
          <w:iCs/>
          <w:color w:val="000000"/>
          <w:sz w:val="24"/>
          <w:lang w:val="en-US" w:eastAsia="en-US" w:bidi="en-US"/>
        </w:rPr>
        <w:t>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w:t>
      </w:r>
    </w:p>
  </w:comment>
  <w:comment w:id="7"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O </w:t>
      </w:r>
      <w:hyperlink r:id="rId21">
        <w:r>
          <w:rPr>
            <w:rFonts w:ascii="Liberation Serif" w:hAnsi="Liberation Serif" w:eastAsia="Segoe UI"/>
            <w:i/>
            <w:iCs/>
            <w:color w:val="000000"/>
            <w:sz w:val="24"/>
            <w:lang w:val="en-US" w:eastAsia="en-US" w:bidi="en-US"/>
          </w:rPr>
          <w:t>Decreto n.º 10.977, de 23 de fevereiro de 2022</w:t>
        </w:r>
      </w:hyperlink>
      <w:r>
        <w:rPr>
          <w:rFonts w:ascii="Liberation Serif" w:hAnsi="Liberation Serif" w:eastAsia="Segoe UI"/>
          <w:i/>
          <w:iCs/>
          <w:color w:val="000000"/>
          <w:sz w:val="24"/>
          <w:lang w:val="en-US" w:eastAsia="en-US" w:bidi="en-US"/>
        </w:rPr>
        <w:t xml:space="preserve">, que regulamenta </w:t>
      </w:r>
      <w:hyperlink r:id="rId22">
        <w:r>
          <w:rPr>
            <w:rFonts w:ascii="Liberation Serif" w:hAnsi="Liberation Serif" w:eastAsia="Segoe UI"/>
            <w:i/>
            <w:iCs/>
            <w:color w:val="000000"/>
            <w:sz w:val="24"/>
            <w:lang w:val="en-US" w:eastAsia="en-US" w:bidi="en-US"/>
          </w:rPr>
          <w:t>a Lei nº 7.116, de 29 de agosto de 1983</w:t>
        </w:r>
      </w:hyperlink>
      <w:r>
        <w:rPr>
          <w:rFonts w:ascii="Liberation Serif" w:hAnsi="Liberation Serif" w:eastAsia="Segoe UI"/>
          <w:i/>
          <w:iCs/>
          <w:color w:val="000000"/>
          <w:sz w:val="24"/>
          <w:lang w:val="en-US" w:eastAsia="en-US" w:bidi="en-US"/>
        </w:rPr>
        <w:t xml:space="preserve">, para estabelecer os procedimentos e os requisitos para a expedição da Carteira de Identidade por órgãos de identificação dos Estados e do Distrito Federal, e </w:t>
      </w:r>
      <w:hyperlink r:id="rId23">
        <w:r>
          <w:rPr>
            <w:rFonts w:ascii="Liberation Serif" w:hAnsi="Liberation Serif" w:eastAsia="Segoe UI"/>
            <w:i/>
            <w:iCs/>
            <w:color w:val="000000"/>
            <w:sz w:val="24"/>
            <w:lang w:val="en-US" w:eastAsia="en-US" w:bidi="en-US"/>
          </w:rPr>
          <w:t>a Lei nº 9.454, de 7 de abril de 1997</w:t>
        </w:r>
      </w:hyperlink>
      <w:r>
        <w:rPr>
          <w:rFonts w:ascii="Liberation Serif" w:hAnsi="Liberation Serif" w:eastAsia="Segoe UI"/>
          <w:i/>
          <w:iCs/>
          <w:color w:val="000000"/>
          <w:sz w:val="24"/>
          <w:lang w:val="en-US" w:eastAsia="en-US" w:bidi="en-US"/>
        </w:rPr>
        <w:t>, para estabelecer o Serviço de Identificação do Cidadão como o Sistema Nacional de Registro de Identificação Civil. Em seu art. 3º, o Decreto estabelece que a Carteira de Identidade adota o número de inscrição no Cadastro de Pessoas Físicas - CPF como registro geral nacional previsto no inciso IV do caput do art. 11.</w:t>
      </w:r>
    </w:p>
  </w:comment>
  <w:comment w:id="8"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Este item deve ser adaptado de acordo com as necessidades específicas do órgão ou entidade, apresentando-se, este modelo, de forma meramente exemplificativa.</w:t>
      </w:r>
    </w:p>
  </w:comment>
  <w:comment w:id="9"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Recomenda-se que seja inserida data de início e data de fim de cada etapa para que fique clara a ocorrência de eventuais atrasos.</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Estas previsões são meramente ilustrativas. Havendo a necessidade de alteração ou inclusão de dados para cada etapa, os subitens devem ser alterados.</w:t>
      </w:r>
    </w:p>
    <w:p>
      <w:r>
        <w:rPr>
          <w:rFonts w:ascii="Liberation Serif" w:hAnsi="Liberation Serif" w:eastAsia="Segoe UI"/>
          <w:b/>
          <w:bCs/>
          <w:i/>
          <w:iCs/>
          <w:sz w:val="24"/>
          <w:lang w:val="en-US" w:eastAsia="en-US" w:bidi="en-US"/>
        </w:rPr>
        <w:t xml:space="preserve">Nota Explicativa 3: </w:t>
      </w:r>
      <w:r>
        <w:rPr>
          <w:rFonts w:ascii="Liberation Serif" w:hAnsi="Liberation Serif" w:eastAsia="Segoe UI"/>
          <w:i/>
          <w:iCs/>
          <w:sz w:val="24"/>
          <w:lang w:val="en-US" w:eastAsia="en-US" w:bidi="en-US"/>
        </w:rPr>
        <w:t>Havendo a necessidade de especificar as rotinas de trabalho, recomenda-se trazê-las em item específico, sem prejuízo da possibilidade de incluir um anexo com caderno de encargos, especificações técnicas ou documento análogo em que a forma de trabalho esperada do contratado (para além do já previsto neste instrumento) conste de forma mais detalhada.</w:t>
      </w:r>
    </w:p>
  </w:comment>
  <w:comment w:id="10"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Caso haja mais de um endereço, deve-se especificar. Do mesmo modo, se os endereços se modificarem conforme cada etapa/fase do serviço. Ademais, se houver a necessidade de previamente se acordar a data ou hora de prestação do serviço com o competente, deve-se especificar essa obrigação.</w:t>
      </w:r>
    </w:p>
  </w:comment>
  <w:comment w:id="11"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w:t>
      </w:r>
      <w:r>
        <w:rPr>
          <w:rFonts w:ascii="Liberation Serif" w:hAnsi="Liberation Serif" w:eastAsia="Segoe UI" w:cs="Arial"/>
          <w:sz w:val="24"/>
          <w:lang w:val="en-US" w:eastAsia="en-US" w:bidi="en-US"/>
        </w:rPr>
        <w:t xml:space="preserve">Este item só deverá constar no Termo de Referência caso os serviços englobem também a disponibilização de material de consumo e de uso duradouro em favor da Administração, devendo, nesse caso, ser fixada a previsão da estimativa de consumo e de padrões mínimos de qualidade. </w:t>
      </w:r>
      <w:r>
        <w:rPr>
          <w:rFonts w:ascii="Liberation Serif" w:hAnsi="Liberation Serif" w:eastAsia="Segoe UI"/>
          <w:iCs/>
          <w:color w:val="000000"/>
          <w:sz w:val="24"/>
          <w:lang w:val="en-US" w:eastAsia="en-US" w:bidi="en-US"/>
        </w:rPr>
        <w:t>O CATMAT disponibiliza especificações técnicas de materiais com menor impacto ambiental (CATMAT Sustentável).</w:t>
      </w:r>
    </w:p>
  </w:comment>
  <w:comment w:id="12"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Vale lembrar que sem o conhecimento preciso das particularidades e das necessidades do órgão, o contratado terá dificuldade para dimensionar perfeitamente sua proposta, o que poderá acarretar sérios problemas futuros na execução contratual.</w:t>
      </w:r>
    </w:p>
  </w:comment>
  <w:comment w:id="13"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Fica a critério da Administração exigir - ou não - a garantia contratual do serviço ou bens empregados em sua execução, de forma complementar à garantia legal, o que pode ser feito mediante a devida fundamentação, a ser exposta neste item do Termo de Referência. Não a exigindo, deverá suprimir o item. </w:t>
      </w:r>
    </w:p>
    <w:p>
      <w:r>
        <w:rPr>
          <w:rFonts w:ascii="Liberation Serif" w:hAnsi="Liberation Serif" w:eastAsia="Segoe UI"/>
          <w:sz w:val="24"/>
          <w:lang w:val="en-US" w:eastAsia="en-US" w:bidi="en-US"/>
        </w:rPr>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O </w:t>
      </w:r>
      <w:r>
        <w:fldChar w:fldCharType="begin"/>
      </w:r>
      <w:r>
        <w:instrText xml:space="preserve"> HYPERLINK "https://www.gov.br/compras/pt-br/acesso-a-informacao/legislacao/instrucoes-normativas/instrucao-normativa-seges-me-no-81-de-25-de-novembro-de-2022" \l "art9"</w:instrText>
      </w:r>
      <w:r>
        <w:fldChar w:fldCharType="separate"/>
      </w:r>
      <w:r>
        <w:rPr>
          <w:rFonts w:ascii="Liberation Serif" w:hAnsi="Liberation Serif" w:eastAsia="Segoe UI"/>
          <w:i/>
          <w:iCs/>
          <w:color w:val="000000"/>
          <w:sz w:val="24"/>
          <w:lang w:val="en-US" w:eastAsia="en-US" w:bidi="en-US"/>
        </w:rPr>
        <w:t>artigo 9º, inciso alínea “d” da IN Seges/ME nº 81 de 2022</w:t>
      </w:r>
      <w:r>
        <w:fldChar w:fldCharType="end"/>
      </w:r>
      <w:r>
        <w:rPr>
          <w:rFonts w:ascii="Liberation Serif" w:hAnsi="Liberation Serif" w:eastAsia="Segoe UI"/>
          <w:i/>
          <w:iCs/>
          <w:sz w:val="24"/>
          <w:lang w:val="en-US" w:eastAsia="en-US" w:bidi="en-US"/>
        </w:rPr>
        <w:t xml:space="preserve"> ex</w:t>
      </w:r>
      <w:r>
        <w:rPr>
          <w:rFonts w:ascii="Liberation Serif" w:hAnsi="Liberation Serif" w:eastAsia="Segoe UI"/>
          <w:i/>
          <w:iCs/>
          <w:color w:val="000000"/>
          <w:sz w:val="24"/>
          <w:lang w:val="en-US" w:eastAsia="en-US" w:bidi="en-US"/>
        </w:rPr>
        <w:t>ige que a inserção no TR Digital da especificação da garantia exigida e das condições de manutenção e assistência técnica, quando for o caso.</w:t>
      </w:r>
    </w:p>
    <w:p>
      <w:r>
        <w:rPr>
          <w:rFonts w:ascii="Liberation Serif" w:hAnsi="Liberation Serif" w:eastAsia="Segoe UI"/>
          <w:sz w:val="24"/>
          <w:lang w:val="en-US" w:eastAsia="en-US" w:bidi="en-US"/>
        </w:rPr>
      </w:r>
    </w:p>
    <w:p>
      <w:r>
        <w:rPr>
          <w:rFonts w:ascii="Liberation Serif" w:hAnsi="Liberation Serif" w:eastAsia="Segoe UI"/>
          <w:b/>
          <w:bCs/>
          <w:i/>
          <w:iCs/>
          <w:color w:val="000000"/>
          <w:sz w:val="24"/>
          <w:lang w:val="en-US" w:eastAsia="en-US" w:bidi="en-US"/>
        </w:rPr>
        <w:t>Nota Explicativa 3:</w:t>
      </w:r>
      <w:r>
        <w:rPr>
          <w:rFonts w:ascii="Liberation Serif" w:hAnsi="Liberation Serif" w:eastAsia="Segoe UI"/>
          <w:b/>
          <w:bCs/>
          <w:i/>
          <w:iCs/>
          <w:sz w:val="24"/>
          <w:lang w:val="en-US" w:eastAsia="en-US" w:bidi="en-US"/>
        </w:rPr>
        <w:t xml:space="preserve"> </w:t>
      </w:r>
      <w:r>
        <w:rPr>
          <w:rFonts w:ascii="Liberation Serif" w:hAnsi="Liberation Serif" w:eastAsia="Segoe UI"/>
          <w:i/>
          <w:iCs/>
          <w:sz w:val="24"/>
          <w:lang w:val="en-US" w:eastAsia="en-US" w:bidi="en-US"/>
        </w:rPr>
        <w:t>A exigência de garantia, bem como o prazo previsto devem ser justificados nos autos.</w:t>
      </w:r>
    </w:p>
  </w:comment>
  <w:comment w:id="14" w:author="Autor" w:date="0-00-00T00:00:00Z" w:initials="A">
    <w:p>
      <w:r>
        <w:rPr>
          <w:rFonts w:ascii="Liberation Serif" w:hAnsi="Liberation Serif" w:eastAsia="Segoe UI"/>
          <w:b/>
          <w:bCs/>
          <w:i/>
          <w:iCs/>
          <w:sz w:val="24"/>
          <w:lang w:val="en-US" w:eastAsia="en-US" w:bidi="en-US"/>
        </w:rPr>
        <w:t xml:space="preserve">Nota Explicativa: </w:t>
      </w:r>
      <w:r>
        <w:rPr>
          <w:rFonts w:ascii="Liberation Serif" w:hAnsi="Liberation Serif" w:eastAsia="Segoe UI"/>
          <w:i/>
          <w:iCs/>
          <w:sz w:val="24"/>
          <w:lang w:val="en-US" w:eastAsia="en-US" w:bidi="en-US"/>
        </w:rPr>
        <w:t>Caso exigido,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Deve a Administração especificar essas exigências.</w:t>
      </w:r>
    </w:p>
  </w:comment>
  <w:comment w:id="15"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sz w:val="24"/>
          <w:lang w:val="en-US" w:eastAsia="en-US" w:bidi="en-US"/>
        </w:rPr>
        <w:t xml:space="preserve">: </w:t>
      </w:r>
      <w:r>
        <w:rPr>
          <w:rFonts w:ascii="Liberation Serif" w:hAnsi="Liberation Serif" w:eastAsia="Segoe UI"/>
          <w:i/>
          <w:iCs/>
          <w:sz w:val="24"/>
          <w:lang w:val="en-US" w:eastAsia="en-US" w:bidi="en-US"/>
        </w:rPr>
        <w:t xml:space="preserve">Embora a </w:t>
      </w:r>
      <w:r>
        <w:rPr>
          <w:rFonts w:ascii="Liberation Serif" w:hAnsi="Liberation Serif" w:eastAsia="Segoe UI"/>
          <w:sz w:val="24"/>
          <w:lang w:val="en-US" w:eastAsia="en-US" w:bidi="en-US"/>
        </w:rPr>
        <w:t>INSTRUÇÃO NORMATIVA SEGES/ME Nº 98/2022 tenha autorizado a aplicação da IN05/2017, no que couber, é certo que a edição do Decreto nº 11.246/2022 regulamentou o tema sem distinção quanto ao tipo de contratação, devendo a regra do TR se compatibilizar aos limites do referido Decreto.</w:t>
      </w:r>
    </w:p>
  </w:comment>
  <w:comment w:id="16"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Os gestores e fiscais do contrato serão designados pela autoridade máxima do órgão ou da entidade, ou a quem as normas de organização administrativa indicarem, na forma do </w:t>
      </w:r>
      <w:r>
        <w:fldChar w:fldCharType="begin"/>
      </w:r>
      <w:r>
        <w:instrText xml:space="preserve"> HYPERLINK "http://www.planalto.gov.br/ccivil_03/_ato2019-2022/2021/lei/L14133.htm" \l "art7"</w:instrText>
      </w:r>
      <w:r>
        <w:fldChar w:fldCharType="separate"/>
      </w:r>
      <w:r>
        <w:rPr>
          <w:rFonts w:ascii="Liberation Serif" w:hAnsi="Liberation Serif" w:eastAsia="Segoe UI"/>
          <w:i/>
          <w:iCs/>
          <w:color w:val="000000"/>
          <w:sz w:val="24"/>
          <w:lang w:val="en-US" w:eastAsia="en-US" w:bidi="en-US"/>
        </w:rPr>
        <w:t>art. 7º da Lei nº 14.133, de 2021</w:t>
      </w:r>
      <w:r>
        <w:fldChar w:fldCharType="end"/>
      </w:r>
      <w:r>
        <w:rPr>
          <w:rFonts w:ascii="Liberation Serif" w:hAnsi="Liberation Serif" w:eastAsia="Segoe UI"/>
          <w:i/>
          <w:iCs/>
          <w:color w:val="000000"/>
          <w:sz w:val="24"/>
          <w:lang w:val="en-US" w:eastAsia="en-US" w:bidi="en-US"/>
        </w:rPr>
        <w:t xml:space="preserve">, e </w:t>
      </w:r>
      <w:hyperlink r:id="rId24">
        <w:r>
          <w:rPr>
            <w:rFonts w:ascii="Liberation Serif" w:hAnsi="Liberation Serif" w:eastAsia="Segoe UI"/>
            <w:i/>
            <w:iCs/>
            <w:color w:val="000000"/>
            <w:sz w:val="24"/>
            <w:lang w:val="en-US" w:eastAsia="en-US" w:bidi="en-US"/>
          </w:rPr>
          <w:t>art. 8º do Decreto nº 11.246, de 2022</w:t>
        </w:r>
      </w:hyperlink>
      <w:r>
        <w:rPr>
          <w:rFonts w:ascii="Liberation Serif" w:hAnsi="Liberation Serif" w:eastAsia="Segoe UI"/>
          <w:i/>
          <w:iCs/>
          <w:color w:val="000000"/>
          <w:sz w:val="24"/>
          <w:lang w:val="en-US" w:eastAsia="en-US" w:bidi="en-US"/>
        </w:rPr>
        <w:t>, devendo a Administração instruir os autos com as publicações dos atos de designação dos agentes públicos para o exercício dessas funções.</w:t>
      </w:r>
    </w:p>
  </w:comment>
  <w:comment w:id="17"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A execução dos contratos deve ser acompanhada por meio de instrumentos de controle que permitam a mensuração de resultados e adequação do objeto prestado. Diante da falta de regulamentação à luz da Lei nº 14.133, de 2021, optou-se por adotar aqui as regras da </w:t>
      </w:r>
      <w:hyperlink r:id="rId25">
        <w:r>
          <w:rPr>
            <w:rFonts w:ascii="Liberation Serif" w:hAnsi="Liberation Serif" w:eastAsia="Segoe UI"/>
            <w:i/>
            <w:iCs/>
            <w:color w:val="000000"/>
            <w:sz w:val="24"/>
            <w:lang w:val="en-US" w:eastAsia="en-US" w:bidi="en-US"/>
          </w:rPr>
          <w:t>Instrução Normativa SEGES/MPDG nº 5, de 26 de maio de 2017</w:t>
        </w:r>
      </w:hyperlink>
      <w:r>
        <w:rPr>
          <w:rFonts w:ascii="Liberation Serif" w:hAnsi="Liberation Serif" w:eastAsia="Segoe UI"/>
          <w:i/>
          <w:iCs/>
          <w:color w:val="000000"/>
          <w:sz w:val="24"/>
          <w:lang w:val="en-US" w:eastAsia="en-US" w:bidi="en-US"/>
        </w:rPr>
        <w:t xml:space="preserve"> como referência de boas práticas. Estes instrumentos de controle, o Instrumento de Medição de Resultado (IMR) ou instrumento equivalente, foram idealizados, inicialmente, para contratos de prestação de serviços como mecanismo de monitoramento e mensuração da qualidade e pontualidade na prestação dos serviços e, consequentemente, como forma de adequar os valores devidos como pagamento aos índices de qualidade verificados. Contudo, para correta aplicação da regra insculpida acima, é necessário que o órgão estabeleça quais são os critérios de avaliação e os devidos parâmetros, de forma a se obter uma fórmula que permita quantificar o grau de satisfação na execução do objeto contratado, e, consequentemente, o montante devido em pagamento. Sem o devido estabelecimento dos critérios e parâmetros de avaliação dos itens previstos no artigo, a cláusula torna-se inexequível, absolutamente destituída de efeitos. Dessa forma, para que seja possível efetuar a glosa, é necessário definir, objetivamente, quais os parâmetros para mensuração do percentual do pagamento devido em razão dos níveis esperados de qualidade da prestação do serviço.</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Caso o órgão não tenha elaborado o IMR, deverá suprimir os trechos em itálico que fazem referência a ele.</w:t>
      </w:r>
    </w:p>
    <w:p>
      <w:r>
        <w:rPr>
          <w:rFonts w:ascii="Liberation Serif" w:hAnsi="Liberation Serif" w:eastAsia="Segoe UI"/>
          <w:b/>
          <w:bCs/>
          <w:i/>
          <w:iCs/>
          <w:color w:val="000000"/>
          <w:sz w:val="24"/>
          <w:lang w:val="en-US" w:eastAsia="en-US" w:bidi="en-US"/>
        </w:rPr>
        <w:t>Nota Explicativa 3:</w:t>
      </w:r>
      <w:r>
        <w:rPr>
          <w:rFonts w:ascii="Liberation Serif" w:hAnsi="Liberation Serif" w:eastAsia="Segoe UI"/>
          <w:i/>
          <w:iCs/>
          <w:color w:val="000000"/>
          <w:sz w:val="24"/>
          <w:lang w:val="en-US" w:eastAsia="en-US" w:bidi="en-US"/>
        </w:rPr>
        <w:t xml:space="preserve"> Para que seja possível efetuar a glosa, é necessário definir, objetivamente, no IMR ou instrumento equivalente, quais os parâmetros para mensuração do percentual do pagamento devido em razão dos níveis esperados de qualidade da prestação do serviço.</w:t>
      </w:r>
    </w:p>
  </w:comment>
  <w:comment w:id="18"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 xml:space="preserve">Ao contrário da Lei nº 8.666/93, a Lei nº 14.133/21 não trouxe prazo máximo de recebimento provisório ou definitivo, e o </w:t>
      </w:r>
      <w:r>
        <w:fldChar w:fldCharType="begin"/>
      </w:r>
      <w:r>
        <w:instrText xml:space="preserve"> HYPERLINK "http://www.planalto.gov.br/ccivil_03/_ato2019-2022/2022/decreto/D11246.htm" \l "art25"</w:instrText>
      </w:r>
      <w:r>
        <w:fldChar w:fldCharType="separate"/>
      </w:r>
      <w:r>
        <w:rPr>
          <w:rFonts w:ascii="Liberation Serif" w:hAnsi="Liberation Serif" w:eastAsia="Segoe UI"/>
          <w:i/>
          <w:iCs/>
          <w:color w:val="000000"/>
          <w:sz w:val="24"/>
          <w:lang w:val="en-US" w:eastAsia="en-US" w:bidi="en-US"/>
        </w:rPr>
        <w:t>parágrafo único do art. 25 Decreto nº 11.246, de 2022</w:t>
      </w:r>
      <w:r>
        <w:fldChar w:fldCharType="end"/>
      </w:r>
      <w:r>
        <w:rPr>
          <w:rFonts w:ascii="Liberation Serif" w:hAnsi="Liberation Serif" w:eastAsia="Segoe UI"/>
          <w:i/>
          <w:iCs/>
          <w:color w:val="000000"/>
          <w:sz w:val="24"/>
          <w:lang w:val="en-US" w:eastAsia="en-US" w:bidi="en-US"/>
        </w:rPr>
        <w:t xml:space="preserve"> expressamente remete a regulamento (ainda não editado) ou ao contrato. Assim, necessário estabelecer o prazo julgado adequado. Dito isso, o tempo discorrido para todas as providências burocráticas até o efetivo pagamento é disposição de grande importância para o futuro contratado e um período muito alargado pode tornar a contratação desinteressante por ser muito onerosa financeiramente. Desse modo, recomenda-se que o prazo seja dimensionado para que corresponda ao período razoável à checagem necessária, sem que traga um ônus excessivo que venha a afastar potenciais interessados.</w:t>
      </w:r>
    </w:p>
    <w:p>
      <w:r>
        <w:rPr>
          <w:rFonts w:ascii="Liberation Serif" w:hAnsi="Liberation Serif" w:eastAsia="Segoe UI"/>
          <w:b/>
          <w:bCs/>
          <w:i/>
          <w:iCs/>
          <w:color w:val="000000"/>
          <w:sz w:val="24"/>
          <w:lang w:val="en-US" w:eastAsia="en-US" w:bidi="en-US"/>
        </w:rPr>
        <w:t xml:space="preserve">Nota Explicativa 2: </w:t>
      </w:r>
      <w:r>
        <w:rPr>
          <w:rFonts w:ascii="Liberation Serif" w:hAnsi="Liberation Serif" w:eastAsia="Segoe UI"/>
          <w:i/>
          <w:iCs/>
          <w:color w:val="000000"/>
          <w:sz w:val="24"/>
          <w:lang w:val="en-US" w:eastAsia="en-US" w:bidi="en-US"/>
        </w:rPr>
        <w:t xml:space="preserve">O </w:t>
      </w:r>
      <w:hyperlink r:id="rId26">
        <w:r>
          <w:rPr>
            <w:rFonts w:ascii="Liberation Serif" w:hAnsi="Liberation Serif" w:eastAsia="Segoe UI"/>
            <w:i/>
            <w:iCs/>
            <w:color w:val="000000"/>
            <w:sz w:val="24"/>
            <w:lang w:val="en-US" w:eastAsia="en-US" w:bidi="en-US"/>
          </w:rPr>
          <w:t>art. 7º da Instrução Normativa nº 77/2022-Seges/ME</w:t>
        </w:r>
      </w:hyperlink>
      <w:r>
        <w:rPr>
          <w:rFonts w:ascii="Liberation Serif" w:hAnsi="Liberation Serif" w:eastAsia="Segoe UI"/>
          <w:i/>
          <w:iCs/>
          <w:color w:val="000000"/>
          <w:sz w:val="24"/>
          <w:lang w:val="en-US" w:eastAsia="en-US" w:bidi="en-US"/>
        </w:rPr>
        <w:t xml:space="preserve"> dispõe que o prazo de liquidação é limitado a dez dias úteis, “a contar do recebimento da nota fiscal ou instrumento de cobrança equivalente pela Administração”.</w:t>
      </w:r>
    </w:p>
    <w:p>
      <w:r>
        <w:rPr>
          <w:rFonts w:ascii="Liberation Serif" w:hAnsi="Liberation Serif" w:eastAsia="Segoe UI"/>
          <w:i/>
          <w:iCs/>
          <w:color w:val="000000"/>
          <w:sz w:val="24"/>
          <w:lang w:val="en-US" w:eastAsia="en-US" w:bidi="en-US"/>
        </w:rPr>
        <w:t>No caso das aquisições, a Nota Fiscal acompanha o fornecimento do produto, razão pela qual os prazos de recebimento provisório e definitivo devem estar abrangidos no prazo de liquidação.</w:t>
      </w:r>
    </w:p>
    <w:p>
      <w:r>
        <w:rPr>
          <w:rFonts w:ascii="Liberation Serif" w:hAnsi="Liberation Serif" w:eastAsia="Segoe UI"/>
          <w:i/>
          <w:iCs/>
          <w:color w:val="000000"/>
          <w:sz w:val="24"/>
          <w:lang w:val="en-US" w:eastAsia="en-US" w:bidi="en-US"/>
        </w:rPr>
        <w:t>Já nos serviços adota-se sistemática distinta, em que primeiro o contratado comunica a finalização do serviço ou de etapa deste, para que então a Administração efetue o recebimento provisório e definitivo e autorize a emissão da Nota Fiscal, nos valores já líquidos e certos. Isso evita os constantes cancelamentos de Notas Fiscais por diferenças de valores e o desatendimento de obrigações tributárias, notadamente quanto ao prazo de recolhimento.</w:t>
      </w:r>
    </w:p>
    <w:p>
      <w:r>
        <w:rPr>
          <w:rFonts w:ascii="Liberation Serif" w:hAnsi="Liberation Serif" w:eastAsia="Segoe UI"/>
          <w:i/>
          <w:iCs/>
          <w:color w:val="000000"/>
          <w:sz w:val="24"/>
          <w:lang w:val="en-US" w:eastAsia="en-US" w:bidi="en-US"/>
        </w:rPr>
        <w:t>Deste modo, nos serviços o prazo de dez dias para a liquidação é contado após os prazos de recebimento provisório e definitivo, e não juntamente com esses.</w:t>
      </w:r>
    </w:p>
    <w:p>
      <w:r>
        <w:rPr>
          <w:rFonts w:ascii="Liberation Serif" w:hAnsi="Liberation Serif" w:eastAsia="Segoe UI"/>
          <w:i/>
          <w:iCs/>
          <w:color w:val="000000"/>
          <w:sz w:val="24"/>
          <w:lang w:val="en-US" w:eastAsia="en-US" w:bidi="en-US"/>
        </w:rPr>
        <w:t xml:space="preserve">Em vista disso, reitera-se a importância de se prever prazos menores para essa etapa, com vistas a manter o negócio atrativo aos potenciais fornecedores. Prazos muito longos acabariam frustrando o objetivo preconizado no </w:t>
      </w:r>
      <w:r>
        <w:fldChar w:fldCharType="begin"/>
      </w:r>
      <w:r>
        <w:instrText xml:space="preserve"> HYPERLINK "https://www.gov.br/compras/pt-br/acesso-a-informacao/legislacao/instrucoes-normativas/instrucao-normativa-seges-me-no-77-de-4-de-novembro-de-2022" \l "art7"</w:instrText>
      </w:r>
      <w:r>
        <w:fldChar w:fldCharType="separate"/>
      </w:r>
      <w:r>
        <w:rPr>
          <w:rFonts w:ascii="Liberation Serif" w:hAnsi="Liberation Serif" w:eastAsia="Segoe UI"/>
          <w:i/>
          <w:iCs/>
          <w:color w:val="000000"/>
          <w:sz w:val="24"/>
          <w:lang w:val="en-US" w:eastAsia="en-US" w:bidi="en-US"/>
        </w:rPr>
        <w:t>art. 7º da Instrução Normativa nº 77/2022-Seges/ME</w:t>
      </w:r>
      <w:r>
        <w:fldChar w:fldCharType="end"/>
      </w:r>
      <w:r>
        <w:rPr>
          <w:rFonts w:ascii="Liberation Serif" w:hAnsi="Liberation Serif" w:eastAsia="Segoe UI"/>
          <w:i/>
          <w:iCs/>
          <w:color w:val="000000"/>
          <w:sz w:val="24"/>
          <w:lang w:val="en-US" w:eastAsia="en-US" w:bidi="en-US"/>
        </w:rPr>
        <w:t>.</w:t>
      </w:r>
    </w:p>
  </w:comment>
  <w:comment w:id="19"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Assim como ocorre com o prazo de recebimento provisório, a Lei nº 14.133/21 não trouxe prazo máximo de recebimento definitivo, de modo que possível a previsão de qualquer prazo julgado oportuno. Nesse ponto, reitere-se: recomenda-se que o prazo seja dimensionado para que corresponda ao período razoável à checagem necessária, sem que traga um ônus excessivo que venha a afastar potenciais interessados.</w:t>
      </w:r>
    </w:p>
  </w:comment>
  <w:comment w:id="20"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21" w:author="Autor" w:date="0-00-00T00:00:00Z" w:initials="A">
    <w:p>
      <w:r>
        <w:rPr>
          <w:rFonts w:ascii="Liberation Serif" w:hAnsi="Liberation Serif" w:eastAsia="Segoe UI"/>
          <w:sz w:val="24"/>
          <w:lang w:val="en-US" w:eastAsia="en-US" w:bidi="en-US"/>
        </w:rPr>
      </w:r>
    </w:p>
    <w:p>
      <w:r>
        <w:rPr>
          <w:rFonts w:ascii="Liberation Serif" w:hAnsi="Liberation Serif" w:eastAsia="Segoe UI"/>
          <w:b/>
          <w:bCs/>
          <w:i/>
          <w:iCs/>
          <w:sz w:val="24"/>
          <w:lang w:val="en-US" w:eastAsia="en-US" w:bidi="en-US"/>
        </w:rPr>
        <w:t>Nota Explicativa 1:</w:t>
      </w:r>
      <w:r>
        <w:rPr>
          <w:rFonts w:ascii="Liberation Serif" w:hAnsi="Liberation Serif" w:eastAsia="Segoe UI"/>
          <w:sz w:val="24"/>
          <w:lang w:val="en-US" w:eastAsia="en-US" w:bidi="en-US"/>
        </w:rPr>
        <w:t xml:space="preserve"> O regime de execução deve ser sopesado e explicitado pela Administração, em particular em termos de eficiência na gestão contratual. Como regra, exige-se que as características qualitativas e quantitativas do objeto sejam previamente definidas no edital </w:t>
      </w:r>
      <w:r>
        <w:rPr>
          <w:rFonts w:ascii="Liberation Serif" w:hAnsi="Liberation Serif" w:eastAsia="Segoe UI"/>
          <w:sz w:val="24"/>
          <w:lang w:val="en-US" w:eastAsia="en-US" w:bidi="en-US"/>
        </w:rPr>
        <w:t>ou aviso</w:t>
      </w:r>
      <w:r>
        <w:rPr>
          <w:rFonts w:ascii="Liberation Serif" w:hAnsi="Liberation Serif" w:eastAsia="Segoe UI"/>
          <w:sz w:val="24"/>
          <w:lang w:val="en-US" w:eastAsia="en-US" w:bidi="en-US"/>
        </w:rPr>
        <w:t xml:space="preserve">, permitindo-se aos </w:t>
      </w:r>
      <w:r>
        <w:rPr>
          <w:rFonts w:ascii="Liberation Serif" w:hAnsi="Liberation Serif" w:eastAsia="Segoe UI"/>
          <w:sz w:val="24"/>
          <w:lang w:val="en-US" w:eastAsia="en-US" w:bidi="en-US"/>
        </w:rPr>
        <w:t>interessados</w:t>
      </w:r>
      <w:r>
        <w:rPr>
          <w:rFonts w:ascii="Liberation Serif" w:hAnsi="Liberation Serif" w:eastAsia="Segoe UI"/>
          <w:sz w:val="24"/>
          <w:lang w:val="en-US" w:eastAsia="en-US" w:bidi="en-US"/>
        </w:rPr>
        <w:t xml:space="preserve">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w:t>
      </w:r>
      <w:r>
        <w:rPr>
          <w:rFonts w:ascii="Liberation Serif" w:hAnsi="Liberation Serif" w:eastAsia="Segoe UI"/>
          <w:sz w:val="24"/>
          <w:lang w:val="en-US" w:eastAsia="en-US" w:bidi="en-US"/>
        </w:rPr>
        <w:t>interessados</w:t>
      </w:r>
      <w:r>
        <w:rPr>
          <w:rFonts w:ascii="Liberation Serif" w:hAnsi="Liberation Serif" w:eastAsia="Segoe UI"/>
          <w:sz w:val="24"/>
          <w:lang w:val="en-US" w:eastAsia="en-US" w:bidi="en-US"/>
        </w:rPr>
        <w:t xml:space="preserve"> todos os elementos e informações necessários para o total e completo conhecimento do objeto e a elaboração de proposta fidedigna (</w:t>
      </w:r>
      <w:r>
        <w:rPr>
          <w:rFonts w:ascii="Liberation Serif" w:hAnsi="Liberation Serif" w:eastAsia="Segoe UI"/>
          <w:i/>
          <w:iCs/>
          <w:sz w:val="24"/>
          <w:lang w:val="en-US" w:eastAsia="en-US" w:bidi="en-US"/>
        </w:rPr>
        <w:t>art. 47 da Lei nº 8.666, de 1993), para evitar distorções relevantes no decorrer da execução contratual (TCU. Acórdão 1978/2013-Plenário, TC 007.109/2013-0, relator Ministro Valmir Campelo, 31.7.2013).</w:t>
      </w:r>
      <w:r>
        <w:rPr>
          <w:rFonts w:ascii="Liberation Serif" w:hAnsi="Liberation Serif" w:eastAsia="Segoe UI"/>
          <w:sz w:val="24"/>
          <w:lang w:val="en-US" w:eastAsia="en-US" w:bidi="en-US"/>
        </w:rPr>
        <w:t xml:space="preserve">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w:t>
      </w:r>
      <w:r>
        <w:rPr>
          <w:rFonts w:ascii="Liberation Serif" w:hAnsi="Liberation Serif" w:eastAsia="Segoe UI"/>
          <w:i/>
          <w:iCs/>
          <w:sz w:val="24"/>
          <w:lang w:val="en-US" w:eastAsia="en-US" w:bidi="en-US"/>
        </w:rPr>
        <w:t>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w:t>
      </w:r>
      <w:r>
        <w:rPr>
          <w:rFonts w:ascii="Liberation Serif" w:hAnsi="Liberation Serif" w:eastAsia="Segoe UI"/>
          <w:sz w:val="24"/>
          <w:lang w:val="en-US" w:eastAsia="en-US" w:bidi="en-US"/>
        </w:rPr>
        <w:t xml:space="preserve">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w:t>
      </w:r>
      <w:r>
        <w:rPr>
          <w:rFonts w:ascii="Liberation Serif" w:hAnsi="Liberation Serif" w:eastAsia="Segoe UI"/>
          <w:b/>
          <w:bCs/>
          <w:sz w:val="24"/>
          <w:lang w:val="en-US" w:eastAsia="en-US" w:bidi="en-US"/>
        </w:rPr>
        <w:t xml:space="preserve">estimativa precisa dos itens e respectivos quantitativos que compõem o objeto a ser </w:t>
      </w:r>
      <w:r>
        <w:rPr>
          <w:rFonts w:ascii="Liberation Serif" w:hAnsi="Liberation Serif" w:eastAsia="Segoe UI"/>
          <w:sz w:val="24"/>
          <w:lang w:val="en-US" w:eastAsia="en-US" w:bidi="en-US"/>
        </w:rPr>
        <w:t>contratado</w:t>
      </w:r>
      <w:r>
        <w:rPr>
          <w:rFonts w:ascii="Liberation Serif" w:hAnsi="Liberation Serif" w:eastAsia="Segoe UI"/>
          <w:b/>
          <w:bCs/>
          <w:sz w:val="24"/>
          <w:lang w:val="en-US" w:eastAsia="en-US" w:bidi="en-US"/>
        </w:rPr>
        <w:t>. Se tal possibilidade existir, a regra é a adoção da empreitada por preço global, normalmente atrelada às obras e serviços de menor complexidade. Do contrário, deve ser adotada a empreitada por preço unitário</w:t>
      </w:r>
    </w:p>
  </w:comment>
  <w:comment w:id="22"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A </w:t>
      </w:r>
      <w:hyperlink r:id="rId27">
        <w:r>
          <w:rPr>
            <w:rFonts w:ascii="Liberation Serif" w:hAnsi="Liberation Serif" w:eastAsia="Segoe UI"/>
            <w:i/>
            <w:iCs/>
            <w:color w:val="000000"/>
            <w:sz w:val="24"/>
            <w:lang w:val="en-US" w:eastAsia="en-US" w:bidi="en-US"/>
          </w:rPr>
          <w:t>Instrução Normativa SEGES/ME nº 116, de 21 de dezembro de 2021</w:t>
        </w:r>
      </w:hyperlink>
      <w:r>
        <w:rPr>
          <w:rFonts w:ascii="Liberation Serif" w:hAnsi="Liberation Serif" w:eastAsia="Segoe UI"/>
          <w:i/>
          <w:iCs/>
          <w:color w:val="000000"/>
          <w:sz w:val="24"/>
          <w:lang w:val="en-US" w:eastAsia="en-US" w:bidi="en-US"/>
        </w:rPr>
        <w:t xml:space="preserve">, estabelece procedimentos para a participação de pessoa física nas contratações públicas regidas pela </w:t>
      </w:r>
      <w:hyperlink r:id="rId28">
        <w:r>
          <w:rPr>
            <w:rFonts w:ascii="Liberation Serif" w:hAnsi="Liberation Serif" w:eastAsia="Segoe UI"/>
            <w:i/>
            <w:iCs/>
            <w:color w:val="000000"/>
            <w:sz w:val="24"/>
            <w:lang w:val="en-US" w:eastAsia="en-US" w:bidi="en-US"/>
          </w:rPr>
          <w:t>Lei nº 14.133, de 2021</w:t>
        </w:r>
      </w:hyperlink>
      <w:r>
        <w:rPr>
          <w:rFonts w:ascii="Liberation Serif" w:hAnsi="Liberation Serif" w:eastAsia="Segoe UI"/>
          <w:i/>
          <w:iCs/>
          <w:color w:val="000000"/>
          <w:sz w:val="24"/>
          <w:lang w:val="en-US" w:eastAsia="en-US" w:bidi="en-US"/>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r>
        <w:rPr>
          <w:rFonts w:ascii="Liberation Serif" w:hAnsi="Liberation Serif" w:eastAsia="Segoe UI"/>
          <w:i/>
          <w:iCs/>
          <w:color w:val="000000"/>
          <w:sz w:val="24"/>
          <w:lang w:val="en-US" w:eastAsia="en-US" w:bidi="en-US"/>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rFonts w:ascii="Liberation Serif" w:hAnsi="Liberation Serif" w:eastAsia="Segoe UI"/>
          <w:b/>
          <w:bCs/>
          <w:i/>
          <w:iCs/>
          <w:color w:val="000000"/>
          <w:sz w:val="24"/>
          <w:lang w:val="en-US" w:eastAsia="en-US" w:bidi="en-US"/>
        </w:rPr>
        <w:t>capital social mínimo</w:t>
      </w:r>
      <w:r>
        <w:rPr>
          <w:rFonts w:ascii="Liberation Serif" w:hAnsi="Liberation Serif" w:eastAsia="Segoe UI"/>
          <w:i/>
          <w:iCs/>
          <w:color w:val="000000"/>
          <w:sz w:val="24"/>
          <w:lang w:val="en-US" w:eastAsia="en-US" w:bidi="en-US"/>
        </w:rPr>
        <w:t xml:space="preserve"> e </w:t>
      </w:r>
      <w:r>
        <w:rPr>
          <w:rFonts w:ascii="Liberation Serif" w:hAnsi="Liberation Serif" w:eastAsia="Segoe UI"/>
          <w:b/>
          <w:bCs/>
          <w:i/>
          <w:iCs/>
          <w:color w:val="000000"/>
          <w:sz w:val="24"/>
          <w:lang w:val="en-US" w:eastAsia="en-US" w:bidi="en-US"/>
        </w:rPr>
        <w:t>estrutura mínima</w:t>
      </w:r>
      <w:r>
        <w:rPr>
          <w:rFonts w:ascii="Liberation Serif" w:hAnsi="Liberation Serif" w:eastAsia="Segoe UI"/>
          <w:i/>
          <w:iCs/>
          <w:color w:val="000000"/>
          <w:sz w:val="24"/>
          <w:lang w:val="en-US" w:eastAsia="en-US" w:bidi="en-US"/>
        </w:rPr>
        <w:t xml:space="preserve">, com equipamentos, instalações e equipe de profissionais ou corpo técnico para a execução do objeto </w:t>
      </w:r>
      <w:r>
        <w:rPr>
          <w:rFonts w:ascii="Liberation Serif" w:hAnsi="Liberation Serif" w:eastAsia="Segoe UI"/>
          <w:b/>
          <w:bCs/>
          <w:i/>
          <w:iCs/>
          <w:color w:val="000000"/>
          <w:sz w:val="24"/>
          <w:lang w:val="en-US" w:eastAsia="en-US" w:bidi="en-US"/>
        </w:rPr>
        <w:t>incompatíveis com a natureza profissional da pessoa física</w:t>
      </w:r>
      <w:r>
        <w:rPr>
          <w:rFonts w:ascii="Liberation Serif" w:hAnsi="Liberation Serif" w:eastAsia="Segoe UI"/>
          <w:i/>
          <w:iCs/>
          <w:color w:val="000000"/>
          <w:sz w:val="24"/>
          <w:lang w:val="en-US" w:eastAsia="en-US" w:bidi="en-US"/>
        </w:rPr>
        <w:t xml:space="preserve">, conforme </w:t>
      </w:r>
      <w:r>
        <w:rPr>
          <w:rFonts w:ascii="Liberation Serif" w:hAnsi="Liberation Serif" w:eastAsia="Segoe UI"/>
          <w:b/>
          <w:bCs/>
          <w:i/>
          <w:iCs/>
          <w:color w:val="000000"/>
          <w:sz w:val="24"/>
          <w:lang w:val="en-US" w:eastAsia="en-US" w:bidi="en-US"/>
        </w:rPr>
        <w:t>demonstrado em estudo técnico preliminar</w:t>
      </w:r>
      <w:r>
        <w:rPr>
          <w:rFonts w:ascii="Liberation Serif" w:hAnsi="Liberation Serif" w:eastAsia="Segoe UI"/>
          <w:i/>
          <w:iCs/>
          <w:color w:val="000000"/>
          <w:sz w:val="24"/>
          <w:lang w:val="en-US" w:eastAsia="en-US" w:bidi="en-US"/>
        </w:rPr>
        <w:t xml:space="preserve">”. Portanto, a possibilidade, ou não, de contratação de pessoas físicas deverá ser objeto de prévia análise e manifestação técnica por parte do órgão contratante, na fase de planejamento da contratação. </w:t>
      </w:r>
    </w:p>
    <w:p>
      <w:r>
        <w:rPr>
          <w:rFonts w:ascii="Liberation Serif" w:hAnsi="Liberation Serif" w:eastAsia="Segoe UI"/>
          <w:i/>
          <w:iCs/>
          <w:color w:val="000000"/>
          <w:sz w:val="24"/>
          <w:lang w:val="en-US" w:eastAsia="en-US" w:bidi="en-US"/>
        </w:rPr>
        <w:t xml:space="preserve">O </w:t>
      </w:r>
      <w:hyperlink r:id="rId29">
        <w:r>
          <w:rPr>
            <w:rFonts w:ascii="Liberation Serif" w:hAnsi="Liberation Serif" w:eastAsia="Segoe UI"/>
            <w:i/>
            <w:iCs/>
            <w:color w:val="000000"/>
            <w:sz w:val="24"/>
            <w:lang w:val="en-US" w:eastAsia="en-US" w:bidi="en-US"/>
          </w:rPr>
          <w:t>Decreto n.º 10.977, de 23 de fevereiro de 2022</w:t>
        </w:r>
      </w:hyperlink>
      <w:r>
        <w:rPr>
          <w:rFonts w:ascii="Liberation Serif" w:hAnsi="Liberation Serif" w:eastAsia="Segoe UI"/>
          <w:i/>
          <w:iCs/>
          <w:color w:val="000000"/>
          <w:sz w:val="24"/>
          <w:lang w:val="en-US" w:eastAsia="en-US" w:bidi="en-US"/>
        </w:rPr>
        <w:t xml:space="preserve">, que regulamenta a </w:t>
      </w:r>
      <w:hyperlink r:id="rId30">
        <w:r>
          <w:rPr>
            <w:rFonts w:ascii="Liberation Serif" w:hAnsi="Liberation Serif" w:eastAsia="Segoe UI"/>
            <w:i/>
            <w:iCs/>
            <w:color w:val="000000"/>
            <w:sz w:val="24"/>
            <w:lang w:val="en-US" w:eastAsia="en-US" w:bidi="en-US"/>
          </w:rPr>
          <w:t>Lei nº 7.116, de 29 de agosto de 1983</w:t>
        </w:r>
      </w:hyperlink>
      <w:r>
        <w:rPr>
          <w:rFonts w:ascii="Liberation Serif" w:hAnsi="Liberation Serif" w:eastAsia="Segoe UI"/>
          <w:i/>
          <w:iCs/>
          <w:color w:val="000000"/>
          <w:sz w:val="24"/>
          <w:lang w:val="en-US" w:eastAsia="en-US" w:bidi="en-US"/>
        </w:rPr>
        <w:t xml:space="preserve">, e a </w:t>
      </w:r>
      <w:r>
        <w:fldChar w:fldCharType="begin"/>
      </w:r>
      <w:r>
        <w:instrText xml:space="preserve"> HYPERLINK "http://www.planalto.gov.br/ccivil_03/leis/l9454.htm" \l "art3"</w:instrText>
      </w:r>
      <w:r>
        <w:fldChar w:fldCharType="separate"/>
      </w:r>
      <w:r>
        <w:rPr>
          <w:rFonts w:ascii="Liberation Serif" w:hAnsi="Liberation Serif" w:eastAsia="Segoe UI"/>
          <w:i/>
          <w:iCs/>
          <w:color w:val="000000"/>
          <w:sz w:val="24"/>
          <w:lang w:val="en-US" w:eastAsia="en-US" w:bidi="en-US"/>
        </w:rPr>
        <w:t>Lei nº 9.454, de 7 de abril de 1997</w:t>
      </w:r>
      <w:r>
        <w:fldChar w:fldCharType="end"/>
      </w:r>
      <w:r>
        <w:rPr>
          <w:rFonts w:ascii="Liberation Serif" w:hAnsi="Liberation Serif" w:eastAsia="Segoe UI"/>
          <w:i/>
          <w:iCs/>
          <w:color w:val="000000"/>
          <w:sz w:val="24"/>
          <w:lang w:val="en-US" w:eastAsia="en-US" w:bidi="en-US"/>
        </w:rPr>
        <w:t>, estabelece, em seu art. 3º, que a Carteira de Identidade passa a adotar o número de inscrição no Cadastro de Pessoas Físicas - CPF como o número do registro geral nacional previsto no inciso IV do </w:t>
      </w:r>
      <w:r>
        <w:rPr>
          <w:rFonts w:ascii="Liberation Serif" w:hAnsi="Liberation Serif" w:eastAsia="Segoe UI"/>
          <w:b/>
          <w:bCs/>
          <w:i/>
          <w:iCs/>
          <w:color w:val="000000"/>
          <w:sz w:val="24"/>
          <w:lang w:val="en-US" w:eastAsia="en-US" w:bidi="en-US"/>
        </w:rPr>
        <w:t>caput </w:t>
      </w:r>
      <w:r>
        <w:rPr>
          <w:rFonts w:ascii="Liberation Serif" w:hAnsi="Liberation Serif" w:eastAsia="Segoe UI"/>
          <w:i/>
          <w:iCs/>
          <w:color w:val="000000"/>
          <w:sz w:val="24"/>
          <w:lang w:val="en-US" w:eastAsia="en-US" w:bidi="en-US"/>
        </w:rPr>
        <w:t>do seu art. 11.</w:t>
      </w:r>
    </w:p>
  </w:comment>
  <w:comment w:id="23"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O </w:t>
      </w:r>
      <w:r>
        <w:fldChar w:fldCharType="begin"/>
      </w:r>
      <w:r>
        <w:instrText xml:space="preserve"> HYPERLINK "https://www.planalto.gov.br/ccivil_03/_ato2019-2022/2021/lei/L14195.htm" \l "art41"</w:instrText>
      </w:r>
      <w:r>
        <w:fldChar w:fldCharType="separate"/>
      </w:r>
      <w:r>
        <w:rPr>
          <w:rFonts w:ascii="Liberation Serif" w:hAnsi="Liberation Serif" w:eastAsia="Segoe UI"/>
          <w:i/>
          <w:iCs/>
          <w:color w:val="000000"/>
          <w:sz w:val="24"/>
          <w:lang w:val="en-US" w:eastAsia="en-US" w:bidi="en-US"/>
        </w:rPr>
        <w:t>art. 41 da Lei nº 14.195, de 26 de agosto de 2021</w:t>
      </w:r>
      <w:r>
        <w:fldChar w:fldCharType="end"/>
      </w:r>
      <w:r>
        <w:rPr>
          <w:rFonts w:ascii="Liberation Serif" w:hAnsi="Liberation Serif" w:eastAsia="Segoe UI"/>
          <w:i/>
          <w:iCs/>
          <w:color w:val="000000"/>
          <w:sz w:val="24"/>
          <w:lang w:val="en-US" w:eastAsia="en-US" w:bidi="en-US"/>
        </w:rPr>
        <w:t>, transformou todas as empresas individuais de responsabilidade limitada (EIRELI) existentes na data da entrada em vigor da Lei em sociedades limitadas unipessoais (SLU), independentemente de qualquer alteração em seus respectivos atos constitutivos.</w:t>
      </w:r>
    </w:p>
    <w:p>
      <w:r>
        <w:rPr>
          <w:rFonts w:ascii="Liberation Serif" w:hAnsi="Liberation Serif" w:eastAsia="Segoe UI"/>
          <w:i/>
          <w:iCs/>
          <w:color w:val="000000"/>
          <w:sz w:val="24"/>
          <w:lang w:val="en-US" w:eastAsia="en-US" w:bidi="en-US"/>
        </w:rPr>
        <w:t xml:space="preserve">Posteriormente, o </w:t>
      </w:r>
      <w:r>
        <w:fldChar w:fldCharType="begin"/>
      </w:r>
      <w:r>
        <w:instrText xml:space="preserve"> HYPERLINK "http://www.planalto.gov.br/ccivil_03/_ato2019-2022/2022/lei/L14382.htm" \l "art20"</w:instrText>
      </w:r>
      <w:r>
        <w:fldChar w:fldCharType="separate"/>
      </w:r>
      <w:r>
        <w:rPr>
          <w:rFonts w:ascii="Liberation Serif" w:hAnsi="Liberation Serif" w:eastAsia="Segoe UI"/>
          <w:i/>
          <w:iCs/>
          <w:color w:val="000000"/>
          <w:sz w:val="24"/>
          <w:lang w:val="en-US" w:eastAsia="en-US" w:bidi="en-US"/>
        </w:rPr>
        <w:t>inciso VI, alíneas “a” e “b”, art. 20, da Lei nº 14.382, de 27 de junho de 2022</w:t>
      </w:r>
      <w:r>
        <w:fldChar w:fldCharType="end"/>
      </w:r>
      <w:r>
        <w:rPr>
          <w:rFonts w:ascii="Liberation Serif" w:hAnsi="Liberation Serif" w:eastAsia="Segoe UI"/>
          <w:i/>
          <w:iCs/>
          <w:color w:val="000000"/>
          <w:sz w:val="24"/>
          <w:lang w:val="en-US" w:eastAsia="en-US" w:bidi="en-US"/>
        </w:rPr>
        <w:t>, revogou as disposições sobre EIRELI constantes do inciso VI do caput do art. 44 e do Título I-A do Livro II da Parte Especial do Código Civil (</w:t>
      </w:r>
      <w:r>
        <w:fldChar w:fldCharType="begin"/>
      </w:r>
      <w:r>
        <w:instrText xml:space="preserve"> HYPERLINK "https://www.planalto.gov.br/ccivil_03/leis/2002/l10406compilada.htm" \l "art44"</w:instrText>
      </w:r>
      <w:r>
        <w:fldChar w:fldCharType="separate"/>
      </w:r>
      <w:r>
        <w:rPr>
          <w:rFonts w:ascii="Liberation Serif" w:hAnsi="Liberation Serif" w:eastAsia="Segoe UI"/>
          <w:i/>
          <w:iCs/>
          <w:color w:val="000000"/>
          <w:sz w:val="24"/>
          <w:lang w:val="en-US" w:eastAsia="en-US" w:bidi="en-US"/>
        </w:rPr>
        <w:t>Lei nº 10.406, de 10 de janeiro de 2002</w:t>
      </w:r>
      <w:r>
        <w:fldChar w:fldCharType="end"/>
      </w:r>
      <w:r>
        <w:rPr>
          <w:rFonts w:ascii="Liberation Serif" w:hAnsi="Liberation Serif" w:eastAsia="Segoe UI"/>
          <w:i/>
          <w:iCs/>
          <w:color w:val="000000"/>
          <w:sz w:val="24"/>
          <w:lang w:val="en-US" w:eastAsia="en-US" w:bidi="en-US"/>
        </w:rPr>
        <w:t>).</w:t>
      </w:r>
    </w:p>
    <w:p>
      <w:r>
        <w:rPr>
          <w:rFonts w:ascii="Liberation Serif" w:hAnsi="Liberation Serif" w:eastAsia="Segoe UI"/>
          <w:i/>
          <w:iCs/>
          <w:color w:val="000000"/>
          <w:sz w:val="24"/>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4"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O </w:t>
      </w:r>
      <w:r>
        <w:fldChar w:fldCharType="begin"/>
      </w:r>
      <w:r>
        <w:instrText xml:space="preserve"> HYPERLINK "https://www.planalto.gov.br/ccivil_03/leis/l5172compilado.htm" \l "art193"</w:instrText>
      </w:r>
      <w:r>
        <w:fldChar w:fldCharType="separate"/>
      </w:r>
      <w:r>
        <w:rPr>
          <w:rFonts w:ascii="Liberation Serif" w:hAnsi="Liberation Serif" w:eastAsia="Segoe UI"/>
          <w:i/>
          <w:iCs/>
          <w:color w:val="000000"/>
          <w:sz w:val="24"/>
          <w:lang w:val="en-US" w:eastAsia="en-US" w:bidi="en-US"/>
        </w:rPr>
        <w:t>artigo 193 do Código Tributário Nacional (Lei nº 5.172, de 25 de outubro de 1966</w:t>
      </w:r>
      <w:r>
        <w:fldChar w:fldCharType="end"/>
      </w:r>
      <w:r>
        <w:rPr>
          <w:rFonts w:ascii="Liberation Serif" w:hAnsi="Liberation Serif" w:eastAsia="Segoe UI"/>
          <w:i/>
          <w:iCs/>
          <w:color w:val="000000"/>
          <w:sz w:val="24"/>
          <w:lang w:val="en-US" w:eastAsia="en-US" w:bidi="en-US"/>
        </w:rPr>
        <w:t xml:space="preserve">) preceitua que a prova da quitação de todos os tributos devidos dar-se-á no âmbito da Fazenda Pública interessada, “relativos à atividade em cujo exercício contrata ou concorre”. Nessa mesma linha, o </w:t>
      </w:r>
      <w:r>
        <w:fldChar w:fldCharType="begin"/>
      </w:r>
      <w:r>
        <w:instrText xml:space="preserve"> HYPERLINK "http://www.planalto.gov.br/ccivil_03/_ato2019-2022/2021/lei/L14133.htm" \l "art68"</w:instrText>
      </w:r>
      <w:r>
        <w:fldChar w:fldCharType="separate"/>
      </w:r>
      <w:r>
        <w:rPr>
          <w:rFonts w:ascii="Liberation Serif" w:hAnsi="Liberation Serif" w:eastAsia="Segoe UI"/>
          <w:i/>
          <w:iCs/>
          <w:color w:val="000000"/>
          <w:sz w:val="24"/>
          <w:lang w:val="en-US" w:eastAsia="en-US" w:bidi="en-US"/>
        </w:rPr>
        <w:t>art. 68, inciso II, da Lei n.º 14.133, de 2021</w:t>
      </w:r>
      <w:r>
        <w:fldChar w:fldCharType="end"/>
      </w:r>
      <w:r>
        <w:rPr>
          <w:rFonts w:ascii="Liberation Serif" w:hAnsi="Liberation Serif" w:eastAsia="Segoe UI"/>
          <w:i/>
          <w:iCs/>
          <w:color w:val="000000"/>
          <w:sz w:val="24"/>
          <w:lang w:val="en-US" w:eastAsia="en-US" w:bidi="en-US"/>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w:t>
      </w:r>
    </w:p>
    <w:p>
      <w:r>
        <w:rPr>
          <w:rFonts w:ascii="Liberation Serif" w:hAnsi="Liberation Serif" w:eastAsia="Segoe UI"/>
          <w:i/>
          <w:iCs/>
          <w:color w:val="000000"/>
          <w:sz w:val="24"/>
          <w:lang w:val="en-US" w:eastAsia="en-US" w:bidi="en-US"/>
        </w:rPr>
        <w:t>Exceções: serviços de telecomunicações, de transporte interestadual e intermunicipal são tributados por ICMS, conforme art. 155, II da Constituição Federal.</w:t>
      </w:r>
    </w:p>
    <w:p>
      <w:r>
        <w:rPr>
          <w:rFonts w:ascii="Liberation Serif" w:hAnsi="Liberation Serif" w:eastAsia="Segoe UI"/>
          <w:i/>
          <w:iCs/>
          <w:color w:val="000000"/>
          <w:sz w:val="24"/>
          <w:lang w:val="en-US" w:eastAsia="en-US" w:bidi="en-US"/>
        </w:rPr>
        <w:t>A Lista de Serviços anexa à Lei Complementar 116, de 2003, que disciplina o Imposto Sobre Serviços de Qualquer Natureza (ISSQN), prevê alguns serviços que envolvem o fornecimento de mercadorias, peças, partes empregadas, comida ou bebidas também são tributados pelo ICMS. Como exemplos, os serviços de manutenção e conservação de máquinas, veículos, aparelhos etc (itens 14.01 e 14.03), em relação às peças e partes empregadas, e o serviço de organização de festas, recepções e bufê (item 17.11), em relação à alimentação e bebidas. Cabe ao órgão aferir as hipóteses excepcionas em que tanto a regularidade municipal como a estadual/Distrital deverão ser exigidas.</w:t>
      </w:r>
    </w:p>
  </w:comment>
  <w:comment w:id="25" w:author="Autor" w:date="0-00-00T00:00:00Z" w:initials="A">
    <w:p>
      <w:r>
        <w:rPr>
          <w:rFonts w:ascii="Liberation Serif" w:hAnsi="Liberation Serif" w:eastAsia="Segoe UI"/>
          <w:b/>
          <w:bCs/>
          <w:i/>
          <w:iCs/>
          <w:sz w:val="24"/>
          <w:lang w:val="en-US" w:eastAsia="en-US" w:bidi="en-US"/>
        </w:rPr>
        <w:t xml:space="preserve">Nota Explicativa: </w:t>
      </w:r>
      <w:r>
        <w:rPr>
          <w:rFonts w:ascii="Liberation Serif" w:hAnsi="Liberation Serif" w:eastAsia="Segoe UI"/>
          <w:i/>
          <w:iCs/>
          <w:color w:val="000000"/>
          <w:sz w:val="24"/>
          <w:lang w:val="en-US" w:eastAsia="en-US" w:bidi="en-US"/>
        </w:rPr>
        <w:t>A apresentação do Certificado de Condição de Microempreendedor Individual – CCMEI supre as exigências de inscrição nos cadastros fiscais, na medida em que essas informações constam no próprio Certificado.</w:t>
      </w:r>
    </w:p>
  </w:comment>
  <w:comment w:id="26"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sz w:val="24"/>
          <w:lang w:val="en-US" w:eastAsia="en-US" w:bidi="en-US"/>
        </w:rPr>
        <w:t>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p>
      <w:r>
        <w:rPr>
          <w:rFonts w:ascii="Liberation Serif" w:hAnsi="Liberation Serif" w:eastAsia="Segoe UI"/>
          <w:b/>
          <w:bCs/>
          <w:i/>
          <w:iCs/>
          <w:color w:val="000000"/>
          <w:sz w:val="24"/>
          <w:lang w:val="en-US" w:eastAsia="en-US" w:bidi="en-US"/>
        </w:rPr>
        <w:t xml:space="preserve">Nota Explicativa 2: </w:t>
      </w:r>
      <w:r>
        <w:rPr>
          <w:rFonts w:ascii="Liberation Serif" w:hAnsi="Liberation Serif" w:eastAsia="Segoe UI"/>
          <w:i/>
          <w:iCs/>
          <w:color w:val="000000"/>
          <w:sz w:val="24"/>
          <w:lang w:val="en-US" w:eastAsia="en-US" w:bidi="en-US"/>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Conforme Nota Explicativa do início deste tópico, a exigência de qualificação técnica e econômica nas circunstâncias previstas no </w:t>
      </w:r>
      <w:r>
        <w:fldChar w:fldCharType="begin"/>
      </w:r>
      <w:r>
        <w:instrText xml:space="preserve"> HYPERLINK "http://www.planalto.gov.br/ccivil_03/_ato2019-2022/2021/lei/L14133.htm" \l "art70"</w:instrText>
      </w:r>
      <w:r>
        <w:fldChar w:fldCharType="separate"/>
      </w:r>
      <w:r>
        <w:rPr>
          <w:rFonts w:ascii="Liberation Serif" w:hAnsi="Liberation Serif" w:eastAsia="Segoe UI"/>
          <w:i/>
          <w:iCs/>
          <w:color w:val="000000"/>
          <w:sz w:val="24"/>
          <w:lang w:val="en-US" w:eastAsia="en-US" w:bidi="en-US"/>
        </w:rPr>
        <w:t>art. 70, III da Lei n.º 14.133, de 2021</w:t>
      </w:r>
      <w:r>
        <w:fldChar w:fldCharType="end"/>
      </w:r>
      <w:r>
        <w:rPr>
          <w:rFonts w:ascii="Liberation Serif" w:hAnsi="Liberation Serif" w:eastAsia="Segoe UI"/>
          <w:i/>
          <w:iCs/>
          <w:color w:val="000000"/>
          <w:sz w:val="24"/>
          <w:lang w:val="en-US" w:eastAsia="en-US" w:bidi="en-US"/>
        </w:rPr>
        <w:t xml:space="preserve">, deve ser excepcional e justificada, à luz do </w:t>
      </w:r>
      <w:hyperlink r:id="rId31">
        <w:r>
          <w:rPr>
            <w:rFonts w:ascii="Liberation Serif" w:hAnsi="Liberation Serif" w:eastAsia="Segoe UI"/>
            <w:i/>
            <w:iCs/>
            <w:color w:val="000000"/>
            <w:sz w:val="24"/>
            <w:lang w:val="en-US" w:eastAsia="en-US" w:bidi="en-US"/>
          </w:rPr>
          <w:t>art. 37, XXI, da Constituição Federal.</w:t>
        </w:r>
      </w:hyperlink>
    </w:p>
    <w:p>
      <w:r>
        <w:rPr>
          <w:rFonts w:ascii="Liberation Serif" w:hAnsi="Liberation Serif" w:eastAsia="Segoe UI"/>
          <w:b/>
          <w:bCs/>
          <w:i/>
          <w:iCs/>
          <w:color w:val="000000"/>
          <w:sz w:val="24"/>
          <w:lang w:val="en-US" w:eastAsia="en-US" w:bidi="en-US"/>
        </w:rPr>
        <w:t xml:space="preserve">Nota Explicativa 3: </w:t>
      </w:r>
      <w:r>
        <w:rPr>
          <w:rFonts w:ascii="Liberation Serif" w:hAnsi="Liberation Serif" w:eastAsia="Segoe UI"/>
          <w:i/>
          <w:iCs/>
          <w:color w:val="000000"/>
          <w:sz w:val="24"/>
          <w:lang w:val="en-US" w:eastAsia="en-US" w:bidi="en-US"/>
        </w:rPr>
        <w:t>É possível adotar critérios de habilitação econômico-financeira com requisitos diferenciados, estabelecidos conforme as peculiaridades do objeto, com justificativa do percentual adotado nos autos do processo.</w:t>
      </w:r>
    </w:p>
  </w:comment>
  <w:comment w:id="27"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a área competente do órgão contratante deverá, NECESSARIAMENTE, ajustar TODAS as cláusulas aqui presentes à realidade de sua demanda específica, com base em justificativa do ETP.</w:t>
      </w:r>
    </w:p>
  </w:comment>
  <w:comment w:id="28" w:author="Autor" w:date="0-00-00T00:00:00Z" w:initials="A">
    <w:p>
      <w:r>
        <w:rPr>
          <w:rFonts w:ascii="Liberation Serif" w:hAnsi="Liberation Serif" w:eastAsia="Segoe UI"/>
          <w:b/>
          <w:bCs/>
          <w:sz w:val="24"/>
          <w:lang w:val="en-US" w:eastAsia="en-US" w:bidi="en-US"/>
        </w:rPr>
        <w:t>Nota Explicativa</w:t>
      </w:r>
      <w:r>
        <w:rPr>
          <w:rFonts w:ascii="Liberation Serif" w:hAnsi="Liberation Serif" w:eastAsia="Segoe UI"/>
          <w:sz w:val="24"/>
          <w:lang w:val="en-US" w:eastAsia="en-US" w:bidi="en-US"/>
        </w:rPr>
        <w:t>: 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comment>
  <w:comment w:id="29"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Conforme exposto na Nota Explicativa sobre os requisitos da contratação – vistoria – essa declaração só deve ser exigida caso tenha sido considerada imprescindível a avaliação prévia do local de execução para o conhecimento pleno das condições e peculiaridades do objeto a ser contratado. No entanto, como explicado naquela nota, a declaração de conhecimento das condições locais poderá ser substituída por declaração do responsável técnico acerca do conhecimento pleno das condições e peculiaridades da contratação (e não necessariamente do local).</w:t>
      </w:r>
    </w:p>
    <w:p>
      <w:r>
        <w:rPr>
          <w:rFonts w:ascii="Liberation Serif" w:hAnsi="Liberation Serif" w:eastAsia="Segoe UI"/>
          <w:i/>
          <w:iCs/>
          <w:sz w:val="24"/>
          <w:lang w:val="en-US" w:eastAsia="en-US" w:bidi="en-US"/>
        </w:rPr>
        <w:t>Caso essa avaliação local tenha sido considerada desnecessária, a exigência dessa declaração deve ser suprimida.</w:t>
      </w:r>
    </w:p>
    <w:p>
      <w:r>
        <w:rPr>
          <w:rFonts w:ascii="Liberation Serif" w:hAnsi="Liberation Serif" w:eastAsia="Segoe UI"/>
          <w:sz w:val="24"/>
          <w:lang w:val="en-US" w:eastAsia="en-US" w:bidi="en-US"/>
        </w:rPr>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Calibri Light">
    <w:charset w:val="00"/>
    <w:family w:val="swiss"/>
    <w:pitch w:val="variable"/>
  </w:font>
  <w:font w:name="Cambria">
    <w:charset w:val="00"/>
    <w:family w:val="roman"/>
    <w:pitch w:val="variable"/>
  </w:font>
  <w:font w:name="Calibri Light">
    <w:charset w:val="00"/>
    <w:family w:val="roman"/>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25</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25</w:t>
    </w:r>
    <w:r>
      <w:rPr>
        <w:sz w:val="18"/>
        <w:szCs w:val="18"/>
        <w:color w:val="323E4F"/>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90022/2024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page">
            <wp:posOffset>-13970</wp:posOffset>
          </wp:positionH>
          <wp:positionV relativeFrom="page">
            <wp:posOffset>0</wp:posOffset>
          </wp:positionV>
          <wp:extent cx="7560310" cy="10692765"/>
          <wp:effectExtent l="0" t="0" r="0" b="0"/>
          <wp:wrapNone/>
          <wp:docPr id="3"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1"/>
    <w:lvlOverride w:ilvl="0"/>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startOverride w:val="1"/>
    </w:lvlOverride>
    <w:lvlOverride w:ilvl="1"/>
    <w:lvlOverride w:ilvl="2">
      <w:lvl w:ilvl="2">
        <w:start w:val="1"/>
        <w:numFmt w:val="decimal"/>
        <w:lvlText w:val="%1.%2.%3."/>
        <w:lvlJc w:val="left"/>
        <w:pPr>
          <w:tabs>
            <w:tab w:val="num" w:pos="0"/>
          </w:tabs>
          <w:ind w:left="3198" w:hanging="504"/>
        </w:pPr>
        <w:rPr>
          <w:dstrike w:val="false"/>
          <w:strike w:val="false"/>
          <w:sz w:val="20"/>
          <w:i w:val="false"/>
          <w:b w:val="false"/>
          <w:szCs w:val="20"/>
          <w:color w:val="auto"/>
        </w:rPr>
      </w:lvl>
    </w:lvlOverride>
    <w:lvlOverride w:ilvl="2"/>
    <w:lvlOverride w:ilvl="3">
      <w:lvl w:ilvl="3">
        <w:start w:val="1"/>
        <w:numFmt w:val="decimal"/>
        <w:lvlText w:val="%1.%2.%3.%4."/>
        <w:lvlJc w:val="left"/>
        <w:pPr>
          <w:tabs>
            <w:tab w:val="num" w:pos="0"/>
          </w:tabs>
          <w:ind w:left="2491" w:hanging="648"/>
        </w:pPr>
        <w:rPr/>
      </w:lvl>
    </w:lvlOverride>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link w:val="Annotationtex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LinkdaInternet">
    <w:name w:val="Hyperlink"/>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
    <w:name w:val="FollowedHyperlink"/>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934039"/>
    <w:rPr>
      <w:rFonts w:ascii="Ecofont_Spranq_eco_Sans" w:hAnsi="Ecofont_Spranq_eco_Sans" w:eastAsia="Arial Unicode MS" w:cs="Times New Roman"/>
      <w:sz w:val="20"/>
      <w:szCs w:val="20"/>
      <w:lang w:eastAsia="pt-BR"/>
    </w:rPr>
  </w:style>
  <w:style w:type="character" w:styleId="Nvel3RChar" w:customStyle="1">
    <w:name w:val="Nível 3-R Char"/>
    <w:basedOn w:val="DefaultParagraphFont"/>
    <w:link w:val="Nvel3R"/>
    <w:qFormat/>
    <w:rsid w:val="0000594b"/>
    <w:rPr>
      <w:rFonts w:ascii="Arial" w:hAnsi="Arial" w:eastAsia="" w:cs="Arial" w:eastAsiaTheme="minorEastAsia"/>
      <w:i/>
      <w:iCs/>
      <w:color w:val="FF0000"/>
      <w:sz w:val="20"/>
      <w:szCs w:val="20"/>
      <w:lang w:eastAsia="pt-BR"/>
    </w:rPr>
  </w:style>
  <w:style w:type="character" w:styleId="Nvel4RChar" w:customStyle="1">
    <w:name w:val="Nível 4-R Char"/>
    <w:basedOn w:val="Nivel4Char"/>
    <w:link w:val="Nvel4R"/>
    <w:qFormat/>
    <w:rsid w:val="0000594b"/>
    <w:rPr>
      <w:rFonts w:ascii="Arial" w:hAnsi="Arial" w:eastAsia="" w:cs="Arial" w:eastAsiaTheme="minorEastAsia"/>
      <w:i/>
      <w:iCs/>
      <w:color w:val="FF0000"/>
      <w:sz w:val="20"/>
      <w:szCs w:val="20"/>
      <w:lang w:eastAsia="pt-BR"/>
    </w:rPr>
  </w:style>
  <w:style w:type="character" w:styleId="Nivel1Char" w:customStyle="1">
    <w:name w:val="Nivel1 Char"/>
    <w:basedOn w:val="DefaultParagraphFont"/>
    <w:link w:val="Nivel1"/>
    <w:qFormat/>
    <w:locked/>
    <w:rsid w:val="00f53b80"/>
    <w:rPr>
      <w:rFonts w:ascii="Arial" w:hAnsi="Arial" w:eastAsia="WenQuanYi Micro Hei" w:cs="Times New Roman"/>
      <w:color w:val="000000"/>
      <w:sz w:val="20"/>
      <w:szCs w:val="20"/>
      <w:lang w:eastAsia="zh-CN" w:bidi="hi-IN"/>
    </w:rPr>
  </w:style>
  <w:style w:type="character" w:styleId="Tipodeletrapredefinidodopargrafo" w:customStyle="1">
    <w:name w:val="Tipo de letra predefinido do parágrafo"/>
    <w:qFormat/>
    <w:rsid w:val="00f53b80"/>
    <w:rPr/>
  </w:style>
  <w:style w:type="character" w:styleId="Normaltextrun" w:customStyle="1">
    <w:name w:val="normaltextrun"/>
    <w:basedOn w:val="DefaultParagraphFont"/>
    <w:qFormat/>
    <w:rsid w:val="00c35c2b"/>
    <w:rPr/>
  </w:style>
  <w:style w:type="character" w:styleId="PargrafodaListaChar" w:customStyle="1">
    <w:name w:val="Parágrafo da Lista Char"/>
    <w:basedOn w:val="DefaultParagraphFont"/>
    <w:link w:val="ListParagraph"/>
    <w:uiPriority w:val="34"/>
    <w:qFormat/>
    <w:rsid w:val="00c35c2b"/>
    <w:rPr>
      <w:rFonts w:ascii="Arial" w:hAnsi="Arial" w:eastAsia="Times New Roman" w:cs="Tahoma"/>
      <w:sz w:val="20"/>
      <w:szCs w:val="24"/>
      <w:lang w:eastAsia="pt-BR"/>
    </w:rPr>
  </w:style>
  <w:style w:type="character" w:styleId="Nvel2RedChar" w:customStyle="1">
    <w:name w:val="Nível 2 -Red Char"/>
    <w:basedOn w:val="Nivel2Char"/>
    <w:link w:val="Nvel2Red"/>
    <w:qFormat/>
    <w:rsid w:val="00c35c2b"/>
    <w:rPr>
      <w:rFonts w:ascii="Arial" w:hAnsi="Arial" w:eastAsia="Arial" w:cs="Arial"/>
      <w:i/>
      <w:iCs/>
      <w:color w:val="FF0000"/>
      <w:sz w:val="20"/>
      <w:szCs w:val="20"/>
      <w:lang w:eastAsia="pt-BR"/>
    </w:rPr>
  </w:style>
  <w:style w:type="character" w:styleId="Nivel3Char" w:customStyle="1">
    <w:name w:val="Nivel 3 Char"/>
    <w:basedOn w:val="DefaultParagraphFont"/>
    <w:link w:val="Nivel3"/>
    <w:qFormat/>
    <w:rsid w:val="00c35c2b"/>
    <w:rPr>
      <w:rFonts w:ascii="Ecofont_Spranq_eco_Sans" w:hAnsi="Ecofont_Spranq_eco_Sans" w:eastAsia="Arial Unicode MS" w:cs="Arial"/>
      <w:color w:val="000000"/>
      <w:sz w:val="20"/>
      <w:szCs w:val="20"/>
      <w:lang w:eastAsia="pt-BR"/>
    </w:rPr>
  </w:style>
  <w:style w:type="character" w:styleId="Nvel1SemNumChar" w:customStyle="1">
    <w:name w:val="Nível 1-Sem Num Char"/>
    <w:basedOn w:val="Nivel01Char"/>
    <w:link w:val="Nvel1SemNum"/>
    <w:qFormat/>
    <w:rsid w:val="00c35c2b"/>
    <w:rPr>
      <w:rFonts w:ascii="Arial" w:hAnsi="Arial" w:eastAsia="" w:cs="Arial" w:eastAsiaTheme="majorEastAsia"/>
      <w:b/>
      <w:bCs/>
      <w:color w:val="000000"/>
      <w:sz w:val="20"/>
      <w:szCs w:val="20"/>
      <w:lang w:eastAsia="pt-BR" w:bidi="hi-IN"/>
    </w:rPr>
  </w:style>
  <w:style w:type="character" w:styleId="Findhit" w:customStyle="1">
    <w:name w:val="findhit"/>
    <w:basedOn w:val="DefaultParagraphFont"/>
    <w:qFormat/>
    <w:rsid w:val="00c35c2b"/>
    <w:rPr/>
  </w:style>
  <w:style w:type="character" w:styleId="Nvel1SemNumPretoChar" w:customStyle="1">
    <w:name w:val="Nível 1-Sem Num Preto Char"/>
    <w:basedOn w:val="Nvel1SemNumChar"/>
    <w:link w:val="Nvel1SemNumPreto"/>
    <w:qFormat/>
    <w:rsid w:val="00c35c2b"/>
    <w:rPr>
      <w:rFonts w:ascii="Arial" w:hAnsi="Arial" w:eastAsia="" w:cs="Arial" w:eastAsiaTheme="majorEastAsia"/>
      <w:b/>
      <w:bCs/>
      <w:color w:val="000000"/>
      <w:sz w:val="20"/>
      <w:szCs w:val="20"/>
      <w:lang w:eastAsia="zh-CN" w:bidi="hi-IN"/>
    </w:rPr>
  </w:style>
  <w:style w:type="character" w:styleId="Ngstarinserted" w:customStyle="1">
    <w:name w:val="ng-star-inserted"/>
    <w:basedOn w:val="DefaultParagraphFont"/>
    <w:qFormat/>
    <w:rsid w:val="00c35c2b"/>
    <w:rPr/>
  </w:style>
  <w:style w:type="character" w:styleId="Vnculodendice">
    <w:name w:val="Vínculo de índice"/>
    <w:qFormat/>
    <w:rPr/>
  </w:style>
  <w:style w:type="character" w:styleId="Eop">
    <w:name w:val="eop"/>
    <w:basedOn w:val="DefaultParagraphFont"/>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link w:val="PargrafodaListaChar"/>
    <w:uiPriority w:val="34"/>
    <w:qFormat/>
    <w:rsid w:val="00c074da"/>
    <w:pPr>
      <w:spacing w:before="0" w:after="0"/>
      <w:ind w:left="720" w:hanging="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link w:val="Nivel1Char"/>
    <w:qFormat/>
    <w:rsid w:val="00c074da"/>
    <w:pPr>
      <w:spacing w:before="480" w:after="120"/>
      <w:ind w:left="644" w:hanging="0"/>
    </w:pPr>
    <w:rPr>
      <w:rFonts w:cs="Times New Roman"/>
      <w:b w:val="false"/>
      <w:color w:val="000000"/>
      <w:szCs w:val="20"/>
    </w:rPr>
  </w:style>
  <w:style w:type="paragraph" w:styleId="Nivel2" w:customStyle="1">
    <w:name w:val="Nivel 2"/>
    <w:link w:val="Nivel2Char"/>
    <w:qFormat/>
    <w:rsid w:val="00c074da"/>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link w:val="Nivel3Char"/>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outlineLvl w:val="9"/>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00594b"/>
    <w:pPr>
      <w:numPr>
        <w:ilvl w:val="2"/>
        <w:numId w:val="1"/>
      </w:numPr>
      <w:suppressAutoHyphens w:val="false"/>
      <w:ind w:left="284" w:hanging="0"/>
    </w:pPr>
    <w:rPr>
      <w:rFonts w:ascii="Arial" w:hAnsi="Arial" w:eastAsia="" w:eastAsiaTheme="minorEastAsia"/>
      <w:i/>
      <w:iCs/>
      <w:color w:val="FF0000"/>
    </w:rPr>
  </w:style>
  <w:style w:type="paragraph" w:styleId="Nvel4R" w:customStyle="1">
    <w:name w:val="Nível 4-R"/>
    <w:basedOn w:val="Nivel4"/>
    <w:link w:val="Nvel4RChar"/>
    <w:qFormat/>
    <w:rsid w:val="0000594b"/>
    <w:pPr>
      <w:numPr>
        <w:ilvl w:val="3"/>
        <w:numId w:val="1"/>
      </w:numPr>
      <w:suppressAutoHyphens w:val="false"/>
      <w:ind w:left="567" w:hanging="0"/>
    </w:pPr>
    <w:rPr>
      <w:rFonts w:ascii="Arial" w:hAnsi="Arial" w:eastAsia="" w:eastAsiaTheme="minorEastAsia"/>
      <w:i/>
      <w:iCs/>
      <w:color w:val="FF0000"/>
    </w:rPr>
  </w:style>
  <w:style w:type="paragraph" w:styleId="Standard" w:customStyle="1">
    <w:name w:val="Standard"/>
    <w:qFormat/>
    <w:rsid w:val="00153734"/>
    <w:pPr>
      <w:widowControl/>
      <w:suppressAutoHyphens w:val="true"/>
      <w:bidi w:val="0"/>
      <w:spacing w:lineRule="auto" w:line="24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imesnewroman" w:customStyle="1">
    <w:name w:val="Times new roman"/>
    <w:basedOn w:val="Normal"/>
    <w:qFormat/>
    <w:rsid w:val="00f53b80"/>
    <w:pPr>
      <w:suppressLineNumbers/>
      <w:spacing w:lineRule="auto" w:line="259" w:before="0" w:after="160"/>
    </w:pPr>
    <w:rPr>
      <w:rFonts w:ascii="Ecofont_Spranq_eco_Sans" w:hAnsi="Ecofont_Spranq_eco_Sans"/>
      <w:color w:val="00000A"/>
      <w:sz w:val="22"/>
      <w:szCs w:val="22"/>
    </w:rPr>
  </w:style>
  <w:style w:type="paragraph" w:styleId="Nvel2Red" w:customStyle="1">
    <w:name w:val="Nível 2 -Red"/>
    <w:basedOn w:val="Nivel2"/>
    <w:link w:val="Nvel2RedChar"/>
    <w:qFormat/>
    <w:rsid w:val="00c35c2b"/>
    <w:pPr>
      <w:numPr>
        <w:ilvl w:val="0"/>
        <w:numId w:val="0"/>
      </w:numPr>
      <w:suppressAutoHyphens w:val="false"/>
      <w:jc w:val="center"/>
    </w:pPr>
    <w:rPr>
      <w:rFonts w:ascii="Arial" w:hAnsi="Arial" w:eastAsia="Arial" w:cs="Arial"/>
      <w:i/>
      <w:iCs/>
      <w:color w:val="FF0000"/>
    </w:rPr>
  </w:style>
  <w:style w:type="paragraph" w:styleId="Nvel1SemNum" w:customStyle="1">
    <w:name w:val="Nível 1-Sem Num"/>
    <w:basedOn w:val="Nivel01"/>
    <w:link w:val="Nvel1SemNumChar"/>
    <w:autoRedefine/>
    <w:qFormat/>
    <w:rsid w:val="00c35c2b"/>
    <w:pPr>
      <w:keepNext w:val="true"/>
      <w:keepLines/>
      <w:numPr>
        <w:ilvl w:val="0"/>
        <w:numId w:val="0"/>
      </w:numPr>
      <w:tabs>
        <w:tab w:val="clear" w:pos="708"/>
        <w:tab w:val="left" w:pos="567" w:leader="none"/>
      </w:tabs>
      <w:suppressAutoHyphens w:val="false"/>
      <w:spacing w:before="240" w:after="120"/>
      <w:ind w:right="0" w:hanging="0"/>
      <w:textAlignment w:val="auto"/>
      <w:outlineLvl w:val="1"/>
    </w:pPr>
    <w:rPr>
      <w:rFonts w:eastAsia="" w:cs="Arial" w:eastAsiaTheme="majorEastAsia"/>
      <w:b/>
      <w:lang w:eastAsia="pt-BR"/>
    </w:rPr>
  </w:style>
  <w:style w:type="paragraph" w:styleId="Nvel1SemNumPreto" w:customStyle="1">
    <w:name w:val="Nível 1-Sem Num Preto"/>
    <w:basedOn w:val="Nvel1SemNum"/>
    <w:link w:val="Nvel1SemNumPretoChar"/>
    <w:qFormat/>
    <w:rsid w:val="00c35c2b"/>
    <w:pPr/>
    <w:rPr>
      <w:lang w:eastAsia="zh-CN"/>
    </w:rPr>
  </w:style>
  <w:style w:type="paragraph" w:styleId="Default">
    <w:name w:val="Default"/>
    <w:qFormat/>
    <w:pPr>
      <w:widowControl/>
      <w:suppressAutoHyphens w:val="true"/>
      <w:bidi w:val="0"/>
      <w:spacing w:before="0" w:after="0"/>
      <w:jc w:val="left"/>
    </w:pPr>
    <w:rPr>
      <w:rFonts w:ascii="Cambria" w:hAnsi="Cambria" w:eastAsia="ＭＳ 明朝" w:cs="Times New Roman" w:eastAsiaTheme="minorEastAsia"/>
      <w:color w:val="000000"/>
      <w:kern w:val="0"/>
      <w:sz w:val="24"/>
      <w:szCs w:val="20"/>
      <w:lang w:val="pt-BR" w:eastAsia="en-US" w:bidi="ar-SA"/>
    </w:rPr>
  </w:style>
  <w:style w:type="paragraph" w:styleId="Nvel01SemNumerao">
    <w:name w:val="Nível 01-Sem Numeração"/>
    <w:basedOn w:val="Normal"/>
    <w:qFormat/>
    <w:pPr>
      <w:keepNext w:val="true"/>
      <w:keepLines/>
      <w:spacing w:lineRule="auto" w:line="276" w:before="240" w:after="120"/>
      <w:jc w:val="both"/>
      <w:outlineLvl w:val="1"/>
    </w:pPr>
    <w:rPr>
      <w:rFonts w:ascii="Arial" w:hAnsi="Arial" w:eastAsia="ＭＳ ゴシック" w:cs="Arial" w:eastAsiaTheme="majorEastAsia"/>
      <w:b/>
      <w:bCs/>
      <w:sz w:val="20"/>
      <w:szCs w:val="20"/>
    </w:rPr>
  </w:style>
  <w:style w:type="paragraph" w:styleId="Paragraph">
    <w:name w:val="paragraph"/>
    <w:basedOn w:val="Normal"/>
    <w:qFormat/>
    <w:pPr>
      <w:spacing w:beforeAutospacing="1" w:afterAutospacing="1"/>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gov.br/compras/pt-br/acesso-a-informacao/legislacao/instrucoes-normativas/instrucao-normativa-seges-no-58-de-8-de-agosto-de-2022" TargetMode="External"/><Relationship Id="rId2" Type="http://schemas.openxmlformats.org/officeDocument/2006/relationships/hyperlink" Target="https://www.gov.br/compras/pt-br/acesso-a-informacao/legislacao/instrucoes-normativas/instrucao-normativa-seges-no-58-de-8-de-agosto-de-2022" TargetMode="External"/><Relationship Id="rId3" Type="http://schemas.openxmlformats.org/officeDocument/2006/relationships/hyperlink" Target="https://www.gov.br/compras/pt-br/acesso-a-informacao/legislacao/instrucoes-normativas/instrucao-normativa-seges-me-no-81-de-25-de-novembro-de-2022" TargetMode="External"/><Relationship Id="rId4"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gov.br/compras/pt-br/acesso-a-informacao/legislacao/instrucoes-normativas/instrucao-normativa-seges-me-no-81-de-25-de-novembro-de-2022" TargetMode="External"/><Relationship Id="rId6" Type="http://schemas.openxmlformats.org/officeDocument/2006/relationships/hyperlink" Target="https://www.gov.br/compras/pt-br/acesso-a-informacao/legislacao/instrucoes-normativas/instrucao-normativa-seges-me-no-81-de-25-de-novembro-de-2022" TargetMode="External"/><Relationship Id="rId7" Type="http://schemas.openxmlformats.org/officeDocument/2006/relationships/hyperlink" Target="https://www.gov.br/compras/pt-br/acesso-a-informacao/legislacao/portarias/portaria-seges-me-no-938-de-2-de-fevereiro-de-2022" TargetMode="External"/><Relationship Id="rId8" Type="http://schemas.openxmlformats.org/officeDocument/2006/relationships/hyperlink" Target="https://www.gov.br/agu/pt-br/composicao/cgu/cgu/guias/gncs_082022.pdf" TargetMode="External"/><Relationship Id="rId9" Type="http://schemas.openxmlformats.org/officeDocument/2006/relationships/hyperlink" Target="https://www.gov.br/compras/pt-br/acesso-a-informacao/legislacao/instrucoes-normativas/instrucao-normativa-seges-me-no-81-de-25-de-novembro-de-2022" TargetMode="External"/><Relationship Id="rId10" Type="http://schemas.openxmlformats.org/officeDocument/2006/relationships/hyperlink" Target="https://www.gov.br/compras/pt-br/acesso-a-informacao/legislacao/instrucoes-normativas/instrucao-normativa-seges-no-58-de-8-de-agosto-de-2022" TargetMode="External"/><Relationship Id="rId11" Type="http://schemas.openxmlformats.org/officeDocument/2006/relationships/hyperlink" Target="https://www.gov.br/compras/pt-br/acesso-a-informacao/legislacao/instrucoes-normativas/instrucao-normativa-seges-me-no-81-de-25-de-novembro-de-2022" TargetMode="External"/><Relationship Id="rId12" Type="http://schemas.openxmlformats.org/officeDocument/2006/relationships/hyperlink" Target="https://www.gov.br/compras/pt-br/acesso-a-informacao/legislacao/instrucoes-normativas/instrucao-normativa-seges-no-58-de-8-de-agosto-de-2022" TargetMode="External"/><Relationship Id="rId13" Type="http://schemas.openxmlformats.org/officeDocument/2006/relationships/hyperlink" Target="https://www.gov.br/compras/pt-br/acesso-a-informacao/legislacao/portarias/portaria-seges-me-no-8-678-de-19-de-julho-de-2021" TargetMode="External"/><Relationship Id="rId14" Type="http://schemas.openxmlformats.org/officeDocument/2006/relationships/hyperlink" Target="https://sapiens.agu.gov.br/valida_publico?id=627431320" TargetMode="External"/><Relationship Id="rId15" Type="http://schemas.openxmlformats.org/officeDocument/2006/relationships/hyperlink" Target="https://www.planalto.gov.br/ccivil_03/_ato2007-2010/2010/lei/l12305.htm" TargetMode="External"/><Relationship Id="rId16" Type="http://schemas.openxmlformats.org/officeDocument/2006/relationships/hyperlink" Target="https://sapiens.agu.gov.br/valida_publico?id=627431320" TargetMode="External"/><Relationship Id="rId17" Type="http://schemas.openxmlformats.org/officeDocument/2006/relationships/hyperlink" Target="https://www.gov.br/agu/pt-br/composicao/cgu/cgu/guias/gncs_082022.pdf" TargetMode="External"/><Relationship Id="rId18" Type="http://schemas.openxmlformats.org/officeDocument/2006/relationships/hyperlink" Target="https://www.gov.br/agu/pt-br/composicao/cgu/cgu/guias/gncs_082022.pdf" TargetMode="External"/><Relationship Id="rId19" Type="http://schemas.openxmlformats.org/officeDocument/2006/relationships/hyperlink" Target="https://doacoes.gov.br/" TargetMode="External"/><Relationship Id="rId20" Type="http://schemas.openxmlformats.org/officeDocument/2006/relationships/hyperlink" Target="http://www.planalto.gov.br/ccivil_03/leis/l8666cons.htm" TargetMode="External"/><Relationship Id="rId21" Type="http://schemas.openxmlformats.org/officeDocument/2006/relationships/hyperlink" Target="https://www.planalto.gov.br/ccivil_03/_ato2019-2022/2022/decreto/d10977.htm" TargetMode="External"/><Relationship Id="rId22" Type="http://schemas.openxmlformats.org/officeDocument/2006/relationships/hyperlink" Target="https://www.planalto.gov.br/ccivil_03/LEIS/1980-1988/L7116.htm" TargetMode="External"/><Relationship Id="rId23" Type="http://schemas.openxmlformats.org/officeDocument/2006/relationships/hyperlink" Target="http://www.planalto.gov.br/ccivil_03/leis/l9454.htm" TargetMode="External"/><Relationship Id="rId24" Type="http://schemas.openxmlformats.org/officeDocument/2006/relationships/hyperlink" Target="http://www.planalto.gov.br/ccivil_03/_ato2019-2022/2022/decreto/D11246.htm" TargetMode="External"/><Relationship Id="rId25" Type="http://schemas.openxmlformats.org/officeDocument/2006/relationships/hyperlink" Target="https://www.gov.br/compras/pt-br/acesso-a-informacao/legislacao/instrucoes-normativas/instrucao-normativa-no-5-de-26-de-maio-de-2017-atualizada" TargetMode="External"/><Relationship Id="rId26" Type="http://schemas.openxmlformats.org/officeDocument/2006/relationships/hyperlink" Target="https://www.gov.br/compras/pt-br/acesso-a-informacao/legislacao/instrucoes-normativas/instrucao-normativa-seges-me-no-77-de-4-de-novembro-de-2022" TargetMode="External"/><Relationship Id="rId27" Type="http://schemas.openxmlformats.org/officeDocument/2006/relationships/hyperlink" Target="https://www.gov.br/compras/pt-br/acesso-a-informacao/legislacao/instrucoes-normativas/instrucao-normativa-seges-me-no-116-de-21-de-dezembro-de-2021"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0977.htm" TargetMode="External"/><Relationship Id="rId30" Type="http://schemas.openxmlformats.org/officeDocument/2006/relationships/hyperlink" Target="https://www.planalto.gov.br/ccivil_03/leis/1980-1988/l7116.htm" TargetMode="External"/><Relationship Id="rId31" Type="http://schemas.openxmlformats.org/officeDocument/2006/relationships/hyperlink" Target="https://www.planalto.gov.br/ccivil_03/constituicao/constituicao.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image" Target="media/image2.wmf"/><Relationship Id="rId13" Type="http://schemas.openxmlformats.org/officeDocument/2006/relationships/hyperlink" Target="https://www.gov.br/compras/pt-br/acesso-a-informacao/legislacao/instrucoes-normativas/instrucao-normativa-seges-me-no-77-de-4-de-novembro-de-2022" TargetMode="External"/><Relationship Id="rId14" Type="http://schemas.openxmlformats.org/officeDocument/2006/relationships/hyperlink" Target="http://www.portaldatransparencia.gov.br/ceis" TargetMode="External"/><Relationship Id="rId15" Type="http://schemas.openxmlformats.org/officeDocument/2006/relationships/hyperlink" Target="https://www.portaltransparencia.gov.br/sancoes/cnep" TargetMode="External"/><Relationship Id="rId16" Type="http://schemas.openxmlformats.org/officeDocument/2006/relationships/hyperlink" Target="https://www.gov.br/empresas-e-negocios/pt-br/empreendedor" TargetMode="External"/><Relationship Id="rId17" Type="http://schemas.openxmlformats.org/officeDocument/2006/relationships/hyperlink" Target="https://www.planalto.gov.br/ccivil_03/decreto-lei/del5452.htm" TargetMode="External"/><Relationship Id="rId18" Type="http://schemas.openxmlformats.org/officeDocument/2006/relationships/header" Target="header1.xml"/><Relationship Id="rId19" Type="http://schemas.openxmlformats.org/officeDocument/2006/relationships/header" Target="header2.xml"/><Relationship Id="rId20" Type="http://schemas.openxmlformats.org/officeDocument/2006/relationships/footer" Target="footer1.xml"/><Relationship Id="rId21" Type="http://schemas.openxmlformats.org/officeDocument/2006/relationships/comments" Target="comments.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Relationship Id="rId27" Type="http://schemas.openxmlformats.org/officeDocument/2006/relationships/customXml" Target="../customXml/item2.xml"/><Relationship Id="rId28" Type="http://schemas.openxmlformats.org/officeDocument/2006/relationships/customXml" Target="../customXml/item3.xml"/><Relationship Id="rId29"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Application>LibreOffice/7.4.0.3$Windows_X86_64 LibreOffice_project/f85e47c08ddd19c015c0114a68350214f7066f5a</Application>
  <AppVersion>15.0000</AppVersion>
  <Pages>25</Pages>
  <Words>9024</Words>
  <Characters>51322</Characters>
  <CharactersWithSpaces>59724</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2024-02-14T20:54:00Z</dcterms:created>
  <dc:creator/>
  <dc:description/>
  <dc:language>pt-BR</dc:language>
  <cp:lastModifiedBy/>
  <dcterms:modified xsi:type="dcterms:W3CDTF">2024-06-17T17:08:00Z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