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comments.xml" ContentType="application/vnd.openxmlformats-officedocument.wordprocessingml.comment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val="000000" w:themeColor="text1"/>
          <w:sz w:val="20"/>
          <w:szCs w:val="20"/>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rFonts w:ascii="Arial" w:hAnsi="Arial" w:cs="Arial"/>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i/>
          <w:i/>
          <w:color w:val="FF0000"/>
          <w:sz w:val="18"/>
          <w:szCs w:val="18"/>
        </w:rPr>
      </w:pPr>
      <w:r>
        <w:rPr>
          <w:rFonts w:cs="Arial" w:ascii="Arial" w:hAnsi="Arial"/>
          <w:b/>
          <w:i/>
          <w:color w:val="FF0000"/>
          <w:sz w:val="18"/>
          <w:szCs w:val="18"/>
        </w:rPr>
      </w:r>
    </w:p>
    <w:p>
      <w:pPr>
        <w:pStyle w:val="Normal"/>
        <w:spacing w:lineRule="auto" w:line="276" w:before="120" w:after="288"/>
        <w:ind w:firstLine="709"/>
        <w:jc w:val="center"/>
        <w:rPr>
          <w:rFonts w:ascii="Arial" w:hAnsi="Arial" w:cs="Arial"/>
          <w:b/>
          <w:i/>
          <w:i/>
          <w:color w:val="FF0000"/>
          <w:sz w:val="18"/>
          <w:szCs w:val="18"/>
        </w:rPr>
      </w:pPr>
      <w:r>
        <w:rPr>
          <w:rFonts w:cs="Arial" w:ascii="Arial" w:hAnsi="Arial"/>
          <w:b/>
          <w:i/>
          <w:color w:val="FF0000"/>
          <w:sz w:val="18"/>
          <w:szCs w:val="18"/>
        </w:rPr>
      </w:r>
    </w:p>
    <w:p>
      <w:pPr>
        <w:pStyle w:val="Normal"/>
        <w:suppressLineNumbers/>
        <w:jc w:val="center"/>
        <w:rPr>
          <w:sz w:val="18"/>
          <w:szCs w:val="18"/>
        </w:rPr>
      </w:pPr>
      <w:r>
        <w:rPr>
          <w:rFonts w:cs="Arial" w:ascii="Arial" w:hAnsi="Arial"/>
          <w:b/>
          <w:bCs/>
          <w:iCs/>
          <w:sz w:val="18"/>
          <w:szCs w:val="18"/>
          <w:lang w:eastAsia="ar-SA"/>
        </w:rPr>
        <w:t>MINISTÉRIO DA DEFESA</w:t>
      </w:r>
    </w:p>
    <w:p>
      <w:pPr>
        <w:pStyle w:val="Normal"/>
        <w:suppressLineNumbers/>
        <w:jc w:val="center"/>
        <w:rPr>
          <w:sz w:val="18"/>
          <w:szCs w:val="18"/>
        </w:rPr>
      </w:pPr>
      <w:r>
        <w:rPr>
          <w:rFonts w:cs="Arial" w:ascii="Arial" w:hAnsi="Arial"/>
          <w:b/>
          <w:bCs/>
          <w:iCs/>
          <w:sz w:val="18"/>
          <w:szCs w:val="18"/>
          <w:lang w:eastAsia="ar-SA"/>
        </w:rPr>
        <w:t>EXÉRCITO BRASILEIRO</w:t>
      </w:r>
    </w:p>
    <w:p>
      <w:pPr>
        <w:pStyle w:val="Normal"/>
        <w:jc w:val="center"/>
        <w:rPr>
          <w:sz w:val="18"/>
          <w:szCs w:val="18"/>
        </w:rPr>
      </w:pPr>
      <w:r>
        <w:rPr>
          <w:rFonts w:cs="Arial" w:ascii="Arial" w:hAnsi="Arial"/>
          <w:b/>
          <w:bCs/>
          <w:sz w:val="18"/>
          <w:szCs w:val="18"/>
          <w:lang w:eastAsia="ar-SA"/>
        </w:rPr>
        <w:t>CENTRO DE AVALIAÇÕES DO EXÉRCITO</w:t>
      </w:r>
    </w:p>
    <w:p>
      <w:pPr>
        <w:pStyle w:val="Normal"/>
        <w:jc w:val="center"/>
        <w:rPr>
          <w:sz w:val="18"/>
          <w:szCs w:val="18"/>
        </w:rPr>
      </w:pPr>
      <w:r>
        <w:rPr>
          <w:rFonts w:cs="Arial" w:ascii="Arial" w:hAnsi="Arial"/>
          <w:b/>
          <w:bCs/>
          <w:i/>
          <w:color w:val="000000"/>
          <w:sz w:val="18"/>
          <w:szCs w:val="18"/>
          <w:lang w:eastAsia="ar-SA"/>
        </w:rPr>
        <w:t>(CAMPO DE PROVAS DA MARAMBAIA)</w:t>
      </w:r>
      <w:r>
        <w:rPr>
          <w:rFonts w:cs="Arial" w:ascii="Arial" w:hAnsi="Arial"/>
          <w:b/>
          <w:bCs/>
          <w:i/>
          <w:color w:val="000000"/>
          <w:sz w:val="18"/>
          <w:szCs w:val="18"/>
        </w:rPr>
        <w:t xml:space="preserve"> </w:t>
      </w:r>
    </w:p>
    <w:p>
      <w:pPr>
        <w:pStyle w:val="Normal"/>
        <w:jc w:val="center"/>
        <w:rPr>
          <w:rFonts w:ascii="Arial" w:hAnsi="Arial" w:cs="Arial"/>
          <w:b/>
          <w:bCs/>
          <w:i/>
          <w:i/>
          <w:sz w:val="18"/>
          <w:szCs w:val="18"/>
        </w:rPr>
      </w:pPr>
      <w:r>
        <w:rPr>
          <w:rFonts w:cs="Arial" w:ascii="Arial" w:hAnsi="Arial"/>
          <w:b/>
          <w:bCs/>
          <w:i/>
          <w:sz w:val="18"/>
          <w:szCs w:val="18"/>
        </w:rPr>
      </w:r>
    </w:p>
    <w:p>
      <w:pPr>
        <w:pStyle w:val="Normal"/>
        <w:spacing w:lineRule="auto" w:line="312" w:before="120" w:after="288"/>
        <w:ind w:firstLine="709"/>
        <w:jc w:val="center"/>
        <w:rPr>
          <w:sz w:val="18"/>
          <w:szCs w:val="18"/>
        </w:rPr>
      </w:pPr>
      <w:r>
        <w:rPr>
          <w:rFonts w:cs="Arial" w:ascii="Arial" w:hAnsi="Arial"/>
          <w:bCs/>
          <w:color w:val="000000"/>
          <w:sz w:val="18"/>
          <w:szCs w:val="18"/>
        </w:rPr>
        <w:t>(Processo Administrativo n° 64197.001072/2024-82)</w:t>
      </w:r>
    </w:p>
    <w:p>
      <w:pPr>
        <w:pStyle w:val="Prembulo"/>
        <w:spacing w:lineRule="auto" w:line="312" w:before="120" w:after="288"/>
        <w:rPr>
          <w:bCs w:val="false"/>
        </w:rPr>
      </w:pPr>
      <w:r>
        <w:rPr>
          <w:bCs w:val="false"/>
        </w:rPr>
        <w:t xml:space="preserve">CONTRATO ADMINISTRATIVO Nº ......../2024, QUE FAZEM ENTRE SI A UNIÃO, POR INTERMÉDIO DO (A) </w:t>
      </w:r>
      <w:r>
        <w:rPr>
          <w:bCs w:val="false"/>
          <w:sz w:val="18"/>
          <w:szCs w:val="18"/>
        </w:rPr>
        <w:t>CENTRO DE AVALIAÇÕES DO EXÉRCITO  ( CAEX )</w:t>
      </w:r>
      <w:r>
        <w:rPr>
          <w:bCs w:val="false"/>
        </w:rPr>
        <w:t xml:space="preserve">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val="false"/>
          <w:iCs w:val="false"/>
          <w:color w:val="000000"/>
          <w:sz w:val="20"/>
          <w:szCs w:val="20"/>
        </w:rPr>
        <w:t xml:space="preserve">A União por intermédio do(a) CENTRO DE AVALIAÇÕES DO EXÉRCITO ( CAEX ), com sede no(a) Estrada Roberto Burle Marx, 9140, Barra de Guaratiba, Rio de Janeiro, RJ, inscrito(a) no CNPJ sob o nº 09.687.482/00001-74, neste ato representado(a) pelo(a) </w:t>
      </w:r>
      <w:r>
        <w:rPr>
          <w:rFonts w:eastAsia="Arial" w:cs="Times New Roman" w:ascii="Arial" w:hAnsi="Arial"/>
          <w:i w:val="false"/>
          <w:iCs w:val="false"/>
          <w:color w:val="000000"/>
          <w:sz w:val="20"/>
          <w:szCs w:val="20"/>
        </w:rPr>
        <w:t xml:space="preserve">Ordenador de Despesas Cel Silvia Mazeliah da Cunha do Nascimento, nomeada pelo BI n° </w:t>
      </w:r>
      <w:r>
        <w:rPr>
          <w:rFonts w:eastAsia="Arial" w:cs="Times New Roman" w:ascii="Arial" w:hAnsi="Arial"/>
          <w:i w:val="false"/>
          <w:iCs w:val="false"/>
          <w:color w:val="000000"/>
          <w:sz w:val="20"/>
          <w:szCs w:val="20"/>
        </w:rPr>
        <w:t>101</w:t>
      </w:r>
      <w:r>
        <w:rPr>
          <w:rFonts w:eastAsia="Arial" w:cs="Times New Roman" w:ascii="Arial" w:hAnsi="Arial"/>
          <w:i w:val="false"/>
          <w:iCs w:val="false"/>
          <w:color w:val="000000"/>
          <w:sz w:val="20"/>
          <w:szCs w:val="20"/>
        </w:rPr>
        <w:t xml:space="preserve"> de </w:t>
      </w:r>
      <w:r>
        <w:rPr>
          <w:rFonts w:eastAsia="Arial" w:cs="Times New Roman" w:ascii="Arial" w:hAnsi="Arial"/>
          <w:i w:val="false"/>
          <w:iCs w:val="false"/>
          <w:color w:val="000000"/>
          <w:sz w:val="20"/>
          <w:szCs w:val="20"/>
        </w:rPr>
        <w:t>03</w:t>
      </w:r>
      <w:r>
        <w:rPr>
          <w:rFonts w:eastAsia="Arial" w:cs="Times New Roman" w:ascii="Arial" w:hAnsi="Arial"/>
          <w:i w:val="false"/>
          <w:iCs w:val="false"/>
          <w:color w:val="000000"/>
          <w:sz w:val="20"/>
          <w:szCs w:val="20"/>
        </w:rPr>
        <w:t xml:space="preserve"> de </w:t>
      </w:r>
      <w:r>
        <w:rPr>
          <w:rFonts w:eastAsia="Arial" w:cs="Times New Roman" w:ascii="Arial" w:hAnsi="Arial"/>
          <w:i w:val="false"/>
          <w:iCs w:val="false"/>
          <w:color w:val="000000"/>
          <w:sz w:val="20"/>
          <w:szCs w:val="20"/>
        </w:rPr>
        <w:t>Junho</w:t>
      </w:r>
      <w:r>
        <w:rPr>
          <w:rFonts w:eastAsia="Arial" w:cs="Times New Roman" w:ascii="Arial" w:hAnsi="Arial"/>
          <w:i w:val="false"/>
          <w:iCs w:val="false"/>
          <w:color w:val="000000"/>
          <w:sz w:val="20"/>
          <w:szCs w:val="20"/>
        </w:rPr>
        <w:t xml:space="preserve"> de 202</w:t>
      </w:r>
      <w:r>
        <w:rPr>
          <w:rFonts w:eastAsia="Arial" w:cs="Times New Roman" w:ascii="Arial" w:hAnsi="Arial"/>
          <w:i w:val="false"/>
          <w:iCs w:val="false"/>
          <w:color w:val="000000"/>
          <w:sz w:val="20"/>
          <w:szCs w:val="20"/>
        </w:rPr>
        <w:t>4</w:t>
      </w:r>
      <w:r>
        <w:rPr>
          <w:rFonts w:eastAsia="Arial" w:cs="Times New Roman" w:ascii="Arial" w:hAnsi="Arial"/>
          <w:i w:val="false"/>
          <w:iCs w:val="false"/>
          <w:color w:val="000000"/>
          <w:sz w:val="20"/>
          <w:szCs w:val="20"/>
        </w:rPr>
        <w:t xml:space="preserve"> do CAEx, portador da identidade militar nº 062352414-7, e CPF nº 933.272.427-04</w:t>
      </w:r>
      <w:r>
        <w:rPr>
          <w:rFonts w:eastAsia="Arial" w:cs="Arial" w:ascii="Arial" w:hAnsi="Arial"/>
          <w:sz w:val="20"/>
          <w:szCs w:val="20"/>
        </w:rPr>
        <w:t>,</w:t>
      </w:r>
      <w:commentRangeStart w:id="1"/>
      <w:r>
        <w:rPr>
          <w:rFonts w:eastAsia="Arial" w:cs="Arial" w:ascii="Arial" w:hAnsi="Arial"/>
          <w:sz w:val="20"/>
          <w:szCs w:val="20"/>
        </w:rPr>
        <w:t xml:space="preserve">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1"/>
      <w:r>
        <w:commentReference w:id="1"/>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e demais legislação aplicável, resolvem celebrar o presente Termo de Contrato, decorrente</w:t>
      </w:r>
      <w:r>
        <w:rPr>
          <w:rFonts w:eastAsia="Arial" w:cs="Arial" w:ascii="Arial" w:hAnsi="Arial"/>
          <w:i w:val="false"/>
          <w:iCs w:val="false"/>
          <w:color w:val="000000"/>
          <w:sz w:val="20"/>
          <w:szCs w:val="20"/>
        </w:rPr>
        <w:t xml:space="preserve"> do Pregão Eletrônico n. 90007/2024</w:t>
      </w:r>
      <w:r>
        <w:rPr>
          <w:rFonts w:eastAsia="Arial" w:cs="Arial" w:ascii="Arial" w:hAnsi="Arial"/>
          <w:sz w:val="20"/>
          <w:szCs w:val="20"/>
        </w:rPr>
        <w:t>, mediante as cláusulas e condições a seguir enunciadas.</w:t>
      </w:r>
    </w:p>
    <w:p>
      <w:pPr>
        <w:pStyle w:val="Nivel01"/>
        <w:numPr>
          <w:ilvl w:val="0"/>
          <w:numId w:val="123"/>
        </w:numPr>
        <w:rPr>
          <w:color w:val="FFFFFF" w:themeColor="background1"/>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24"/>
        </w:numPr>
        <w:ind w:left="0" w:hanging="0"/>
        <w:rPr/>
      </w:pPr>
      <w:r>
        <w:rPr/>
        <w:t>O objeto do presente instrumento é a aquisição de material de elétrica e obras, nas condições estabelecidas no Termo de Referência.</w:t>
      </w:r>
    </w:p>
    <w:p>
      <w:pPr>
        <w:pStyle w:val="Nivel2"/>
        <w:numPr>
          <w:ilvl w:val="1"/>
          <w:numId w:val="125"/>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2"/>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2"/>
            <w:r>
              <w:commentReference w:id="2"/>
            </w:r>
            <w:r>
              <w:rPr>
                <w:rFonts w:eastAsia="Arial" w:cs="Arial" w:ascii="Arial" w:hAnsi="Arial"/>
                <w:b/>
                <w:bCs/>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6"/>
        </w:numPr>
        <w:ind w:left="0" w:hanging="0"/>
        <w:rPr/>
      </w:pPr>
      <w:r>
        <w:rPr/>
        <w:t>Vinculam esta contratação, independentemente de transcrição:</w:t>
      </w:r>
    </w:p>
    <w:p>
      <w:pPr>
        <w:pStyle w:val="Nivel3"/>
        <w:numPr>
          <w:ilvl w:val="2"/>
          <w:numId w:val="127"/>
        </w:numPr>
        <w:ind w:left="284" w:hanging="0"/>
        <w:rPr/>
      </w:pPr>
      <w:r>
        <w:rPr/>
        <w:t>O Termo de Referência;</w:t>
      </w:r>
    </w:p>
    <w:p>
      <w:pPr>
        <w:pStyle w:val="Nivel3"/>
        <w:numPr>
          <w:ilvl w:val="2"/>
          <w:numId w:val="128"/>
        </w:numPr>
        <w:ind w:left="284" w:hanging="0"/>
        <w:rPr/>
      </w:pPr>
      <w:r>
        <w:rPr/>
        <w:t>O Edital da Licitação;</w:t>
      </w:r>
    </w:p>
    <w:p>
      <w:pPr>
        <w:pStyle w:val="Nivel3"/>
        <w:numPr>
          <w:ilvl w:val="2"/>
          <w:numId w:val="129"/>
        </w:numPr>
        <w:ind w:left="284" w:hanging="0"/>
        <w:rPr/>
      </w:pPr>
      <w:r>
        <w:rPr/>
        <w:t>A Proposta do contratado;</w:t>
      </w:r>
    </w:p>
    <w:p>
      <w:pPr>
        <w:pStyle w:val="Nivel3"/>
        <w:numPr>
          <w:ilvl w:val="2"/>
          <w:numId w:val="130"/>
        </w:numPr>
        <w:ind w:left="284" w:hanging="0"/>
        <w:rPr/>
      </w:pPr>
      <w:r>
        <w:rPr/>
        <w:t>Eventuais anexos dos documentos supracitados.</w:t>
      </w:r>
    </w:p>
    <w:p>
      <w:pPr>
        <w:pStyle w:val="Nivel01"/>
        <w:numPr>
          <w:ilvl w:val="0"/>
          <w:numId w:val="131"/>
        </w:numPr>
        <w:ind w:left="0" w:hanging="0"/>
        <w:rPr>
          <w:color w:val="FFFFFF" w:themeColor="background1"/>
        </w:rPr>
      </w:pPr>
      <w:r>
        <w:rPr/>
        <w:t>CLÁUSULA SEGUNDA – VIGÊNCIA E PRORROGAÇÃO</w:t>
      </w:r>
    </w:p>
    <w:p>
      <w:pPr>
        <w:pStyle w:val="Nvel2-Red"/>
        <w:numPr>
          <w:ilvl w:val="1"/>
          <w:numId w:val="132"/>
        </w:numPr>
        <w:ind w:left="0" w:hanging="0"/>
        <w:rPr/>
      </w:pPr>
      <w:r>
        <w:rPr/>
        <w:t xml:space="preserve">O prazo de vigência da contratação é de 01 (um) ano contados do(a) assinatura da ATA de Refistro de preço, na forma do </w:t>
      </w:r>
      <w:r>
        <w:fldChar w:fldCharType="begin"/>
      </w:r>
      <w:r>
        <w:rPr>
          <w:rStyle w:val="LinkdaInternet"/>
        </w:rPr>
        <w:instrText xml:space="preserve"> HYPERLINK "http://www.planalto.gov.br/ccivil_03/_ato2019-2022/2021/lei/L14133.htm" \l "art105"</w:instrText>
      </w:r>
      <w:r>
        <w:rPr>
          <w:rStyle w:val="LinkdaInternet"/>
        </w:rPr>
        <w:fldChar w:fldCharType="separate"/>
      </w:r>
      <w:r>
        <w:rPr>
          <w:rStyle w:val="LinkdaInternet"/>
        </w:rPr>
        <w:t>artigo 105 da Lei n° 14.133, de 2021</w:t>
      </w:r>
      <w:r>
        <w:rPr>
          <w:rStyle w:val="LinkdaInternet"/>
        </w:rPr>
        <w:fldChar w:fldCharType="end"/>
      </w:r>
      <w:r>
        <w:rPr>
          <w:rStyle w:val="LinkdaInternet"/>
        </w:rPr>
        <w:t xml:space="preserve"> e </w:t>
      </w:r>
      <w:r>
        <w:rPr>
          <w:rStyle w:val="LinkdaInternet"/>
          <w:b/>
          <w:bCs/>
        </w:rPr>
        <w:t>improrrogável.</w:t>
      </w:r>
    </w:p>
    <w:p>
      <w:pPr>
        <w:pStyle w:val="Nivel01"/>
        <w:numPr>
          <w:ilvl w:val="0"/>
          <w:numId w:val="133"/>
        </w:numPr>
        <w:ind w:left="0" w:hanging="0"/>
        <w:rPr>
          <w:color w:val="FFFFFF" w:themeColor="background1"/>
        </w:rPr>
      </w:pPr>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34"/>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5"/>
        </w:numPr>
        <w:ind w:left="0" w:hanging="0"/>
        <w:rPr>
          <w:color w:val="FFFFFF" w:themeColor="background1"/>
        </w:rPr>
      </w:pPr>
      <w:r>
        <w:rPr/>
        <w:t>CLÁUSULA QUARTA – SUBCONTRATAÇÃO</w:t>
      </w:r>
    </w:p>
    <w:p>
      <w:pPr>
        <w:pStyle w:val="Nvel2-Red"/>
        <w:numPr>
          <w:ilvl w:val="1"/>
          <w:numId w:val="136"/>
        </w:numPr>
        <w:ind w:left="0" w:hanging="0"/>
        <w:rPr/>
      </w:pPr>
      <w:r>
        <w:rPr/>
        <w:t>Não será admitida a subcontratação do objeto contratual.</w:t>
      </w:r>
    </w:p>
    <w:p>
      <w:pPr>
        <w:pStyle w:val="Nivel01"/>
        <w:numPr>
          <w:ilvl w:val="0"/>
          <w:numId w:val="137"/>
        </w:numPr>
        <w:ind w:left="0" w:hanging="0"/>
        <w:rPr>
          <w:color w:val="FFFFFF" w:themeColor="background1"/>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commentReference w:id="3"/>
      </w:r>
    </w:p>
    <w:p>
      <w:pPr>
        <w:pStyle w:val="Nvel2-Red"/>
        <w:numPr>
          <w:ilvl w:val="1"/>
          <w:numId w:val="138"/>
        </w:numPr>
        <w:ind w:left="0" w:hanging="0"/>
        <w:rPr/>
      </w:pPr>
      <w:commentRangeStart w:id="4"/>
      <w:r>
        <w:rPr/>
        <w:t>O valor total da contratação é de R$.......... (.....)</w:t>
      </w:r>
      <w:commentRangeEnd w:id="4"/>
      <w:r>
        <w:commentReference w:id="4"/>
      </w:r>
      <w:r>
        <w:rPr/>
      </w:r>
    </w:p>
    <w:p>
      <w:pPr>
        <w:pStyle w:val="Nivel2"/>
        <w:numPr>
          <w:ilvl w:val="1"/>
          <w:numId w:val="139"/>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40"/>
        </w:numPr>
        <w:ind w:left="0" w:hanging="0"/>
        <w:rPr/>
      </w:pPr>
      <w:commentRangeStart w:id="5"/>
      <w:r>
        <w:rPr/>
        <w:t>O valor acima é meramente estimativo, de forma que os pagamentos devidos ao contratado dependerão dos quantitativos efetivamente fornecidos.</w:t>
      </w:r>
      <w:commentRangeEnd w:id="5"/>
      <w:r>
        <w:commentReference w:id="5"/>
      </w:r>
      <w:r>
        <w:rPr/>
      </w:r>
    </w:p>
    <w:p>
      <w:pPr>
        <w:pStyle w:val="Nivel01"/>
        <w:numPr>
          <w:ilvl w:val="0"/>
          <w:numId w:val="141"/>
        </w:numPr>
        <w:ind w:left="0" w:hanging="0"/>
        <w:rPr>
          <w:color w:val="FFFFFF" w:themeColor="background1"/>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42"/>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3"/>
        </w:numPr>
        <w:ind w:left="0" w:hanging="0"/>
        <w:rPr>
          <w:color w:val="FFFFFF" w:themeColor="background1"/>
        </w:rPr>
      </w:pPr>
      <w:commentRangeStart w:id="6"/>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6"/>
      <w:r>
        <w:commentReference w:id="6"/>
      </w:r>
      <w:r>
        <w:rPr>
          <w:rStyle w:val="LinkdaInternet"/>
        </w:rPr>
      </w:r>
    </w:p>
    <w:p>
      <w:pPr>
        <w:pStyle w:val="Nivel2"/>
        <w:numPr>
          <w:ilvl w:val="1"/>
          <w:numId w:val="144"/>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45"/>
        </w:numPr>
        <w:ind w:left="0" w:hanging="0"/>
        <w:rPr/>
      </w:pPr>
      <w:r>
        <w:rPr/>
        <w:t>Nos reajustes subsequentes ao primeiro, o interregno mínimo de um ano será contado a partir dos efeitos financeiros do último reajuste.</w:t>
      </w:r>
    </w:p>
    <w:p>
      <w:pPr>
        <w:pStyle w:val="Nivel2"/>
        <w:numPr>
          <w:ilvl w:val="1"/>
          <w:numId w:val="146"/>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147"/>
        </w:numPr>
        <w:ind w:left="0" w:hanging="0"/>
        <w:rPr/>
      </w:pPr>
      <w:r>
        <w:rPr/>
        <w:t>Nas aferições finais, o(s) índice(s) utilizado(s) para reajuste será(ão), obrigatoriamente, o(s) definitivo(s).</w:t>
      </w:r>
    </w:p>
    <w:p>
      <w:pPr>
        <w:pStyle w:val="Nivel2"/>
        <w:numPr>
          <w:ilvl w:val="1"/>
          <w:numId w:val="148"/>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ind w:left="0" w:hanging="0"/>
        <w:rPr/>
      </w:pPr>
      <w:r>
        <w:rPr/>
        <w:t>O reajuste será realizado por apostilamento.</w:t>
      </w:r>
    </w:p>
    <w:p>
      <w:pPr>
        <w:pStyle w:val="Nivel01"/>
        <w:numPr>
          <w:ilvl w:val="0"/>
          <w:numId w:val="151"/>
        </w:numPr>
        <w:ind w:left="0" w:hanging="0"/>
        <w:rPr>
          <w:color w:val="FFFFFF" w:themeColor="background1"/>
        </w:rPr>
      </w:pPr>
      <w:r>
        <w:rPr/>
        <w:t>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52"/>
        </w:numPr>
        <w:ind w:left="0" w:hanging="0"/>
        <w:rPr>
          <w:b/>
          <w:bCs/>
        </w:rPr>
      </w:pPr>
      <w:r>
        <w:rPr/>
        <w:t>São obrigações do Contratante:</w:t>
      </w:r>
    </w:p>
    <w:p>
      <w:pPr>
        <w:pStyle w:val="Nivel2"/>
        <w:numPr>
          <w:ilvl w:val="1"/>
          <w:numId w:val="153"/>
        </w:numPr>
        <w:ind w:left="0" w:hanging="0"/>
        <w:rPr/>
      </w:pPr>
      <w:r>
        <w:rPr/>
        <w:t>Exigir o cumprimento de todas as obrigações assumidas pelo Contratado, de acordo com o contrato e seus anexos;</w:t>
      </w:r>
    </w:p>
    <w:p>
      <w:pPr>
        <w:pStyle w:val="Nivel2"/>
        <w:numPr>
          <w:ilvl w:val="1"/>
          <w:numId w:val="154"/>
        </w:numPr>
        <w:ind w:left="0" w:hanging="0"/>
        <w:rPr/>
      </w:pPr>
      <w:r>
        <w:rPr/>
        <w:t>Receber o objeto no prazo e condições estabelecidas no Termo de Referência;</w:t>
      </w:r>
    </w:p>
    <w:p>
      <w:pPr>
        <w:pStyle w:val="Nivel2"/>
        <w:numPr>
          <w:ilvl w:val="1"/>
          <w:numId w:val="155"/>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ind w:left="0" w:hanging="0"/>
        <w:rPr/>
      </w:pPr>
      <w:r>
        <w:rPr/>
        <w:t>Acompanhar e fiscalizar a execução do contrato e o cumprimento das obrigações pelo Contratado;</w:t>
      </w:r>
    </w:p>
    <w:p>
      <w:pPr>
        <w:pStyle w:val="Nivel2"/>
        <w:numPr>
          <w:ilvl w:val="1"/>
          <w:numId w:val="157"/>
        </w:numPr>
        <w:ind w:left="0" w:hanging="0"/>
        <w:rPr/>
      </w:pPr>
      <w:r>
        <w:rPr/>
        <w:t xml:space="preserve">Efetuar o pagamento ao Contratado do valor correspondente ao fornecimento do objeto, no prazo, forma e condições estabelecidos no presente Contrato </w:t>
      </w:r>
      <w:r>
        <w:rPr>
          <w:shd w:fill="FFFFFF" w:val="clear"/>
        </w:rPr>
        <w:t>e no Termo de Referência.</w:t>
      </w:r>
    </w:p>
    <w:p>
      <w:pPr>
        <w:pStyle w:val="Nivel2"/>
        <w:numPr>
          <w:ilvl w:val="1"/>
          <w:numId w:val="158"/>
        </w:numPr>
        <w:ind w:left="0" w:hanging="0"/>
        <w:rPr/>
      </w:pPr>
      <w:r>
        <w:rPr/>
        <w:t xml:space="preserve">Aplicar ao Contratado as sanções previstas na lei e neste Contrato; </w:t>
      </w:r>
    </w:p>
    <w:p>
      <w:pPr>
        <w:pStyle w:val="Nivel2"/>
        <w:numPr>
          <w:ilvl w:val="1"/>
          <w:numId w:val="159"/>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60"/>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commentRangeStart w:id="7"/>
      <w:r>
        <w:rPr/>
        <w:t xml:space="preserve"> </w:t>
      </w:r>
      <w:commentRangeEnd w:id="7"/>
      <w:r>
        <w:commentReference w:id="7"/>
      </w:r>
      <w:r>
        <w:rPr/>
      </w:r>
    </w:p>
    <w:p>
      <w:pPr>
        <w:pStyle w:val="Nivel2"/>
        <w:numPr>
          <w:ilvl w:val="1"/>
          <w:numId w:val="161"/>
        </w:numPr>
        <w:ind w:left="0" w:hanging="0"/>
        <w:rPr>
          <w:color w:val="FF0000"/>
        </w:rPr>
      </w:pPr>
      <w:commentRangeStart w:id="8"/>
      <w:r>
        <w:rPr/>
        <w:t>Responder eventuais pedidos de reestabelecimento do equilíbrio econômico-financeiro feitos pelo contratado no prazo máximo de 10 (dez) dias úteis</w:t>
      </w:r>
      <w:r>
        <w:rPr>
          <w:color w:val="FF0000"/>
        </w:rPr>
        <w:t>.</w:t>
      </w:r>
      <w:commentRangeEnd w:id="8"/>
      <w:r>
        <w:commentReference w:id="8"/>
      </w:r>
      <w:r>
        <w:rPr>
          <w:color w:val="FF0000"/>
        </w:rPr>
      </w:r>
    </w:p>
    <w:p>
      <w:pPr>
        <w:pStyle w:val="Nvel2-Red"/>
        <w:numPr>
          <w:ilvl w:val="1"/>
          <w:numId w:val="162"/>
        </w:numPr>
        <w:ind w:left="0" w:hanging="0"/>
        <w:rPr>
          <w:color w:val="000000"/>
        </w:rPr>
      </w:pPr>
      <w:commentRangeStart w:id="9"/>
      <w:r>
        <w:rPr>
          <w:color w:val="000000"/>
        </w:rPr>
        <w:t>Notificar os emitentes das garantias quanto ao início de processo administrativo para apuração de descumprimento de cláusulas contratuais.</w:t>
      </w:r>
      <w:commentRangeEnd w:id="9"/>
      <w:r>
        <w:commentReference w:id="9"/>
      </w:r>
      <w:r>
        <w:rPr>
          <w:color w:val="000000"/>
        </w:rPr>
      </w:r>
    </w:p>
    <w:p>
      <w:pPr>
        <w:pStyle w:val="Nivel2"/>
        <w:numPr>
          <w:ilvl w:val="1"/>
          <w:numId w:val="163"/>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4"/>
        </w:numPr>
        <w:ind w:left="0" w:hanging="0"/>
        <w:rPr>
          <w:color w:val="FFFFFF" w:themeColor="background1"/>
        </w:rPr>
      </w:pPr>
      <w:commentRangeStart w:id="10"/>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0"/>
      <w:r>
        <w:commentReference w:id="10"/>
      </w:r>
      <w:r>
        <w:rPr>
          <w:rStyle w:val="LinkdaInternet"/>
        </w:rPr>
      </w:r>
    </w:p>
    <w:p>
      <w:pPr>
        <w:pStyle w:val="Nivel2"/>
        <w:numPr>
          <w:ilvl w:val="1"/>
          <w:numId w:val="165"/>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66"/>
        </w:numPr>
        <w:ind w:left="0" w:hanging="0"/>
        <w:rPr>
          <w:color w:val="000000"/>
        </w:rPr>
      </w:pPr>
      <w:r>
        <w:rPr>
          <w:color w:val="000000"/>
        </w:rPr>
        <w:t>Entregar o objeto acompanhado do manual do usuário, com uma versão em português, e da relação da rede de assistência técnica autorizada;</w:t>
      </w:r>
    </w:p>
    <w:p>
      <w:pPr>
        <w:pStyle w:val="Nivel2"/>
        <w:numPr>
          <w:ilvl w:val="1"/>
          <w:numId w:val="167"/>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68"/>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69"/>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70"/>
        </w:numPr>
        <w:ind w:left="0" w:hanging="0"/>
        <w:rPr/>
      </w:pPr>
      <w:commentRangeStart w:id="11"/>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1"/>
      <w:r>
        <w:commentReference w:id="11"/>
      </w:r>
      <w:r>
        <w:rPr/>
      </w:r>
    </w:p>
    <w:p>
      <w:pPr>
        <w:pStyle w:val="Nivel2"/>
        <w:numPr>
          <w:ilvl w:val="1"/>
          <w:numId w:val="17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2"/>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73"/>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4"/>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75"/>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6"/>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77"/>
        </w:numPr>
        <w:ind w:left="0" w:hanging="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78"/>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9"/>
        </w:numPr>
        <w:ind w:left="0" w:hanging="0"/>
        <w:rPr/>
      </w:pPr>
      <w:r>
        <w:rPr/>
        <w:t xml:space="preserve">  </w:t>
      </w:r>
      <w:r>
        <w:rPr/>
        <w:t xml:space="preserve">Guardar sigilo sobre todas as informações obtidas em decorrência do cumprimento do contrato; </w:t>
      </w:r>
    </w:p>
    <w:p>
      <w:pPr>
        <w:pStyle w:val="Nivel2"/>
        <w:numPr>
          <w:ilvl w:val="1"/>
          <w:numId w:val="180"/>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81"/>
        </w:numPr>
        <w:ind w:left="0" w:hanging="0"/>
        <w:rPr/>
      </w:pPr>
      <w:r>
        <w:rPr/>
        <w:t>Cumprir, além dos postulados legais vigentes de âmbito federal, estadual ou municipal, as normas de segurança do contratante;</w:t>
      </w:r>
    </w:p>
    <w:p>
      <w:pPr>
        <w:pStyle w:val="Nvel2-Red"/>
        <w:numPr>
          <w:ilvl w:val="1"/>
          <w:numId w:val="182"/>
        </w:numPr>
        <w:ind w:left="0" w:hanging="0"/>
        <w:rPr>
          <w:color w:val="000000"/>
        </w:rPr>
      </w:pPr>
      <w:bookmarkStart w:id="0" w:name="_Ref118293001"/>
      <w:commentRangeStart w:id="12"/>
      <w:r>
        <w:rPr>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Nvel2-Red"/>
        <w:numPr>
          <w:ilvl w:val="1"/>
          <w:numId w:val="183"/>
        </w:numPr>
        <w:ind w:left="0" w:hanging="0"/>
        <w:rPr>
          <w:color w:val="000000"/>
        </w:rPr>
      </w:pPr>
      <w:r>
        <w:rPr>
          <w:color w:val="000000"/>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184"/>
        </w:numPr>
        <w:ind w:left="0" w:hanging="0"/>
        <w:rPr>
          <w:color w:val="000000"/>
        </w:rPr>
      </w:pPr>
      <w:r>
        <w:rPr>
          <w:color w:val="000000"/>
        </w:rPr>
        <w:t>Conduzir os trabalhos com estrita observância às normas da legislação pertinente, cumprindo as determinações dos Poderes Públicos, mantendo sempre limpo o local d</w:t>
      </w:r>
      <w:r>
        <w:rPr>
          <w:color w:val="000000"/>
          <w:lang w:eastAsia="en-US"/>
        </w:rPr>
        <w:t>e execução do objeto</w:t>
      </w:r>
      <w:r>
        <w:rPr>
          <w:color w:val="000000"/>
        </w:rPr>
        <w:t xml:space="preserve"> e nas melhores condições de segurança, higiene e disciplina.</w:t>
      </w:r>
    </w:p>
    <w:p>
      <w:pPr>
        <w:pStyle w:val="Nvel2-Red"/>
        <w:numPr>
          <w:ilvl w:val="1"/>
          <w:numId w:val="185"/>
        </w:numPr>
        <w:ind w:left="0" w:hanging="0"/>
        <w:rPr>
          <w:color w:val="000000"/>
        </w:rPr>
      </w:pPr>
      <w:r>
        <w:rPr>
          <w:color w:val="000000"/>
        </w:rPr>
        <w:t>Submeter previamente, por escrito, ao contratante, para análise e aprovação, quaisquer mudanças nos métodos executivos que fujam às especificações do memorial descritivo ou instrumento congênere.</w:t>
      </w:r>
    </w:p>
    <w:p>
      <w:pPr>
        <w:pStyle w:val="Nvel2-Red"/>
        <w:numPr>
          <w:ilvl w:val="1"/>
          <w:numId w:val="186"/>
        </w:numPr>
        <w:ind w:left="0" w:hanging="0"/>
        <w:rPr>
          <w:color w:val="000000"/>
        </w:rPr>
      </w:pPr>
      <w:bookmarkStart w:id="1" w:name="_Ref118293030"/>
      <w:r>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commentRangeEnd w:id="12"/>
      <w:r>
        <w:commentReference w:id="12"/>
      </w:r>
      <w:r>
        <w:rPr>
          <w:color w:val="000000"/>
        </w:rPr>
      </w:r>
    </w:p>
    <w:p>
      <w:pPr>
        <w:pStyle w:val="Nivel01"/>
        <w:numPr>
          <w:ilvl w:val="0"/>
          <w:numId w:val="187"/>
        </w:numPr>
        <w:ind w:left="0" w:hanging="0"/>
        <w:rPr>
          <w:color w:val="FFFFFF" w:themeColor="background1"/>
        </w:rPr>
      </w:pPr>
      <w:r>
        <w:rPr/>
        <w:t>CLÁUSULA DÉCIMA–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88"/>
        </w:numPr>
        <w:ind w:left="0" w:hanging="0"/>
        <w:rPr/>
      </w:pPr>
      <w:r>
        <w:rPr/>
        <w:t xml:space="preserve">  </w:t>
      </w:r>
      <w:commentRangeStart w:id="13"/>
      <w:r>
        <w:rPr>
          <w:i w:val="false"/>
          <w:iCs w:val="false"/>
          <w:color w:val="000000"/>
        </w:rPr>
        <w:t>Não haverá exigência de garantia contratual da execução.</w:t>
      </w:r>
      <w:commentRangeEnd w:id="13"/>
      <w:r>
        <w:commentReference w:id="13"/>
      </w:r>
      <w:r>
        <w:rPr>
          <w:i w:val="false"/>
          <w:iCs w:val="false"/>
          <w:color w:val="000000"/>
        </w:rPr>
      </w:r>
    </w:p>
    <w:p>
      <w:pPr>
        <w:pStyle w:val="Nivel01"/>
        <w:numPr>
          <w:ilvl w:val="0"/>
          <w:numId w:val="189"/>
        </w:numPr>
        <w:ind w:left="0" w:hanging="0"/>
        <w:rPr>
          <w:color w:val="FFFFFF" w:themeColor="background1"/>
        </w:rPr>
      </w:pPr>
      <w:r>
        <w:rPr/>
        <w:t>CLÁUSULA DÉCIMA PRIMEIRA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90"/>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91"/>
        </w:numPr>
        <w:ind w:left="0" w:hanging="0"/>
        <w:rPr/>
      </w:pPr>
      <w:r>
        <w:rPr/>
        <w:t>Serão aplicadas ao contratado que incorrer nas infrações acima descritas as seguintes sanções:</w:t>
      </w:r>
    </w:p>
    <w:p>
      <w:pPr>
        <w:pStyle w:val="ListParagraph"/>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2" w:name="_Hlk114504069"/>
      <w:r>
        <w:rPr>
          <w:rStyle w:val="LinkdaInternet"/>
          <w:rFonts w:eastAsia="Arial" w:cs="Arial" w:ascii="Arial" w:hAnsi="Arial"/>
          <w:sz w:val="20"/>
          <w:szCs w:val="20"/>
        </w:rPr>
        <w:t>Lei nº 14.133, de 2021</w:t>
      </w:r>
      <w:bookmarkEnd w:id="2"/>
      <w:r>
        <w:rPr>
          <w:rFonts w:eastAsia="Arial" w:cs="Arial" w:ascii="Arial" w:hAnsi="Arial"/>
          <w:sz w:val="20"/>
          <w:szCs w:val="20"/>
        </w:rPr>
        <w:t>);</w:t>
      </w:r>
    </w:p>
    <w:p>
      <w:pPr>
        <w:pStyle w:val="ListParagraph"/>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5"/>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color w:val="000000"/>
          <w:sz w:val="20"/>
          <w:szCs w:val="20"/>
        </w:rPr>
        <w:t>0,01 % (zero vírgula zero um</w:t>
      </w:r>
      <w:r>
        <w:rPr>
          <w:rFonts w:eastAsia="Arial" w:cs="Arial" w:ascii="Arial" w:hAnsi="Arial"/>
          <w:sz w:val="20"/>
          <w:szCs w:val="20"/>
        </w:rPr>
        <w:t xml:space="preserve"> por cento) por dia de atraso injustificado sobre o valor da parcela inadimplida, até o limite de 10</w:t>
      </w:r>
      <w:r>
        <w:rPr>
          <w:rFonts w:eastAsia="Arial" w:cs="Arial" w:ascii="Arial" w:hAnsi="Arial"/>
          <w:color w:val="000000"/>
          <w:sz w:val="20"/>
          <w:szCs w:val="20"/>
        </w:rPr>
        <w:t xml:space="preserve"> (dez)</w:t>
      </w:r>
      <w:r>
        <w:rPr>
          <w:rFonts w:eastAsia="Arial" w:cs="Arial" w:ascii="Arial" w:hAnsi="Arial"/>
          <w:sz w:val="20"/>
          <w:szCs w:val="20"/>
        </w:rPr>
        <w:t xml:space="preserve"> dias;</w:t>
      </w:r>
    </w:p>
    <w:p>
      <w:pPr>
        <w:pStyle w:val="Nivel2"/>
        <w:numPr>
          <w:ilvl w:val="1"/>
          <w:numId w:val="192"/>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93"/>
        </w:numPr>
        <w:ind w:left="284" w:hanging="0"/>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94"/>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95"/>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96"/>
        </w:numPr>
        <w:ind w:left="284" w:hanging="0"/>
        <w:rPr/>
      </w:pPr>
      <w:r>
        <w:rPr/>
        <w:t>Previamente ao encaminhamento à cobrança judicial, a multa poderá ser recolhida administrativamente no prazo máximo de 10</w:t>
      </w:r>
      <w:r>
        <w:rPr>
          <w:i w:val="false"/>
          <w:iCs w:val="false"/>
          <w:color w:val="000000"/>
        </w:rPr>
        <w:t xml:space="preserve"> (dez)</w:t>
      </w:r>
      <w:r>
        <w:rPr>
          <w:i/>
          <w:iCs/>
          <w:color w:val="FF0000"/>
        </w:rPr>
        <w:t xml:space="preserve"> </w:t>
      </w:r>
      <w:r>
        <w:rPr/>
        <w:t>dias, a contar da data do recebimento da comunicação enviada pela autoridade competente.</w:t>
      </w:r>
      <w:bookmarkStart w:id="3" w:name="_Hlk78351618"/>
      <w:bookmarkEnd w:id="3"/>
    </w:p>
    <w:p>
      <w:pPr>
        <w:pStyle w:val="Nivel2"/>
        <w:numPr>
          <w:ilvl w:val="1"/>
          <w:numId w:val="197"/>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98"/>
        </w:numPr>
        <w:ind w:left="0" w:hanging="0"/>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99"/>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200"/>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201"/>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202"/>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203"/>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204"/>
        </w:numPr>
        <w:ind w:left="0" w:hanging="0"/>
        <w:rPr>
          <w:color w:val="FFFFFF" w:themeColor="background1"/>
        </w:rPr>
      </w:pPr>
      <w:r>
        <w:rPr/>
        <w:t>CLÁUSULA DÉCIMA SEGUNDA–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205"/>
        </w:numPr>
        <w:ind w:left="0" w:hanging="0"/>
        <w:rPr>
          <w:color w:val="000000"/>
        </w:rPr>
      </w:pPr>
      <w:commentRangeStart w:id="14"/>
      <w:r>
        <w:rPr>
          <w:color w:val="000000"/>
        </w:rPr>
        <w:t>O contrato</w:t>
      </w:r>
      <w:r>
        <w:rPr>
          <w:color w:val="000000"/>
          <w:shd w:fill="FFFFFF" w:val="clear"/>
        </w:rPr>
        <w:t xml:space="preserve"> será extinto</w:t>
      </w:r>
      <w:r>
        <w:rPr>
          <w:i w:val="false"/>
          <w:color w:val="000000"/>
          <w:shd w:fill="FFFFFF" w:val="clear"/>
        </w:rPr>
        <w:t xml:space="preserve"> </w:t>
      </w:r>
      <w:r>
        <w:rPr>
          <w:color w:val="000000"/>
          <w:shd w:fill="FFFFFF" w:val="clear"/>
        </w:rPr>
        <w:t>quando vencido o prazo nele estipulado, independentemente de terem sido cumpridas ou não as obrigações de ambas as partes contraentes</w:t>
      </w:r>
      <w:r>
        <w:rPr>
          <w:color w:val="000000"/>
          <w:shd w:fill="FFFFFF" w:val="clear"/>
        </w:rPr>
      </w:r>
      <w:commentRangeEnd w:id="14"/>
      <w:r>
        <w:commentReference w:id="14"/>
      </w:r>
      <w:r>
        <w:rPr>
          <w:color w:val="000000"/>
          <w:shd w:fill="FFFFFF" w:val="clear"/>
        </w:rPr>
        <w:t>.</w:t>
      </w:r>
    </w:p>
    <w:p>
      <w:pPr>
        <w:pStyle w:val="Nvel3-R"/>
        <w:numPr>
          <w:ilvl w:val="2"/>
          <w:numId w:val="206"/>
        </w:numPr>
        <w:ind w:left="284" w:hanging="0"/>
        <w:rPr>
          <w:color w:val="000000"/>
          <w:highlight w:val="none"/>
          <w:shd w:fill="FFFFFF" w:val="clear"/>
        </w:rPr>
      </w:pPr>
      <w:r>
        <w:rPr>
          <w:color w:val="000000"/>
          <w:shd w:fill="FFFFFF" w:val="clear"/>
        </w:rPr>
        <w:t>O contrato poderá ser extinto antes do prazo nele fixado, sem ônus para o Contratante, quando este não dispuser de créditos orçamentários para sua continuidade ou quando entender que o contrato não mais lhe oferece vantagem.</w:t>
      </w:r>
    </w:p>
    <w:p>
      <w:pPr>
        <w:pStyle w:val="Nvel3-R"/>
        <w:numPr>
          <w:ilvl w:val="2"/>
          <w:numId w:val="207"/>
        </w:numPr>
        <w:ind w:left="284" w:hanging="0"/>
        <w:rPr>
          <w:color w:val="000000"/>
          <w:highlight w:val="none"/>
          <w:shd w:fill="FFFFFF" w:val="clear"/>
        </w:rPr>
      </w:pPr>
      <w:r>
        <w:rPr>
          <w:color w:val="000000"/>
          <w:shd w:fill="FFFFFF" w:val="clea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208"/>
        </w:numPr>
        <w:ind w:left="284" w:hanging="0"/>
        <w:rPr>
          <w:color w:val="000000"/>
          <w:highlight w:val="none"/>
          <w:shd w:fill="FFFFFF" w:val="clear"/>
        </w:rPr>
      </w:pPr>
      <w:commentRangeStart w:id="15"/>
      <w:r>
        <w:rPr>
          <w:color w:val="000000"/>
          <w:shd w:fill="FFFFFF" w:val="clear"/>
        </w:rPr>
        <w:t>Caso a notificação da não-continuidade do contrato de que trata este subitem ocorra com menos de 2 (dois) meses da data de aniversário, a extinção contratual ocorrerá após 2 (dois) meses da data da comunicação.</w:t>
      </w:r>
      <w:commentRangeEnd w:id="15"/>
      <w:r>
        <w:commentReference w:id="15"/>
      </w:r>
      <w:r>
        <w:rPr>
          <w:color w:val="000000"/>
          <w:shd w:fill="FFFFFF" w:val="clear"/>
        </w:rPr>
      </w:r>
    </w:p>
    <w:p>
      <w:pPr>
        <w:pStyle w:val="Nivel2"/>
        <w:numPr>
          <w:ilvl w:val="1"/>
          <w:numId w:val="209"/>
        </w:numPr>
        <w:ind w:left="0" w:hanging="0"/>
        <w:rPr/>
      </w:pPr>
      <w:r>
        <w:rPr>
          <w:shd w:fill="FFFFFF" w:val="clear"/>
        </w:rPr>
        <w:t xml:space="preserve">O contrato poderá ser extinto antes de cumpridas as obrigações nele estipuladas, ou antes do prazo nele fixado, por algum dos motivos previstos no </w:t>
      </w:r>
      <w:r>
        <w:fldChar w:fldCharType="begin"/>
      </w:r>
      <w:r>
        <w:rPr>
          <w:rStyle w:val="LinkdaInternet"/>
          <w:shd w:fill="FFFFFF" w:val="clear"/>
        </w:rPr>
        <w:instrText xml:space="preserve"> HYPERLINK "http://www.planalto.gov.br/ccivil_03/_ato2019-2022/2021/lei/L14133.htm" \l "art137"</w:instrText>
      </w:r>
      <w:r>
        <w:rPr>
          <w:rStyle w:val="LinkdaInternet"/>
          <w:shd w:fill="FFFFFF" w:val="clear"/>
        </w:rPr>
        <w:fldChar w:fldCharType="separate"/>
      </w:r>
      <w:r>
        <w:rPr>
          <w:rStyle w:val="LinkdaInternet"/>
          <w:shd w:fill="FFFFFF" w:val="clear"/>
        </w:rPr>
        <w:t>artigo 137 da Lei nº 14.133/21</w:t>
      </w:r>
      <w:r>
        <w:rPr>
          <w:rStyle w:val="LinkdaInternet"/>
          <w:shd w:fill="FFFFFF" w:val="clear"/>
        </w:rPr>
        <w:fldChar w:fldCharType="end"/>
      </w:r>
      <w:r>
        <w:rPr>
          <w:shd w:fill="FFFFFF" w:val="clear"/>
        </w:rPr>
        <w:t xml:space="preserve">, bem como amigavelmente, </w:t>
      </w:r>
      <w:r>
        <w:rPr>
          <w:color w:val="000000" w:themeColor="text1"/>
          <w:shd w:fill="FFFFFF" w:val="clear"/>
        </w:rPr>
        <w:t>assegurados o contraditório e a ampla defesa</w:t>
      </w:r>
      <w:r>
        <w:rPr>
          <w:shd w:fill="FFFFFF" w:val="clear"/>
        </w:rPr>
        <w:t>.</w:t>
      </w:r>
    </w:p>
    <w:p>
      <w:pPr>
        <w:pStyle w:val="Nivel3"/>
        <w:numPr>
          <w:ilvl w:val="2"/>
          <w:numId w:val="210"/>
        </w:numPr>
        <w:ind w:left="284" w:hanging="0"/>
        <w:rPr/>
      </w:pPr>
      <w:r>
        <w:rPr>
          <w:shd w:fill="FFFFFF" w:val="clear"/>
        </w:rPr>
        <w:t xml:space="preserve">Nesta hipótese, aplicam-se também os </w:t>
      </w:r>
      <w:r>
        <w:fldChar w:fldCharType="begin"/>
      </w:r>
      <w:r>
        <w:rPr>
          <w:rStyle w:val="LinkdaInternet"/>
          <w:shd w:fill="FFFFFF" w:val="clear"/>
        </w:rPr>
        <w:instrText xml:space="preserve"> HYPERLINK "http://www.planalto.gov.br/ccivil_03/_ato2019-2022/2021/lei/L14133.htm" \l "art138"</w:instrText>
      </w:r>
      <w:r>
        <w:rPr>
          <w:rStyle w:val="LinkdaInternet"/>
          <w:shd w:fill="FFFFFF" w:val="clear"/>
        </w:rPr>
        <w:fldChar w:fldCharType="separate"/>
      </w:r>
      <w:r>
        <w:rPr>
          <w:rStyle w:val="LinkdaInternet"/>
          <w:shd w:fill="FFFFFF" w:val="clear"/>
        </w:rPr>
        <w:t>artigos 138 e 139 da mesma Lei</w:t>
      </w:r>
      <w:r>
        <w:rPr>
          <w:rStyle w:val="LinkdaInternet"/>
          <w:shd w:fill="FFFFFF" w:val="clear"/>
        </w:rPr>
        <w:fldChar w:fldCharType="end"/>
      </w:r>
      <w:r>
        <w:rPr>
          <w:shd w:fill="FFFFFF" w:val="clear"/>
        </w:rPr>
        <w:t>.</w:t>
      </w:r>
    </w:p>
    <w:p>
      <w:pPr>
        <w:pStyle w:val="Nivel3"/>
        <w:numPr>
          <w:ilvl w:val="2"/>
          <w:numId w:val="211"/>
        </w:numPr>
        <w:ind w:left="284" w:hanging="0"/>
        <w:rPr>
          <w:highlight w:val="none"/>
          <w:shd w:fill="FFFFFF" w:val="clear"/>
        </w:rPr>
      </w:pPr>
      <w:r>
        <w:rPr>
          <w:shd w:fill="FFFFFF" w:val="clear"/>
        </w:rPr>
        <w:t>A alteração social ou a modificação da finalidade ou da estrutura da empresa não ensejará a extinção se não restringir sua capacidade de concluir o contrato.</w:t>
      </w:r>
    </w:p>
    <w:p>
      <w:pPr>
        <w:pStyle w:val="Nivel4"/>
        <w:numPr>
          <w:ilvl w:val="3"/>
          <w:numId w:val="212"/>
        </w:numPr>
        <w:ind w:left="567" w:hanging="0"/>
        <w:rPr>
          <w:highlight w:val="none"/>
          <w:shd w:fill="FFFFFF" w:val="clear"/>
        </w:rPr>
      </w:pPr>
      <w:r>
        <w:rPr>
          <w:color w:val="000000" w:themeColor="text1"/>
          <w:shd w:fill="FFFFFF" w:val="clear"/>
        </w:rPr>
        <w:t xml:space="preserve">Se a </w:t>
      </w:r>
      <w:r>
        <w:rPr>
          <w:shd w:fill="FFFFFF" w:val="clear"/>
        </w:rPr>
        <w:t>operação</w:t>
      </w:r>
      <w:r>
        <w:rPr>
          <w:color w:val="000000" w:themeColor="text1"/>
          <w:shd w:fill="FFFFFF" w:val="clear"/>
        </w:rPr>
        <w:t xml:space="preserve"> </w:t>
      </w:r>
      <w:r>
        <w:rPr>
          <w:shd w:fill="FFFFFF" w:val="clear"/>
        </w:rPr>
        <w:t>implicar mudança da pessoa jurídica contratada, deverá ser formalizado termo aditivo para alteração subjetiva.</w:t>
      </w:r>
    </w:p>
    <w:p>
      <w:pPr>
        <w:pStyle w:val="Nivel2"/>
        <w:numPr>
          <w:ilvl w:val="1"/>
          <w:numId w:val="213"/>
        </w:numPr>
        <w:ind w:left="0" w:hanging="0"/>
        <w:rPr>
          <w:highlight w:val="none"/>
          <w:shd w:fill="FFFFFF" w:val="clear"/>
        </w:rPr>
      </w:pPr>
      <w:r>
        <w:rPr>
          <w:shd w:fill="FFFFFF" w:val="clear"/>
        </w:rPr>
        <w:t>O termo de extinção, sempre que possível, será precedido:</w:t>
      </w:r>
    </w:p>
    <w:p>
      <w:pPr>
        <w:pStyle w:val="Nivel3"/>
        <w:numPr>
          <w:ilvl w:val="2"/>
          <w:numId w:val="214"/>
        </w:numPr>
        <w:ind w:left="284" w:hanging="0"/>
        <w:rPr>
          <w:highlight w:val="none"/>
          <w:shd w:fill="FFFFFF" w:val="clear"/>
        </w:rPr>
      </w:pPr>
      <w:r>
        <w:rPr>
          <w:shd w:fill="FFFFFF" w:val="clear"/>
        </w:rPr>
        <w:t>Balanço dos eventos contratuais já cumpridos ou parcialmente cumpridos;</w:t>
      </w:r>
    </w:p>
    <w:p>
      <w:pPr>
        <w:pStyle w:val="Nivel3"/>
        <w:numPr>
          <w:ilvl w:val="2"/>
          <w:numId w:val="215"/>
        </w:numPr>
        <w:ind w:left="284" w:hanging="0"/>
        <w:rPr>
          <w:highlight w:val="none"/>
          <w:shd w:fill="FFFFFF" w:val="clear"/>
        </w:rPr>
      </w:pPr>
      <w:r>
        <w:rPr>
          <w:shd w:fill="FFFFFF" w:val="clear"/>
        </w:rPr>
        <w:t>Relação dos pagamentos já efetuados e ainda devidos;</w:t>
      </w:r>
    </w:p>
    <w:p>
      <w:pPr>
        <w:pStyle w:val="Nivel3"/>
        <w:numPr>
          <w:ilvl w:val="2"/>
          <w:numId w:val="216"/>
        </w:numPr>
        <w:ind w:left="284" w:hanging="0"/>
        <w:rPr>
          <w:highlight w:val="none"/>
          <w:shd w:fill="FFFFFF" w:val="clear"/>
        </w:rPr>
      </w:pPr>
      <w:r>
        <w:rPr>
          <w:shd w:fill="FFFFFF" w:val="clear"/>
        </w:rPr>
        <w:t>Indenizações e multas.</w:t>
      </w:r>
    </w:p>
    <w:p>
      <w:pPr>
        <w:pStyle w:val="Nivel2"/>
        <w:numPr>
          <w:ilvl w:val="1"/>
          <w:numId w:val="217"/>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18"/>
        </w:numPr>
        <w:ind w:left="0" w:hanging="0"/>
        <w:rPr>
          <w:highlight w:val="none"/>
          <w:shd w:fill="FFFFFF" w:val="clear"/>
        </w:rPr>
      </w:pPr>
      <w:r>
        <w:rPr>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19"/>
        </w:numPr>
        <w:ind w:left="0" w:hanging="0"/>
        <w:rPr>
          <w:color w:val="FFFFFF" w:themeColor="background1"/>
        </w:rPr>
      </w:pPr>
      <w:r>
        <w:rPr/>
        <w:t>CLÁUSULA DÉCIMA TERCEIRA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20"/>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221"/>
        </w:numPr>
        <w:ind w:left="284" w:hanging="0"/>
        <w:rPr/>
      </w:pPr>
      <w:r>
        <w:rPr/>
        <w:t xml:space="preserve">Gestão/Unidade: </w:t>
      </w:r>
    </w:p>
    <w:p>
      <w:pPr>
        <w:pStyle w:val="Nivel3"/>
        <w:numPr>
          <w:ilvl w:val="2"/>
          <w:numId w:val="222"/>
        </w:numPr>
        <w:ind w:left="284" w:hanging="0"/>
        <w:rPr/>
      </w:pPr>
      <w:r>
        <w:rPr/>
        <w:t xml:space="preserve">Fonte de Recursos:  </w:t>
      </w:r>
      <w:r>
        <w:rPr>
          <w:rFonts w:eastAsia="Arial" w:cs="Arial"/>
          <w:sz w:val="20"/>
          <w:szCs w:val="20"/>
        </w:rPr>
        <w:t xml:space="preserve"> 1050000415/1050000142/1000000000</w:t>
      </w:r>
    </w:p>
    <w:p>
      <w:pPr>
        <w:pStyle w:val="Nivel3"/>
        <w:numPr>
          <w:ilvl w:val="2"/>
          <w:numId w:val="223"/>
        </w:numPr>
        <w:ind w:left="284" w:hanging="0"/>
        <w:rPr/>
      </w:pPr>
      <w:r>
        <w:rPr/>
        <w:t xml:space="preserve">Programa de Trabalho: </w:t>
      </w:r>
      <w:r>
        <w:rPr>
          <w:rFonts w:eastAsia="Arial" w:cs="Arial"/>
          <w:sz w:val="20"/>
          <w:szCs w:val="20"/>
        </w:rPr>
        <w:t>232146/232191</w:t>
      </w:r>
    </w:p>
    <w:p>
      <w:pPr>
        <w:pStyle w:val="Nivel3"/>
        <w:numPr>
          <w:ilvl w:val="2"/>
          <w:numId w:val="224"/>
        </w:numPr>
        <w:ind w:left="284" w:hanging="0"/>
        <w:rPr/>
      </w:pPr>
      <w:r>
        <w:rPr/>
        <w:t xml:space="preserve">Elemento de Despesa: </w:t>
      </w:r>
      <w:r>
        <w:rPr>
          <w:rFonts w:eastAsia="Arial" w:cs="Arial"/>
          <w:sz w:val="20"/>
          <w:szCs w:val="20"/>
        </w:rPr>
        <w:t>339030/449052</w:t>
      </w:r>
    </w:p>
    <w:p>
      <w:pPr>
        <w:pStyle w:val="Nivel3"/>
        <w:numPr>
          <w:ilvl w:val="2"/>
          <w:numId w:val="225"/>
        </w:numPr>
        <w:ind w:left="284" w:hanging="0"/>
        <w:rPr/>
      </w:pPr>
      <w:r>
        <w:rPr/>
        <w:t xml:space="preserve">Plano Interno: </w:t>
      </w:r>
      <w:r>
        <w:rPr>
          <w:rFonts w:eastAsia="Arial" w:cs="Arial"/>
          <w:sz w:val="20"/>
          <w:szCs w:val="20"/>
        </w:rPr>
        <w:t>KOAPFUNADOM/1XOMOBMPNRE/KOACT8VAPTA</w:t>
      </w:r>
    </w:p>
    <w:p>
      <w:pPr>
        <w:pStyle w:val="Nivel3"/>
        <w:numPr>
          <w:ilvl w:val="2"/>
          <w:numId w:val="226"/>
        </w:numPr>
        <w:ind w:left="284" w:hanging="0"/>
        <w:rPr/>
      </w:pPr>
      <w:r>
        <w:rPr/>
        <w:t>Nota de Empenho: xxxxxxxxxxxxxx</w:t>
      </w:r>
    </w:p>
    <w:p>
      <w:pPr>
        <w:pStyle w:val="Nvel2-Red"/>
        <w:numPr>
          <w:ilvl w:val="1"/>
          <w:numId w:val="227"/>
        </w:numPr>
        <w:ind w:left="0" w:hanging="0"/>
        <w:rPr>
          <w:i w:val="false"/>
          <w:i w:val="false"/>
          <w:iCs w:val="false"/>
          <w:color w:val="000000"/>
        </w:rPr>
      </w:pPr>
      <w:commentRangeStart w:id="16"/>
      <w:r>
        <w:rPr>
          <w:i w:val="false"/>
          <w:iCs w:val="false"/>
          <w:color w:val="000000"/>
        </w:rPr>
        <w:t>A dotação relativa aos exercícios financeiros subsequentes será indicada após aprovação da Lei Orçamentária respectiva e liberação dos créditos correspondentes, mediante apostilamento.</w:t>
      </w:r>
      <w:commentRangeEnd w:id="16"/>
      <w:r>
        <w:commentReference w:id="16"/>
      </w:r>
      <w:r>
        <w:rPr>
          <w:i w:val="false"/>
          <w:iCs w:val="false"/>
          <w:color w:val="000000"/>
        </w:rPr>
      </w:r>
    </w:p>
    <w:p>
      <w:pPr>
        <w:pStyle w:val="Nivel01"/>
        <w:numPr>
          <w:ilvl w:val="0"/>
          <w:numId w:val="228"/>
        </w:numPr>
        <w:ind w:left="0" w:hanging="0"/>
        <w:rPr>
          <w:color w:val="FFFFFF" w:themeColor="background1"/>
        </w:rPr>
      </w:pPr>
      <w:r>
        <w:rPr/>
        <w:t>CLÁUSULA DÉCIMA QUARTA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29"/>
        </w:numPr>
        <w:ind w:left="0" w:hanging="0"/>
        <w:rPr/>
      </w:pPr>
      <w:commentRangeStart w:id="17"/>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17"/>
      <w:r>
        <w:commentReference w:id="17"/>
      </w:r>
      <w:r>
        <w:rPr/>
      </w:r>
    </w:p>
    <w:p>
      <w:pPr>
        <w:pStyle w:val="Nivel01"/>
        <w:numPr>
          <w:ilvl w:val="0"/>
          <w:numId w:val="230"/>
        </w:numPr>
        <w:ind w:left="0" w:hanging="0"/>
        <w:rPr>
          <w:color w:val="FFFFFF" w:themeColor="background1"/>
        </w:rPr>
      </w:pPr>
      <w:r>
        <w:rPr/>
        <w:t>CLÁUSULA DÉCIMA QUINTA – ALTERAÇÕES</w:t>
      </w:r>
    </w:p>
    <w:p>
      <w:pPr>
        <w:pStyle w:val="Nivel2"/>
        <w:numPr>
          <w:ilvl w:val="1"/>
          <w:numId w:val="231"/>
        </w:numPr>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32"/>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3"/>
        </w:numPr>
        <w:ind w:left="0" w:hanging="0"/>
        <w:rPr>
          <w:highlight w:val="none"/>
          <w:shd w:fill="FFFFFF" w:val="clear"/>
        </w:rPr>
      </w:pPr>
      <w:r>
        <w:rPr>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34"/>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35"/>
        </w:numPr>
        <w:ind w:left="0" w:hanging="0"/>
        <w:rPr>
          <w:color w:val="FFFFFF" w:themeColor="background1"/>
        </w:rPr>
      </w:pPr>
      <w:r>
        <w:rPr/>
        <w:t>CLÁUSULA DÉCIMA SEXTA – PUBLICAÇÃO</w:t>
      </w:r>
    </w:p>
    <w:p>
      <w:pPr>
        <w:pStyle w:val="Nivel2"/>
        <w:numPr>
          <w:ilvl w:val="1"/>
          <w:numId w:val="236"/>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237"/>
        </w:numPr>
        <w:ind w:left="0" w:hanging="0"/>
        <w:rPr>
          <w:color w:val="FFFFFF" w:themeColor="background1"/>
        </w:rPr>
      </w:pPr>
      <w:r>
        <w:rPr/>
        <w:t>CLÁUSULA DÉCIMA SÉTIMA–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38"/>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val="false"/>
          <w:i w:val="false"/>
          <w:iCs w:val="false"/>
          <w:color w:val="000000"/>
        </w:rPr>
      </w:pPr>
      <w:r>
        <w:rPr>
          <w:i w:val="false"/>
          <w:iCs w:val="false"/>
          <w:color w:val="000000"/>
        </w:rPr>
        <w:t>Rio de Janeiro, [dia] de [mês] de 2024.</w:t>
      </w:r>
    </w:p>
    <w:p>
      <w:pPr>
        <w:pStyle w:val="Normal"/>
        <w:spacing w:lineRule="auto" w:line="312" w:before="120" w:after="288"/>
        <w:ind w:firstLine="567"/>
        <w:jc w:val="center"/>
        <w:rPr>
          <w:rFonts w:ascii="Arial" w:hAnsi="Arial" w:cs="Arial"/>
          <w:bCs/>
          <w:sz w:val="20"/>
          <w:szCs w:val="20"/>
        </w:rPr>
      </w:pPr>
      <w:commentRangeStart w:id="18"/>
      <w:r>
        <w:rPr>
          <w:rFonts w:cs="Arial" w:ascii="Arial" w:hAnsi="Arial"/>
          <w:bCs/>
          <w:sz w:val="20"/>
          <w:szCs w:val="20"/>
        </w:rPr>
        <w:t>_________________________</w:t>
      </w:r>
    </w:p>
    <w:p>
      <w:pPr>
        <w:pStyle w:val="Normal"/>
        <w:jc w:val="center"/>
        <w:rPr>
          <w:rFonts w:ascii="Arial" w:hAnsi="Arial"/>
        </w:rPr>
      </w:pPr>
      <w:r>
        <w:rPr>
          <w:rFonts w:ascii="Arial" w:hAnsi="Arial"/>
          <w:color w:val="000000"/>
        </w:rPr>
        <w:t>SILVIA MAZELIAH DA CUNHA DO NASCIMENTO</w:t>
      </w:r>
      <w:r>
        <w:rPr>
          <w:rFonts w:ascii="Arial" w:hAnsi="Arial"/>
        </w:rPr>
        <w:t xml:space="preserve"> – Cel</w:t>
      </w:r>
    </w:p>
    <w:p>
      <w:pPr>
        <w:pStyle w:val="Normal"/>
        <w:spacing w:lineRule="auto" w:line="276"/>
        <w:ind w:left="-142" w:hanging="0"/>
        <w:jc w:val="center"/>
        <w:rPr>
          <w:rFonts w:ascii="Arial" w:hAnsi="Arial" w:eastAsia="Times New Roman" w:cs="Arial"/>
        </w:rPr>
      </w:pPr>
      <w:r>
        <w:rPr>
          <w:rFonts w:eastAsia="Times New Roman" w:cs="Arial" w:ascii="Arial" w:hAnsi="Arial"/>
          <w:bCs/>
          <w:sz w:val="20"/>
          <w:szCs w:val="20"/>
        </w:rPr>
        <w:t>Ordenador de Despesas do CAEx</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color w:val="000000"/>
        </w:rPr>
      </w:pPr>
      <w:r>
        <w:rPr>
          <w:rFonts w:cs="Arial" w:ascii="Arial" w:hAnsi="Arial"/>
          <w:i/>
          <w:iCs/>
          <w:color w:val="000000"/>
          <w:sz w:val="20"/>
          <w:szCs w:val="20"/>
        </w:rPr>
        <w:t>TESTEMUNHAS:</w:t>
      </w:r>
    </w:p>
    <w:p>
      <w:pPr>
        <w:pStyle w:val="Normal"/>
        <w:spacing w:lineRule="auto" w:line="312" w:before="120" w:after="288"/>
        <w:ind w:firstLine="567"/>
        <w:rPr>
          <w:color w:val="000000"/>
        </w:rPr>
      </w:pPr>
      <w:r>
        <w:rPr>
          <w:rFonts w:cs="Arial" w:ascii="Arial" w:hAnsi="Arial"/>
          <w:i/>
          <w:iCs/>
          <w:color w:val="000000"/>
          <w:sz w:val="20"/>
          <w:szCs w:val="20"/>
        </w:rPr>
        <w:t>1-</w:t>
      </w:r>
    </w:p>
    <w:p>
      <w:pPr>
        <w:pStyle w:val="Normal"/>
        <w:spacing w:lineRule="auto" w:line="312" w:before="120" w:after="288"/>
        <w:ind w:firstLine="567"/>
        <w:rPr>
          <w:color w:val="000000"/>
        </w:rPr>
      </w:pPr>
      <w:r>
        <w:rPr>
          <w:rFonts w:cs="Arial" w:ascii="Arial" w:hAnsi="Arial"/>
          <w:i/>
          <w:iCs/>
          <w:color w:val="000000"/>
          <w:sz w:val="20"/>
          <w:szCs w:val="20"/>
        </w:rPr>
        <w:t xml:space="preserve">2- </w:t>
      </w:r>
      <w:commentRangeEnd w:id="18"/>
      <w:r>
        <w:commentReference w:id="18"/>
      </w:r>
      <w:r>
        <w:rPr>
          <w:rFonts w:cs="Arial" w:ascii="Arial" w:hAnsi="Arial"/>
          <w:i/>
          <w:iCs/>
          <w:color w:val="000000"/>
          <w:sz w:val="20"/>
          <w:szCs w:val="20"/>
        </w:rPr>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pPr>
        <w:overflowPunct w:val="true"/>
        <w:rPr/>
      </w:pPr>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true"/>
        <w:rPr/>
      </w:pPr>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pPr>
        <w:overflowPunct w:val="true"/>
        <w:rPr/>
      </w:pPr>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true"/>
        <w:rPr/>
      </w:pPr>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pPr>
        <w:overflowPunct w:val="true"/>
        <w:rPr/>
      </w:pPr>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true"/>
        <w:rPr/>
      </w:pPr>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pPr>
        <w:overflowPunct w:val="true"/>
        <w:rPr/>
      </w:pPr>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tru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pPr>
        <w:overflowPunct w:val="tru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7"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do item 8.11 decorre do §4º, do art. 137, da Lei nº 14.133, de 2021.</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pPr>
        <w:overflowPunct w:val="false"/>
        <w:rPr/>
      </w:pPr>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15"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dos itens  12.3.2 e 12.3.3 decorre do que dispõe o art. 106, III e §1º, da Lei nº 14.133/21. Para a sua compreensão, vale trazer um exemplo: </w:t>
      </w:r>
    </w:p>
    <w:p>
      <w:pPr>
        <w:overflowPunct w:val="false"/>
        <w:rPr/>
      </w:pPr>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pPr>
        <w:overflowPunct w:val="false"/>
        <w:rPr/>
      </w:pPr>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pPr>
        <w:overflowPunct w:val="false"/>
        <w:rPr/>
      </w:pPr>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pPr>
        <w:overflowPunct w:val="false"/>
        <w:rPr/>
      </w:pPr>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1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8" w:author="Autor" w:date="0-00-00T00:00:00Z" w:initials="A">
    <w:p>
      <w:pPr>
        <w:overflowPunct w:val="tru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pPr>
        <w:overflowPunct w:val="true"/>
        <w:rPr/>
      </w:pPr>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849685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XXXX/2024</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6"/>
    <w:lvlOverride w:ilvl="0">
      <w:startOverride w:val="1"/>
    </w:lvlOverride>
  </w:num>
  <w:num w:numId="124">
    <w:abstractNumId w:val="6"/>
  </w:num>
  <w:num w:numId="125">
    <w:abstractNumId w:val="6"/>
  </w:num>
  <w:num w:numId="126">
    <w:abstractNumId w:val="6"/>
  </w:num>
  <w:num w:numId="127">
    <w:abstractNumId w:val="6"/>
  </w:num>
  <w:num w:numId="128">
    <w:abstractNumId w:val="6"/>
  </w:num>
  <w:num w:numId="129">
    <w:abstractNumId w:val="6"/>
  </w:num>
  <w:num w:numId="130">
    <w:abstractNumId w:val="6"/>
  </w:num>
  <w:num w:numId="131">
    <w:abstractNumId w:val="6"/>
  </w:num>
  <w:num w:numId="132">
    <w:abstractNumId w:val="6"/>
  </w:num>
  <w:num w:numId="133">
    <w:abstractNumId w:val="6"/>
  </w:num>
  <w:num w:numId="134">
    <w:abstractNumId w:val="6"/>
  </w:num>
  <w:num w:numId="135">
    <w:abstractNumId w:val="6"/>
  </w:num>
  <w:num w:numId="136">
    <w:abstractNumId w:val="6"/>
  </w:num>
  <w:num w:numId="137">
    <w:abstractNumId w:val="6"/>
  </w:num>
  <w:num w:numId="138">
    <w:abstractNumId w:val="6"/>
  </w:num>
  <w:num w:numId="139">
    <w:abstractNumId w:val="6"/>
  </w:num>
  <w:num w:numId="140">
    <w:abstractNumId w:val="6"/>
  </w:num>
  <w:num w:numId="141">
    <w:abstractNumId w:val="6"/>
  </w:num>
  <w:num w:numId="142">
    <w:abstractNumId w:val="6"/>
  </w:num>
  <w:num w:numId="143">
    <w:abstractNumId w:val="6"/>
  </w:num>
  <w:num w:numId="144">
    <w:abstractNumId w:val="6"/>
  </w:num>
  <w:num w:numId="145">
    <w:abstractNumId w:val="6"/>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6"/>
  </w:num>
  <w:num w:numId="199">
    <w:abstractNumId w:val="6"/>
  </w:num>
  <w:num w:numId="200">
    <w:abstractNumId w:val="6"/>
  </w:num>
  <w:num w:numId="201">
    <w:abstractNumId w:val="6"/>
  </w:num>
  <w:num w:numId="202">
    <w:abstractNumId w:val="6"/>
  </w:num>
  <w:num w:numId="203">
    <w:abstractNumId w:val="6"/>
  </w:num>
  <w:num w:numId="204">
    <w:abstractNumId w:val="6"/>
  </w:num>
  <w:num w:numId="205">
    <w:abstractNumId w:val="6"/>
  </w:num>
  <w:num w:numId="206">
    <w:abstractNumId w:val="6"/>
  </w:num>
  <w:num w:numId="207">
    <w:abstractNumId w:val="6"/>
  </w:num>
  <w:num w:numId="208">
    <w:abstractNumId w:val="6"/>
  </w:num>
  <w:num w:numId="209">
    <w:abstractNumId w:val="6"/>
  </w:num>
  <w:num w:numId="210">
    <w:abstractNumId w:val="6"/>
  </w:num>
  <w:num w:numId="211">
    <w:abstractNumId w:val="6"/>
  </w:num>
  <w:num w:numId="212">
    <w:abstractNumId w:val="6"/>
  </w:num>
  <w:num w:numId="213">
    <w:abstractNumId w:val="6"/>
  </w:num>
  <w:num w:numId="214">
    <w:abstractNumId w:val="6"/>
  </w:num>
  <w:num w:numId="215">
    <w:abstractNumId w:val="6"/>
  </w:num>
  <w:num w:numId="216">
    <w:abstractNumId w:val="6"/>
  </w:num>
  <w:num w:numId="217">
    <w:abstractNumId w:val="6"/>
  </w:num>
  <w:num w:numId="218">
    <w:abstractNumId w:val="6"/>
  </w:num>
  <w:num w:numId="219">
    <w:abstractNumId w:val="6"/>
  </w:num>
  <w:num w:numId="220">
    <w:abstractNumId w:val="6"/>
  </w:num>
  <w:num w:numId="221">
    <w:abstractNumId w:val="6"/>
  </w:num>
  <w:num w:numId="222">
    <w:abstractNumId w:val="6"/>
  </w:num>
  <w:num w:numId="223">
    <w:abstractNumId w:val="6"/>
  </w:num>
  <w:num w:numId="224">
    <w:abstractNumId w:val="6"/>
  </w:num>
  <w:num w:numId="225">
    <w:abstractNumId w:val="6"/>
  </w:num>
  <w:num w:numId="226">
    <w:abstractNumId w:val="6"/>
  </w:num>
  <w:num w:numId="227">
    <w:abstractNumId w:val="6"/>
  </w:num>
  <w:num w:numId="228">
    <w:abstractNumId w:val="6"/>
  </w:num>
  <w:num w:numId="229">
    <w:abstractNumId w:val="6"/>
  </w:num>
  <w:num w:numId="230">
    <w:abstractNumId w:val="6"/>
  </w:num>
  <w:num w:numId="231">
    <w:abstractNumId w:val="6"/>
  </w:num>
  <w:num w:numId="232">
    <w:abstractNumId w:val="6"/>
  </w:num>
  <w:num w:numId="233">
    <w:abstractNumId w:val="6"/>
  </w:num>
  <w:num w:numId="234">
    <w:abstractNumId w:val="6"/>
  </w:num>
  <w:num w:numId="235">
    <w:abstractNumId w:val="6"/>
  </w:num>
  <w:num w:numId="236">
    <w:abstractNumId w:val="6"/>
  </w:num>
  <w:num w:numId="237">
    <w:abstractNumId w:val="6"/>
  </w:num>
  <w:num w:numId="238">
    <w:abstractNumId w:val="6"/>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Ncoradanotaderodap">
    <w:name w:val="Footnote Reference"/>
    <w:rPr>
      <w:vertAlign w:val="superscrip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numPr>
        <w:ilvl w:val="0"/>
        <w:numId w:val="0"/>
      </w:numPr>
      <w:ind w:left="0"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21</TotalTime>
  <Application>LibreOffice/7.5.9.2$Windows_X86_64 LibreOffice_project/cdeefe45c17511d326101eed8008ac4092f278a9</Application>
  <AppVersion>15.0000</AppVersion>
  <Pages>9</Pages>
  <Words>3601</Words>
  <Characters>20147</Characters>
  <CharactersWithSpaces>23493</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2024-09-17T15:07:00Z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