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eastAsia="Times New Roman" w:cs="Arial"/>
          <w:b/>
          <w:i/>
          <w:i/>
          <w:color w:val="FF0000"/>
          <w:sz w:val="20"/>
          <w:szCs w:val="20"/>
        </w:rPr>
      </w:pPr>
      <w:r>
        <w:rPr/>
        <w:drawing>
          <wp:inline distT="0" distB="0" distL="0" distR="0">
            <wp:extent cx="752475" cy="838200"/>
            <wp:effectExtent l="0" t="0" r="0" b="0"/>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52475" cy="838200"/>
                    </a:xfrm>
                    <a:prstGeom prst="rect">
                      <a:avLst/>
                    </a:prstGeom>
                  </pic:spPr>
                </pic:pic>
              </a:graphicData>
            </a:graphic>
          </wp:inline>
        </w:drawing>
      </w:r>
    </w:p>
    <w:p>
      <w:pPr>
        <w:pStyle w:val="Normal"/>
        <w:jc w:val="center"/>
        <w:rPr>
          <w:rFonts w:ascii="Arial" w:hAnsi="Arial" w:eastAsia="Times New Roman" w:cs="Arial"/>
          <w:b/>
          <w:i/>
          <w:i/>
          <w:color w:val="FF0000"/>
          <w:sz w:val="20"/>
          <w:szCs w:val="20"/>
        </w:rPr>
      </w:pPr>
      <w:r>
        <w:rPr>
          <w:rFonts w:eastAsia="Times New Roman" w:cs="Arial" w:ascii="Arial" w:hAnsi="Arial"/>
          <w:b/>
          <w:i/>
          <w:color w:val="FF0000"/>
          <w:sz w:val="20"/>
          <w:szCs w:val="20"/>
        </w:rPr>
      </w:r>
    </w:p>
    <w:p>
      <w:pPr>
        <w:pStyle w:val="Standard"/>
        <w:suppressLineNumbers/>
        <w:jc w:val="center"/>
        <w:rPr>
          <w:rFonts w:ascii="Arial" w:hAnsi="Arial"/>
        </w:rPr>
      </w:pPr>
      <w:r>
        <w:rPr>
          <w:rFonts w:ascii="Arial" w:hAnsi="Arial"/>
          <w:b/>
          <w:bCs/>
          <w:iCs/>
          <w:sz w:val="20"/>
          <w:szCs w:val="20"/>
        </w:rPr>
        <w:t>MINISTÉRIO DA DEFESA</w:t>
      </w:r>
    </w:p>
    <w:p>
      <w:pPr>
        <w:pStyle w:val="Standard"/>
        <w:suppressLineNumbers/>
        <w:jc w:val="center"/>
        <w:rPr>
          <w:rFonts w:ascii="Arial" w:hAnsi="Arial"/>
        </w:rPr>
      </w:pPr>
      <w:r>
        <w:rPr>
          <w:rFonts w:ascii="Arial" w:hAnsi="Arial"/>
          <w:b/>
          <w:bCs/>
          <w:iCs/>
          <w:sz w:val="20"/>
          <w:szCs w:val="20"/>
        </w:rPr>
        <w:t>EXÉRCITO BRASILEIRO</w:t>
      </w:r>
    </w:p>
    <w:p>
      <w:pPr>
        <w:pStyle w:val="Standard"/>
        <w:jc w:val="center"/>
        <w:rPr>
          <w:rFonts w:ascii="Arial" w:hAnsi="Arial"/>
        </w:rPr>
      </w:pPr>
      <w:r>
        <w:rPr>
          <w:rFonts w:ascii="Arial" w:hAnsi="Arial"/>
          <w:b/>
          <w:bCs/>
          <w:sz w:val="20"/>
          <w:szCs w:val="20"/>
        </w:rPr>
        <w:t>CENTRO DE AVALIAÇÕES DO EXÉRCITO</w:t>
      </w:r>
    </w:p>
    <w:p>
      <w:pPr>
        <w:pStyle w:val="Standard"/>
        <w:spacing w:before="0" w:after="120"/>
        <w:jc w:val="center"/>
        <w:rPr>
          <w:rFonts w:ascii="Arial" w:hAnsi="Arial" w:cs="Arial"/>
          <w:b/>
          <w:bCs/>
          <w:color w:val="000000"/>
          <w:sz w:val="20"/>
          <w:szCs w:val="20"/>
        </w:rPr>
      </w:pPr>
      <w:r>
        <w:rPr>
          <w:rFonts w:cs="Arial" w:ascii="Arial" w:hAnsi="Arial"/>
          <w:b/>
          <w:bCs/>
          <w:color w:val="000000"/>
          <w:sz w:val="20"/>
          <w:szCs w:val="20"/>
        </w:rPr>
        <w:t>(CAMPO DE PROVAS DA MARAMBAIA)</w:t>
      </w:r>
    </w:p>
    <w:p>
      <w:pPr>
        <w:pStyle w:val="Standard"/>
        <w:spacing w:before="0" w:after="120"/>
        <w:jc w:val="center"/>
        <w:rPr>
          <w:b/>
          <w:bCs/>
          <w:color w:val="000000"/>
        </w:rPr>
      </w:pPr>
      <w:r>
        <w:rPr>
          <w:rFonts w:cs="Arial" w:ascii="Arial" w:hAnsi="Arial"/>
          <w:b/>
          <w:sz w:val="20"/>
          <w:szCs w:val="20"/>
        </w:rPr>
        <w:t>ANEXO I</w:t>
      </w:r>
    </w:p>
    <w:p>
      <w:pPr>
        <w:pStyle w:val="Normal"/>
        <w:jc w:val="center"/>
        <w:rPr>
          <w:color w:val="000000"/>
        </w:rPr>
      </w:pPr>
      <w:r>
        <w:rPr>
          <w:rFonts w:cs="Arial" w:ascii="Arial" w:hAnsi="Arial"/>
          <w:b/>
          <w:bCs/>
          <w:i/>
          <w:color w:val="000000"/>
          <w:sz w:val="20"/>
          <w:szCs w:val="20"/>
        </w:rPr>
        <w:t>TERMO DE REFERÊNCIA</w:t>
      </w:r>
    </w:p>
    <w:p>
      <w:pPr>
        <w:pStyle w:val="NormalWeb"/>
        <w:spacing w:lineRule="auto" w:line="312" w:before="280" w:after="280"/>
        <w:jc w:val="center"/>
        <w:rPr>
          <w:rFonts w:eastAsia="Times New Roman"/>
        </w:rPr>
      </w:pPr>
      <w:r>
        <w:rPr>
          <w:rFonts w:cs="Arial" w:ascii="Arial" w:hAnsi="Arial"/>
          <w:bCs/>
          <w:color w:val="000000"/>
          <w:sz w:val="22"/>
          <w:szCs w:val="22"/>
        </w:rPr>
        <w:t>(Processo Administrativo n°</w:t>
      </w:r>
      <w:r>
        <w:rPr>
          <w:rFonts w:eastAsia="Times New Roman" w:cs="Arial" w:ascii="Arial" w:hAnsi="Arial"/>
          <w:b/>
          <w:bCs/>
          <w:color w:val="000000"/>
          <w:sz w:val="20"/>
          <w:szCs w:val="20"/>
        </w:rPr>
        <w:t>64197.001072/2024-82</w:t>
      </w:r>
      <w:r>
        <w:rPr>
          <w:rFonts w:cs="Arial" w:ascii="Arial" w:hAnsi="Arial"/>
          <w:bCs/>
          <w:color w:val="000000"/>
          <w:sz w:val="20"/>
          <w:szCs w:val="20"/>
        </w:rPr>
        <w:t xml:space="preserve">) </w:t>
      </w:r>
    </w:p>
    <w:p>
      <w:pPr>
        <w:pStyle w:val="Nivel01"/>
        <w:numPr>
          <w:ilvl w:val="0"/>
          <w:numId w:val="1"/>
        </w:numPr>
        <w:ind w:hanging="0" w:left="0"/>
        <w:rPr>
          <w:rFonts w:eastAsia="Arial"/>
        </w:rPr>
      </w:pPr>
      <w:r>
        <w:rPr/>
        <w:t>CONDIÇÕES GERAIS DA CONTRATAÇÃO</w:t>
      </w:r>
    </w:p>
    <w:p>
      <w:pPr>
        <w:pStyle w:val="Nivel2"/>
        <w:numPr>
          <w:ilvl w:val="1"/>
          <w:numId w:val="136"/>
        </w:numPr>
        <w:ind w:hanging="0" w:left="0"/>
        <w:rPr>
          <w:b/>
          <w:bCs/>
        </w:rPr>
      </w:pPr>
      <w:r>
        <w:rPr>
          <w:rFonts w:cs="Times New Roman" w:ascii="Times New Roman" w:hAnsi="Times New Roman"/>
          <w:sz w:val="24"/>
          <w:szCs w:val="24"/>
        </w:rPr>
        <w:t>As aquisições de tais materiais, visa atender as necessidades do Centro de Avaliações do Exército CAEx</w:t>
      </w:r>
      <w:r>
        <w:rPr>
          <w:rFonts w:cs="Times New Roman" w:ascii="Times New Roman" w:hAnsi="Times New Roman"/>
          <w:b/>
          <w:bCs/>
          <w:sz w:val="24"/>
          <w:szCs w:val="24"/>
        </w:rPr>
        <w:t>,</w:t>
      </w:r>
      <w:r>
        <w:rPr>
          <w:rFonts w:cs="Times New Roman" w:ascii="Times New Roman" w:hAnsi="Times New Roman"/>
          <w:sz w:val="24"/>
          <w:szCs w:val="24"/>
        </w:rPr>
        <w:t xml:space="preserve"> nos termos da tabela abaixo, conforme condições, quantidades, estimativas e exigências estabelecidas neste instrumento.</w:t>
      </w:r>
    </w:p>
    <w:p>
      <w:pPr>
        <w:pStyle w:val="Nivel2"/>
        <w:ind w:hanging="0" w:left="999"/>
        <w:rPr>
          <w:b/>
          <w:bCs/>
        </w:rPr>
      </w:pPr>
      <w:r>
        <w:rPr/>
      </w:r>
    </w:p>
    <w:tbl>
      <w:tblPr>
        <w:tblW w:w="10665" w:type="dxa"/>
        <w:jc w:val="left"/>
        <w:tblInd w:w="58" w:type="dxa"/>
        <w:tblLayout w:type="fixed"/>
        <w:tblCellMar>
          <w:top w:w="28" w:type="dxa"/>
          <w:left w:w="28" w:type="dxa"/>
          <w:bottom w:w="28" w:type="dxa"/>
          <w:right w:w="0" w:type="dxa"/>
        </w:tblCellMar>
        <w:tblLook w:val="04a0"/>
      </w:tblPr>
      <w:tblGrid>
        <w:gridCol w:w="660"/>
        <w:gridCol w:w="3481"/>
        <w:gridCol w:w="1574"/>
        <w:gridCol w:w="932"/>
        <w:gridCol w:w="898"/>
        <w:gridCol w:w="1325"/>
        <w:gridCol w:w="1794"/>
      </w:tblGrid>
      <w:tr>
        <w:trPr>
          <w:trHeight w:val="315" w:hRule="atLeast"/>
        </w:trPr>
        <w:tc>
          <w:tcPr>
            <w:tcW w:w="660" w:type="dxa"/>
            <w:tcBorders>
              <w:top w:val="single" w:sz="2" w:space="0" w:color="000000"/>
              <w:left w:val="single" w:sz="2" w:space="0" w:color="000000"/>
              <w:bottom w:val="single" w:sz="2" w:space="0" w:color="000000"/>
            </w:tcBorders>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Item</w:t>
            </w:r>
          </w:p>
        </w:tc>
        <w:tc>
          <w:tcPr>
            <w:tcW w:w="3481" w:type="dxa"/>
            <w:tcBorders>
              <w:top w:val="single" w:sz="2" w:space="0" w:color="000000"/>
              <w:left w:val="single" w:sz="2" w:space="0" w:color="000000"/>
              <w:bottom w:val="single" w:sz="2" w:space="0" w:color="000000"/>
            </w:tcBorders>
            <w:vAlign w:val="center"/>
          </w:tcPr>
          <w:p>
            <w:pPr>
              <w:pStyle w:val="Contedodatabela"/>
              <w:widowControl w:val="false"/>
              <w:spacing w:before="0" w:after="283"/>
              <w:rPr>
                <w:rFonts w:ascii="Times New Roman;serif" w:hAnsi="Times New Roman;serif"/>
              </w:rPr>
            </w:pPr>
            <w:r>
              <w:rPr>
                <w:rFonts w:ascii="Times New Roman;serif" w:hAnsi="Times New Roman;serif"/>
              </w:rPr>
              <w:t>Especificação Detalhada</w:t>
            </w:r>
          </w:p>
        </w:tc>
        <w:tc>
          <w:tcPr>
            <w:tcW w:w="1574" w:type="dxa"/>
            <w:tcBorders>
              <w:top w:val="single" w:sz="2" w:space="0" w:color="000000"/>
              <w:left w:val="single" w:sz="2" w:space="0" w:color="000000"/>
              <w:bottom w:val="single" w:sz="2" w:space="0" w:color="000000"/>
            </w:tcBorders>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CatMat</w:t>
            </w:r>
          </w:p>
        </w:tc>
        <w:tc>
          <w:tcPr>
            <w:tcW w:w="932" w:type="dxa"/>
            <w:tcBorders>
              <w:top w:val="single" w:sz="2" w:space="0" w:color="000000"/>
              <w:left w:val="single" w:sz="2" w:space="0" w:color="000000"/>
              <w:bottom w:val="single" w:sz="2" w:space="0" w:color="000000"/>
            </w:tcBorders>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top w:val="single" w:sz="2" w:space="0" w:color="000000"/>
              <w:left w:val="single" w:sz="2" w:space="0" w:color="000000"/>
              <w:bottom w:val="single" w:sz="2" w:space="0" w:color="000000"/>
            </w:tcBorders>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Quant</w:t>
            </w:r>
          </w:p>
        </w:tc>
        <w:tc>
          <w:tcPr>
            <w:tcW w:w="1325" w:type="dxa"/>
            <w:tcBorders>
              <w:top w:val="single" w:sz="2" w:space="0" w:color="000000"/>
              <w:left w:val="single" w:sz="2" w:space="0" w:color="000000"/>
              <w:bottom w:val="single" w:sz="2" w:space="0" w:color="000000"/>
            </w:tcBorders>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Valor unitário</w:t>
            </w:r>
          </w:p>
        </w:tc>
        <w:tc>
          <w:tcPr>
            <w:tcW w:w="1794" w:type="dxa"/>
            <w:tcBorders>
              <w:top w:val="single" w:sz="2" w:space="0" w:color="000000"/>
              <w:left w:val="single" w:sz="2" w:space="0" w:color="000000"/>
              <w:bottom w:val="single" w:sz="2" w:space="0" w:color="000000"/>
              <w:right w:val="single" w:sz="2" w:space="0" w:color="000000"/>
            </w:tcBorders>
            <w:tcMar>
              <w:right w:w="28"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Valor Total</w:t>
            </w:r>
          </w:p>
        </w:tc>
      </w:tr>
      <w:tr>
        <w:trPr>
          <w:trHeight w:val="540"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Torneira Material Corpo: Pvc Diâmetro: 3/4 Pol Tipo: Bóia Caixa-d'água</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412726</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color w:val="000000"/>
              </w:rPr>
              <w:t>R$ 49,88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jc w:val="center"/>
              <w:rPr>
                <w:rFonts w:ascii="Times New Roman;serif" w:hAnsi="Times New Roman;serif"/>
                <w:color w:val="000000"/>
              </w:rPr>
            </w:pPr>
            <w:r>
              <w:rPr>
                <w:color w:val="000000"/>
              </w:rPr>
              <w:t>R$ 1.4896,40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Bitola I: 25 Mm X 3/4 Pol Tipo: Joelho 90° Tipo Fixação: Soldável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396992</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R$ 7,74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highlight w:val="none"/>
                <w:shd w:fill="auto" w:val="clear"/>
              </w:rPr>
            </w:pPr>
            <w:r>
              <w:rPr>
                <w:color w:val="000000"/>
                <w:shd w:fill="auto" w:val="clear"/>
              </w:rPr>
              <w:t xml:space="preserve">R$ </w:t>
            </w:r>
            <w:r>
              <w:rPr>
                <w:shd w:fill="auto" w:val="clear"/>
              </w:rPr>
              <w:t>387</w:t>
            </w:r>
            <w:r>
              <w:rPr>
                <w:color w:val="000000"/>
                <w:shd w:fill="auto" w:val="clear"/>
              </w:rPr>
              <w:t>,00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Instalações Prediais Água Fria Tipo: Joelho 90° Tipo Fixação: Soldável Bitola: 25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240422</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R$ 1,42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R$ 42,60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Tipo: Joelho Tipo Fixação: Soldável Bitola: 32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462385</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R$ 12,76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R$ 765,60</w:t>
            </w:r>
          </w:p>
        </w:tc>
      </w:tr>
      <w:tr>
        <w:trPr>
          <w:trHeight w:val="160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Instalações Prediais Água Fria Tipo: Joelho 90° Tipo Fixação: Soldável Bitola: 20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240418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R$ 2,47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R$ 123,50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Bitola Ii: 20 Mm X 1/2 Pol Tipo: Joelho 90° Tipo Fixação: Soldável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411841</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R$ 2,78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R$ 83,40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7</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Rígido Aplicação: Manutenção Predial Cor: Branca Tipo: Joelho 90° Tipo Fixação: Roscável Diâmetro Nominal: 1 1/2 Pol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318519</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R$ 6,85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R$ 205,50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8</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Rede Hidráulica E Esgoto Tipo: Joelho 45° Tipo Fixação: Soldável Bitola: 75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236708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R$ 6,66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R$ 133,20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9</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Rede Hidráulica E Esgoto Tipo: Joelho 90° Características Adicionais: Sem Anel Tipo Fixação: Soldável Bitola: 75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304350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R$ 10,39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R$ 207,80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Bitola I: 1 Pol Tipo: Joelho 90° Tipo Fixação: Roscável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295816</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color w:val="000000"/>
              </w:rPr>
              <w:t>R$ 8,07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jc w:val="center"/>
              <w:rPr>
                <w:rFonts w:ascii="Times New Roman;serif" w:hAnsi="Times New Roman;serif"/>
                <w:color w:val="000000"/>
              </w:rPr>
            </w:pPr>
            <w:r>
              <w:rPr>
                <w:color w:val="000000"/>
              </w:rPr>
              <w:t>R$ 242,10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11</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Instalações Prediais Água Fria Tipo: Joelho 90° Tipo Fixação: Soldável Bitola: 50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240420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R$ 4,14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R$ 248,40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color w:val="000000"/>
              </w:rPr>
            </w:pPr>
            <w:r>
              <w:rPr>
                <w:rFonts w:ascii="Times New Roman;serif" w:hAnsi="Times New Roman;serif"/>
                <w:color w:val="000000"/>
              </w:rPr>
              <w:t>12</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Parafuso, Material:Bicromatizado, Tipo:Cabeça Chata, Comprimento:30 Mm,</w:t>
            </w:r>
          </w:p>
          <w:p>
            <w:pPr>
              <w:pStyle w:val="Contedodatabela"/>
              <w:widowControl w:val="false"/>
              <w:rPr>
                <w:rFonts w:ascii="Times New Roman;serif" w:hAnsi="Times New Roman;serif"/>
                <w:color w:val="000000"/>
              </w:rPr>
            </w:pPr>
            <w:r>
              <w:rPr>
                <w:rFonts w:ascii="Times New Roman;serif" w:hAnsi="Times New Roman;serif"/>
                <w:color w:val="000000"/>
              </w:rPr>
              <w:t>Diâmetro:3,5 Mm, Características Adicionais:Fenda Philips, Aplicação:Madeira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443264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Caixa 500 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color w:val="000000"/>
              </w:rPr>
            </w:pPr>
            <w:r>
              <w:rPr>
                <w:rFonts w:ascii="Times New Roman;serif" w:hAnsi="Times New Roman;serif"/>
                <w:color w:val="000000"/>
              </w:rPr>
              <w:t>2</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color w:val="000000"/>
              </w:rPr>
              <w:t>R$ 50,70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R$ 101,40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13</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Rede Hidráulica E Esgoto Tipo: Joelho 45° Tipo Fixação: Soldável Bitola: 40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236705</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R$ 5,23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R$ 313,80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14</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Caixa D'água Bitola Ii: 32 Mm X 1 Pol Tipo: Adaptador Com Flanges E Anel Vedação Tipo Fixação: Soldável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373921</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color w:val="000000"/>
              </w:rPr>
              <w:t>R$ 17,73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R$ 531,90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Instalações Prediais Água Fria Tipo: Luva De Redução Tipo Fixação: Soldável Bitola: 25 X 20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260075</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color w:val="000000"/>
              </w:rPr>
              <w:t>R$ 4,79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R$ 239,50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16</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Tipo: Luva De Redução Tipo Fixação: Soldável Aplicação: Instalações Prediais Água Fria Bitola I: 40 X 32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296240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color w:val="000000"/>
              </w:rPr>
              <w:t>R$ 6,12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R$ 183,60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17</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Instalações Prediais Água Fria Tipo: Luva Tipo Fixação: Soldável Bitola: 20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245133</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R$ 2,90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R$ 145,00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18</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Tipo: Luva De Correr Bitola: 1"</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253378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R$ 5,21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R$ 104,20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19</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Instalações Esgoto Características Adicionais 1: Diâmetro Nominal 100mm / Anel De Vedação Tipo: Luva De Correr</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389641</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R$ 16,92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R$ 169,20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Instalação Sanitária Tipo: Curva 90° Curta Tipo Fixação: Soldável Bitola: 50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243188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R$ 7,13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highlight w:val="none"/>
                <w:shd w:fill="auto" w:val="clear"/>
              </w:rPr>
            </w:pPr>
            <w:r>
              <w:rPr>
                <w:color w:val="000000"/>
                <w:shd w:fill="auto" w:val="clear"/>
              </w:rPr>
              <w:t>R$ 142,6</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Instalações Prediais Água Fria Tipo: União Tipo Fixação: Soldável Bitola: 60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300193</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color w:val="000000"/>
              </w:rPr>
              <w:t>R$ 49,62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R$ 496,20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22</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Instalação Hidráulica Bitola I: 3/4 Pol Tipo I: Luva União Tipo Fixação: Roscável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462576</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color w:val="000000"/>
              </w:rPr>
              <w:t>R$ 10,06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R$ 201,20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Instalações Prediais Água Fria Bitola Lado Roscável: 1 Pol Bitola Lado Soldável: 32 Mm Tipo: Adaptador Características Adicionais: Curto Com Bolsa Tipo Fixação: Soldável E Roscável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248722</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color w:val="000000"/>
              </w:rPr>
              <w:t>R$ 16,96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R$ 339,20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24</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Tê - Conexão Para Tubos Canos - Roscável Material: Pvc - Cloreto De Polivinila Aplicação: Instalações Prediais Água Fria Características Adicionais: Com Bucha De Latão Na Bolsa Central Diâmetro Entrada: 20 Pol Diâmetro Redução: 1/2 Pol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374790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R$ 7,90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R$ 79,00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25</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Diluente Tinta </w:t>
            </w:r>
            <w:r>
              <w:rPr>
                <w:rFonts w:ascii="Times New Roman;serif" w:hAnsi="Times New Roman;serif"/>
                <w:color w:val="000000"/>
              </w:rPr>
              <w:t>Composição: Hidrocarbonetos Aromáticos/Álcool/Ésteres Glicóis Aspecto Físico: Líquido Cor: Incolor</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453111</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Lata 900 Ml</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R$ 18,94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R$ 947,00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26</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Instalação Hidráulica Bitola Lado Roscável: 1 1/2 Pol Bitola Lado Soldável: 50 Mm Cor: Marrom Tipo: Adaptador Curto Normas Técnicas: Nbr 5.648 Tipo Fixação: Soldável E Roscável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265179</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R$ 2,32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R$ 69,60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27</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Tipo: Tê 90° Tipo Fixação: Soldável Bitola: 1/2 Pol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441040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R$ 3,56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R$ 106,80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28</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Polietileno Aplicação: Irrigação Bitola I: 3/4 Pol Tipo: Tê Tipo Fixação: Roscável Espigão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455517</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R$ 7,25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R$ 217,50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29</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Cor: Marrom Tipo: Tê 90° Tipo Fixação: Soldável Bitola: 25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399168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R$ 2,18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R$ 65,40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Instalações Prediais Água Fria Tipo: Tê 90° Tipo Fixação: Soldável Bitola: 40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242704</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R$ 6,89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R$ 206,70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31</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Instalações Prediais Água Fria Tipo: Cap Tipo Fixação: Roscável Bitola: 1" Pol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295933</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R$ 4,37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R$ 131,10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32</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Instalações Prediais Água Fria Tipo: Niple Tipo Fixação: Roscável Bitola: 1/2 Pol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420009</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R$ 3,59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R$ 179,50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Plug Tubo Material: Pvc - Cloreto De Polivinila Rígido Aplicação: Rede Hidraulica Tipo: Roscável Bitola: 1 Pol Formato: Tampão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250115</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R$ 5,35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R$ 267,50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34</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Conexão Hidráulica Material: Pvc - Cloreto De Polivinila Aplicação: Instalações Prediais Água Fria Tipo: Plug Tipo Fixação: Roscável Bitola: 1/2"</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239035</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R$ 1,55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R$ 77,50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35</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Tubo Pvc Soldável Material: Pvc Rígido Aplicação: Rede Hidráulica E Esgoto Comprimento: 3 M Cor: Branca Tipo: Leve Diâmetro Nominal: 50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330264</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R$ 42,67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R$ 853,40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36</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Tubo Pvc Soldável Material: Pvc Rígido Aplicação: Rede Hidráulica E Esgoto Comprimento: 3 M Cor: Branca Tipo: Leve Diâmetro Nominal: 75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330265</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R$ 40,39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R$ 605,85</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37</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Tubo Pvc Soldável Material: Pvc Rígido Aplicação: Rede Hidráulica E Esgoto Comprimento: 3 M Cor: Branca Tipo: Leve Diâmetro Nominal: 40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330263</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R$ 28,42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R$ 284,20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38</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Tubo Pvc Soldável Aplicação: Hidráulica Comprimento: 3 M Cor: Marrom Diâmetro Nominal: 1 Pol Espessura Paredes: 32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330323</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R$ 28,30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R$ 566,00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39</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Tubo Pvc Soldável Aplicação: Hidráulica Comprimento: 6 M Cor: Marrom Diâmetro Nominal: 20 Mm Espessura Paredes: 1,50 Mm Pressão: 7,50 Kgf/cm2 A 20°c Comprimento Bolsa: 32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214730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R$ 25,78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R$ 515,60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40</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Tubo Pvc Soldável Aplicação: Hidráulica Comprimento: 3 M Cor: Marrom Diâmetro Nominal: 1/2 Pol Espessura Paredes: 20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330324</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R$ 19,07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R$ 381,40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41</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Fita Veda Rosca Material: Ptfe Comprimento: 10 M Largura: 12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367518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R$ 2,95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R$ 295,00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42</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Tubo Pvc Soldável Aplicação: Rede Hidráulica E Esgoto Comprimento: 6 M Cor: Branca Tipo: Leve Diâmetro Nominal: 100 Mm Espessura Paredes: 1,20 Mm Pressão: 7,50 Kgf/cm2 A 20°c Comprimento Bolsa: 70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249993</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R$ 62,00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R$ 620,00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43</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Registro Gaveta Bitola: 1 Pol Material: Latão Fundido Características Adicionais: Com Canopla Aplicação: Instalação Hidráulica</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351149</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R$ 60,26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R$ 2.410,40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44</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Registro Gaveta Bitola: 1 1/2 Pol Material: Latão Características Adicionais: Bruto Aplicação: Instalação Hidráulica</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407296</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R$ 85,58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R$ 1.711,60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45</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Registro Gaveta * Tipo: Manual Bitola: 2 Pol Material: Bronze Fundido Características Adicionais: Castelo Com Rosca Para Fixação De Acabamento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233454</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R$ 206,43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R$ 2.064,30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46</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Registro Gaveta * Tipo: Manual Bitola: 1/2 Pol Material: Bronze Fundido Características Adicionais: Castelo Com Rosca Para Fixação De Acabamento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233449</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R$ 44,58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R$ 1.337,40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47</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Registro Gaveta Bitola: 3/4 Pol Material: Latão Fundido Características Adicionais: Volante Liga Latão Cromado E Canopla Ferro Cromado Aplicação: Instalação Hidráulica</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349028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R$ 45,81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R$ 1.832,40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48</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Bóia Caixa D'Água Material: Metal Aplicação: Caixa De Água, Cisterna Material Balão: Metal Tipo: Pressão Bitola: 1.1/2 Pol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250252</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R$ 60,62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R$ 1.212,40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49</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Sifão Nome: Sifao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233110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color w:val="000000"/>
              </w:rPr>
              <w:t>R$ 10,27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R$ 513,50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Disco Corte</w:t>
            </w:r>
          </w:p>
          <w:p>
            <w:pPr>
              <w:pStyle w:val="Contedodatabela"/>
              <w:widowControl w:val="false"/>
              <w:spacing w:before="0" w:after="283"/>
              <w:rPr>
                <w:color w:val="000000"/>
              </w:rPr>
            </w:pPr>
            <w:r>
              <w:rPr>
                <w:color w:val="000000"/>
              </w:rPr>
              <w:t>Material: Aço Diamantado Diâmetro: 105 MM Diâmetro Furo: 20 MM Aplicação: Mármore/Cerâmica/Pedra/Granito Características Adicionais: Corte A Seco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387232</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R$ 27,91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R$ 1.395,50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51</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Argamassa Composição: Cimento Especial/polímeros/quartzo/aditivos Características Adicionais: Colante De Uso Interno Tipo: Piso Sobre Piso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354460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Saco 20kg</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R$ 26,83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R$ 804,90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52</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Argamassa Composição: Areia, Cimento, Cal E Aditivos Especiais Cor: Natural Características Adicionais: Colante De Uso Interno Tipo: Ac I Normas Técnicas: Nbr 14081</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389626</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Saco 20kg</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R$ 15,29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R$ 458,70</w:t>
            </w:r>
          </w:p>
        </w:tc>
      </w:tr>
      <w:tr>
        <w:trPr>
          <w:trHeight w:val="130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53</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Azulejo Material: Porcelanato Formato: Quadrado Comprimento: 45 CM Largura: 45 CM Cor: Branca</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219785</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m2</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R$ 41,17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R$ 2.058,50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54</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Azulejo </w:t>
            </w:r>
            <w:r>
              <w:rPr>
                <w:rFonts w:ascii="Times New Roman;serif" w:hAnsi="Times New Roman;serif"/>
                <w:color w:val="000000"/>
              </w:rPr>
              <w:t>Material: Porcelanato Formato: Quadrado Comprimento: 45 CM Largura: 45 CM Cor: Galileu Crema Características Adicionais: Pi 4, Liso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480128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m2</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R$ 38,66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R$ 1.933,00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55</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Tinta Acrílica Componentes: Látex Pva, Água, Resina E Pigmentos Aspecto Físico: Líquido Viscoso Colorido Cor: Branco Neve * Prazo Validade: 36 Mês Tipo Acabamento: Fosco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320214</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Lata 18l</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R$ 276,70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R$ 41.505,00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56</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Tinta Acrílica</w:t>
            </w:r>
          </w:p>
          <w:p>
            <w:pPr>
              <w:pStyle w:val="Contedodatabela"/>
              <w:widowControl w:val="false"/>
              <w:spacing w:before="0" w:after="283"/>
              <w:rPr/>
            </w:pPr>
            <w:r>
              <w:rPr>
                <w:color w:val="000000"/>
              </w:rPr>
              <w:t>Componentes: Resina A Base De Dispersão Aquosa De Copolímero, Aspecto Físico: Líquido Viscoso LATA 18,00 L Cor: Concreto Prazo Validade: 24 MÊS Aplicação: Pisos Em Geral Método Aplicação: Rolo/Pincel E Pistola Tipo Acabamento: Fosco Características Adicionais: Rendimento 25 A 35 M2 Por Demão/Pintura Externa/In</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307480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Lata 18l</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R$ 208,67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R$ 20.867,00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57</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Selador Tinta Predial Aspecto Físico: Líquido * Método Aplicação: Rolo/pincel/trincha Ou Revólver * Aplicação: Superfícies Porosas Reboco/concreto/fibrocimento Tipo: Acrílico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260616</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Lata 3,6l</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R$ 82,47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R$ 4.948,2</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58</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Massa Corrida * Método Aplicação: Com Espátula Tempo Secagem: 3 H Composição Básica: Resina Acrílica Solubilidade: Água * Aplicação: Imperfeição Superfície Interna Para Pintura</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275188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Emb 25 kg</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80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R$ 151,24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R$ 12.099,20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59</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Aguarrás Aplicação: Solvente De Tinta Composição: 100% Destilado De Petróleo Características Adicionais: Origem Mineral, Sem Benzeno, Álcool Ou Querosene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429924</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Lata 900ml</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R$ 23,00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R$ 1.150,00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60</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Tinta Esmalte Tipo Acabamento: Acetinado Cor: Branca Aplicação: Parede / Madeira / Estrutura Metálica Material: Tinta À Base De Resinas Alquídicas/pigmentos Aspecto Físico: Líquido E Viscoso Características Adicionais: Interior E Exterior</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459863</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galão 3,60 L</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R$ 72,49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R$ 3.624,50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61</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Parafuso, Material:Bicromatizado, Tipo:Cabeça Chata, Comprimento:50 Mm, Diâmetro:4 Mm, Características Adicionais:Fenda Philips, Aplicação:Madeira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443268</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Caixa 500 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R$ 99,96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R$ 299,88</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62</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Tinta Esmalte</w:t>
            </w:r>
          </w:p>
          <w:p>
            <w:pPr>
              <w:pStyle w:val="Contedodatabela"/>
              <w:widowControl w:val="false"/>
              <w:spacing w:before="0" w:after="283"/>
              <w:rPr>
                <w:color w:val="000000"/>
              </w:rPr>
            </w:pPr>
            <w:r>
              <w:rPr>
                <w:color w:val="000000"/>
              </w:rPr>
              <w:t>Tipo Acabamento: Acetinado Cor: Verde Folha Aplicação: Rolo, Pincel E Pistola Material: Tinta À Base De Resinas Alquídicas/Pigmentos Rendimento: 40 A 50 M2/Gl/Demão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610542</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galão 3,60 L</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R$ 129,33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R$ 7.759,80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63</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Tinta Esmalte</w:t>
            </w:r>
          </w:p>
          <w:p>
            <w:pPr>
              <w:pStyle w:val="Contedodatabela"/>
              <w:widowControl w:val="false"/>
              <w:spacing w:before="0" w:after="283"/>
              <w:rPr>
                <w:color w:val="000000"/>
              </w:rPr>
            </w:pPr>
            <w:r>
              <w:rPr>
                <w:color w:val="000000"/>
              </w:rPr>
              <w:t>Tipo Acabamento: Alto Brilho Cor: Azul Celeste Diluente Indicado: Aguarrás Método Aplicação: Rolo/Pincel E Pistola Aplicação: Superfícies Madeira E Metal/Interiores/Exteriores. Rendimento: 40 A 50 M2/Gl/Demão Tipo: Sintética</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257702</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galão 3,60 L</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R$ 82,50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R$ 16.500,00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64</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Disco Corte </w:t>
            </w:r>
            <w:r>
              <w:rPr>
                <w:rFonts w:ascii="Times New Roman;serif" w:hAnsi="Times New Roman;serif"/>
                <w:color w:val="000000"/>
              </w:rPr>
              <w:t>Material: Aço Diâmetro: 14 POL Diâmetro Furo: 1 POL Aplicação: Aço E Ligas Materiais Ferrosos Em Geral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453315</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t>R$ 35,42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R$ 1.062,60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65</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Tinta Esmalte Tipo Acabamento: Acetinado Cor: Cinza Escuro Aplicação: Metal E Madeira Aspecto Físico: Líquido E Viscoso Características Adicionais: Sem Cheiro, Base Água 474988 Tinta Esmalte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478754</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galão 3,60 L</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R$ 107,00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R$ 2.140,00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66</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Tinta Esmalte * Superfície Aplicação: Metal E Madeira Tipo Acabamento: Alto Brilho Cor: Cinza Médio * Diluente Indicado: Aguarrás * Método Aplicação: Rolo/pincel E Pistola Aplicação: Superfícies Madeira E Metal/interiores/exteriores. Material: Tinta A Base De Resinas Alquídicas/pigmentos Orgâ * Rendimento: 40 A 50 M2/gl/demão * Prazo Armazenagem: 36 Mês</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242430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galão 3,60 L</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R$ 71,16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jc w:val="center"/>
              <w:rPr>
                <w:rFonts w:ascii="Ecofont_Spranq_eco_Sans;serif" w:hAnsi="Ecofont_Spranq_eco_Sans;serif"/>
              </w:rPr>
            </w:pPr>
            <w:r>
              <w:rPr/>
              <w:t>R$ 4.269,60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67</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Trincha </w:t>
            </w:r>
            <w:r>
              <w:rPr>
                <w:rFonts w:ascii="Times New Roman;serif" w:hAnsi="Times New Roman;serif"/>
                <w:color w:val="000000"/>
              </w:rPr>
              <w:t>Material Cabo: Plástico Material Cerdas: Sintética Tamanho: 1 1/2 POL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485779</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R$ 14,96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R$ 448,80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68</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Trincha </w:t>
            </w:r>
            <w:r>
              <w:rPr>
                <w:rFonts w:ascii="Times New Roman;serif" w:hAnsi="Times New Roman;serif"/>
                <w:color w:val="000000"/>
              </w:rPr>
              <w:t>Material Cabo: Plástico Material Cerdas: Sintética Tamanho: 2 POL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467559</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R$ 9,15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R$ 366,00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69</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Trincha </w:t>
            </w:r>
            <w:r>
              <w:rPr>
                <w:rFonts w:ascii="Times New Roman;serif" w:hAnsi="Times New Roman;serif"/>
                <w:color w:val="000000"/>
              </w:rPr>
              <w:t>Material Cabo: Plástico Material Cerdas: Sintética Tamanho: 4 POL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467560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R$ 13,93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R$ 417,90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70</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Bandeja Pintura Material: Plástico Comprimento: 40 Cm Largura: 23 Cm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364511</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R$ 12,16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R$ 364,80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71</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Rolo Pintura Predial Material: Lã De Carneiro Comprimento: 23 Cm Características Adicionais: Com Cabo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397729</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R$ 19,29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R$ 964,50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72</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Rolo Pintura Predial Material: Espuma Comprimento: 9 Cm Características Adicionais: Com Cabo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397728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R$ 4,97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R$ 248,50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73</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Rolo Pintura Predial Material: Espuma Poliéster Comprimento: 15 Cm Características Adicionais: Com Suporte/garfo De Aço Galvanizado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377301</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R$ 10,53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R$ 526,50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74</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Lixa Material: Óxido Alumínio Tipo: Lixa Massa Apresentação: Folha Tipo Grão: 100 Aplicação: Parede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333204</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R$ 1,43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R$ 143,00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75</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Lixa Material: Óxido Alumínio Tipo: Lixa Ferro Apresentação: Folha Tipo Grão: 150 Comprimento: 275 Mm Largura: 225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231508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R$ 1,97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R$ 236,40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76</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Desengrimpante Composição: Destilado Alifático, Oleos De Petróleo/mineral Apresentação: Spray Aplicação: Uso Geral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456240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R$ 17,95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R$ 538,50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77</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b/>
              </w:rPr>
              <w:t xml:space="preserve">Cilindro Gás </w:t>
            </w:r>
            <w:r>
              <w:rPr>
                <w:rFonts w:ascii="Times New Roman;serif" w:hAnsi="Times New Roman;serif"/>
                <w:color w:val="000000"/>
              </w:rPr>
              <w:t>Material: Aço Tipo Gás: Nitrogênio Volume: 2 M3</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422714</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R$ 1.391,33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R$ 1.391,33</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78</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b/>
              </w:rPr>
            </w:pPr>
            <w:r>
              <w:rPr>
                <w:rFonts w:ascii="Times New Roman;serif" w:hAnsi="Times New Roman;serif"/>
                <w:b/>
              </w:rPr>
              <w:t>Lápis Preto</w:t>
            </w:r>
          </w:p>
          <w:p>
            <w:pPr>
              <w:pStyle w:val="Contedodatabela"/>
              <w:widowControl w:val="false"/>
              <w:spacing w:before="0" w:after="283"/>
              <w:rPr>
                <w:color w:val="000000"/>
              </w:rPr>
            </w:pPr>
            <w:r>
              <w:rPr>
                <w:color w:val="000000"/>
              </w:rPr>
              <w:t>Material Corpo: Madeira</w:t>
            </w:r>
          </w:p>
          <w:p>
            <w:pPr>
              <w:pStyle w:val="Contedodatabela"/>
              <w:widowControl w:val="false"/>
              <w:spacing w:before="0" w:after="283"/>
              <w:rPr>
                <w:color w:val="000000"/>
              </w:rPr>
            </w:pPr>
            <w:r>
              <w:rPr>
                <w:color w:val="000000"/>
              </w:rPr>
              <w:t>Diâmetro Carga: 2 MM</w:t>
            </w:r>
          </w:p>
          <w:p>
            <w:pPr>
              <w:pStyle w:val="Contedodatabela"/>
              <w:widowControl w:val="false"/>
              <w:spacing w:before="0" w:after="283"/>
              <w:rPr>
                <w:color w:val="000000"/>
              </w:rPr>
            </w:pPr>
            <w:r>
              <w:rPr>
                <w:color w:val="000000"/>
              </w:rPr>
              <w:t>Dureza Carga: 2</w:t>
            </w:r>
          </w:p>
          <w:p>
            <w:pPr>
              <w:pStyle w:val="Contedodatabela"/>
              <w:widowControl w:val="false"/>
              <w:spacing w:before="0" w:after="283"/>
              <w:rPr>
                <w:color w:val="000000"/>
              </w:rPr>
            </w:pPr>
            <w:r>
              <w:rPr>
                <w:color w:val="000000"/>
              </w:rPr>
              <w:t>Características Adicionais: Tipo Carpinteiro</w:t>
            </w:r>
          </w:p>
          <w:p>
            <w:pPr>
              <w:pStyle w:val="Contedodatabela"/>
              <w:widowControl w:val="false"/>
              <w:spacing w:before="0" w:after="283"/>
              <w:rPr>
                <w:color w:val="000000"/>
              </w:rPr>
            </w:pPr>
            <w:r>
              <w:rPr>
                <w:color w:val="000000"/>
              </w:rPr>
              <w:t>Material Carga: Grafite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285253</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R$ 1,56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R$ 46,80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79</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Placa Compensado</w:t>
            </w:r>
          </w:p>
          <w:p>
            <w:pPr>
              <w:pStyle w:val="Contedodatabela"/>
              <w:widowControl w:val="false"/>
              <w:spacing w:before="0" w:after="283"/>
              <w:rPr>
                <w:color w:val="000000"/>
              </w:rPr>
            </w:pPr>
            <w:r>
              <w:rPr>
                <w:color w:val="000000"/>
              </w:rPr>
              <w:t>Tipo: Comum Tipo Miolo: Lâminas De Madeira Acabamento Externo: Plastificado Nas Duas Faces Comprimento: 2,20 M Largura: 1,10 M Espessura: 16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27" w:after="0"/>
              <w:jc w:val="center"/>
              <w:rPr>
                <w:rFonts w:ascii="Times New Roman;serif" w:hAnsi="Times New Roman;serif"/>
                <w:color w:val="000000"/>
              </w:rPr>
            </w:pPr>
            <w:r>
              <w:rPr>
                <w:rFonts w:ascii="Times New Roman;serif" w:hAnsi="Times New Roman;serif"/>
                <w:color w:val="000000"/>
              </w:rPr>
              <w:t>472733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R$ 211,34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R$ 8.453,60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80</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color w:val="000000"/>
              </w:rPr>
            </w:pPr>
            <w:r>
              <w:rPr>
                <w:color w:val="000000"/>
              </w:rPr>
              <w:t>Tipo: Comum Tipo Miolo: Pinus Acabamento Externo: Cedro Comprimento: 2,20 M Largura: 1,60 M Espessura: 4 MM Aplicação: Móveis Em Geral/ Divisórias/ Revestimentos/Forros/</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27" w:after="0"/>
              <w:jc w:val="center"/>
              <w:rPr>
                <w:rFonts w:ascii="Times New Roman;serif" w:hAnsi="Times New Roman;serif"/>
                <w:color w:val="000000"/>
              </w:rPr>
            </w:pPr>
            <w:r>
              <w:rPr>
                <w:rFonts w:ascii="Times New Roman;serif" w:hAnsi="Times New Roman;serif"/>
                <w:color w:val="000000"/>
              </w:rPr>
              <w:t>460961</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R$ 154,00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R$ 6.160,00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81</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Fita Isolante Elétrica Material Básico: Filme De Pvc Resistência À Tensão: Até 750 V Cor: Preta Classe Temperatura: 90 °c Largura Nominal: 12 Mm Espessura Nominal: 0,18 Mm Comprimento Nominal: 20 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464018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R$ 12,07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R$ 1.207,00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82</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Fita Isolante Elétrica Material Básico: Borracha Etileno-propileno (epr) Resistência À Tensão: Até 69.000 V Classe Temperatura: 105 °c Características Adicionais: Autofusão Largura Nominal: 19 Mm Comprimento Nominal: 10 M Aplicação: Isolação Primária E Vedação De Emendas</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450105</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R$ 15,31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R$ 1.531,00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83</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Elo Fusível Classe: Distribuição Tipo: 8k Corrente Nominal: 8 A Características Adicionais: Com Arruela De Latão Material: Estanho Aplicação: Para Proteção De Rede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337018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R$ 5,15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R$ 103,00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84</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Elo Fusível Classe: Distribuição Tipo: 6k Corrente Nominal: 6 A Características Adicionais: Com Arruela De Latão Material: Estanho Aplicação: Para Proteção De Rede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337016</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R$ 5,60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R$ 112,00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85</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Elo Fusível Classe: Distribuição Tipo: 2h Corrente Nominal: 2 A Características Adicionais: Com Arruela De Latão Material: Estanho Aplicação: Para Proteção De Rede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337011</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R$ 10,63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R$ 212,60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86</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Elo Fusível Classe: Distribuição Tipo: 3h Corrente Nominal: 3 A Características Adicionais: Com Arruela De Latão Material: Estanho Aplicação: Para Proteção De Rede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337013</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R$ 10,00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R$ 200,00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87</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Elo Fusível Classe: Distribuição Tipo: 10k Corrente Nominal: 10 A Características Adicionais: Com Arruela De Latão Material: Estanho Aplicação: Para Proteção De Rede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337019</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R$ 8,27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R$ 165,40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88</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Elo Fusível Classe: Distribuição Tipo: 5h Corrente Nominal: 5 A Características Adicionais: Com Arruela De Latão Material: Estanho Aplicação: Para Proteção De Rede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337015</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R$ 6,00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R$ 120,00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89</w:t>
            </w:r>
          </w:p>
        </w:tc>
        <w:tc>
          <w:tcPr>
            <w:tcW w:w="3481" w:type="dxa"/>
            <w:tcBorders>
              <w:left w:val="single" w:sz="2" w:space="0" w:color="000000"/>
              <w:bottom w:val="single" w:sz="2" w:space="0" w:color="000000"/>
            </w:tcBorders>
            <w:tcMar>
              <w:top w:w="0" w:type="dxa"/>
            </w:tcMar>
            <w:vAlign w:val="center"/>
          </w:tcPr>
          <w:p>
            <w:pPr>
              <w:pStyle w:val="Contedodatabela"/>
              <w:widowControl w:val="false"/>
              <w:jc w:val="both"/>
              <w:rPr>
                <w:rFonts w:ascii="Times New Roman;serif" w:hAnsi="Times New Roman;serif"/>
              </w:rPr>
            </w:pPr>
            <w:r>
              <w:rPr>
                <w:rFonts w:ascii="Times New Roman;serif" w:hAnsi="Times New Roman;serif"/>
              </w:rPr>
              <w:t>Plafonier, Material Corpo:Pvc, Formato:Redondo, Cor:Branca, Características</w:t>
              <w:br/>
              <w:t>Adicionais:Simples Soquete De Porcelana, Base E-27</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446451</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R$ 7,09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R$ 1.418,00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90</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Lâmpada Led Potência Nominal: 18 W Abertura Facho: 220° Temperatura De Cor: 4.000 K Fluxo Luminoso: Mín. 1800 Lm Comprimento: 1200 Mm Cor: Branco Neutro Tipo Base: G13 Tensão Nominal: 110/220 Formato: Tubular</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468642</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R$ 17,06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R$ 8.530,00</w:t>
            </w:r>
          </w:p>
        </w:tc>
      </w:tr>
      <w:tr>
        <w:trPr>
          <w:trHeight w:val="1200"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91</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Tinta Esmalte, Tipo Acabamento:Sintético, Cor:Preta, Aplicação:Metal E Madeira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610539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GALÃO 3,60 L</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60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R$ 139,80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R$ 8.388,00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92</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Pára-Raios Distribuição Aplicação: Circuitos De Alimentadores De Distribuição Tipo: Polimérico Tensão Nominal: 15 Kv Material Componente Ativo: Óxido De Zinco Corrente Nominal Descarga: 10 Ka</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358968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R$ 244,13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R$ 4.882,60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93</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Fechadura Material Caixa: Latão Material Lingueta: Latão Acabamento Superficial: Cromado Brilhante Material Tambor Segredo: Latão Características Adicionais: Cilindro Oval Com 5 Pinos Tipo: Externa Aplicação: Porta Comprimento: 15,50 Cm Altura: 22,40 Cm Espessura: 2,50 Cm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406257</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R$ 47,93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R$ 4.793,00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94</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Fechadura Material Caixa: Latão Acabamento Superficial: Colonial Características Adicionais: Maçaneta Tipo Bola Tipo: Interna/externa Aplicação: Porta Comprimento: 8 Cm Altura: 12 Cm Espessura: 12</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354740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R$ 36,87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R$ 3.687,00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95</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Fita Adesiva, Material:Polietileno E Tecido Laminado De Algodão, Tipo:Silver Tape,</w:t>
            </w:r>
          </w:p>
          <w:p>
            <w:pPr>
              <w:pStyle w:val="Contedodatabela"/>
              <w:widowControl w:val="false"/>
              <w:rPr>
                <w:rFonts w:ascii="Times New Roman;serif" w:hAnsi="Times New Roman;serif"/>
              </w:rPr>
            </w:pPr>
            <w:r>
              <w:rPr>
                <w:rFonts w:ascii="Times New Roman;serif" w:hAnsi="Times New Roman;serif"/>
              </w:rPr>
              <w:t>Largura:48 Mm, Comprimento:50 M, Cor:Cinza, Aplicação:Multiuso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449828</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ROLO 50,00 M</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R$ 39,00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R$ 1.950,00</w:t>
            </w:r>
          </w:p>
        </w:tc>
      </w:tr>
      <w:tr>
        <w:trPr>
          <w:trHeight w:val="2490"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96</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Tomada, Modelo:Simples, Corrente Nominal:20 A, Tensão Nominal:250 V,</w:t>
              <w:br/>
              <w:t>Características Adicionais:Completa(Caixa, Espelho E Tomada), Aplicação:Condulete Instalação</w:t>
              <w:br/>
              <w:t>Elétrica, Material:Pvc - Cloreto De Polivinila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460997</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R$ 8,52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R$ 852,00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97</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color w:val="000000"/>
              </w:rPr>
            </w:pPr>
            <w:r>
              <w:rPr>
                <w:rFonts w:ascii="Times New Roman;serif" w:hAnsi="Times New Roman;serif"/>
                <w:color w:val="000000"/>
              </w:rPr>
              <w:t>Tomada, Modelo:Dupla, Formato Contato:2p + T, Cor Corpo:Branca, Corrente</w:t>
              <w:br/>
              <w:t>Nominal:10 A, Tensão Nominal:250 V, Características Adicionais:Completa(Caixa, Espelho E Tomada),</w:t>
              <w:br/>
              <w:t>Aplicação:Condulete Instalação Elétrica, Material:Pvc - Cloreto De Polivinila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460998</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R$ 12,83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R$ 1.283,00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98</w:t>
            </w:r>
          </w:p>
        </w:tc>
        <w:tc>
          <w:tcPr>
            <w:tcW w:w="3481" w:type="dxa"/>
            <w:tcBorders>
              <w:left w:val="single" w:sz="2" w:space="0" w:color="000000"/>
              <w:bottom w:val="single" w:sz="2" w:space="0" w:color="000000"/>
            </w:tcBorders>
            <w:tcMar>
              <w:top w:w="0" w:type="dxa"/>
            </w:tcMar>
            <w:vAlign w:val="center"/>
          </w:tcPr>
          <w:p>
            <w:pPr>
              <w:pStyle w:val="Contedodatabela"/>
              <w:widowControl w:val="false"/>
              <w:jc w:val="both"/>
              <w:rPr>
                <w:rFonts w:ascii="Times New Roman;serif" w:hAnsi="Times New Roman;serif"/>
                <w:color w:val="000000"/>
              </w:rPr>
            </w:pPr>
            <w:r>
              <w:rPr>
                <w:rFonts w:ascii="Times New Roman;serif" w:hAnsi="Times New Roman;serif"/>
                <w:color w:val="000000"/>
              </w:rPr>
              <w:t>Tomada, Modelo:Dupla, Formato Contato:2p + T, Cor Corpo:Branca, Corrente</w:t>
              <w:br/>
              <w:t>Nominal:20 A, Tensão Nominal:250 V, Características Adicionais:Completa(Caixa, Espelho E Tomada),</w:t>
              <w:br/>
              <w:t>Aplicação:Condulete Instalação Elétrica, Material:Pvc - Cloreto De Polivinila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460999</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R$ 16,02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R$ 1.602,00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99</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Tomada, modelo:simples, tipo:fêmea, formato contato:2p + t, cor corpo:branca,</w:t>
              <w:br/>
              <w:t>corrente nominal:10 a, tensão nominal:250 v, características adicionais:com espelho 4" x 2", tipo</w:t>
              <w:br/>
              <w:t>fixação:encaixe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460997</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R$ 50,35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R$ 5.035,00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Caixa Medição Material: Acrílico Tipo Medidor: Trifásico Comprimento: 500 Mm Largura: 378 Mm Características Adicionais: Com Suporte Para Disjuntor E Lente Profundidade: 366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440977</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R$ 173,65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R$ 8.682,50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101</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Eletrodo Solda Material Indicado: Alumínio Forma: Vareta Formato: Redondo Diâmetro: 2,50 MM</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322751</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kg</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R$ 46,03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R$ 2.301,50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102</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ELETRODO SOLDA Material Indicado: Aço Carbono Diâmetro: 4 MM Forma: Vareta Normas Técnicas: Aws E 6013</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371882</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kg</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R$ 25,34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R$ 1.013,60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103</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Eletrodo Solda Material Indicado: Aço Inoxidável Diâmetro: 3,25 MM Forma: Vareta Normas Técnicas: Er 308l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481825</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kg</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R$ 48,49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R$ 1.939,60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104</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Eletrodo Solda Material Indicado: Aço Inoxidável Tipo Corrente: Alternada E Direta. Comprimento: 300 MM Diâmetro: 2 MM Forma: Vareta Características Adicionais: Manganês , Cromo ,Níquel E Molibdênio.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484437</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kg</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R$ 37,90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R$ 1.516,00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105</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Disco Corte Material: Óxido Alumínio Aplicação: Aço E Ligas Materiais Ferrosos Em Geral Diâmetro: 4 1/2 POL Espessura: 1/8 POL Diâmetro Furo: 7/8 POL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482967</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R$ 15,71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R$ 785,50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106</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Disco Corte Material: Aço Aplicação: Aço E Ligas Materiais Ferrosos Em Geral Diâmetro: 4 1/2 POL Diâmetro Furo: 7/8 POL</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453314</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R$ 7,69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R$ 384,50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107</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rPr>
            </w:pPr>
            <w:r>
              <w:rPr>
                <w:rFonts w:ascii="Times New Roman;serif" w:hAnsi="Times New Roman;serif"/>
              </w:rPr>
              <w:t>Escova Material: Aço Carbono Características Adicionais: Base De Madeira Material Cabo: Madeira Quantidade Fios Aço: 4 Fileiras</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482920</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R$ 8,75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R$ 437,50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108</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Parafuso, Material:Bicromatizado, Tipo:Cabeça Chata, Comprimento:45 Mm,</w:t>
            </w:r>
          </w:p>
          <w:p>
            <w:pPr>
              <w:pStyle w:val="Contedodatabela"/>
              <w:widowControl w:val="false"/>
              <w:rPr>
                <w:rFonts w:ascii="Times New Roman;serif" w:hAnsi="Times New Roman;serif"/>
              </w:rPr>
            </w:pPr>
            <w:r>
              <w:rPr>
                <w:rFonts w:ascii="Times New Roman;serif" w:hAnsi="Times New Roman;serif"/>
              </w:rPr>
              <w:t>Diâmetro:4 Mm, Características Adicionais:Fenda Philips, Aplicação:Madeira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443267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Caixa 500 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R$ 72,71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R$ 218,13</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109</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Bucha Parafuso, Material:Plástico, Tamanho:8 Mm De Diâmetro, 40mm</w:t>
            </w:r>
          </w:p>
          <w:p>
            <w:pPr>
              <w:pStyle w:val="Contedodatabela"/>
              <w:widowControl w:val="false"/>
              <w:rPr>
                <w:rFonts w:ascii="Times New Roman;serif" w:hAnsi="Times New Roman;serif"/>
              </w:rPr>
            </w:pPr>
            <w:r>
              <w:rPr>
                <w:rFonts w:ascii="Times New Roman;serif" w:hAnsi="Times New Roman;serif"/>
              </w:rPr>
              <w:t>Comprimento, Tipo:Com Aba, Características Adicionais:4,5 Mm A 6,1 Mm Para Parafuso, Com Anel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602037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3000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R$ 1,83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R$ 5.490,00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110</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Parafuso Cabeça Chata, Material:Aço, Diâmetro Nominal:6 Mm, Comprimento</w:t>
            </w:r>
          </w:p>
          <w:p>
            <w:pPr>
              <w:pStyle w:val="Contedodatabela"/>
              <w:widowControl w:val="false"/>
              <w:rPr>
                <w:rFonts w:ascii="Times New Roman;serif" w:hAnsi="Times New Roman;serif"/>
              </w:rPr>
            </w:pPr>
            <w:r>
              <w:rPr>
                <w:rFonts w:ascii="Times New Roman;serif" w:hAnsi="Times New Roman;serif"/>
              </w:rPr>
              <w:t>Nominal:5 Cm, Características Adicionais:Fenda Philips</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448297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Caixa 100 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R$ 4,51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R$ 90,20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111</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Suporte Fixação Serra Copo, Material:Aço, Formato:Haste Hexagonal,</w:t>
            </w:r>
          </w:p>
          <w:p>
            <w:pPr>
              <w:pStyle w:val="Contedodatabela"/>
              <w:widowControl w:val="false"/>
              <w:rPr>
                <w:rFonts w:ascii="Times New Roman;serif" w:hAnsi="Times New Roman;serif"/>
              </w:rPr>
            </w:pPr>
            <w:r>
              <w:rPr>
                <w:rFonts w:ascii="Times New Roman;serif" w:hAnsi="Times New Roman;serif"/>
              </w:rPr>
              <w:t>Diâmetro:19 Mm, Comprimento:59 Mm, Uso:Serra Copo De 14 A 300 Mm, Tipo:A1, Diâmetro Rosca:1/2 Pol,</w:t>
            </w:r>
          </w:p>
          <w:p>
            <w:pPr>
              <w:pStyle w:val="Contedodatabela"/>
              <w:widowControl w:val="false"/>
              <w:rPr>
                <w:rFonts w:ascii="Times New Roman;serif" w:hAnsi="Times New Roman;serif"/>
              </w:rPr>
            </w:pPr>
            <w:r>
              <w:rPr>
                <w:rFonts w:ascii="Times New Roman;serif" w:hAnsi="Times New Roman;serif"/>
              </w:rPr>
              <w:t>Características Adicionais:Com Broca Piloto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255532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R$ 61,37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R$ 613,70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112</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Parafuso Com Bucha E Porca, Material:Latão, Referência Bucha:Nº 10, Tipo</w:t>
            </w:r>
          </w:p>
          <w:p>
            <w:pPr>
              <w:pStyle w:val="Contedodatabela"/>
              <w:widowControl w:val="false"/>
              <w:rPr>
                <w:rFonts w:ascii="Times New Roman;serif" w:hAnsi="Times New Roman;serif"/>
              </w:rPr>
            </w:pPr>
            <w:r>
              <w:rPr>
                <w:rFonts w:ascii="Times New Roman;serif" w:hAnsi="Times New Roman;serif"/>
              </w:rPr>
              <w:t>Porca:De Mama, Aplicação:Fixação De Louças Sanitárias</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238192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R$ 2,86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R$ 286,00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113</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Dobradiça Porta</w:t>
            </w:r>
          </w:p>
          <w:p>
            <w:pPr>
              <w:pStyle w:val="Contedodatabela"/>
              <w:widowControl w:val="false"/>
              <w:spacing w:before="0" w:after="283"/>
              <w:rPr>
                <w:color w:val="000000"/>
              </w:rPr>
            </w:pPr>
            <w:r>
              <w:rPr>
                <w:color w:val="000000"/>
              </w:rPr>
              <w:t>Material: Aço Tratamento Superficial: Cromado Aplicação: Porta De Madeira Características Adicionais: Pino Solto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615238</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R$ 23,22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R$ 1.161,00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114</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Válvula </w:t>
            </w:r>
            <w:r>
              <w:rPr>
                <w:rFonts w:ascii="Times New Roman;serif" w:hAnsi="Times New Roman;serif"/>
                <w:color w:val="000000"/>
              </w:rPr>
              <w:t>Material: Latão Tipo: Schrader Bitola: 1/4 POL Tipo Rosca: Npt Tipo Fixação: Roscável (2 Lados)</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265512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R$ 5,73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R$ 573,00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115</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Peças E Acessórios Aparelho Ar Condicionado Tipo: Bolsa Coletora Material: Lona Reforçada Comprimento: 1,37 M Largura: 40 CM Características Adicionais: Armação: Alumínio, Engate Rápido Aplicação: Ar-Condicionado, 18.000 A 30.000 Btus Altura: 0,21 CM</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611659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R$ 200,25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R$ 600,75</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116</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Conjunto Obturador Caixa Descarga </w:t>
            </w:r>
            <w:r>
              <w:rPr>
                <w:rFonts w:ascii="Times New Roman;serif" w:hAnsi="Times New Roman;serif"/>
                <w:color w:val="000000"/>
              </w:rPr>
              <w:t>Componentes: Botão De Acionamento,Torres: De Saída E De Entrada Outros Componentes: Bolsa De Vedação E Conjunto De Fixação Aplicação: Caixa De Descarga Acoplada Padrao Universal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483893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R$ 38,17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R$ 1.145,10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117</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Mola Porta</w:t>
            </w:r>
          </w:p>
          <w:p>
            <w:pPr>
              <w:pStyle w:val="Contedodatabela"/>
              <w:widowControl w:val="false"/>
              <w:spacing w:before="0" w:after="283"/>
              <w:rPr>
                <w:color w:val="000000"/>
              </w:rPr>
            </w:pPr>
            <w:r>
              <w:rPr>
                <w:color w:val="000000"/>
              </w:rPr>
              <w:t>Material: Alumínio Tipo: Hidráulica Tipo Regulagem: Parafuso Regulador De Velocidade Em Latão Componentes: Braço E Tubo Articulado Em Chapa De Ferro Com Cos Acabamento: Pintado Cor: Cinza Tamanho: Nº 2</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290614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R$ 135,70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R$1.357,00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118</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Torneira</w:t>
            </w:r>
          </w:p>
          <w:p>
            <w:pPr>
              <w:pStyle w:val="Contedodatabela"/>
              <w:widowControl w:val="false"/>
              <w:spacing w:before="0" w:after="283"/>
              <w:rPr>
                <w:color w:val="000000"/>
              </w:rPr>
            </w:pPr>
            <w:r>
              <w:rPr>
                <w:color w:val="000000"/>
              </w:rPr>
              <w:t>Material Corpo: Metal Cromado Tipo: Mesa Diâmetro: 1,2 POL Acabam De Ferro ento Superficial: Cromado Caracteristicas Adicionais: Com Bica Móvel Longa E Bico Arejador Aplicação: Instalação Hidráulica Cor: Prateada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482763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R$ 29,66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R$ 2.966,00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119</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Torneira </w:t>
            </w:r>
            <w:r>
              <w:rPr>
                <w:rFonts w:ascii="Times New Roman;serif" w:hAnsi="Times New Roman;serif"/>
                <w:color w:val="000000"/>
              </w:rPr>
              <w:t>Material Corpo: Aço Inoxidável Tipo: De Parede Diâmetro: 1/2 POL Caracteristicas Adicionais: Com 22cm De Comprimento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452783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R$ 78,42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R$ 7.842,00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120</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color w:val="000000"/>
              </w:rPr>
              <w:t xml:space="preserve">Chave </w:t>
            </w:r>
            <w:r>
              <w:rPr>
                <w:rFonts w:ascii="Times New Roman;serif" w:hAnsi="Times New Roman;serif"/>
              </w:rPr>
              <w:t xml:space="preserve">Ajustável </w:t>
            </w:r>
            <w:r>
              <w:rPr>
                <w:rFonts w:ascii="Times New Roman;serif" w:hAnsi="Times New Roman;serif"/>
                <w:color w:val="000000"/>
              </w:rPr>
              <w:t>Material: Aço Acabamento Superficial: Polimento Abertura: 30mm Pol Tamanho: 10 Pol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240206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R$ 44,34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R$ 443,40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121</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Alicate Bomba D'Água </w:t>
            </w:r>
            <w:r>
              <w:rPr>
                <w:rFonts w:ascii="Times New Roman;serif" w:hAnsi="Times New Roman;serif"/>
                <w:color w:val="000000"/>
              </w:rPr>
              <w:t>Material: Aço Vanádio Mordente Inferior: Curvo E Batente De Segurança Ajuste: 6 Posições Abertura Da Boca: 40 Mm Mm Características Adicionais: Ranhuras Usinadas 6 Posições E Isolamento No Cabo. Tratamento Superficial: Niquelado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235471</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R$ 33,47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R$ 167,35</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122</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Alicate De Pressão</w:t>
            </w:r>
          </w:p>
          <w:p>
            <w:pPr>
              <w:pStyle w:val="Contedodatabela"/>
              <w:widowControl w:val="false"/>
              <w:spacing w:before="0" w:after="283"/>
              <w:rPr>
                <w:color w:val="000000"/>
              </w:rPr>
            </w:pPr>
            <w:r>
              <w:rPr>
                <w:color w:val="000000"/>
              </w:rPr>
              <w:t>Material: Ferro Mordente Inferior: Curvo Abertura Da Boca: 28 Mm Características Adicionais: Cromo Venádio Comprimento: 10 Pol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468613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R$ 39,70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highlight w:val="none"/>
                <w:shd w:fill="auto" w:val="clear"/>
              </w:rPr>
            </w:pPr>
            <w:r>
              <w:rPr>
                <w:shd w:fill="auto" w:val="clear"/>
              </w:rPr>
              <w:t>R$ 397,00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123</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Serra Copo Material: Aço Rápido Bimetal Diâmetro: 30, 35, 45, 56, 65 Mm Características Adicionais: Suporte Fixação Completo, Brocas Piloto E Extensão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475527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R$ 57,53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R$ 1.150,60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124</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Arco Serra </w:t>
            </w:r>
            <w:r>
              <w:rPr>
                <w:rFonts w:ascii="Times New Roman;serif" w:hAnsi="Times New Roman;serif"/>
                <w:color w:val="000000"/>
              </w:rPr>
              <w:t>Lâmina Serra: Standard 12 Polegadas Cor: Preta Tamanho: 12 Pol Tratamento Superficial: Cromado Material Cabo: Polipropileno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215154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R$ 23,57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R$ 235,70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125</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Máscara Soldador</w:t>
            </w:r>
          </w:p>
          <w:p>
            <w:pPr>
              <w:pStyle w:val="Contedodatabela"/>
              <w:widowControl w:val="false"/>
              <w:spacing w:before="0" w:after="283"/>
              <w:rPr>
                <w:color w:val="000000"/>
              </w:rPr>
            </w:pPr>
            <w:r>
              <w:rPr>
                <w:color w:val="000000"/>
              </w:rPr>
              <w:t>Material: Celeron Área De Visão: 108 X 50 Mm Tipo: Capacete Características Adicionais: Visor Articulado Ajustável Por Catraca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366649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R$ 43,72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highlight w:val="none"/>
                <w:shd w:fill="auto" w:val="clear"/>
              </w:rPr>
            </w:pPr>
            <w:r>
              <w:rPr>
                <w:color w:val="000000"/>
                <w:shd w:fill="auto" w:val="clear"/>
              </w:rPr>
              <w:t>R$ 218,6</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126</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Luva Segurança</w:t>
            </w:r>
          </w:p>
          <w:p>
            <w:pPr>
              <w:pStyle w:val="Contedodatabela"/>
              <w:widowControl w:val="false"/>
              <w:spacing w:before="0" w:after="283"/>
              <w:rPr>
                <w:color w:val="000000"/>
              </w:rPr>
            </w:pPr>
            <w:r>
              <w:rPr>
                <w:color w:val="000000"/>
              </w:rPr>
              <w:t>Material: Couro Aplicação: Soldador Comprimento: 200 Mm Tamanho: Único Características Adicionais: Curtido A O Cromo, Reforço Entre Polegar E Indica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468663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R$ 23,74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R$ 356,10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127</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Trena </w:t>
            </w:r>
            <w:r>
              <w:rPr>
                <w:rFonts w:ascii="Times New Roman;serif" w:hAnsi="Times New Roman;serif"/>
                <w:color w:val="000000"/>
              </w:rPr>
              <w:t>Revestimento: Borracha Material: Aço Largura Lâmina: 19 Mm Comprimento: 5 M Características Adicionais: Enrolamento Automático Com Trav</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393216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R$ 30,27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R$ 908,10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128</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Martelo </w:t>
            </w:r>
            <w:r>
              <w:rPr>
                <w:rFonts w:ascii="Times New Roman;serif" w:hAnsi="Times New Roman;serif"/>
                <w:color w:val="000000"/>
              </w:rPr>
              <w:t>Material: Aço Carbono Material Cabo: Madeira Tipo: Unha Tamanho: 34 Mm Características Adicionais: Cabo Madeira, Invernizado Fixação Resina Epóxi.</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466175</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R$ 25,47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R$ 382,05</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129</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Furadeira </w:t>
            </w:r>
            <w:r>
              <w:rPr>
                <w:rFonts w:ascii="Times New Roman;serif" w:hAnsi="Times New Roman;serif"/>
                <w:color w:val="000000"/>
              </w:rPr>
              <w:t>Tipo: Impacto Potência: 750 W Tamanho Mandril: 1/2 Poltensão Alimentação: 220 V Características Adicionais: Reversível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483079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R$ 334,04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R$ 1.002,12</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130</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Riscador </w:t>
            </w:r>
            <w:r>
              <w:rPr>
                <w:rFonts w:ascii="Times New Roman;serif" w:hAnsi="Times New Roman;serif"/>
                <w:color w:val="000000"/>
              </w:rPr>
              <w:t>Material: Aço Comprimento: 750 Mm Aplicação: Azulejo E Ceramica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462325</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R$ 282,62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R$ 1.413,10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131</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Esquadro </w:t>
            </w:r>
            <w:r>
              <w:rPr>
                <w:rFonts w:ascii="Times New Roman;serif" w:hAnsi="Times New Roman;serif"/>
                <w:color w:val="000000"/>
              </w:rPr>
              <w:t>Tipo: Combinado Material Régua: Aço Material Cabo: Alumínio Comprimento Régua: 300 Mm Tipo Graduação: Dupla Tipo Sistema Medição: Decimal Escala Graduação: 1 Mm Aplicação: Marcenaria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459435</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R$ 53,43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highlight w:val="none"/>
                <w:shd w:fill="auto" w:val="clear"/>
              </w:rPr>
            </w:pPr>
            <w:r>
              <w:rPr>
                <w:color w:val="000000"/>
                <w:shd w:fill="auto" w:val="clear"/>
              </w:rPr>
              <w:t>R$ 801,45</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132</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Martelo </w:t>
            </w:r>
            <w:r>
              <w:rPr>
                <w:rFonts w:ascii="Times New Roman;serif" w:hAnsi="Times New Roman;serif"/>
                <w:color w:val="000000"/>
              </w:rPr>
              <w:t>Material: Borracha Material Cabo: Madeira Características Adicionais: Peso: 600 Gramas</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419069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R$ 25,70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R$ 257,00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133</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Placa Compensado</w:t>
            </w:r>
          </w:p>
          <w:p>
            <w:pPr>
              <w:pStyle w:val="Contedodatabela"/>
              <w:widowControl w:val="false"/>
              <w:spacing w:before="0" w:after="283"/>
              <w:rPr>
                <w:color w:val="000000"/>
              </w:rPr>
            </w:pPr>
            <w:r>
              <w:rPr>
                <w:color w:val="000000"/>
              </w:rPr>
              <w:t>Tipo: Comum Tipo Miolo: Cedro Acabamento Externo: Cedrinho Comprimento: 2,20 M Largura: 1,60 M Espessura: 10 MM Aplicação: Móveis Em Geral/ Divisórias/ Revestimentos/Forros/</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27" w:after="0"/>
              <w:jc w:val="center"/>
              <w:rPr>
                <w:rFonts w:ascii="Times New Roman;serif" w:hAnsi="Times New Roman;serif"/>
                <w:color w:val="000000"/>
              </w:rPr>
            </w:pPr>
            <w:r>
              <w:rPr>
                <w:rFonts w:ascii="Times New Roman;serif" w:hAnsi="Times New Roman;serif"/>
                <w:color w:val="000000"/>
              </w:rPr>
              <w:t>238448</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R$ 128,09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R$ 5.123,60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134</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Torquês </w:t>
            </w:r>
            <w:r>
              <w:rPr>
                <w:rFonts w:ascii="Times New Roman;serif" w:hAnsi="Times New Roman;serif"/>
                <w:color w:val="000000"/>
              </w:rPr>
              <w:t>Tipo: Armador Tipo Acabamento: Fosfatizado Tamanho: 10 Pol Peso: 410 G Comprimento: 250 Mm</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407276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R$ 53,43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R$ 534,30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135</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Cavadeira Tipo Alavanca</w:t>
            </w:r>
          </w:p>
          <w:p>
            <w:pPr>
              <w:pStyle w:val="Contedodatabela"/>
              <w:widowControl w:val="false"/>
              <w:spacing w:before="0" w:after="283"/>
              <w:rPr>
                <w:color w:val="000000"/>
              </w:rPr>
            </w:pPr>
            <w:r>
              <w:rPr>
                <w:color w:val="000000"/>
              </w:rPr>
              <w:t>Material: Aço Carbono Material Cabo: Madeira Largura: 105 Mm Altura: 250 Mm</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483249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R$ 58,68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R$ 880,20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136</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Desempenadeira Manual</w:t>
            </w:r>
          </w:p>
          <w:p>
            <w:pPr>
              <w:pStyle w:val="Contedodatabela"/>
              <w:widowControl w:val="false"/>
              <w:spacing w:before="0" w:after="283"/>
              <w:rPr>
                <w:color w:val="000000"/>
              </w:rPr>
            </w:pPr>
            <w:r>
              <w:rPr>
                <w:color w:val="000000"/>
              </w:rPr>
              <w:t>Material: Aço Comprimento: 25 Cm Largura: 12 Cm Aplicação: Argamassa Características Adicionais: Com Dentes</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296200</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R$ 19,34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R$ 193,40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137</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Detector ausencia Tensão</w:t>
            </w:r>
          </w:p>
          <w:p>
            <w:pPr>
              <w:pStyle w:val="Contedodatabela"/>
              <w:widowControl w:val="false"/>
              <w:spacing w:before="0" w:after="283"/>
              <w:rPr>
                <w:color w:val="000000"/>
              </w:rPr>
            </w:pPr>
            <w:r>
              <w:rPr>
                <w:color w:val="000000"/>
              </w:rPr>
              <w:t>Tipo: Por Contato Uso: Em Vara De Manobra Faixa Tensão: 1 A 138 Kv Aplicação: Rede De Média E Alta Tensão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385091</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R$ 566,67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R$ 1.700,01</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138</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Jogo Chave Material: Aço Cromo Vanádio Tipo: Allen Quantidade Peças: 9 Tratamento Superficial Ponta: Fosfatizado Características Adicionais: Abaulada Tamanho: 2, 3, 4, 5, 6, 8, 10, 12, 14 Mm</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483814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R$ 53,29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R$ 532,90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139</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Alicate Universal</w:t>
            </w:r>
          </w:p>
          <w:p>
            <w:pPr>
              <w:pStyle w:val="Contedodatabela"/>
              <w:widowControl w:val="false"/>
              <w:spacing w:before="0" w:after="283"/>
              <w:rPr>
                <w:color w:val="000000"/>
              </w:rPr>
            </w:pPr>
            <w:r>
              <w:rPr>
                <w:color w:val="000000"/>
              </w:rPr>
              <w:t>Material: Aço Cromo Vanádio Material Cabo: Plástico Tipo Cabo: Isolado 1.ooo Volts Tipo Corte: Lateral Comprimento: 8 Pol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445372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R$ 26,89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R$ 268,90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140</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Alicate Bico</w:t>
            </w:r>
          </w:p>
          <w:p>
            <w:pPr>
              <w:pStyle w:val="Contedodatabela"/>
              <w:widowControl w:val="false"/>
              <w:spacing w:before="0" w:after="283"/>
              <w:rPr>
                <w:color w:val="000000"/>
              </w:rPr>
            </w:pPr>
            <w:r>
              <w:rPr>
                <w:color w:val="000000"/>
              </w:rPr>
              <w:t>Material: Ferro Temperado Acabamento Superficial: Zincado Tipo: Reto Comprimento: 180 Mm</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472120</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8</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R$ 26,87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R$ 214,96</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141</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Alicate De Corte</w:t>
            </w:r>
          </w:p>
          <w:p>
            <w:pPr>
              <w:pStyle w:val="Contedodatabela"/>
              <w:widowControl w:val="false"/>
              <w:spacing w:before="0" w:after="283"/>
              <w:rPr>
                <w:color w:val="000000"/>
              </w:rPr>
            </w:pPr>
            <w:r>
              <w:rPr>
                <w:color w:val="000000"/>
              </w:rPr>
              <w:t>Material: Aço Cromo Vanádio Tipo Corte: Diagonal Material Cabo: Aço Cromo Vanádio Plastificado Tipo Cabo: Isolado Comprimento: 8 Pol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468615</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8</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R$ 26,27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R$ 210,16</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142</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Cinto Segurança</w:t>
            </w:r>
          </w:p>
          <w:p>
            <w:pPr>
              <w:pStyle w:val="Contedodatabela"/>
              <w:widowControl w:val="false"/>
              <w:spacing w:before="0" w:after="283"/>
              <w:rPr>
                <w:color w:val="000000"/>
              </w:rPr>
            </w:pPr>
            <w:r>
              <w:rPr>
                <w:color w:val="000000"/>
              </w:rPr>
              <w:t>Material: Poliéster Uso: Paraquedista Comprimento: 1,90 M Largura: 45 Cmcaracterísticas Adicionais: Acessórios Com Regulagem Componentes: 03 Meia-argolas/05 Fivelas Duplas/02 Laços Frontai</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430352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R$ 170,50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R$ 1.705,00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143</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Jogo Chave </w:t>
            </w:r>
            <w:r>
              <w:rPr>
                <w:rFonts w:ascii="Times New Roman;serif" w:hAnsi="Times New Roman;serif"/>
                <w:color w:val="000000"/>
              </w:rPr>
              <w:t>Material: Aço Cromo Vanádio Tipo: Soquete Quantidade Peças: 25 Componentes: Catraca, Cabo De Força, Extensão Curta E Longa Características Adicionais: Encaixe 1/4 Polegadas</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428613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R$ 149,46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R$ 747,30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144</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Serrote Carpinteiro</w:t>
            </w:r>
          </w:p>
          <w:p>
            <w:pPr>
              <w:pStyle w:val="Contedodatabela"/>
              <w:widowControl w:val="false"/>
              <w:spacing w:before="0" w:after="283"/>
              <w:rPr>
                <w:color w:val="000000"/>
              </w:rPr>
            </w:pPr>
            <w:r>
              <w:rPr>
                <w:color w:val="000000"/>
              </w:rPr>
              <w:t>Material Lâmina: Aço Carbono Material Cabo: Madeira Tipo: Travado Comprimento: 20 Polcaracterísticas Adicionais: 7 Dentes Por Polegada</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27" w:after="0"/>
              <w:jc w:val="center"/>
              <w:rPr>
                <w:rFonts w:ascii="Times New Roman;serif" w:hAnsi="Times New Roman;serif"/>
                <w:color w:val="000000"/>
              </w:rPr>
            </w:pPr>
            <w:r>
              <w:rPr>
                <w:rFonts w:ascii="Times New Roman;serif" w:hAnsi="Times New Roman;serif"/>
                <w:color w:val="000000"/>
              </w:rPr>
              <w:t>378138</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R$ 34,35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R$ 171,75</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145</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Chave De Fenda</w:t>
            </w:r>
          </w:p>
          <w:p>
            <w:pPr>
              <w:pStyle w:val="Contedodatabela"/>
              <w:widowControl w:val="false"/>
              <w:spacing w:before="0" w:after="283"/>
              <w:rPr>
                <w:color w:val="000000"/>
              </w:rPr>
            </w:pPr>
            <w:r>
              <w:rPr>
                <w:color w:val="000000"/>
              </w:rPr>
              <w:t>Material: Aço Cromo Vanádio - Dim 17200-50crv4 Cabo: Polipropileno Tamanho: 5/16 X 6 Mm Características Adicionais: Haste Niquelada E Cromada/ponta Fosfatizada Tipo Ponta: Chata</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27" w:after="0"/>
              <w:jc w:val="center"/>
              <w:rPr>
                <w:rFonts w:ascii="Times New Roman;serif" w:hAnsi="Times New Roman;serif"/>
                <w:color w:val="000000"/>
              </w:rPr>
            </w:pPr>
            <w:r>
              <w:rPr>
                <w:rFonts w:ascii="Times New Roman;serif" w:hAnsi="Times New Roman;serif"/>
                <w:color w:val="000000"/>
              </w:rPr>
              <w:t>455523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R$ 14,74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R$ 147,40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146</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Bolsa Ferramenta</w:t>
            </w:r>
          </w:p>
          <w:p>
            <w:pPr>
              <w:pStyle w:val="Contedodatabela"/>
              <w:widowControl w:val="false"/>
              <w:spacing w:before="0" w:after="283"/>
              <w:rPr>
                <w:color w:val="000000"/>
              </w:rPr>
            </w:pPr>
            <w:r>
              <w:rPr>
                <w:color w:val="000000"/>
              </w:rPr>
              <w:t>Material: Lona Cor: Preta E Amarela Tipo: Impermeável Material Fundo: Plástico Reforçado Material Armação: Metal Comprimento: 450 Mm Altura: 300 Mm Largura: 200 Mm Características Adicionais: 22 Divisões/bolsos,12 Interna E 10 Externa</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27" w:after="0"/>
              <w:jc w:val="center"/>
              <w:rPr>
                <w:rFonts w:ascii="Times New Roman;serif" w:hAnsi="Times New Roman;serif"/>
                <w:color w:val="000000"/>
              </w:rPr>
            </w:pPr>
            <w:r>
              <w:rPr>
                <w:rFonts w:ascii="Times New Roman;serif" w:hAnsi="Times New Roman;serif"/>
                <w:color w:val="000000"/>
              </w:rPr>
              <w:t>432052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8</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R$ 132,68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R$ 1.061,44</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147</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Alicate Amperímetro</w:t>
            </w:r>
          </w:p>
          <w:p>
            <w:pPr>
              <w:pStyle w:val="Contedodatabela"/>
              <w:widowControl w:val="false"/>
              <w:spacing w:before="0" w:after="283"/>
              <w:rPr>
                <w:color w:val="000000"/>
              </w:rPr>
            </w:pPr>
            <w:r>
              <w:rPr>
                <w:color w:val="000000"/>
              </w:rPr>
              <w:t>Material: Plástico Tipo: Digital Corrente: 20 A/ 200 A/ 1.000 A Avoltagem: 750v Ac E 1000v Dc Alimentação: Bateria Voltagem Bateria: 9 V Resistência: 2 Mohm Aplicação: Eletricidade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27" w:after="0"/>
              <w:jc w:val="center"/>
              <w:rPr>
                <w:rFonts w:ascii="Times New Roman;serif" w:hAnsi="Times New Roman;serif"/>
                <w:color w:val="000000"/>
              </w:rPr>
            </w:pPr>
            <w:r>
              <w:rPr>
                <w:rFonts w:ascii="Times New Roman;serif" w:hAnsi="Times New Roman;serif"/>
                <w:color w:val="000000"/>
              </w:rPr>
              <w:t>460100</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R$ 77,95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R$ 389,75</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148</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Jogo Chave</w:t>
            </w:r>
          </w:p>
          <w:p>
            <w:pPr>
              <w:pStyle w:val="Contedodatabela"/>
              <w:widowControl w:val="false"/>
              <w:spacing w:before="0" w:after="283"/>
              <w:rPr>
                <w:color w:val="000000"/>
              </w:rPr>
            </w:pPr>
            <w:r>
              <w:rPr>
                <w:color w:val="000000"/>
              </w:rPr>
              <w:t>Material: Aço Cromo Vanádio Tipo: Philips / Fenda Quantidade Peças: 20 Aplicação: Consertos Em Geral Componentes: Hex: H3-h4-h5-h6, Quadrado: S1-s2, Adaptador, Torx Material Cabo: Emborrachado Tratamento Superficial Ponta: Magnetizada Características Adicionais: Com Estojo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27" w:after="0"/>
              <w:jc w:val="center"/>
              <w:rPr>
                <w:rFonts w:ascii="Times New Roman;serif" w:hAnsi="Times New Roman;serif"/>
                <w:color w:val="000000"/>
              </w:rPr>
            </w:pPr>
            <w:r>
              <w:rPr>
                <w:rFonts w:ascii="Times New Roman;serif" w:hAnsi="Times New Roman;serif"/>
                <w:color w:val="000000"/>
              </w:rPr>
              <w:t>474246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R$ 49,67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R$ 248,35</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149</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Alicate Descascar Fio</w:t>
            </w:r>
          </w:p>
          <w:p>
            <w:pPr>
              <w:pStyle w:val="Contedodatabela"/>
              <w:widowControl w:val="false"/>
              <w:spacing w:before="0" w:after="283"/>
              <w:rPr>
                <w:color w:val="000000"/>
              </w:rPr>
            </w:pPr>
            <w:r>
              <w:rPr>
                <w:color w:val="000000"/>
              </w:rPr>
              <w:t>Material: Aço Comprimento: 112 Mm Acabamento: Revestimento Isolado Características Adicionais: Cabo Utp/ftp Cftv Rg58/rg59/rg62,cabos Elétricos</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27" w:after="0"/>
              <w:jc w:val="center"/>
              <w:rPr>
                <w:rFonts w:ascii="Times New Roman;serif" w:hAnsi="Times New Roman;serif"/>
                <w:color w:val="000000"/>
              </w:rPr>
            </w:pPr>
            <w:r>
              <w:rPr>
                <w:rFonts w:ascii="Times New Roman;serif" w:hAnsi="Times New Roman;serif"/>
                <w:color w:val="000000"/>
              </w:rPr>
              <w:t>450110</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R$ 62,27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R$ 311,35</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150</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Medidor Demanda Eletricidade</w:t>
            </w:r>
          </w:p>
          <w:p>
            <w:pPr>
              <w:pStyle w:val="Contedodatabela"/>
              <w:widowControl w:val="false"/>
              <w:spacing w:before="0" w:after="283"/>
              <w:rPr>
                <w:color w:val="000000"/>
              </w:rPr>
            </w:pPr>
            <w:r>
              <w:rPr>
                <w:color w:val="000000"/>
              </w:rPr>
              <w:t>Tipo: Trifásico Tipo Medição: Energia Ativa Kwh Tipo Uso: Contador Eletro-mecânico Aplicação: Monitoramento Quantidade Energia Elétrica Características Adicionais: Corpo Metálico Com Visor Em Vidro Transparente</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27" w:after="0"/>
              <w:jc w:val="center"/>
              <w:rPr>
                <w:rFonts w:ascii="Times New Roman;serif" w:hAnsi="Times New Roman;serif"/>
                <w:color w:val="000000"/>
              </w:rPr>
            </w:pPr>
            <w:r>
              <w:rPr>
                <w:rFonts w:ascii="Times New Roman;serif" w:hAnsi="Times New Roman;serif"/>
                <w:color w:val="000000"/>
              </w:rPr>
              <w:t>287357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R$ 297,70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R$ 8.931,00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151</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rFonts w:ascii="Times New Roman;serif" w:hAnsi="Times New Roman;serif"/>
                <w:color w:val="000000"/>
              </w:rPr>
            </w:pPr>
            <w:r>
              <w:rPr>
                <w:rFonts w:ascii="Times New Roman;serif" w:hAnsi="Times New Roman;serif"/>
                <w:color w:val="000000"/>
              </w:rPr>
              <w:t>Hidrômetro Material: Composite Padrão: 3/4" X 115 MM Velocímetro: Classe "B" Vazão Nominal: 1,5 M3/H Relojoaria: 45 GR</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486501</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R$ 277,83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R$ 13.891,50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152</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Conjunto Para Hidrômetro Nome: Conjunto ( Kit ) Para Hidrometro</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122726</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R$ 155,15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R$ 7.757,50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153</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Porta Para Divisória</w:t>
            </w:r>
          </w:p>
          <w:p>
            <w:pPr>
              <w:pStyle w:val="Contedodatabela"/>
              <w:widowControl w:val="false"/>
              <w:spacing w:before="0" w:after="283"/>
              <w:rPr>
                <w:color w:val="000000"/>
              </w:rPr>
            </w:pPr>
            <w:r>
              <w:rPr>
                <w:color w:val="000000"/>
              </w:rPr>
              <w:t>Material: Madeira Acabamento Superficial: Chapa De Fibra De Madeira Prensada Largura: 70 CM Altura: 2,10 M Espessura: 3,5 CM Características Adicionais: Fechadura Tubular E Três Dobraciças</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27" w:after="0"/>
              <w:jc w:val="center"/>
              <w:rPr>
                <w:rFonts w:ascii="Times New Roman;serif" w:hAnsi="Times New Roman;serif"/>
                <w:color w:val="000000"/>
              </w:rPr>
            </w:pPr>
            <w:r>
              <w:rPr>
                <w:rFonts w:ascii="Times New Roman;serif" w:hAnsi="Times New Roman;serif"/>
                <w:color w:val="000000"/>
              </w:rPr>
              <w:t>610904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R$ 218,66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R$ 6.559,8</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154</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color w:val="000000"/>
              </w:rPr>
              <w:t>Placa Compensado Tipo: Comum Tipo Miolo: Cedro Comprimento: 2,50 M Largura: 1,22 M Espessura: 18 Mm Aplicação: Móveis Em Geral/ Divisórias/ Revestimentos/Forros/</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27" w:after="0"/>
              <w:jc w:val="center"/>
              <w:rPr>
                <w:rFonts w:ascii="Times New Roman;serif" w:hAnsi="Times New Roman;serif"/>
                <w:color w:val="000000"/>
              </w:rPr>
            </w:pPr>
            <w:r>
              <w:rPr>
                <w:rFonts w:ascii="Times New Roman;serif" w:hAnsi="Times New Roman;serif"/>
                <w:color w:val="000000"/>
              </w:rPr>
              <w:t>612003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R$ 313,89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R$ 12.555,60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155</w:t>
            </w:r>
          </w:p>
        </w:tc>
        <w:tc>
          <w:tcPr>
            <w:tcW w:w="3481" w:type="dxa"/>
            <w:tcBorders>
              <w:left w:val="single" w:sz="2" w:space="0" w:color="000000"/>
              <w:bottom w:val="single" w:sz="2" w:space="0" w:color="000000"/>
            </w:tcBorders>
            <w:tcMar>
              <w:top w:w="0" w:type="dxa"/>
            </w:tcMar>
            <w:vAlign w:val="center"/>
          </w:tcPr>
          <w:p>
            <w:pPr>
              <w:pStyle w:val="Contedodatabela"/>
              <w:widowControl w:val="false"/>
              <w:jc w:val="both"/>
              <w:rPr>
                <w:rFonts w:ascii="Times New Roman;serif" w:hAnsi="Times New Roman;serif"/>
              </w:rPr>
            </w:pPr>
            <w:r>
              <w:rPr>
                <w:rFonts w:ascii="Times New Roman;serif" w:hAnsi="Times New Roman;serif"/>
                <w:color w:val="000000"/>
              </w:rPr>
              <w:t>Passa Fio Material: Pvc Comprimento: 10 M Aplicação: Passagem Cabo/Fio Características Adicionais: Com Ponta De Metal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334132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R$ 17,61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R$ 352,20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156</w:t>
            </w:r>
          </w:p>
        </w:tc>
        <w:tc>
          <w:tcPr>
            <w:tcW w:w="3481" w:type="dxa"/>
            <w:tcBorders>
              <w:left w:val="single" w:sz="2" w:space="0" w:color="000000"/>
              <w:bottom w:val="single" w:sz="2" w:space="0" w:color="000000"/>
            </w:tcBorders>
            <w:tcMar>
              <w:top w:w="0" w:type="dxa"/>
            </w:tcMar>
            <w:vAlign w:val="center"/>
          </w:tcPr>
          <w:p>
            <w:pPr>
              <w:pStyle w:val="Contedodatabela"/>
              <w:widowControl w:val="false"/>
              <w:jc w:val="both"/>
              <w:rPr>
                <w:rFonts w:ascii="Times New Roman;serif" w:hAnsi="Times New Roman;serif"/>
              </w:rPr>
            </w:pPr>
            <w:r>
              <w:rPr>
                <w:rFonts w:ascii="Times New Roman;serif" w:hAnsi="Times New Roman;serif"/>
                <w:color w:val="000000"/>
              </w:rPr>
              <w:t>Terminal Cabo Seção Nominal Condutor: 6 Mm2 Lingueta: Olhal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415658</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R$ 41,12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R$ 2.056,00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157</w:t>
            </w:r>
          </w:p>
        </w:tc>
        <w:tc>
          <w:tcPr>
            <w:tcW w:w="3481" w:type="dxa"/>
            <w:tcBorders>
              <w:left w:val="single" w:sz="2" w:space="0" w:color="000000"/>
              <w:bottom w:val="single" w:sz="2" w:space="0" w:color="000000"/>
            </w:tcBorders>
            <w:tcMar>
              <w:top w:w="0" w:type="dxa"/>
            </w:tcMar>
            <w:vAlign w:val="center"/>
          </w:tcPr>
          <w:p>
            <w:pPr>
              <w:pStyle w:val="Contedodatabela"/>
              <w:widowControl w:val="false"/>
              <w:jc w:val="both"/>
              <w:rPr>
                <w:rFonts w:ascii="Ecofont_Spranq_eco_Sans;serif" w:hAnsi="Ecofont_Spranq_eco_Sans;serif"/>
              </w:rPr>
            </w:pPr>
            <w:r>
              <w:rPr>
                <w:rFonts w:ascii="Times New Roman;serif" w:hAnsi="Times New Roman;serif"/>
                <w:color w:val="000000"/>
              </w:rPr>
              <w:t>Terminal Cabo Material: Cobre Bitola: 95 Mm Aplicação: Instalações Elétricas Tipo: Olhal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350340</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R$ 9,82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R$ 982,00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158</w:t>
            </w:r>
          </w:p>
        </w:tc>
        <w:tc>
          <w:tcPr>
            <w:tcW w:w="3481" w:type="dxa"/>
            <w:tcBorders>
              <w:left w:val="single" w:sz="2" w:space="0" w:color="000000"/>
              <w:bottom w:val="single" w:sz="2" w:space="0" w:color="000000"/>
            </w:tcBorders>
            <w:tcMar>
              <w:top w:w="0" w:type="dxa"/>
            </w:tcMar>
            <w:vAlign w:val="center"/>
          </w:tcPr>
          <w:p>
            <w:pPr>
              <w:pStyle w:val="Contedodatabela"/>
              <w:widowControl w:val="false"/>
              <w:jc w:val="both"/>
              <w:rPr>
                <w:rFonts w:ascii="Times New Roman;serif" w:hAnsi="Times New Roman;serif"/>
                <w:color w:val="000000"/>
              </w:rPr>
            </w:pPr>
            <w:r>
              <w:rPr>
                <w:rFonts w:ascii="Times New Roman;serif" w:hAnsi="Times New Roman;serif"/>
                <w:color w:val="000000"/>
              </w:rPr>
              <w:t>Alça Preformada Aplicação: Materiais Elétricos Bitola: 3/16 Pol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386596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R$ 12,07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R$ 603,50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159</w:t>
            </w:r>
          </w:p>
        </w:tc>
        <w:tc>
          <w:tcPr>
            <w:tcW w:w="3481" w:type="dxa"/>
            <w:tcBorders>
              <w:left w:val="single" w:sz="2" w:space="0" w:color="000000"/>
              <w:bottom w:val="single" w:sz="2" w:space="0" w:color="000000"/>
            </w:tcBorders>
            <w:tcMar>
              <w:top w:w="0" w:type="dxa"/>
            </w:tcMar>
            <w:vAlign w:val="center"/>
          </w:tcPr>
          <w:p>
            <w:pPr>
              <w:pStyle w:val="Contedodatabela"/>
              <w:widowControl w:val="false"/>
              <w:jc w:val="both"/>
              <w:rPr>
                <w:rFonts w:ascii="Ecofont_Spranq_eco_Sans;serif" w:hAnsi="Ecofont_Spranq_eco_Sans;serif"/>
              </w:rPr>
            </w:pPr>
            <w:r>
              <w:rPr>
                <w:rFonts w:ascii="Times New Roman;serif" w:hAnsi="Times New Roman;serif"/>
              </w:rPr>
              <w:t xml:space="preserve">Relé Fotelétrico </w:t>
            </w:r>
            <w:r>
              <w:rPr>
                <w:rFonts w:ascii="Times New Roman;serif" w:hAnsi="Times New Roman;serif"/>
                <w:color w:val="000000"/>
              </w:rPr>
              <w:t>Tensão Nominal: Bivolt 127/220 V Potência Nominal: 1000 W Características Adicionais: Com Base E Suporte De Fixação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Rawline;Raleway;sans-serif" w:hAnsi="Rawline;Raleway;sans-serif"/>
                <w:color w:val="495057"/>
              </w:rPr>
              <w:t>602254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rPr>
            </w:pPr>
            <w:r>
              <w:rPr>
                <w:rFonts w:ascii="Arial;serif" w:hAnsi="Arial;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rPr>
            </w:pPr>
            <w:r>
              <w:rPr>
                <w:rFonts w:ascii="Arial;serif" w:hAnsi="Arial;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R$ 46,83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R$ 4,683,00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160</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Sela Para Cruzeta</w:t>
            </w:r>
          </w:p>
          <w:p>
            <w:pPr>
              <w:pStyle w:val="Contedodatabela"/>
              <w:widowControl w:val="false"/>
              <w:spacing w:before="0" w:after="283"/>
              <w:rPr>
                <w:color w:val="000000"/>
              </w:rPr>
            </w:pPr>
            <w:r>
              <w:rPr>
                <w:color w:val="000000"/>
              </w:rPr>
              <w:t>Material: Aço Carbono Laminado E Zincado Tamanho: Padrão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pPr>
            <w:r>
              <w:rPr/>
            </w:r>
          </w:p>
          <w:p>
            <w:pPr>
              <w:pStyle w:val="Contedodatabela"/>
              <w:widowControl w:val="false"/>
              <w:jc w:val="center"/>
              <w:rPr/>
            </w:pPr>
            <w:r>
              <w:rPr/>
            </w:r>
          </w:p>
          <w:p>
            <w:pPr>
              <w:pStyle w:val="Contedodatabela"/>
              <w:widowControl w:val="false"/>
              <w:jc w:val="center"/>
              <w:rPr/>
            </w:pPr>
            <w:r>
              <w:rPr/>
            </w:r>
          </w:p>
          <w:p>
            <w:pPr>
              <w:pStyle w:val="Contedodatabela"/>
              <w:widowControl w:val="false"/>
              <w:jc w:val="center"/>
              <w:rPr>
                <w:rFonts w:ascii="Arial;serif" w:hAnsi="Arial;serif"/>
                <w:color w:val="000000"/>
              </w:rPr>
            </w:pPr>
            <w:r>
              <w:rPr>
                <w:rFonts w:ascii="Arial;serif" w:hAnsi="Arial;serif"/>
                <w:color w:val="000000"/>
              </w:rPr>
              <w:t>326400</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R$ 1.404,23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R$ 28.084,60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161</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Armação Secundária</w:t>
            </w:r>
          </w:p>
          <w:p>
            <w:pPr>
              <w:pStyle w:val="Contedodatabela"/>
              <w:widowControl w:val="false"/>
              <w:spacing w:before="0" w:after="283"/>
              <w:rPr>
                <w:color w:val="000000"/>
              </w:rPr>
            </w:pPr>
            <w:r>
              <w:rPr>
                <w:color w:val="000000"/>
              </w:rPr>
              <w:t>Material: Aço Carbono Proteção Superficial: Zincado Por Imersão A Quente Número De Estribos: 2</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sz w:val="22"/>
              </w:rPr>
            </w:pPr>
            <w:r>
              <w:rPr>
                <w:rFonts w:ascii="Arial;serif" w:hAnsi="Arial;serif"/>
                <w:color w:val="000000"/>
                <w:sz w:val="22"/>
              </w:rPr>
              <w:t>380209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15</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R$ 18,79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R$ 281,85</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162</w:t>
            </w:r>
          </w:p>
        </w:tc>
        <w:tc>
          <w:tcPr>
            <w:tcW w:w="3481" w:type="dxa"/>
            <w:tcBorders>
              <w:left w:val="single" w:sz="2" w:space="0" w:color="000000"/>
              <w:bottom w:val="single" w:sz="2" w:space="0" w:color="000000"/>
            </w:tcBorders>
            <w:tcMar>
              <w:top w:w="0" w:type="dxa"/>
            </w:tcMar>
            <w:vAlign w:val="center"/>
          </w:tcPr>
          <w:p>
            <w:pPr>
              <w:pStyle w:val="Contedodatabela"/>
              <w:widowControl w:val="false"/>
              <w:jc w:val="both"/>
              <w:rPr>
                <w:rFonts w:ascii="Times New Roman;serif" w:hAnsi="Times New Roman;serif"/>
                <w:color w:val="000000"/>
              </w:rPr>
            </w:pPr>
            <w:r>
              <w:rPr>
                <w:rFonts w:ascii="Times New Roman;serif" w:hAnsi="Times New Roman;serif"/>
                <w:color w:val="000000"/>
              </w:rPr>
              <w:t>Armação Secundária</w:t>
            </w:r>
          </w:p>
          <w:p>
            <w:pPr>
              <w:pStyle w:val="Contedodatabela"/>
              <w:widowControl w:val="false"/>
              <w:spacing w:before="0" w:after="283"/>
              <w:rPr>
                <w:color w:val="000000"/>
              </w:rPr>
            </w:pPr>
            <w:r>
              <w:rPr>
                <w:color w:val="000000"/>
              </w:rPr>
              <w:t xml:space="preserve">Material: Aço Carbono Proteção Superficial: Galvanização Por Imersão A Quente Número De Estribos: 1 Acessórios: Haste E Cupilha Normas Técnicas: Abnt Pb-215, </w:t>
            </w:r>
            <w:r>
              <w:rPr>
                <w:color w:val="000000"/>
              </w:rPr>
              <w:t>conforme Apêndice B anexo.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sz w:val="22"/>
              </w:rPr>
            </w:pPr>
            <w:r>
              <w:rPr>
                <w:rFonts w:ascii="Arial;serif" w:hAnsi="Arial;serif"/>
                <w:color w:val="000000"/>
                <w:sz w:val="22"/>
              </w:rPr>
              <w:t>319814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15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R$ 25,38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R$ 380,70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163</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Refletor Material Corpo: Alumínio Tipo Lâmpada: Led Potência Lâmpada: 100 W Tensão Alimentação: 110/220</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sz w:val="22"/>
              </w:rPr>
            </w:pPr>
            <w:r>
              <w:rPr>
                <w:rFonts w:ascii="Arial;serif" w:hAnsi="Arial;serif"/>
                <w:color w:val="000000"/>
                <w:sz w:val="22"/>
              </w:rPr>
              <w:t>612325</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R$ 178,33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R$ 17.833</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164</w:t>
            </w:r>
          </w:p>
        </w:tc>
        <w:tc>
          <w:tcPr>
            <w:tcW w:w="3481"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Refletor Material Corpo: Alumínio Material Refletor: Alumínio Aplicação: Sistema De Iluminação</w:t>
            </w:r>
          </w:p>
          <w:p>
            <w:pPr>
              <w:pStyle w:val="Contedodatabela"/>
              <w:widowControl w:val="false"/>
              <w:spacing w:before="0" w:after="283"/>
              <w:rPr>
                <w:color w:val="000000"/>
              </w:rPr>
            </w:pPr>
            <w:r>
              <w:rPr>
                <w:color w:val="000000"/>
              </w:rPr>
              <w:t>Tipo Lâmpada: Led Potência Lâmpada: 1.000 W Tensão Alimentação: Bivolt Grau Proteção: Ip-66 Características Adicionais: A Prova D' Água Temperatura De Cor: 6.500 K</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sz w:val="22"/>
              </w:rPr>
            </w:pPr>
            <w:r>
              <w:rPr>
                <w:rFonts w:ascii="Arial;serif" w:hAnsi="Arial;serif"/>
                <w:color w:val="000000"/>
                <w:sz w:val="22"/>
              </w:rPr>
              <w:t>607399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25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R$ 421,50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R$ 10.537,50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165</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rPr>
              <w:t xml:space="preserve">Mufla </w:t>
            </w:r>
            <w:r>
              <w:rPr>
                <w:rFonts w:ascii="Times New Roman;serif" w:hAnsi="Times New Roman;serif"/>
                <w:color w:val="000000"/>
              </w:rPr>
              <w:t>Uso: Interno Tipo: Terminal Modular Média Tensão Tensão Nominal: 15 Kva Comprimento: 270 Mm Bitola Cabo: 50 Mm2 Características Adicionais: Tubo De Alívio De Campo Elétrico, Sais Isolantes Aplicação: Acessório Emenda Elétrica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sz w:val="22"/>
              </w:rPr>
            </w:pPr>
            <w:r>
              <w:rPr>
                <w:rFonts w:ascii="Arial;serif" w:hAnsi="Arial;serif"/>
                <w:sz w:val="22"/>
              </w:rPr>
              <w:t>264888</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000000"/>
              </w:rPr>
            </w:pPr>
            <w:r>
              <w:rPr>
                <w:rFonts w:ascii="Arial;serif" w:hAnsi="Arial;serif"/>
                <w:color w:val="000000"/>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R$ 387,69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R$ 7.753,80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166</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Fita Isolante Elétrica Adesiva</w:t>
            </w:r>
          </w:p>
          <w:p>
            <w:pPr>
              <w:pStyle w:val="Contedodatabela"/>
              <w:widowControl w:val="false"/>
              <w:spacing w:before="0" w:after="283"/>
              <w:rPr>
                <w:color w:val="000000"/>
              </w:rPr>
            </w:pPr>
            <w:r>
              <w:rPr>
                <w:color w:val="000000"/>
              </w:rPr>
              <w:t>Material Dorso: Borracha De Etileno-Propileno Tipo Adesivo: Auto Fusão Temperatura Máxima Operação: 90° °C Largura Nominal: 19 Mm Espessura Nominal: 0,76 Mm Comprimento Nominal: 10 M Cor: Preta Normas Técnicas: Astm-D-4388 Resistência À Tensão: 69 Kv Aplicação: Qualquer Superfície</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483487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rPr>
            </w:pPr>
            <w:r>
              <w:rPr>
                <w:rFonts w:ascii="Arial;serif" w:hAnsi="Arial;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R$ 29,72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R$ 2.972,00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167</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0" w:after="283"/>
              <w:rPr/>
            </w:pPr>
            <w:r>
              <w:rPr>
                <w:color w:val="000000"/>
              </w:rPr>
              <w:t>Mufla Uso: Externo Tipo: Terminal Modular Média Tensão Tensão Nominal: 15 Kva Comprimento: 270 Mm Bitola Cabo: 50 Mm2 Características Adicionais: Tubo De Alívio De Campo Elétrico, Sais Isolantes Aplicação: Acessório Emenda Elétrica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264887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pPr>
            <w:r>
              <w:rPr/>
            </w:r>
          </w:p>
          <w:p>
            <w:pPr>
              <w:pStyle w:val="Contedodatabela"/>
              <w:widowControl w:val="false"/>
              <w:jc w:val="center"/>
              <w:rPr/>
            </w:pPr>
            <w:r>
              <w:rPr/>
            </w:r>
          </w:p>
          <w:p>
            <w:pPr>
              <w:pStyle w:val="Contedodatabela"/>
              <w:widowControl w:val="false"/>
              <w:jc w:val="center"/>
              <w:rPr>
                <w:rFonts w:ascii="Arial;serif" w:hAnsi="Arial;serif"/>
              </w:rPr>
            </w:pPr>
            <w:r>
              <w:rPr>
                <w:rFonts w:ascii="Arial;serif" w:hAnsi="Arial;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R$ 323,17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R$ 6.463,40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168</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Cabo Elétrico Flexível</w:t>
            </w:r>
          </w:p>
          <w:p>
            <w:pPr>
              <w:pStyle w:val="Contedodatabela"/>
              <w:widowControl w:val="false"/>
              <w:spacing w:before="0" w:after="283"/>
              <w:rPr>
                <w:color w:val="000000"/>
              </w:rPr>
            </w:pPr>
            <w:r>
              <w:rPr>
                <w:color w:val="000000"/>
              </w:rPr>
              <w:t>Tensão Isolamento: 0,6/1 Kv Aplicação: Manutenção Elétrica Têmpera Condutor: Mole Formação Condutor: 3 Fios Mm Material Do Condutor: Cobre Material Isolamento: Epr, Enchimento Pvc Sem Chumbo Material Cobertura: Pvc Sem Chumbo Bitola: 2,5 Mm</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475961</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metro</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300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R$ 70,38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R$ 21.114,00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169</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Lâmpada Led</w:t>
            </w:r>
          </w:p>
          <w:p>
            <w:pPr>
              <w:pStyle w:val="Contedodatabela"/>
              <w:widowControl w:val="false"/>
              <w:spacing w:before="0" w:after="283"/>
              <w:rPr>
                <w:color w:val="000000"/>
              </w:rPr>
            </w:pPr>
            <w:r>
              <w:rPr>
                <w:color w:val="000000"/>
              </w:rPr>
              <w:t>Tensão Nominal: Bivolt V Potência Nominal: 9 W Tipo Base: E-27 Cor: Branca Aplicação: Para Uso Em Geral Temperatura De Cor: 600 K Frequência Nominal:50/60 Hz</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614452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300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R$ 4,30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R$ 1.290,00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170</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color w:val="000000"/>
              </w:rPr>
              <w:t xml:space="preserve">Fusível </w:t>
            </w:r>
            <w:r>
              <w:rPr>
                <w:rFonts w:ascii="Times New Roman;serif" w:hAnsi="Times New Roman;serif"/>
              </w:rPr>
              <w:t>Fusível Nh</w:t>
            </w:r>
          </w:p>
          <w:p>
            <w:pPr>
              <w:pStyle w:val="Contedodatabela"/>
              <w:widowControl w:val="false"/>
              <w:spacing w:before="0" w:after="283"/>
              <w:rPr>
                <w:color w:val="000000"/>
              </w:rPr>
            </w:pPr>
            <w:r>
              <w:rPr>
                <w:color w:val="000000"/>
              </w:rPr>
              <w:t>Tamanho: 02 Corrente Nominal: 200 A Normas Técnicas: Din Acionamento: Retardado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426933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R$ 127,55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R$ 6.377,50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171</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Disjuntor Baixa Tensão</w:t>
            </w:r>
          </w:p>
          <w:p>
            <w:pPr>
              <w:pStyle w:val="Contedodatabela"/>
              <w:widowControl w:val="false"/>
              <w:spacing w:before="0" w:after="283"/>
              <w:rPr>
                <w:color w:val="000000"/>
              </w:rPr>
            </w:pPr>
            <w:r>
              <w:rPr>
                <w:color w:val="000000"/>
              </w:rPr>
              <w:t>Funcionamento: Termomagnético Corrente Nominal: 32 A Tipo: Easy9 Número De Fases: Bifásico Curva De Disparo: B Aplicação: Instalações Elétricas Padrão: Din</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452699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R$ 43,24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R$ 2.162,00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pPr>
            <w:r>
              <w:rPr>
                <w:rFonts w:ascii="Times New Roman;serif" w:hAnsi="Times New Roman;serif"/>
              </w:rPr>
              <w:t>172</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rFonts w:ascii="Times New Roman;serif" w:hAnsi="Times New Roman;serif"/>
              </w:rPr>
              <w:t>Alicate Amperímetro</w:t>
            </w:r>
          </w:p>
          <w:p>
            <w:pPr>
              <w:pStyle w:val="Contedodatabela"/>
              <w:widowControl w:val="false"/>
              <w:spacing w:before="0" w:after="283"/>
              <w:rPr/>
            </w:pPr>
            <w:r>
              <w:rPr/>
              <w:t>Material: Plástico Tipo: Display Iluminado Corrente: 400 A Voltagem: 600 V Alimentação: 2 Pilhas Aaa Voltagem Bateria: 1,5 V Resistência: 4 Kohm Aplicação: Eletricidade Características Adicionais: Ponta De Prova Tl75 Cat Ii 1000v, 10a Temperatura: 0 A 40 °C Abertura Da Garra: 30 Mm Categoria: Cat Iii 600v E Cat Iv 300v</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pPr>
            <w:r>
              <w:rPr>
                <w:rFonts w:ascii="Times New Roman;serif" w:hAnsi="Times New Roman;serif"/>
              </w:rPr>
              <w:t>615291</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pPr>
            <w:r>
              <w:rPr>
                <w:rFonts w:ascii="Arial;serif" w:hAnsi="Arial;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pPr>
            <w:r>
              <w:rPr>
                <w:rFonts w:ascii="Arial;serif" w:hAnsi="Arial;serif"/>
              </w:rPr>
              <w:t>2</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pPr>
            <w:r>
              <w:rPr/>
              <w:t>R$ 83,00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pPr>
            <w:r>
              <w:rPr/>
              <w:t>R$ 166,00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173</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color w:val="000000"/>
              </w:rPr>
              <w:t>Disjuntor Caixa Moldada Tipo: Tripolar</w:t>
            </w:r>
          </w:p>
          <w:p>
            <w:pPr>
              <w:pStyle w:val="Contedodatabela"/>
              <w:widowControl w:val="false"/>
              <w:rPr>
                <w:color w:val="000000"/>
              </w:rPr>
            </w:pPr>
            <w:r>
              <w:rPr>
                <w:color w:val="000000"/>
              </w:rPr>
              <w:t>Uso: Interno Instalação: Fixa Tensão Operação: 690 V Corrente Nominal</w:t>
            </w:r>
            <w:r>
              <w:rPr/>
              <w:t>: 1000 A Frequência</w:t>
            </w:r>
            <w:r>
              <w:rPr>
                <w:color w:val="000000"/>
              </w:rPr>
              <w:t xml:space="preserve"> Nominal: 50/60 Hz Tensão Suportável Impulso Manobra: 12 Kv Capacidade Interrupção Simétrica: 100 Ka Tempo De Interrupção: 80ms Normas Técnicas: En/Iec 60947-1, En/Iec 60947-24 Comando: Tripolar Corrente Nominal Curto-Circuito: 220 Ka 690 V Funcionamento: Termomagnético Modelo: Fixo 3nw6261-0fb58-0ak3</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611886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111111"/>
              </w:rPr>
            </w:pPr>
            <w:r>
              <w:rPr>
                <w:color w:val="111111"/>
              </w:rPr>
              <w:t>R$ 8.221,110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jc w:val="center"/>
              <w:rPr>
                <w:rFonts w:ascii="Times New Roman;serif" w:hAnsi="Times New Roman;serif"/>
                <w:color w:val="111111"/>
              </w:rPr>
            </w:pPr>
            <w:r>
              <w:rPr>
                <w:color w:val="111111"/>
              </w:rPr>
              <w:t>R$ 24.663,33</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174</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Disjuntor Baixa Tensão</w:t>
            </w:r>
          </w:p>
          <w:p>
            <w:pPr>
              <w:pStyle w:val="Contedodatabela"/>
              <w:widowControl w:val="false"/>
              <w:spacing w:before="0" w:after="283"/>
              <w:rPr>
                <w:color w:val="000000"/>
              </w:rPr>
            </w:pPr>
            <w:r>
              <w:rPr>
                <w:color w:val="000000"/>
              </w:rPr>
              <w:t>Funcionamento: Termomagnético Tensão Máxima Operação: 127/220 V Corrente Nominal: 40 A Número De Fases: Tripolar Curva De Disparo: C Aplicação: Instalações Elétricas Padrão: Din</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484199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t>R$ 39,20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R$ 1.960,00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175</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Disjuntor Baixa Tensão</w:t>
            </w:r>
          </w:p>
          <w:p>
            <w:pPr>
              <w:pStyle w:val="Contedodatabela"/>
              <w:widowControl w:val="false"/>
              <w:spacing w:before="0" w:after="283"/>
              <w:rPr>
                <w:color w:val="000000"/>
              </w:rPr>
            </w:pPr>
            <w:r>
              <w:rPr>
                <w:color w:val="000000"/>
              </w:rPr>
              <w:t>Funcionamento: Termomagnético Corrente Nominal: 16 A Tipo: Easy9 Número De Fases: Monofásico Curva De Disparo: B Aplicação: Instalações Elétricas Padrão: Din</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452697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R$ 20,27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R$ 1.013,50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176</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color w:val="000000"/>
              </w:rPr>
              <w:t>Calha Lâmpada Fluorescente Tipo: T8 (Tubular) Quantidade Lâmpadas: 2 Un Material: Chapa De Aço Tratada Características Adicionais: Rotor De Segurança Em Policarbonato E Contatos Em Normas Técnicas: Nbr Iec 60.598 Tipo Soquete: Push-In G-13 De Engate Rápido Tratamento Superficial: Pintura Eletrolítica Material Refletor: Alumínio Anodizado Brilhante De Alta Refletância E Posição Relativa: Sobrepor Potência Nominal Lâmpada: 32 W</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403770</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200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R$ 44,70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R$ 8.940,00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177</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Máquina Solda Portátil</w:t>
            </w:r>
          </w:p>
          <w:p>
            <w:pPr>
              <w:pStyle w:val="Contedodatabela"/>
              <w:widowControl w:val="false"/>
              <w:spacing w:before="0" w:after="283"/>
              <w:rPr>
                <w:color w:val="000000"/>
              </w:rPr>
            </w:pPr>
            <w:r>
              <w:rPr>
                <w:color w:val="000000"/>
              </w:rPr>
              <w:t>Tipo: Inversora Tensão: 220 V Freqüência Nominal: 60 Hz Fator Potência: 0,93 Faixa Corrente: 5 A 200 A Aplicação: Solda Peq./Méd. Porte Em Alumínio, Ferro E Inox Características Adicionais: Display Lcd, Garra Obra, Porta Eletrodo E Alça Tra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451177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2</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R$ 562,00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R$ 1.124,00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178</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Ecofont_Spranq_eco_Sans;serif" w:hAnsi="Ecofont_Spranq_eco_Sans;serif"/>
              </w:rPr>
            </w:pPr>
            <w:r>
              <w:rPr>
                <w:rFonts w:ascii="Times New Roman;serif" w:hAnsi="Times New Roman;serif"/>
                <w:color w:val="000000"/>
              </w:rPr>
              <w:t>Máscara Soldador Tipo: Fotosensível Tempo Escurecimento: 0,5 Milessegundos Tempo Clareamento: 0,2 / 0,4 Segundo Área De Visão: 90 X 34 MM Temperatura Operação: -20 + 65 °C Características Adicionais: Regulagem Da Lente Gradual De 9 A 13 Din</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613684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Arial;serif" w:hAnsi="Arial;serif"/>
                <w:color w:val="111111"/>
              </w:rPr>
            </w:pPr>
            <w:r>
              <w:rPr>
                <w:rFonts w:ascii="Arial;serif" w:hAnsi="Arial;serif"/>
                <w:color w:val="111111"/>
              </w:rPr>
              <w:t>2</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t>R$ 313,81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R$ 627,62</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179</w:t>
            </w:r>
          </w:p>
        </w:tc>
        <w:tc>
          <w:tcPr>
            <w:tcW w:w="3481" w:type="dxa"/>
            <w:tcBorders>
              <w:left w:val="single" w:sz="2" w:space="0" w:color="000000"/>
              <w:bottom w:val="single" w:sz="2" w:space="0" w:color="000000"/>
            </w:tcBorders>
            <w:tcMar>
              <w:top w:w="0" w:type="dxa"/>
            </w:tcMar>
            <w:vAlign w:val="center"/>
          </w:tcPr>
          <w:p>
            <w:pPr>
              <w:pStyle w:val="Contedodatabela"/>
              <w:widowControl w:val="false"/>
              <w:jc w:val="center"/>
              <w:rPr>
                <w:rFonts w:ascii="Ecofont_Spranq_eco_Sans;serif" w:hAnsi="Ecofont_Spranq_eco_Sans;serif"/>
                <w:color w:val="000000"/>
              </w:rPr>
            </w:pPr>
            <w:r>
              <w:rPr>
                <w:rFonts w:ascii="Ecofont_Spranq_eco_Sans;serif" w:hAnsi="Ecofont_Spranq_eco_Sans;serif"/>
                <w:color w:val="000000"/>
              </w:rPr>
              <w:t>Disjuntor Média Tensão</w:t>
            </w:r>
          </w:p>
          <w:p>
            <w:pPr>
              <w:pStyle w:val="Contedodatabela"/>
              <w:widowControl w:val="false"/>
              <w:spacing w:before="0" w:after="283"/>
              <w:rPr>
                <w:color w:val="000000"/>
              </w:rPr>
            </w:pPr>
            <w:r>
              <w:rPr>
                <w:color w:val="000000"/>
              </w:rPr>
              <w:t>Acionamento: Alavanca Carga Manual Das Molas Fechamento</w:t>
            </w:r>
          </w:p>
          <w:p>
            <w:pPr>
              <w:pStyle w:val="Contedodatabela"/>
              <w:widowControl w:val="false"/>
              <w:spacing w:before="0" w:after="283"/>
              <w:rPr>
                <w:color w:val="000000"/>
              </w:rPr>
            </w:pPr>
            <w:r>
              <w:rPr>
                <w:color w:val="000000"/>
              </w:rPr>
              <w:t>Características Adicionais: Montado Em Carrinho Extraível.(Retrofit)</w:t>
            </w:r>
          </w:p>
          <w:p>
            <w:pPr>
              <w:pStyle w:val="Contedodatabela"/>
              <w:widowControl w:val="false"/>
              <w:spacing w:before="0" w:after="283"/>
              <w:rPr>
                <w:color w:val="000000"/>
              </w:rPr>
            </w:pPr>
            <w:r>
              <w:rPr>
                <w:color w:val="000000"/>
              </w:rPr>
              <w:t>Funcionamento: Termomagnético</w:t>
            </w:r>
          </w:p>
          <w:p>
            <w:pPr>
              <w:pStyle w:val="Contedodatabela"/>
              <w:widowControl w:val="false"/>
              <w:spacing w:before="0" w:after="283"/>
              <w:rPr>
                <w:color w:val="000000"/>
              </w:rPr>
            </w:pPr>
            <w:r>
              <w:rPr>
                <w:color w:val="000000"/>
              </w:rPr>
              <w:t>Capacidade Interrupção Simétrica: 16 KA</w:t>
            </w:r>
          </w:p>
          <w:p>
            <w:pPr>
              <w:pStyle w:val="Contedodatabela"/>
              <w:widowControl w:val="false"/>
              <w:spacing w:before="0" w:after="283"/>
              <w:rPr>
                <w:color w:val="000000"/>
              </w:rPr>
            </w:pPr>
            <w:r>
              <w:rPr>
                <w:color w:val="000000"/>
              </w:rPr>
              <w:t>Número De Fases: Trifásico</w:t>
            </w:r>
          </w:p>
          <w:p>
            <w:pPr>
              <w:pStyle w:val="Contedodatabela"/>
              <w:widowControl w:val="false"/>
              <w:spacing w:before="0" w:after="283"/>
              <w:rPr>
                <w:color w:val="000000"/>
              </w:rPr>
            </w:pPr>
            <w:r>
              <w:rPr>
                <w:color w:val="000000"/>
              </w:rPr>
              <w:t>Classe Tensão: 15 KV</w:t>
            </w:r>
          </w:p>
          <w:p>
            <w:pPr>
              <w:pStyle w:val="Contedodatabela"/>
              <w:widowControl w:val="false"/>
              <w:spacing w:before="0" w:after="283"/>
              <w:rPr>
                <w:color w:val="000000"/>
              </w:rPr>
            </w:pPr>
            <w:r>
              <w:rPr>
                <w:color w:val="000000"/>
              </w:rPr>
              <w:t>Normas Técnicas: Nbriec62271-100 Nbrcei 17-1</w:t>
            </w:r>
          </w:p>
          <w:p>
            <w:pPr>
              <w:pStyle w:val="Contedodatabela"/>
              <w:widowControl w:val="false"/>
              <w:spacing w:before="0" w:after="283"/>
              <w:rPr>
                <w:color w:val="000000"/>
              </w:rPr>
            </w:pPr>
            <w:r>
              <w:rPr>
                <w:color w:val="000000"/>
              </w:rPr>
              <w:t>Corrente Nominal: 630 A</w:t>
            </w:r>
          </w:p>
          <w:p>
            <w:pPr>
              <w:pStyle w:val="Contedodatabela"/>
              <w:widowControl w:val="false"/>
              <w:spacing w:before="0" w:after="283"/>
              <w:rPr>
                <w:color w:val="000000"/>
              </w:rPr>
            </w:pPr>
            <w:r>
              <w:rPr>
                <w:color w:val="000000"/>
              </w:rPr>
              <w:t>Referência Fabricante: Vmax/W12 (Abb)</w:t>
            </w:r>
          </w:p>
          <w:p>
            <w:pPr>
              <w:pStyle w:val="Contedodatabela"/>
              <w:widowControl w:val="false"/>
              <w:spacing w:before="0" w:after="283"/>
              <w:rPr>
                <w:color w:val="000000"/>
              </w:rPr>
            </w:pPr>
            <w:r>
              <w:rPr>
                <w:color w:val="000000"/>
              </w:rPr>
              <w:t>Operação: Motorizada</w:t>
            </w:r>
          </w:p>
          <w:p>
            <w:pPr>
              <w:pStyle w:val="Contedodatabela"/>
              <w:widowControl w:val="false"/>
              <w:spacing w:before="0" w:after="283"/>
              <w:rPr>
                <w:color w:val="000000"/>
              </w:rPr>
            </w:pPr>
            <w:r>
              <w:rPr>
                <w:color w:val="000000"/>
              </w:rPr>
              <w:t>Acessórios: Relé De Abertura; Ampola À Vacuo Vedada</w:t>
            </w:r>
          </w:p>
          <w:p>
            <w:pPr>
              <w:pStyle w:val="Contedodatabela"/>
              <w:widowControl w:val="false"/>
              <w:spacing w:before="0" w:after="283"/>
              <w:rPr>
                <w:color w:val="000000"/>
              </w:rPr>
            </w:pPr>
            <w:r>
              <w:rPr>
                <w:color w:val="000000"/>
              </w:rPr>
              <w:t>Capacidade Curto-Circuito: 40 KA</w:t>
            </w:r>
          </w:p>
        </w:tc>
        <w:tc>
          <w:tcPr>
            <w:tcW w:w="1574" w:type="dxa"/>
            <w:tcBorders>
              <w:left w:val="single" w:sz="2" w:space="0" w:color="000000"/>
              <w:bottom w:val="single" w:sz="2" w:space="0" w:color="000000"/>
            </w:tcBorders>
            <w:tcMar>
              <w:top w:w="0" w:type="dxa"/>
            </w:tcMar>
            <w:vAlign w:val="center"/>
          </w:tcPr>
          <w:p>
            <w:pPr>
              <w:pStyle w:val="Contedodatabela"/>
              <w:widowControl w:val="false"/>
              <w:rPr>
                <w:rFonts w:ascii="Arial;serif" w:hAnsi="Arial;serif"/>
                <w:color w:val="000000"/>
                <w:sz w:val="20"/>
              </w:rPr>
            </w:pPr>
            <w:r>
              <w:rPr>
                <w:rFonts w:ascii="Arial;serif" w:hAnsi="Arial;serif"/>
                <w:color w:val="000000"/>
                <w:sz w:val="20"/>
              </w:rPr>
              <w:t>417851</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1</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R$ 34.477,26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R$ 34.477,26</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180</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Isolador Elétrico</w:t>
            </w:r>
          </w:p>
          <w:p>
            <w:pPr>
              <w:pStyle w:val="Contedodatabela"/>
              <w:widowControl w:val="false"/>
              <w:rPr>
                <w:rFonts w:ascii="Times New Roman;serif" w:hAnsi="Times New Roman;serif"/>
              </w:rPr>
            </w:pPr>
            <w:r>
              <w:rPr>
                <w:rFonts w:ascii="Times New Roman;serif" w:hAnsi="Times New Roman;serif"/>
              </w:rPr>
              <w:t>Polimérico</w:t>
            </w:r>
          </w:p>
          <w:p>
            <w:pPr>
              <w:pStyle w:val="Contedodatabela"/>
              <w:widowControl w:val="false"/>
              <w:rPr/>
            </w:pPr>
            <w:r>
              <w:rPr/>
            </w:r>
          </w:p>
          <w:p>
            <w:pPr>
              <w:pStyle w:val="Contedodatabela"/>
              <w:widowControl w:val="false"/>
              <w:spacing w:before="0" w:after="102"/>
              <w:rPr>
                <w:rFonts w:ascii="Times New Roman;serif" w:hAnsi="Times New Roman;serif"/>
                <w:color w:val="000000"/>
              </w:rPr>
            </w:pPr>
            <w:r>
              <w:rPr>
                <w:rFonts w:ascii="Times New Roman;serif" w:hAnsi="Times New Roman;serif"/>
                <w:color w:val="000000"/>
              </w:rPr>
              <w:t>Cor: Marrom</w:t>
            </w:r>
          </w:p>
          <w:p>
            <w:pPr>
              <w:pStyle w:val="Contedodatabela"/>
              <w:widowControl w:val="false"/>
              <w:spacing w:before="0" w:after="102"/>
              <w:rPr>
                <w:rFonts w:ascii="Times New Roman;serif" w:hAnsi="Times New Roman;serif"/>
                <w:color w:val="000000"/>
              </w:rPr>
            </w:pPr>
            <w:r>
              <w:rPr>
                <w:rFonts w:ascii="Times New Roman;serif" w:hAnsi="Times New Roman;serif"/>
                <w:color w:val="000000"/>
              </w:rPr>
              <w:t>Tipo: Monocorpo</w:t>
            </w:r>
          </w:p>
          <w:p>
            <w:pPr>
              <w:pStyle w:val="Contedodatabela"/>
              <w:widowControl w:val="false"/>
              <w:rPr>
                <w:rFonts w:ascii="Times New Roman;serif" w:hAnsi="Times New Roman;serif"/>
              </w:rPr>
            </w:pPr>
            <w:r>
              <w:rPr>
                <w:rFonts w:ascii="Times New Roman;serif" w:hAnsi="Times New Roman;serif"/>
              </w:rPr>
              <w:t>Isolador Elétrico</w:t>
            </w:r>
          </w:p>
          <w:p>
            <w:pPr>
              <w:pStyle w:val="Contedodatabela"/>
              <w:widowControl w:val="false"/>
              <w:spacing w:before="0" w:after="102"/>
              <w:rPr>
                <w:rFonts w:ascii="Arial;serif" w:hAnsi="Arial;serif"/>
                <w:color w:val="000000"/>
                <w:sz w:val="20"/>
              </w:rPr>
            </w:pPr>
            <w:r>
              <w:rPr>
                <w:rFonts w:ascii="Arial;serif" w:hAnsi="Arial;serif"/>
                <w:color w:val="000000"/>
                <w:sz w:val="20"/>
              </w:rPr>
              <w:t>Aplicação: fusível HH</w:t>
            </w:r>
          </w:p>
          <w:p>
            <w:pPr>
              <w:pStyle w:val="Contedodatabela"/>
              <w:widowControl w:val="false"/>
              <w:spacing w:before="0" w:after="102"/>
              <w:rPr>
                <w:rFonts w:ascii="Arial;serif" w:hAnsi="Arial;serif"/>
                <w:color w:val="000000"/>
                <w:sz w:val="20"/>
              </w:rPr>
            </w:pPr>
            <w:r>
              <w:rPr>
                <w:rFonts w:ascii="Arial;serif" w:hAnsi="Arial;serif"/>
                <w:color w:val="000000"/>
                <w:sz w:val="20"/>
              </w:rPr>
              <w:t>Características Adicionais: 1 Pol</w:t>
            </w:r>
          </w:p>
          <w:p>
            <w:pPr>
              <w:pStyle w:val="Contedodatabela"/>
              <w:widowControl w:val="false"/>
              <w:spacing w:before="0" w:after="102"/>
              <w:rPr>
                <w:rFonts w:ascii="Times New Roman;serif" w:hAnsi="Times New Roman;serif"/>
                <w:color w:val="000000"/>
              </w:rPr>
            </w:pPr>
            <w:r>
              <w:rPr>
                <w:rFonts w:ascii="Times New Roman;serif" w:hAnsi="Times New Roman;serif"/>
                <w:color w:val="000000"/>
              </w:rPr>
              <w:t>ISOLADOR RITZ BEBHIM</w:t>
            </w:r>
          </w:p>
        </w:tc>
        <w:tc>
          <w:tcPr>
            <w:tcW w:w="1574" w:type="dxa"/>
            <w:tcBorders>
              <w:left w:val="single" w:sz="2" w:space="0" w:color="000000"/>
              <w:bottom w:val="single" w:sz="2" w:space="0" w:color="000000"/>
            </w:tcBorders>
            <w:tcMar>
              <w:top w:w="0" w:type="dxa"/>
            </w:tcMar>
            <w:vAlign w:val="center"/>
          </w:tcPr>
          <w:p>
            <w:pPr>
              <w:pStyle w:val="Contedodatabela"/>
              <w:widowControl w:val="false"/>
              <w:rPr/>
            </w:pPr>
            <w:r>
              <w:rPr/>
            </w:r>
          </w:p>
          <w:p>
            <w:pPr>
              <w:pStyle w:val="Contedodatabela"/>
              <w:widowControl w:val="false"/>
              <w:jc w:val="center"/>
              <w:rPr>
                <w:rFonts w:ascii="Times New Roman;serif" w:hAnsi="Times New Roman;serif"/>
                <w:color w:val="495057"/>
              </w:rPr>
            </w:pPr>
            <w:r>
              <w:rPr>
                <w:rFonts w:ascii="Times New Roman;serif" w:hAnsi="Times New Roman;serif"/>
                <w:color w:val="495057"/>
              </w:rPr>
              <w:t>329207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color w:val="000000"/>
              </w:rPr>
              <w:t>R$ 45,06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jc w:val="center"/>
              <w:rPr>
                <w:highlight w:val="none"/>
                <w:shd w:fill="auto" w:val="clear"/>
              </w:rPr>
            </w:pPr>
            <w:r>
              <w:rPr>
                <w:color w:val="000000"/>
                <w:shd w:fill="auto" w:val="clear"/>
              </w:rPr>
              <w:t>R$ 4.506,00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181</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Fusível Limitador Corrente</w:t>
            </w:r>
          </w:p>
          <w:p>
            <w:pPr>
              <w:pStyle w:val="Contedodatabela"/>
              <w:widowControl w:val="false"/>
              <w:spacing w:before="0" w:after="102"/>
              <w:rPr>
                <w:rFonts w:ascii="Times New Roman;serif" w:hAnsi="Times New Roman;serif"/>
                <w:color w:val="000000"/>
              </w:rPr>
            </w:pPr>
            <w:r>
              <w:rPr>
                <w:rFonts w:ascii="Times New Roman;serif" w:hAnsi="Times New Roman;serif"/>
                <w:color w:val="000000"/>
              </w:rPr>
              <w:t>Tensão Nominal: 17,5 KV</w:t>
            </w:r>
          </w:p>
          <w:p>
            <w:pPr>
              <w:pStyle w:val="Contedodatabela"/>
              <w:widowControl w:val="false"/>
              <w:spacing w:before="0" w:after="102"/>
              <w:rPr>
                <w:rFonts w:ascii="Times New Roman;serif" w:hAnsi="Times New Roman;serif"/>
                <w:color w:val="000000"/>
              </w:rPr>
            </w:pPr>
            <w:r>
              <w:rPr>
                <w:rFonts w:ascii="Times New Roman;serif" w:hAnsi="Times New Roman;serif"/>
                <w:color w:val="000000"/>
              </w:rPr>
              <w:t>Corrente Nominal: 32 A</w:t>
            </w:r>
          </w:p>
          <w:p>
            <w:pPr>
              <w:pStyle w:val="Contedodatabela"/>
              <w:widowControl w:val="false"/>
              <w:spacing w:before="0" w:after="102"/>
              <w:rPr>
                <w:rFonts w:ascii="Times New Roman;serif" w:hAnsi="Times New Roman;serif"/>
                <w:color w:val="000000"/>
              </w:rPr>
            </w:pPr>
            <w:r>
              <w:rPr>
                <w:rFonts w:ascii="Times New Roman;serif" w:hAnsi="Times New Roman;serif"/>
                <w:color w:val="000000"/>
              </w:rPr>
              <w:t>Diâmetro Contato: 45 MM</w:t>
            </w:r>
          </w:p>
          <w:p>
            <w:pPr>
              <w:pStyle w:val="Contedodatabela"/>
              <w:widowControl w:val="false"/>
              <w:spacing w:before="0" w:after="102"/>
              <w:rPr>
                <w:rFonts w:ascii="Times New Roman;serif" w:hAnsi="Times New Roman;serif"/>
                <w:color w:val="000000"/>
              </w:rPr>
            </w:pPr>
            <w:r>
              <w:rPr>
                <w:rFonts w:ascii="Times New Roman;serif" w:hAnsi="Times New Roman;serif"/>
                <w:color w:val="000000"/>
              </w:rPr>
              <w:t>Comprimento: 475 MM</w:t>
            </w:r>
          </w:p>
          <w:p>
            <w:pPr>
              <w:pStyle w:val="Contedodatabela"/>
              <w:widowControl w:val="false"/>
              <w:spacing w:before="0" w:after="102"/>
              <w:rPr>
                <w:rFonts w:ascii="Times New Roman;serif" w:hAnsi="Times New Roman;serif"/>
                <w:color w:val="000000"/>
              </w:rPr>
            </w:pPr>
            <w:r>
              <w:rPr>
                <w:rFonts w:ascii="Times New Roman;serif" w:hAnsi="Times New Roman;serif"/>
                <w:color w:val="000000"/>
              </w:rPr>
              <w:t>Material Corpo: Porcelana</w:t>
            </w:r>
          </w:p>
          <w:p>
            <w:pPr>
              <w:pStyle w:val="Contedodatabela"/>
              <w:widowControl w:val="false"/>
              <w:rPr>
                <w:rFonts w:ascii="Times New Roman;serif" w:hAnsi="Times New Roman;serif"/>
              </w:rPr>
            </w:pPr>
            <w:r>
              <w:rPr>
                <w:rFonts w:ascii="Times New Roman;serif" w:hAnsi="Times New Roman;serif"/>
                <w:color w:val="000000"/>
              </w:rPr>
              <w:t>Referência: Hhi8-L 25kv 32</w:t>
            </w:r>
            <w:r>
              <w:rPr>
                <w:rFonts w:ascii="Times New Roman;serif" w:hAnsi="Times New Roman;serif"/>
                <w:color w:val="000000"/>
                <w:position w:val="8"/>
                <w:sz w:val="19"/>
              </w:rPr>
              <w:t>a</w:t>
            </w:r>
            <w:r>
              <w:rPr>
                <w:rFonts w:ascii="Times New Roman;serif" w:hAnsi="Times New Roman;serif"/>
                <w:color w:val="000000"/>
              </w:rPr>
              <w:t xml:space="preserve"> Tipo: Hh SÉRIE: 02429419020 REF. NP4093 DIN: 43625 IN. RUP: 40KA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495057"/>
              </w:rPr>
            </w:pPr>
            <w:r>
              <w:rPr>
                <w:rFonts w:ascii="Times New Roman;serif" w:hAnsi="Times New Roman;serif"/>
                <w:color w:val="495057"/>
              </w:rPr>
              <w:t>438878</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111111"/>
              </w:rPr>
            </w:pPr>
            <w:r>
              <w:rPr>
                <w:rFonts w:ascii="Times New Roman;serif" w:hAnsi="Times New Roman;serif"/>
                <w:color w:val="111111"/>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111111"/>
              </w:rPr>
            </w:pPr>
            <w:r>
              <w:rPr>
                <w:rFonts w:ascii="Times New Roman;serif" w:hAnsi="Times New Roman;serif"/>
                <w:color w:val="111111"/>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R$ 454,96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highlight w:val="none"/>
                <w:shd w:fill="auto" w:val="clear"/>
              </w:rPr>
            </w:pPr>
            <w:r>
              <w:rPr>
                <w:color w:val="000000"/>
                <w:shd w:fill="auto" w:val="clear"/>
              </w:rPr>
              <w:t>R$ 4.549,60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182</w:t>
            </w:r>
          </w:p>
        </w:tc>
        <w:tc>
          <w:tcPr>
            <w:tcW w:w="3481" w:type="dxa"/>
            <w:tcBorders>
              <w:left w:val="single" w:sz="2" w:space="0" w:color="000000"/>
              <w:bottom w:val="single" w:sz="2" w:space="0" w:color="000000"/>
            </w:tcBorders>
            <w:tcMar>
              <w:top w:w="0" w:type="dxa"/>
            </w:tcMar>
            <w:vAlign w:val="center"/>
          </w:tcPr>
          <w:p>
            <w:pPr>
              <w:pStyle w:val="Contedodatabela"/>
              <w:widowControl w:val="false"/>
              <w:rPr>
                <w:color w:val="000000"/>
              </w:rPr>
            </w:pPr>
            <w:r>
              <w:rPr>
                <w:color w:val="000000"/>
              </w:rPr>
              <w:t>Conexão Hidráulica</w:t>
            </w:r>
          </w:p>
          <w:p>
            <w:pPr>
              <w:pStyle w:val="Contedodatabela"/>
              <w:widowControl w:val="false"/>
              <w:rPr>
                <w:rFonts w:ascii="Times New Roman;serif" w:hAnsi="Times New Roman;serif"/>
                <w:color w:val="000000"/>
              </w:rPr>
            </w:pPr>
            <w:r>
              <w:rPr>
                <w:rFonts w:ascii="Times New Roman;serif" w:hAnsi="Times New Roman;serif"/>
                <w:color w:val="000000"/>
              </w:rPr>
              <w:t>Material: Ferro Maleável Galvanizado Tipo: União Bitola I: 2 POL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424526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R$ 90,44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R$ 271,32</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183</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Tê - Conexão Para Tubos Canos - Roscável</w:t>
            </w:r>
          </w:p>
          <w:p>
            <w:pPr>
              <w:pStyle w:val="Contedodatabela"/>
              <w:widowControl w:val="false"/>
              <w:rPr>
                <w:rFonts w:ascii="Times New Roman;serif" w:hAnsi="Times New Roman;serif"/>
                <w:color w:val="000000"/>
              </w:rPr>
            </w:pPr>
            <w:r>
              <w:rPr>
                <w:rFonts w:ascii="Times New Roman;serif" w:hAnsi="Times New Roman;serif"/>
                <w:color w:val="000000"/>
              </w:rPr>
              <w:t>Material: Ferro Galvanizado Diâmetro Entrada: 1 1/4 POL Aplicação: Instalações Prediais Água Fria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333333"/>
              </w:rPr>
            </w:pPr>
            <w:r>
              <w:rPr>
                <w:rFonts w:ascii="Times New Roman;serif" w:hAnsi="Times New Roman;serif"/>
                <w:color w:val="333333"/>
              </w:rPr>
              <w:t>333306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R$ 91,41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R$ 274,23</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184</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Tê - Conexão Para Tubos Canos - Roscável</w:t>
            </w:r>
          </w:p>
          <w:p>
            <w:pPr>
              <w:pStyle w:val="Contedodatabela"/>
              <w:widowControl w:val="false"/>
              <w:rPr>
                <w:rFonts w:ascii="Times New Roman;serif" w:hAnsi="Times New Roman;serif"/>
                <w:color w:val="000000"/>
              </w:rPr>
            </w:pPr>
            <w:r>
              <w:rPr>
                <w:rFonts w:ascii="Times New Roman;serif" w:hAnsi="Times New Roman;serif"/>
                <w:color w:val="000000"/>
              </w:rPr>
              <w:t>Material: Ferro Galvanizado Diâmetro Entrada: 1 1/2 POL Aplicação: Instalações Prediais Água Fria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333333"/>
              </w:rPr>
            </w:pPr>
            <w:r>
              <w:rPr>
                <w:rFonts w:ascii="Times New Roman;serif" w:hAnsi="Times New Roman;serif"/>
                <w:color w:val="333333"/>
              </w:rPr>
              <w:t>319985</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R$ 458,00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R$ 1374,00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185</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Niple Tubo Condução Metálica</w:t>
            </w:r>
          </w:p>
          <w:p>
            <w:pPr>
              <w:pStyle w:val="Contedodatabela"/>
              <w:widowControl w:val="false"/>
              <w:rPr>
                <w:rFonts w:ascii="Times New Roman;serif" w:hAnsi="Times New Roman;serif"/>
                <w:color w:val="000000"/>
              </w:rPr>
            </w:pPr>
            <w:r>
              <w:rPr>
                <w:rFonts w:ascii="Times New Roman;serif" w:hAnsi="Times New Roman;serif"/>
                <w:color w:val="000000"/>
              </w:rPr>
              <w:t>Material: Ferro Galvanizado Tipo: Duplo Diâmetro Nominal: 2 POL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pPr>
            <w:r>
              <w:rPr/>
            </w:r>
          </w:p>
          <w:p>
            <w:pPr>
              <w:pStyle w:val="Contedodatabela"/>
              <w:widowControl w:val="false"/>
              <w:spacing w:before="0" w:after="283"/>
              <w:jc w:val="center"/>
              <w:rPr/>
            </w:pPr>
            <w:r>
              <w:rPr/>
            </w:r>
          </w:p>
          <w:p>
            <w:pPr>
              <w:pStyle w:val="Contedodatabela"/>
              <w:widowControl w:val="false"/>
              <w:jc w:val="center"/>
              <w:rPr>
                <w:rFonts w:ascii="Times New Roman;serif" w:hAnsi="Times New Roman;serif"/>
              </w:rPr>
            </w:pPr>
            <w:r>
              <w:rPr>
                <w:rFonts w:ascii="Times New Roman;serif" w:hAnsi="Times New Roman;serif"/>
              </w:rPr>
              <w:t>454425</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R$ 59,51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R$ 1190,20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186</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Niple Tubo Condução Metálica</w:t>
            </w:r>
          </w:p>
          <w:p>
            <w:pPr>
              <w:pStyle w:val="Contedodatabela"/>
              <w:widowControl w:val="false"/>
              <w:rPr>
                <w:rFonts w:ascii="Times New Roman;serif" w:hAnsi="Times New Roman;serif"/>
                <w:color w:val="000000"/>
              </w:rPr>
            </w:pPr>
            <w:r>
              <w:rPr>
                <w:rFonts w:ascii="Times New Roman;serif" w:hAnsi="Times New Roman;serif"/>
                <w:color w:val="000000"/>
              </w:rPr>
              <w:t>Material: Aço Galvanizado Tipo: Duplo Diâmetro Nominal: 2 1/2 POL Tipo Extremidades: Roscadas Bsp</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451641</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R$ 58,83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R$ 176,49</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187</w:t>
            </w:r>
          </w:p>
        </w:tc>
        <w:tc>
          <w:tcPr>
            <w:tcW w:w="3481" w:type="dxa"/>
            <w:tcBorders>
              <w:left w:val="single" w:sz="2" w:space="0" w:color="000000"/>
              <w:bottom w:val="single" w:sz="2" w:space="0" w:color="000000"/>
            </w:tcBorders>
            <w:tcMar>
              <w:top w:w="0" w:type="dxa"/>
            </w:tcMar>
            <w:vAlign w:val="center"/>
          </w:tcPr>
          <w:p>
            <w:pPr>
              <w:pStyle w:val="Contedodatabela"/>
              <w:widowControl w:val="false"/>
              <w:rPr>
                <w:color w:val="000000"/>
              </w:rPr>
            </w:pPr>
            <w:r>
              <w:rPr>
                <w:color w:val="000000"/>
              </w:rPr>
              <w:t>Niple Tubo Condução Metálica</w:t>
            </w:r>
          </w:p>
          <w:p>
            <w:pPr>
              <w:pStyle w:val="Contedodatabela"/>
              <w:widowControl w:val="false"/>
              <w:rPr>
                <w:rFonts w:ascii="Times New Roman;serif" w:hAnsi="Times New Roman;serif"/>
                <w:color w:val="000000"/>
              </w:rPr>
            </w:pPr>
            <w:r>
              <w:rPr>
                <w:rFonts w:ascii="Times New Roman;serif" w:hAnsi="Times New Roman;serif"/>
                <w:color w:val="000000"/>
              </w:rPr>
              <w:t>Material: Ferro Maleável Diâmetro Nominal: 1 POL Classe Pressão: 300 Tipo Extremidades: Roscadas Npt</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rPr>
            </w:pPr>
            <w:r>
              <w:rPr>
                <w:rFonts w:ascii="Times New Roman;serif" w:hAnsi="Times New Roman;serif"/>
                <w:color w:val="000000"/>
              </w:rPr>
              <w:t>426437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R$ 31,79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R$ 635,80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188</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 xml:space="preserve">Tubo Ferro Galvanizado </w:t>
            </w:r>
            <w:r>
              <w:rPr>
                <w:color w:val="000000"/>
              </w:rPr>
              <w:t>Material: Ferro Fundido Maleável</w:t>
            </w:r>
          </w:p>
          <w:p>
            <w:pPr>
              <w:pStyle w:val="Contedodatabela"/>
              <w:widowControl w:val="false"/>
              <w:rPr>
                <w:rFonts w:ascii="Times New Roman;serif" w:hAnsi="Times New Roman;serif"/>
              </w:rPr>
            </w:pPr>
            <w:r>
              <w:rPr>
                <w:rFonts w:ascii="Times New Roman;serif" w:hAnsi="Times New Roman;serif"/>
              </w:rPr>
              <w:t>Bitola: 2 1/2 POL Comprimento Peça: 6 M Aplicação: Instalações Hidráulicas Tipo Fixação: Roscável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241976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715,30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3576,50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189</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Niple Tubo Condução Metálica</w:t>
            </w:r>
          </w:p>
          <w:p>
            <w:pPr>
              <w:pStyle w:val="Contedodatabela"/>
              <w:widowControl w:val="false"/>
              <w:rPr>
                <w:rFonts w:ascii="Times New Roman;serif" w:hAnsi="Times New Roman;serif"/>
                <w:color w:val="000000"/>
              </w:rPr>
            </w:pPr>
            <w:r>
              <w:rPr>
                <w:rFonts w:ascii="Times New Roman;serif" w:hAnsi="Times New Roman;serif"/>
                <w:color w:val="000000"/>
              </w:rPr>
              <w:t>Material: Ferro Maleável Galvanizado Tipo: Duplo Diâmetro Nominal: 1 1/2 POL Tipo Extremidades: Roscadas Npt Características Adicionais: 150 Lbs</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382021</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5</w:t>
            </w:r>
          </w:p>
        </w:tc>
        <w:tc>
          <w:tcPr>
            <w:tcW w:w="1325" w:type="dxa"/>
            <w:tcBorders>
              <w:left w:val="single" w:sz="2" w:space="0" w:color="000000"/>
              <w:bottom w:val="single" w:sz="2" w:space="0" w:color="000000"/>
            </w:tcBorders>
            <w:tcMar>
              <w:top w:w="0" w:type="dxa"/>
            </w:tcMar>
            <w:vAlign w:val="center"/>
          </w:tcPr>
          <w:p>
            <w:pPr>
              <w:pStyle w:val="NormalWeb"/>
              <w:widowControl w:val="false"/>
              <w:spacing w:before="0" w:after="280"/>
              <w:jc w:val="center"/>
              <w:rPr/>
            </w:pPr>
            <w:r>
              <w:rPr/>
            </w:r>
          </w:p>
          <w:p>
            <w:pPr>
              <w:pStyle w:val="Contedodatabela"/>
              <w:widowControl w:val="false"/>
              <w:spacing w:before="113" w:after="0"/>
              <w:jc w:val="center"/>
              <w:rPr>
                <w:rFonts w:ascii="Times New Roman;serif" w:hAnsi="Times New Roman;serif"/>
              </w:rPr>
            </w:pPr>
            <w:r>
              <w:rPr>
                <w:color w:val="000000"/>
              </w:rPr>
              <w:t xml:space="preserve">R$ </w:t>
            </w:r>
            <w:r>
              <w:rPr/>
              <w:t>36,42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NormalWeb"/>
              <w:widowControl w:val="false"/>
              <w:spacing w:before="0" w:after="280"/>
              <w:jc w:val="center"/>
              <w:rPr/>
            </w:pPr>
            <w:r>
              <w:rPr/>
            </w:r>
          </w:p>
          <w:p>
            <w:pPr>
              <w:pStyle w:val="Contedodatabela"/>
              <w:widowControl w:val="false"/>
              <w:spacing w:before="113" w:after="0"/>
              <w:jc w:val="center"/>
              <w:rPr>
                <w:rFonts w:ascii="Times New Roman;serif" w:hAnsi="Times New Roman;serif"/>
                <w:color w:val="000000"/>
              </w:rPr>
            </w:pPr>
            <w:r>
              <w:rPr>
                <w:color w:val="000000"/>
              </w:rPr>
              <w:t>R$ 182,10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190</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Niple Tubo Condução Metálica</w:t>
            </w:r>
          </w:p>
          <w:p>
            <w:pPr>
              <w:pStyle w:val="Contedodatabela"/>
              <w:widowControl w:val="false"/>
              <w:rPr>
                <w:rFonts w:ascii="Times New Roman;serif" w:hAnsi="Times New Roman;serif"/>
                <w:color w:val="000000"/>
              </w:rPr>
            </w:pPr>
            <w:r>
              <w:rPr>
                <w:rFonts w:ascii="Times New Roman;serif" w:hAnsi="Times New Roman;serif"/>
                <w:color w:val="000000"/>
              </w:rPr>
              <w:t>Material: Ferro Maleável Galvanizado Tipo: Duplo De Redução Características Adicionais: Entrada 2 Pol, Saída 1 1/2 Pol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367129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31,05</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R$ 621,00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191</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Tubo Ferro Galvanizado</w:t>
            </w:r>
          </w:p>
          <w:p>
            <w:pPr>
              <w:pStyle w:val="Contedodatabela"/>
              <w:widowControl w:val="false"/>
              <w:rPr>
                <w:rFonts w:ascii="Times New Roman;serif" w:hAnsi="Times New Roman;serif"/>
                <w:color w:val="000000"/>
              </w:rPr>
            </w:pPr>
            <w:r>
              <w:rPr>
                <w:rFonts w:ascii="Times New Roman;serif" w:hAnsi="Times New Roman;serif"/>
                <w:color w:val="000000"/>
              </w:rPr>
              <w:t>Material: Ferro Fundido Maleável Bitola: 1 1/4 POL Comprimento Peça: 6 M Aplicação: Instalações Hidráulicas Tipo Fixação: Roscável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pPr>
            <w:r>
              <w:rPr/>
              <w:t>241979</w:t>
            </w:r>
          </w:p>
          <w:p>
            <w:pPr>
              <w:pStyle w:val="Contedodatabela"/>
              <w:widowControl w:val="false"/>
              <w:jc w:val="center"/>
              <w:rPr/>
            </w:pPr>
            <w:r>
              <w:rPr/>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196,17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R$ 588,51</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192</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Tarraxa</w:t>
            </w:r>
          </w:p>
          <w:p>
            <w:pPr>
              <w:pStyle w:val="Contedodatabela"/>
              <w:widowControl w:val="false"/>
              <w:spacing w:before="0" w:after="283"/>
              <w:rPr>
                <w:color w:val="000000"/>
              </w:rPr>
            </w:pPr>
            <w:r>
              <w:rPr>
                <w:color w:val="000000"/>
              </w:rPr>
              <w:t>Dimensão: 1/2 A 2 POL</w:t>
            </w:r>
          </w:p>
          <w:p>
            <w:pPr>
              <w:pStyle w:val="Contedodatabela"/>
              <w:widowControl w:val="false"/>
              <w:rPr>
                <w:rFonts w:ascii="Times New Roman;serif" w:hAnsi="Times New Roman;serif"/>
                <w:color w:val="000000"/>
              </w:rPr>
            </w:pPr>
            <w:r>
              <w:rPr>
                <w:rFonts w:ascii="Times New Roman;serif" w:hAnsi="Times New Roman;serif"/>
                <w:color w:val="000000"/>
              </w:rPr>
              <w:t>Uso: Tubos Ferro Tipo: Manual Características Adicionais: Cossinetes Retrocedentes E Peso 12 Kg</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339737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2</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1.129,04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R$ 2.258,08</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193</w:t>
            </w:r>
          </w:p>
        </w:tc>
        <w:tc>
          <w:tcPr>
            <w:tcW w:w="3481" w:type="dxa"/>
            <w:tcBorders>
              <w:left w:val="single" w:sz="2" w:space="0" w:color="000000"/>
              <w:bottom w:val="single" w:sz="2" w:space="0" w:color="000000"/>
            </w:tcBorders>
            <w:tcMar>
              <w:top w:w="0" w:type="dxa"/>
            </w:tcMar>
            <w:vAlign w:val="center"/>
          </w:tcPr>
          <w:p>
            <w:pPr>
              <w:pStyle w:val="Contedodatabela"/>
              <w:widowControl w:val="false"/>
              <w:rPr>
                <w:color w:val="000000"/>
              </w:rPr>
            </w:pPr>
            <w:r>
              <w:rPr>
                <w:color w:val="000000"/>
              </w:rPr>
              <w:t>Válvula Retenção</w:t>
            </w:r>
          </w:p>
          <w:p>
            <w:pPr>
              <w:pStyle w:val="Contedodatabela"/>
              <w:widowControl w:val="false"/>
              <w:spacing w:before="0" w:after="283"/>
              <w:rPr>
                <w:color w:val="000000"/>
              </w:rPr>
            </w:pPr>
            <w:r>
              <w:rPr>
                <w:color w:val="000000"/>
              </w:rPr>
              <w:t>Material Corpo: Bronze Material Sede: Bronze Tipo: Vertical Classe Pressão: 125 PSI Pressão Máxima Trabalho: Não Conhecido KG/CM2 Diâmetro Nominal: 1/2 POL Tipo Extremidades: Rosqueadas</w:t>
            </w:r>
          </w:p>
          <w:p>
            <w:pPr>
              <w:pStyle w:val="Contedodatabela"/>
              <w:widowControl w:val="false"/>
              <w:spacing w:before="0" w:after="283"/>
              <w:rPr>
                <w:color w:val="000000"/>
              </w:rPr>
            </w:pPr>
            <w:r>
              <w:rPr>
                <w:color w:val="000000"/>
              </w:rPr>
              <w:t>Tipo Rosca: Npt</w:t>
            </w:r>
          </w:p>
          <w:p>
            <w:pPr>
              <w:pStyle w:val="Contedodatabela"/>
              <w:widowControl w:val="false"/>
              <w:rPr>
                <w:rFonts w:ascii="Times New Roman;serif" w:hAnsi="Times New Roman;serif"/>
                <w:color w:val="000000"/>
              </w:rPr>
            </w:pPr>
            <w:r>
              <w:rPr>
                <w:rFonts w:ascii="Times New Roman;serif" w:hAnsi="Times New Roman;serif"/>
                <w:color w:val="000000"/>
              </w:rPr>
              <w:t>Diâmetro Externo Tubo: Não Conhecido MM</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218207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63,01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R$ 630,10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194</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Válvula Retenção</w:t>
            </w:r>
          </w:p>
          <w:p>
            <w:pPr>
              <w:pStyle w:val="Contedodatabela"/>
              <w:widowControl w:val="false"/>
              <w:spacing w:before="0" w:after="283"/>
              <w:rPr>
                <w:color w:val="000000"/>
              </w:rPr>
            </w:pPr>
            <w:r>
              <w:rPr>
                <w:color w:val="000000"/>
              </w:rPr>
              <w:t>Válvula Retenção</w:t>
            </w:r>
          </w:p>
          <w:p>
            <w:pPr>
              <w:pStyle w:val="Contedodatabela"/>
              <w:widowControl w:val="false"/>
              <w:rPr>
                <w:rFonts w:ascii="Times New Roman;serif" w:hAnsi="Times New Roman;serif"/>
                <w:color w:val="000000"/>
              </w:rPr>
            </w:pPr>
            <w:r>
              <w:rPr>
                <w:rFonts w:ascii="Times New Roman;serif" w:hAnsi="Times New Roman;serif"/>
                <w:color w:val="000000"/>
              </w:rPr>
              <w:t>Material Corpo: Aço Carbono Material Sede: Aço Inoxidável Tipo: Horizontal Com Pistão Classe Pressão: 600 PSI Pressão Máxima Trabalho: Não Conhecido KG/CM2 Diâmetro Nominal: 2 POL Tipo Extremidades: Rosqueadas Tipo Rosca: Npt Diâmetro Externo Tubo: Não Conhecido MM</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218202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329,51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R$ 988,53</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195</w:t>
            </w:r>
          </w:p>
        </w:tc>
        <w:tc>
          <w:tcPr>
            <w:tcW w:w="3481" w:type="dxa"/>
            <w:tcBorders>
              <w:left w:val="single" w:sz="2" w:space="0" w:color="000000"/>
              <w:bottom w:val="single" w:sz="2" w:space="0" w:color="000000"/>
            </w:tcBorders>
            <w:tcMar>
              <w:top w:w="0" w:type="dxa"/>
            </w:tcMar>
            <w:vAlign w:val="center"/>
          </w:tcPr>
          <w:p>
            <w:pPr>
              <w:pStyle w:val="Contedodatabela"/>
              <w:widowControl w:val="false"/>
              <w:rPr>
                <w:color w:val="000000"/>
              </w:rPr>
            </w:pPr>
            <w:r>
              <w:rPr>
                <w:color w:val="000000"/>
              </w:rPr>
              <w:t>Válvula Retenção</w:t>
            </w:r>
          </w:p>
          <w:p>
            <w:pPr>
              <w:pStyle w:val="Contedodatabela"/>
              <w:widowControl w:val="false"/>
              <w:rPr>
                <w:rFonts w:ascii="Times New Roman;serif" w:hAnsi="Times New Roman;serif"/>
                <w:color w:val="000000"/>
              </w:rPr>
            </w:pPr>
            <w:r>
              <w:rPr>
                <w:rFonts w:ascii="Times New Roman;serif" w:hAnsi="Times New Roman;serif"/>
                <w:color w:val="000000"/>
              </w:rPr>
              <w:t>Material Corpo: Bronze Material Sede: Aço Inoxidável Tipo: Horizontal Com Pistão Classe Pressão: 150 PSI Pressão Máxima Trabalho: Não Conhecido KG/CM2 Diâmetro Nominal: 1 POL Tipo Extremidades: Rosqueadas Tipo Rosca: Bsp Diâmetro Externo Tubo: Não Conhecido MM</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pPr>
            <w:r>
              <w:rPr/>
            </w:r>
          </w:p>
          <w:p>
            <w:pPr>
              <w:pStyle w:val="Contedodatabela"/>
              <w:widowControl w:val="false"/>
              <w:spacing w:before="0" w:after="283"/>
              <w:jc w:val="center"/>
              <w:rPr/>
            </w:pPr>
            <w:r>
              <w:rPr/>
              <w:t>218120</w:t>
            </w:r>
          </w:p>
          <w:p>
            <w:pPr>
              <w:pStyle w:val="Contedodatabela"/>
              <w:widowControl w:val="false"/>
              <w:jc w:val="center"/>
              <w:rPr/>
            </w:pPr>
            <w:r>
              <w:rPr/>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R$ 168,59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R$ 505,77</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196</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Niple Tubo Condução Metálica</w:t>
            </w:r>
          </w:p>
          <w:p>
            <w:pPr>
              <w:pStyle w:val="Contedodatabela"/>
              <w:widowControl w:val="false"/>
              <w:rPr>
                <w:rFonts w:ascii="Times New Roman;serif" w:hAnsi="Times New Roman;serif"/>
                <w:color w:val="000000"/>
              </w:rPr>
            </w:pPr>
            <w:r>
              <w:rPr>
                <w:rFonts w:ascii="Times New Roman;serif" w:hAnsi="Times New Roman;serif"/>
                <w:color w:val="000000"/>
              </w:rPr>
              <w:t>Material: Ferro Galvanizado Tipo: Duplo Diâmetro Nominal: 2 POL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454425</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59,51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R$ 297,55</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197</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Bucha Redução</w:t>
            </w:r>
          </w:p>
          <w:p>
            <w:pPr>
              <w:pStyle w:val="Contedodatabela"/>
              <w:widowControl w:val="false"/>
              <w:rPr>
                <w:rFonts w:ascii="Times New Roman;serif" w:hAnsi="Times New Roman;serif"/>
                <w:color w:val="000000"/>
              </w:rPr>
            </w:pPr>
            <w:r>
              <w:rPr>
                <w:rFonts w:ascii="Times New Roman;serif" w:hAnsi="Times New Roman;serif"/>
                <w:color w:val="000000"/>
              </w:rPr>
              <w:t>Material: Latão Bitola: 31,75 X 38,10 MM Características Adicionais: Rosca Bsp</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318504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2,72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R$ 27,20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198</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 xml:space="preserve">Conexão Hidráulica </w:t>
            </w:r>
            <w:r>
              <w:rPr>
                <w:rFonts w:ascii="Times New Roman;serif" w:hAnsi="Times New Roman;serif"/>
                <w:color w:val="000000"/>
              </w:rPr>
              <w:t>Material: Aço Carbono Tipo: Curva 90° Tipo Fixação: Soldável Aplicação: Instalação Hidráulica Bitola I: 1 1/4 POL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365279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R$ 63,37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R$ 190,11</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199</w:t>
            </w:r>
          </w:p>
        </w:tc>
        <w:tc>
          <w:tcPr>
            <w:tcW w:w="3481" w:type="dxa"/>
            <w:tcBorders>
              <w:left w:val="single" w:sz="2" w:space="0" w:color="000000"/>
              <w:bottom w:val="single" w:sz="2" w:space="0" w:color="000000"/>
            </w:tcBorders>
            <w:tcMar>
              <w:top w:w="0" w:type="dxa"/>
            </w:tcMar>
            <w:vAlign w:val="center"/>
          </w:tcPr>
          <w:p>
            <w:pPr>
              <w:pStyle w:val="Contedodatabela"/>
              <w:widowControl w:val="false"/>
              <w:rPr>
                <w:color w:val="000000"/>
              </w:rPr>
            </w:pPr>
            <w:r>
              <w:rPr>
                <w:color w:val="000000"/>
              </w:rPr>
              <w:t>Tubo Ferro Galvanizado</w:t>
            </w:r>
          </w:p>
          <w:p>
            <w:pPr>
              <w:pStyle w:val="Contedodatabela"/>
              <w:widowControl w:val="false"/>
              <w:rPr>
                <w:rFonts w:ascii="Times New Roman;serif" w:hAnsi="Times New Roman;serif"/>
                <w:color w:val="000000"/>
              </w:rPr>
            </w:pPr>
            <w:r>
              <w:rPr>
                <w:rFonts w:ascii="Times New Roman;serif" w:hAnsi="Times New Roman;serif"/>
                <w:color w:val="000000"/>
              </w:rPr>
              <w:t>Material: Ferro Fundido Maleável Bitola: 2 1/2 POL Comprimento Peça: 6 M Aplicação: Instalações Hidráulicas Tipo Fixação: Roscável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241976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715,30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R$ 2145,90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200</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color w:val="000000"/>
              </w:rPr>
            </w:pPr>
            <w:r>
              <w:rPr>
                <w:rFonts w:ascii="Times New Roman;serif" w:hAnsi="Times New Roman;serif"/>
                <w:color w:val="000000"/>
              </w:rPr>
              <w:t>Mufla Uso: Externo Tipo: Terminal Modular Média Tensão; Tensão Nominal: 15 KVA Comprimento: 270 MM Bitola Cabo: 50 MM2 Características Adicionais: Tubo De Alívio De Campo Elétrico, Sais Isolantes Aplicação: Acessório Emenda Elétrica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264887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color w:val="000000"/>
                <w:lang w:val="en-US"/>
              </w:rPr>
            </w:pPr>
            <w:r>
              <w:rPr>
                <w:rFonts w:ascii="Times New Roman;serif" w:hAnsi="Times New Roman;serif"/>
                <w:color w:val="000000"/>
                <w:lang w:val="en-US"/>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R$ 859,33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highlight w:val="none"/>
                <w:shd w:fill="auto" w:val="clear"/>
              </w:rPr>
            </w:pPr>
            <w:r>
              <w:rPr>
                <w:color w:val="000000"/>
                <w:shd w:fill="auto" w:val="clear"/>
              </w:rPr>
              <w:t>R$ 17.186,60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201</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Jogo Chave</w:t>
            </w:r>
          </w:p>
          <w:p>
            <w:pPr>
              <w:pStyle w:val="Contedodatabela"/>
              <w:widowControl w:val="false"/>
              <w:spacing w:before="0" w:after="283"/>
              <w:rPr/>
            </w:pPr>
            <w:r>
              <w:rPr/>
              <w:t>Material: Aço Cromo Vanádio</w:t>
            </w:r>
          </w:p>
          <w:p>
            <w:pPr>
              <w:pStyle w:val="Contedodatabela"/>
              <w:widowControl w:val="false"/>
              <w:spacing w:before="0" w:after="283"/>
              <w:rPr/>
            </w:pPr>
            <w:r>
              <w:rPr/>
              <w:t>Tipo: Jogo De Chave Fenda, Philips E Alicates.</w:t>
            </w:r>
          </w:p>
          <w:p>
            <w:pPr>
              <w:pStyle w:val="Contedodatabela"/>
              <w:widowControl w:val="false"/>
              <w:spacing w:before="0" w:after="283"/>
              <w:rPr/>
            </w:pPr>
            <w:r>
              <w:rPr/>
              <w:t>Quantidade Peças: 39</w:t>
            </w:r>
          </w:p>
          <w:p>
            <w:pPr>
              <w:pStyle w:val="Contedodatabela"/>
              <w:widowControl w:val="false"/>
              <w:spacing w:before="0" w:after="283"/>
              <w:rPr/>
            </w:pPr>
            <w:r>
              <w:rPr/>
              <w:t>Componentes: 05 Chaves De Fenda: 1/8x3, 3/16x4, 1/4x1.5, 1/4x4</w:t>
            </w:r>
          </w:p>
          <w:p>
            <w:pPr>
              <w:pStyle w:val="Contedodatabela"/>
              <w:widowControl w:val="false"/>
              <w:spacing w:before="0" w:after="283"/>
              <w:rPr/>
            </w:pPr>
            <w:r>
              <w:rPr/>
              <w:t>Características Adicionais: Haste Em Cromo Vanádio, Acabamento Acetinado</w:t>
            </w:r>
          </w:p>
        </w:tc>
        <w:tc>
          <w:tcPr>
            <w:tcW w:w="1574"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601799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238,60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238,60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202</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Jogo Chave</w:t>
            </w:r>
          </w:p>
          <w:p>
            <w:pPr>
              <w:pStyle w:val="Contedodatabela"/>
              <w:widowControl w:val="false"/>
              <w:spacing w:before="0" w:after="283"/>
              <w:rPr/>
            </w:pPr>
            <w:r>
              <w:rPr/>
              <w:t>Material: Aço Cromo Vanádio</w:t>
            </w:r>
          </w:p>
          <w:p>
            <w:pPr>
              <w:pStyle w:val="Contedodatabela"/>
              <w:widowControl w:val="false"/>
              <w:spacing w:before="0" w:after="283"/>
              <w:rPr/>
            </w:pPr>
            <w:r>
              <w:rPr/>
              <w:t>Tipo: Soquete</w:t>
            </w:r>
          </w:p>
          <w:p>
            <w:pPr>
              <w:pStyle w:val="Contedodatabela"/>
              <w:widowControl w:val="false"/>
              <w:spacing w:before="0" w:after="283"/>
              <w:rPr/>
            </w:pPr>
            <w:r>
              <w:rPr/>
              <w:t>Quantidade Peças: 38</w:t>
            </w:r>
          </w:p>
          <w:p>
            <w:pPr>
              <w:pStyle w:val="Contedodatabela"/>
              <w:widowControl w:val="false"/>
              <w:spacing w:before="0" w:after="283"/>
              <w:rPr/>
            </w:pPr>
            <w:r>
              <w:rPr/>
              <w:t>Características Adicionais: Fosfatizadas, C/ Estojo Metálico E 6 Acessórios</w:t>
            </w:r>
          </w:p>
          <w:p>
            <w:pPr>
              <w:pStyle w:val="Contedodatabela"/>
              <w:widowControl w:val="false"/>
              <w:spacing w:before="0" w:after="283"/>
              <w:rPr/>
            </w:pPr>
            <w:r>
              <w:rPr/>
              <w:t>Acabamento Superficial: Niquelado E Cromado</w:t>
            </w:r>
          </w:p>
        </w:tc>
        <w:tc>
          <w:tcPr>
            <w:tcW w:w="1574" w:type="dxa"/>
            <w:tcBorders>
              <w:left w:val="single" w:sz="2" w:space="0" w:color="000000"/>
              <w:bottom w:val="single" w:sz="2" w:space="0" w:color="000000"/>
            </w:tcBorders>
            <w:tcMar>
              <w:top w:w="0" w:type="dxa"/>
            </w:tcMar>
            <w:vAlign w:val="center"/>
          </w:tcPr>
          <w:p>
            <w:pPr>
              <w:pStyle w:val="Contedodatabela"/>
              <w:widowControl w:val="false"/>
              <w:rPr/>
            </w:pPr>
            <w:r>
              <w:rPr/>
            </w:r>
          </w:p>
          <w:p>
            <w:pPr>
              <w:pStyle w:val="Contedodatabela"/>
              <w:widowControl w:val="false"/>
              <w:jc w:val="center"/>
              <w:rPr>
                <w:rFonts w:ascii="Times New Roman;serif" w:hAnsi="Times New Roman;serif"/>
              </w:rPr>
            </w:pPr>
            <w:r>
              <w:rPr>
                <w:rFonts w:ascii="Times New Roman;serif" w:hAnsi="Times New Roman;serif"/>
              </w:rPr>
              <w:t>321532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pPr>
            <w:r>
              <w:rPr/>
            </w:r>
          </w:p>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pPr>
            <w:r>
              <w:rPr/>
            </w:r>
          </w:p>
          <w:p>
            <w:pPr>
              <w:pStyle w:val="Contedodatabela"/>
              <w:widowControl w:val="false"/>
              <w:jc w:val="center"/>
              <w:rPr>
                <w:rFonts w:ascii="Times New Roman;serif" w:hAnsi="Times New Roman;serif"/>
              </w:rPr>
            </w:pPr>
            <w:r>
              <w:rPr>
                <w:rFonts w:ascii="Times New Roman;serif" w:hAnsi="Times New Roman;serif"/>
              </w:rPr>
              <w:t>1</w:t>
            </w:r>
          </w:p>
        </w:tc>
        <w:tc>
          <w:tcPr>
            <w:tcW w:w="1325" w:type="dxa"/>
            <w:tcBorders>
              <w:left w:val="single" w:sz="2" w:space="0" w:color="000000"/>
              <w:bottom w:val="single" w:sz="2" w:space="0" w:color="000000"/>
            </w:tcBorders>
            <w:tcMar>
              <w:top w:w="0" w:type="dxa"/>
            </w:tcMar>
            <w:vAlign w:val="center"/>
          </w:tcPr>
          <w:p>
            <w:pPr>
              <w:pStyle w:val="NormalWeb"/>
              <w:widowControl w:val="false"/>
              <w:spacing w:before="0" w:after="280"/>
              <w:jc w:val="center"/>
              <w:rPr/>
            </w:pPr>
            <w:r>
              <w:rPr/>
            </w:r>
          </w:p>
          <w:p>
            <w:pPr>
              <w:pStyle w:val="Contedodatabela"/>
              <w:widowControl w:val="false"/>
              <w:spacing w:before="113" w:after="0"/>
              <w:jc w:val="center"/>
              <w:rPr>
                <w:rFonts w:ascii="Times New Roman;serif" w:hAnsi="Times New Roman;serif"/>
              </w:rPr>
            </w:pPr>
            <w:r>
              <w:rPr>
                <w:color w:val="000000"/>
              </w:rPr>
              <w:t xml:space="preserve">R$ </w:t>
            </w:r>
            <w:r>
              <w:rPr/>
              <w:t>516,64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NormalWeb"/>
              <w:widowControl w:val="false"/>
              <w:spacing w:before="0" w:after="280"/>
              <w:jc w:val="center"/>
              <w:rPr/>
            </w:pPr>
            <w:r>
              <w:rPr/>
            </w:r>
          </w:p>
          <w:p>
            <w:pPr>
              <w:pStyle w:val="Contedodatabela"/>
              <w:widowControl w:val="false"/>
              <w:spacing w:before="113" w:after="0"/>
              <w:jc w:val="center"/>
              <w:rPr>
                <w:rFonts w:ascii="Times New Roman;serif" w:hAnsi="Times New Roman;serif"/>
              </w:rPr>
            </w:pPr>
            <w:r>
              <w:rPr>
                <w:color w:val="000000"/>
              </w:rPr>
              <w:t xml:space="preserve">R$ </w:t>
            </w:r>
            <w:r>
              <w:rPr/>
              <w:t>516,64</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203</w:t>
            </w:r>
          </w:p>
        </w:tc>
        <w:tc>
          <w:tcPr>
            <w:tcW w:w="3481"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Transformador Bifásico a óleo para uso em poste, potência aproximada entre 25 a 45 KVA, tensão do primário 13.2KV a 13.8kv, tensão do secundário aproximada 220v/127v a 230v/115v, Frequência: 60HZ</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328651</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10.883,33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10.883,33</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204</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Cortador De Vidro</w:t>
            </w:r>
          </w:p>
          <w:p>
            <w:pPr>
              <w:pStyle w:val="Contedodatabela"/>
              <w:widowControl w:val="false"/>
              <w:spacing w:before="0" w:after="283"/>
              <w:rPr/>
            </w:pPr>
            <w:r>
              <w:rPr/>
              <w:t>Tipo: Caneta</w:t>
            </w:r>
          </w:p>
          <w:p>
            <w:pPr>
              <w:pStyle w:val="Contedodatabela"/>
              <w:widowControl w:val="false"/>
              <w:spacing w:before="0" w:after="283"/>
              <w:rPr/>
            </w:pPr>
            <w:r>
              <w:rPr/>
              <w:t>Componentes: Reservatório Para Querosene</w:t>
            </w:r>
          </w:p>
          <w:p>
            <w:pPr>
              <w:pStyle w:val="Contedodatabela"/>
              <w:widowControl w:val="false"/>
              <w:spacing w:before="0" w:after="283"/>
              <w:rPr/>
            </w:pPr>
            <w:r>
              <w:rPr/>
              <w:t>Material Ponta: Diamante</w:t>
            </w:r>
          </w:p>
          <w:p>
            <w:pPr>
              <w:pStyle w:val="Contedodatabela"/>
              <w:widowControl w:val="false"/>
              <w:spacing w:before="0" w:after="283"/>
              <w:rPr/>
            </w:pPr>
            <w:r>
              <w:rPr/>
              <w:t>Formato Base: Trapézio</w:t>
            </w:r>
          </w:p>
          <w:p>
            <w:pPr>
              <w:pStyle w:val="Contedodatabela"/>
              <w:widowControl w:val="false"/>
              <w:spacing w:before="0" w:after="283"/>
              <w:rPr/>
            </w:pPr>
            <w:r>
              <w:rPr/>
              <w:t>Comprimento: 1,80 CM</w:t>
            </w:r>
          </w:p>
          <w:p>
            <w:pPr>
              <w:pStyle w:val="Contedodatabela"/>
              <w:widowControl w:val="false"/>
              <w:spacing w:before="0" w:after="283"/>
              <w:rPr/>
            </w:pPr>
            <w:r>
              <w:rPr/>
              <w:t>caracteristicas: Cortador De Vidro Espelho Régua T 1,80cm Uso Profissional</w:t>
            </w:r>
          </w:p>
        </w:tc>
        <w:tc>
          <w:tcPr>
            <w:tcW w:w="1574"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293631</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77,29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154,58</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238" w:after="0"/>
              <w:jc w:val="center"/>
              <w:rPr>
                <w:rFonts w:ascii="Times New Roman;serif" w:hAnsi="Times New Roman;serif"/>
              </w:rPr>
            </w:pPr>
            <w:r>
              <w:rPr>
                <w:rFonts w:ascii="Times New Roman;serif" w:hAnsi="Times New Roman;serif"/>
              </w:rPr>
              <w:t>205</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238" w:after="0"/>
              <w:rPr/>
            </w:pPr>
            <w:r>
              <w:rPr/>
              <w:t>Rebitadeira Manual</w:t>
            </w:r>
          </w:p>
          <w:p>
            <w:pPr>
              <w:pStyle w:val="Contedodatabela"/>
              <w:widowControl w:val="false"/>
              <w:spacing w:before="238" w:after="0"/>
              <w:rPr/>
            </w:pPr>
            <w:r>
              <w:rPr/>
              <w:t>Material: Aço Carbono</w:t>
            </w:r>
          </w:p>
          <w:p>
            <w:pPr>
              <w:pStyle w:val="Contedodatabela"/>
              <w:widowControl w:val="false"/>
              <w:spacing w:before="238" w:after="0"/>
              <w:rPr/>
            </w:pPr>
            <w:r>
              <w:rPr/>
              <w:t>Diâmetro Rebites: 2,40; 3,20; 4; 4,80 E 6 MM</w:t>
            </w:r>
          </w:p>
          <w:p>
            <w:pPr>
              <w:pStyle w:val="Contedodatabela"/>
              <w:widowControl w:val="false"/>
              <w:spacing w:before="238" w:after="0"/>
              <w:rPr/>
            </w:pPr>
            <w:r>
              <w:rPr/>
              <w:t>Aplicação: Rebite De Repuxo De Alumínio, Cobre, Aço, Aço Inox</w:t>
            </w:r>
          </w:p>
          <w:p>
            <w:pPr>
              <w:pStyle w:val="Contedodatabela"/>
              <w:widowControl w:val="false"/>
              <w:spacing w:before="238" w:after="0"/>
              <w:rPr/>
            </w:pPr>
            <w:r>
              <w:rPr/>
              <w:t>Adicionais: 04 Bicos E Chave De Troca</w:t>
            </w:r>
          </w:p>
          <w:p>
            <w:pPr>
              <w:pStyle w:val="Contedodatabela"/>
              <w:widowControl w:val="false"/>
              <w:spacing w:before="238" w:after="0"/>
              <w:rPr>
                <w:rFonts w:ascii="Times New Roman;serif" w:hAnsi="Times New Roman;serif"/>
              </w:rPr>
            </w:pPr>
            <w:r>
              <w:rPr>
                <w:rFonts w:ascii="Times New Roman;serif" w:hAnsi="Times New Roman;serif"/>
              </w:rPr>
              <w:t>Características Adicionais: Cabo Com Empunhadura Antideslizantes Tamanho 10"</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38" w:after="227"/>
              <w:rPr/>
            </w:pPr>
            <w:r>
              <w:rPr/>
            </w:r>
          </w:p>
          <w:p>
            <w:pPr>
              <w:pStyle w:val="Contedodatabela"/>
              <w:widowControl w:val="false"/>
              <w:spacing w:before="238" w:after="227"/>
              <w:rPr/>
            </w:pPr>
            <w:r>
              <w:rPr/>
              <w:t>442094</w:t>
            </w:r>
          </w:p>
          <w:p>
            <w:pPr>
              <w:pStyle w:val="Contedodatabela"/>
              <w:widowControl w:val="false"/>
              <w:spacing w:before="238" w:after="238"/>
              <w:jc w:val="center"/>
              <w:rPr/>
            </w:pPr>
            <w:r>
              <w:rPr/>
            </w:r>
          </w:p>
          <w:p>
            <w:pPr>
              <w:pStyle w:val="Contedodatabela"/>
              <w:widowControl w:val="false"/>
              <w:spacing w:before="238" w:after="0"/>
              <w:jc w:val="center"/>
              <w:rPr/>
            </w:pPr>
            <w:r>
              <w:rPr/>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238" w:after="0"/>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238" w:after="0"/>
              <w:jc w:val="center"/>
              <w:rPr>
                <w:rFonts w:ascii="Times New Roman;serif" w:hAnsi="Times New Roman;serif"/>
              </w:rPr>
            </w:pPr>
            <w:r>
              <w:rPr>
                <w:rFonts w:ascii="Times New Roman;serif" w:hAnsi="Times New Roman;serif"/>
              </w:rPr>
              <w:t>2</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238" w:after="0"/>
              <w:jc w:val="center"/>
              <w:rPr>
                <w:rFonts w:ascii="Times New Roman;serif" w:hAnsi="Times New Roman;serif"/>
              </w:rPr>
            </w:pPr>
            <w:r>
              <w:rPr>
                <w:color w:val="000000"/>
              </w:rPr>
              <w:t xml:space="preserve">R$ </w:t>
            </w:r>
            <w:r>
              <w:rPr/>
              <w:t>45,20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238" w:after="0"/>
              <w:jc w:val="center"/>
              <w:rPr>
                <w:rFonts w:ascii="Times New Roman;serif" w:hAnsi="Times New Roman;serif"/>
              </w:rPr>
            </w:pPr>
            <w:r>
              <w:rPr>
                <w:color w:val="000000"/>
              </w:rPr>
              <w:t xml:space="preserve">R$ </w:t>
            </w:r>
            <w:r>
              <w:rPr/>
              <w:t>90,40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206</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Compressor De Ar</w:t>
            </w:r>
          </w:p>
          <w:p>
            <w:pPr>
              <w:pStyle w:val="Contedodatabela"/>
              <w:widowControl w:val="false"/>
              <w:spacing w:before="0" w:after="283"/>
              <w:rPr/>
            </w:pPr>
            <w:r>
              <w:rPr/>
              <w:t>Pressão Máxima: 120 PSI</w:t>
            </w:r>
          </w:p>
          <w:p>
            <w:pPr>
              <w:pStyle w:val="Contedodatabela"/>
              <w:widowControl w:val="false"/>
              <w:spacing w:before="0" w:after="283"/>
              <w:rPr/>
            </w:pPr>
            <w:r>
              <w:rPr/>
              <w:t>Potência Motor: 1,50 HP</w:t>
            </w:r>
          </w:p>
          <w:p>
            <w:pPr>
              <w:pStyle w:val="Contedodatabela"/>
              <w:widowControl w:val="false"/>
              <w:spacing w:before="0" w:after="283"/>
              <w:rPr/>
            </w:pPr>
            <w:r>
              <w:rPr/>
              <w:t>Tensão: 110/220 V</w:t>
            </w:r>
          </w:p>
          <w:p>
            <w:pPr>
              <w:pStyle w:val="Contedodatabela"/>
              <w:widowControl w:val="false"/>
              <w:spacing w:before="0" w:after="283"/>
              <w:rPr/>
            </w:pPr>
            <w:r>
              <w:rPr/>
              <w:t>Capacidade Tanque: 24 L</w:t>
            </w:r>
          </w:p>
          <w:p>
            <w:pPr>
              <w:pStyle w:val="Contedodatabela"/>
              <w:widowControl w:val="false"/>
              <w:spacing w:before="0" w:after="283"/>
              <w:rPr/>
            </w:pPr>
            <w:r>
              <w:rPr/>
              <w:t>Dimensões: 60 X 27 X 37 CM</w:t>
            </w:r>
          </w:p>
          <w:p>
            <w:pPr>
              <w:pStyle w:val="Contedodatabela"/>
              <w:widowControl w:val="false"/>
              <w:spacing w:before="0" w:after="283"/>
              <w:rPr/>
            </w:pPr>
            <w:r>
              <w:rPr/>
              <w:t>Características Adicionais: Pressão Mínima 80 Psi</w:t>
            </w:r>
          </w:p>
          <w:p>
            <w:pPr>
              <w:pStyle w:val="Contedodatabela"/>
              <w:widowControl w:val="false"/>
              <w:spacing w:before="0" w:after="283"/>
              <w:rPr/>
            </w:pPr>
            <w:r>
              <w:rPr/>
              <w:t>Aplicação: Pintura em geral</w:t>
            </w:r>
          </w:p>
          <w:p>
            <w:pPr>
              <w:pStyle w:val="Contedodatabela"/>
              <w:widowControl w:val="false"/>
              <w:spacing w:before="0" w:after="283"/>
              <w:rPr/>
            </w:pPr>
            <w:r>
              <w:rPr/>
              <w:t>Acessórios: Pistola Para Pintura</w:t>
            </w:r>
          </w:p>
          <w:p>
            <w:pPr>
              <w:pStyle w:val="Contedodatabela"/>
              <w:widowControl w:val="false"/>
              <w:spacing w:before="0" w:after="283"/>
              <w:rPr/>
            </w:pPr>
            <w:r>
              <w:rPr/>
            </w:r>
          </w:p>
          <w:p>
            <w:pPr>
              <w:pStyle w:val="Contedodatabela"/>
              <w:widowControl w:val="false"/>
              <w:rPr>
                <w:rFonts w:ascii="Times New Roman;serif" w:hAnsi="Times New Roman;serif"/>
              </w:rPr>
            </w:pPr>
            <w:r>
              <w:rPr>
                <w:rFonts w:ascii="Times New Roman;serif" w:hAnsi="Times New Roman;serif"/>
              </w:rPr>
              <w:t>Descrição: Compressor de Ar Direto Bivolt com Chave seletora e Kit completo de Pintura. Possui 1.2 PCM de vazão e pressão de 50PSi. Ideal para pinturas de alvenaria, madeira e metal com tintas a base de água ou solventes.</w:t>
            </w:r>
          </w:p>
        </w:tc>
        <w:tc>
          <w:tcPr>
            <w:tcW w:w="1574" w:type="dxa"/>
            <w:tcBorders>
              <w:left w:val="single" w:sz="2" w:space="0" w:color="000000"/>
              <w:bottom w:val="single" w:sz="2" w:space="0" w:color="000000"/>
            </w:tcBorders>
            <w:tcMar>
              <w:top w:w="0" w:type="dxa"/>
            </w:tcMar>
            <w:vAlign w:val="center"/>
          </w:tcPr>
          <w:p>
            <w:pPr>
              <w:pStyle w:val="Contedodatabela"/>
              <w:widowControl w:val="false"/>
              <w:rPr>
                <w:rFonts w:ascii="Times New Roman;serif" w:hAnsi="Times New Roman;serif"/>
              </w:rPr>
            </w:pPr>
            <w:r>
              <w:rPr>
                <w:rFonts w:ascii="Times New Roman;serif" w:hAnsi="Times New Roman;serif"/>
              </w:rPr>
              <w:t>297719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497,84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497,84</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207</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Registro Gaveta</w:t>
            </w:r>
          </w:p>
          <w:p>
            <w:pPr>
              <w:pStyle w:val="Contedodatabela"/>
              <w:widowControl w:val="false"/>
              <w:spacing w:before="0" w:after="283"/>
              <w:rPr/>
            </w:pPr>
            <w:r>
              <w:rPr/>
              <w:t>Bitola: 60 MM</w:t>
            </w:r>
          </w:p>
          <w:p>
            <w:pPr>
              <w:pStyle w:val="Contedodatabela"/>
              <w:widowControl w:val="false"/>
              <w:spacing w:before="0" w:after="283"/>
              <w:rPr/>
            </w:pPr>
            <w:r>
              <w:rPr/>
              <w:t>Material: Pvc</w:t>
            </w:r>
          </w:p>
          <w:p>
            <w:pPr>
              <w:pStyle w:val="Contedodatabela"/>
              <w:widowControl w:val="false"/>
              <w:rPr>
                <w:rFonts w:ascii="Times New Roman;serif" w:hAnsi="Times New Roman;serif"/>
              </w:rPr>
            </w:pPr>
            <w:r>
              <w:rPr>
                <w:rFonts w:ascii="Times New Roman;serif" w:hAnsi="Times New Roman;serif"/>
              </w:rPr>
              <w:t>Aplicação: Instalação Hidráulica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302309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17,48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87,40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208</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Conexão Hidráulica</w:t>
            </w:r>
          </w:p>
          <w:p>
            <w:pPr>
              <w:pStyle w:val="Contedodatabela"/>
              <w:widowControl w:val="false"/>
              <w:spacing w:before="0" w:after="283"/>
              <w:rPr/>
            </w:pPr>
            <w:r>
              <w:rPr/>
              <w:t>Material: Pvc - Cloreto De Polivinila</w:t>
            </w:r>
          </w:p>
          <w:p>
            <w:pPr>
              <w:pStyle w:val="Contedodatabela"/>
              <w:widowControl w:val="false"/>
              <w:spacing w:before="0" w:after="283"/>
              <w:rPr/>
            </w:pPr>
            <w:r>
              <w:rPr/>
              <w:t>Tipo: Tê De Redução 90°</w:t>
            </w:r>
          </w:p>
          <w:p>
            <w:pPr>
              <w:pStyle w:val="Contedodatabela"/>
              <w:widowControl w:val="false"/>
              <w:spacing w:before="0" w:after="283"/>
              <w:rPr/>
            </w:pPr>
            <w:r>
              <w:rPr/>
              <w:t>Tipo Fixação: Soldável</w:t>
            </w:r>
          </w:p>
          <w:p>
            <w:pPr>
              <w:pStyle w:val="Contedodatabela"/>
              <w:widowControl w:val="false"/>
              <w:rPr>
                <w:rFonts w:ascii="Times New Roman;serif" w:hAnsi="Times New Roman;serif"/>
              </w:rPr>
            </w:pPr>
            <w:r>
              <w:rPr>
                <w:rFonts w:ascii="Times New Roman;serif" w:hAnsi="Times New Roman;serif"/>
              </w:rPr>
              <w:t>Bitola Ii: 60 X 25 MM</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367628</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18,57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74,28</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209</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Registro Gaveta</w:t>
            </w:r>
          </w:p>
          <w:p>
            <w:pPr>
              <w:pStyle w:val="Contedodatabela"/>
              <w:widowControl w:val="false"/>
              <w:spacing w:before="0" w:after="283"/>
              <w:rPr/>
            </w:pPr>
            <w:r>
              <w:rPr/>
              <w:t>Bitola: 75 MM</w:t>
            </w:r>
          </w:p>
          <w:p>
            <w:pPr>
              <w:pStyle w:val="Contedodatabela"/>
              <w:widowControl w:val="false"/>
              <w:spacing w:before="0" w:after="283"/>
              <w:rPr/>
            </w:pPr>
            <w:r>
              <w:rPr/>
              <w:t>Material: Ferro Fundido</w:t>
            </w:r>
          </w:p>
          <w:p>
            <w:pPr>
              <w:pStyle w:val="Contedodatabela"/>
              <w:widowControl w:val="false"/>
              <w:spacing w:before="0" w:after="283"/>
              <w:rPr/>
            </w:pPr>
            <w:r>
              <w:rPr/>
              <w:t>Características Adicionais: Chato/Pba/Com Bolsas/Junta Elástica/Anéis Borracha</w:t>
            </w:r>
          </w:p>
          <w:p>
            <w:pPr>
              <w:pStyle w:val="Contedodatabela"/>
              <w:widowControl w:val="false"/>
              <w:rPr>
                <w:rFonts w:ascii="Times New Roman;serif" w:hAnsi="Times New Roman;serif"/>
              </w:rPr>
            </w:pPr>
            <w:r>
              <w:rPr>
                <w:rFonts w:ascii="Times New Roman;serif" w:hAnsi="Times New Roman;serif"/>
              </w:rPr>
              <w:t>Aplicação: Instalação Hidráulica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392197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326,67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980,01</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210</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Martelo</w:t>
            </w:r>
          </w:p>
          <w:p>
            <w:pPr>
              <w:pStyle w:val="Contedodatabela"/>
              <w:widowControl w:val="false"/>
              <w:spacing w:before="0" w:after="283"/>
              <w:rPr/>
            </w:pPr>
            <w:r>
              <w:rPr/>
              <w:t>Material: Aço Carbono</w:t>
            </w:r>
          </w:p>
          <w:p>
            <w:pPr>
              <w:pStyle w:val="Contedodatabela"/>
              <w:widowControl w:val="false"/>
              <w:spacing w:before="0" w:after="283"/>
              <w:rPr/>
            </w:pPr>
            <w:r>
              <w:rPr/>
              <w:t>Material Cabo: Madeira</w:t>
            </w:r>
          </w:p>
          <w:p>
            <w:pPr>
              <w:pStyle w:val="Contedodatabela"/>
              <w:widowControl w:val="false"/>
              <w:spacing w:before="0" w:after="283"/>
              <w:rPr/>
            </w:pPr>
            <w:r>
              <w:rPr/>
              <w:t>Tipo: Unha</w:t>
            </w:r>
          </w:p>
          <w:p>
            <w:pPr>
              <w:pStyle w:val="Contedodatabela"/>
              <w:widowControl w:val="false"/>
              <w:spacing w:before="0" w:after="283"/>
              <w:rPr/>
            </w:pPr>
            <w:r>
              <w:rPr/>
              <w:t>Tamanho: 34 MM</w:t>
            </w:r>
          </w:p>
          <w:p>
            <w:pPr>
              <w:pStyle w:val="Contedodatabela"/>
              <w:widowControl w:val="false"/>
              <w:rPr>
                <w:rFonts w:ascii="Times New Roman;serif" w:hAnsi="Times New Roman;serif"/>
              </w:rPr>
            </w:pPr>
            <w:r>
              <w:rPr>
                <w:rFonts w:ascii="Times New Roman;serif" w:hAnsi="Times New Roman;serif"/>
              </w:rPr>
              <w:t>Características Adicionais: Cabo Madeira, Invernizado Fixação Resina Epóxi.</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466175</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46,82</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468,20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211</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Vaso Sanitário</w:t>
            </w:r>
          </w:p>
          <w:p>
            <w:pPr>
              <w:pStyle w:val="Contedodatabela"/>
              <w:widowControl w:val="false"/>
              <w:spacing w:before="0" w:after="283"/>
              <w:rPr/>
            </w:pPr>
            <w:r>
              <w:rPr/>
              <w:t>Material: Cerâmica</w:t>
            </w:r>
          </w:p>
          <w:p>
            <w:pPr>
              <w:pStyle w:val="Contedodatabela"/>
              <w:widowControl w:val="false"/>
              <w:spacing w:before="0" w:after="283"/>
              <w:rPr/>
            </w:pPr>
            <w:r>
              <w:rPr/>
              <w:t>Cor: Cinza-Claro</w:t>
            </w:r>
          </w:p>
          <w:p>
            <w:pPr>
              <w:pStyle w:val="Contedodatabela"/>
              <w:widowControl w:val="false"/>
              <w:spacing w:before="0" w:after="283"/>
              <w:rPr/>
            </w:pPr>
            <w:r>
              <w:rPr/>
              <w:t>Características Adicionais: Acoplado Com Descarga</w:t>
            </w:r>
          </w:p>
          <w:p>
            <w:pPr>
              <w:pStyle w:val="Contedodatabela"/>
              <w:widowControl w:val="false"/>
              <w:spacing w:before="0" w:after="283"/>
              <w:rPr/>
            </w:pPr>
            <w:r>
              <w:rPr/>
              <w:t>Tipo: Convencional</w:t>
            </w:r>
          </w:p>
          <w:p>
            <w:pPr>
              <w:pStyle w:val="Contedodatabela"/>
              <w:widowControl w:val="false"/>
              <w:spacing w:before="0" w:after="283"/>
              <w:rPr/>
            </w:pPr>
            <w:r>
              <w:rPr/>
              <w:t>Comprimento: 495 MM</w:t>
            </w:r>
          </w:p>
          <w:p>
            <w:pPr>
              <w:pStyle w:val="Contedodatabela"/>
              <w:widowControl w:val="false"/>
              <w:spacing w:before="0" w:after="283"/>
              <w:rPr/>
            </w:pPr>
            <w:r>
              <w:rPr/>
              <w:t>Largura: 385 MM</w:t>
            </w:r>
          </w:p>
          <w:p>
            <w:pPr>
              <w:pStyle w:val="Contedodatabela"/>
              <w:widowControl w:val="false"/>
              <w:rPr>
                <w:rFonts w:ascii="Times New Roman;serif" w:hAnsi="Times New Roman;serif"/>
              </w:rPr>
            </w:pPr>
            <w:r>
              <w:rPr>
                <w:rFonts w:ascii="Times New Roman;serif" w:hAnsi="Times New Roman;serif"/>
              </w:rPr>
              <w:t>Altura: 390 MM</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276524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pPr>
            <w:r>
              <w:rPr/>
              <w:t>Und</w:t>
            </w:r>
          </w:p>
          <w:p>
            <w:pPr>
              <w:pStyle w:val="Contedodatabela"/>
              <w:widowControl w:val="false"/>
              <w:jc w:val="center"/>
              <w:rPr/>
            </w:pPr>
            <w:r>
              <w:rPr/>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349,50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1.747,50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212</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w:t>
            </w:r>
            <w:r>
              <w:rPr>
                <w:rFonts w:ascii="Times New Roman;serif" w:hAnsi="Times New Roman;serif"/>
              </w:rPr>
              <w:t>Fechadura porta de alumínio com maçaneta”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615932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58,90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2.945,00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213</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Serra Circular Industrial</w:t>
            </w:r>
          </w:p>
          <w:p>
            <w:pPr>
              <w:pStyle w:val="Contedodatabela"/>
              <w:widowControl w:val="false"/>
              <w:spacing w:before="0" w:after="283"/>
              <w:rPr/>
            </w:pPr>
            <w:r>
              <w:rPr/>
              <w:t>Material: Ferro Fundido</w:t>
            </w:r>
          </w:p>
          <w:p>
            <w:pPr>
              <w:pStyle w:val="Contedodatabela"/>
              <w:widowControl w:val="false"/>
              <w:spacing w:before="0" w:after="283"/>
              <w:rPr/>
            </w:pPr>
            <w:r>
              <w:rPr/>
              <w:t>Tipo Serra: Esquadrejadeira</w:t>
            </w:r>
          </w:p>
          <w:p>
            <w:pPr>
              <w:pStyle w:val="Contedodatabela"/>
              <w:widowControl w:val="false"/>
              <w:spacing w:before="0" w:after="283"/>
              <w:rPr/>
            </w:pPr>
            <w:r>
              <w:rPr/>
              <w:t>Características Adicionais: Com Inclinacão De 0° A 45° 3 Cv De Potencia</w:t>
            </w:r>
          </w:p>
          <w:p>
            <w:pPr>
              <w:pStyle w:val="Contedodatabela"/>
              <w:widowControl w:val="false"/>
              <w:spacing w:before="0" w:after="283"/>
              <w:rPr>
                <w:color w:val="000000"/>
              </w:rPr>
            </w:pPr>
            <w:r>
              <w:rPr>
                <w:color w:val="000000"/>
              </w:rPr>
              <w:t>Descrição: Esse tipo de serra não serve para fazer cortes circulares, mas sim cortes retos, com ótima precisão e profundidade. Ela é usada comumente por quem trabalha com madeira, mas também corta acrílico, metais e alvenaria.</w:t>
            </w:r>
          </w:p>
          <w:p>
            <w:pPr>
              <w:pStyle w:val="Contedodatabela"/>
              <w:widowControl w:val="false"/>
              <w:spacing w:before="0" w:after="283"/>
              <w:rPr/>
            </w:pPr>
            <w:r>
              <w:rPr/>
              <w:t>Dados técnicos:</w:t>
            </w:r>
          </w:p>
          <w:p>
            <w:pPr>
              <w:pStyle w:val="Contedodatabela"/>
              <w:widowControl w:val="false"/>
              <w:spacing w:before="0" w:after="283"/>
              <w:rPr/>
            </w:pPr>
            <w:r>
              <w:rPr/>
              <w:t>Tensão: 110V</w:t>
            </w:r>
          </w:p>
          <w:p>
            <w:pPr>
              <w:pStyle w:val="Contedodatabela"/>
              <w:widowControl w:val="false"/>
              <w:spacing w:before="0" w:after="283"/>
              <w:rPr/>
            </w:pPr>
            <w:r>
              <w:rPr/>
              <w:t>Potência: 1.800W</w:t>
            </w:r>
          </w:p>
          <w:p>
            <w:pPr>
              <w:pStyle w:val="Contedodatabela"/>
              <w:widowControl w:val="false"/>
              <w:spacing w:before="0" w:after="283"/>
              <w:rPr/>
            </w:pPr>
            <w:r>
              <w:rPr/>
              <w:t>Rotações por minuto: 5.200</w:t>
            </w:r>
          </w:p>
          <w:p>
            <w:pPr>
              <w:pStyle w:val="Contedodatabela"/>
              <w:widowControl w:val="false"/>
              <w:spacing w:before="0" w:after="283"/>
              <w:rPr/>
            </w:pPr>
            <w:r>
              <w:rPr/>
              <w:t>Tamanho do disco: 210mm Capacidades</w:t>
            </w:r>
          </w:p>
          <w:p>
            <w:pPr>
              <w:pStyle w:val="Contedodatabela"/>
              <w:widowControl w:val="false"/>
              <w:spacing w:before="0" w:after="283"/>
              <w:rPr/>
            </w:pPr>
            <w:r>
              <w:rPr/>
              <w:t>Corte 90º: 75.5mm</w:t>
            </w:r>
          </w:p>
          <w:p>
            <w:pPr>
              <w:pStyle w:val="Contedodatabela"/>
              <w:widowControl w:val="false"/>
              <w:spacing w:before="0" w:after="283"/>
              <w:rPr/>
            </w:pPr>
            <w:r>
              <w:rPr/>
              <w:t>Corte 45º: 57mm</w:t>
            </w:r>
          </w:p>
          <w:p>
            <w:pPr>
              <w:pStyle w:val="Contedodatabela"/>
              <w:widowControl w:val="false"/>
              <w:spacing w:before="0" w:after="283"/>
              <w:rPr/>
            </w:pPr>
            <w:r>
              <w:rPr/>
              <w:t>Corte 50º: 51.5mm</w:t>
            </w:r>
          </w:p>
          <w:p>
            <w:pPr>
              <w:pStyle w:val="Contedodatabela"/>
              <w:widowControl w:val="false"/>
              <w:spacing w:before="0" w:after="283"/>
              <w:rPr/>
            </w:pPr>
            <w:r>
              <w:rPr/>
              <w:t>Dimensões (C x L x A): 332 x 243 x 277mm</w:t>
            </w:r>
          </w:p>
          <w:p>
            <w:pPr>
              <w:pStyle w:val="Contedodatabela"/>
              <w:widowControl w:val="false"/>
              <w:spacing w:before="0" w:after="283"/>
              <w:rPr/>
            </w:pPr>
            <w:r>
              <w:rPr/>
              <w:t>Peso: 5.1kg</w:t>
            </w:r>
          </w:p>
          <w:p>
            <w:pPr>
              <w:pStyle w:val="Contedodatabela"/>
              <w:widowControl w:val="false"/>
              <w:spacing w:before="0" w:after="283"/>
              <w:rPr/>
            </w:pPr>
            <w:r>
              <w:rPr/>
              <w:t>Emissão de vibrações: 3m/s²</w:t>
            </w:r>
          </w:p>
          <w:p>
            <w:pPr>
              <w:pStyle w:val="Contedodatabela"/>
              <w:widowControl w:val="false"/>
              <w:spacing w:before="0" w:after="283"/>
              <w:rPr/>
            </w:pPr>
            <w:r>
              <w:rPr/>
              <w:t>Incerteza K: 1.5m/s²</w:t>
            </w:r>
          </w:p>
          <w:p>
            <w:pPr>
              <w:pStyle w:val="Contedodatabela"/>
              <w:widowControl w:val="false"/>
              <w:spacing w:before="0" w:after="283"/>
              <w:rPr/>
            </w:pPr>
            <w:r>
              <w:rPr/>
              <w:t>Referência: 5008MG-127V</w:t>
            </w:r>
          </w:p>
          <w:p>
            <w:pPr>
              <w:pStyle w:val="Contedodatabela"/>
              <w:widowControl w:val="false"/>
              <w:spacing w:before="0" w:after="283"/>
              <w:rPr/>
            </w:pPr>
            <w:r>
              <w:rPr/>
              <w:t>Características Técnicas:</w:t>
            </w:r>
          </w:p>
          <w:p>
            <w:pPr>
              <w:pStyle w:val="Contedodatabela"/>
              <w:widowControl w:val="false"/>
              <w:spacing w:before="0" w:after="283"/>
              <w:rPr/>
            </w:pPr>
            <w:r>
              <w:rPr/>
              <w:t>Código: 1FIF01990000</w:t>
            </w:r>
          </w:p>
          <w:p>
            <w:pPr>
              <w:pStyle w:val="Contedodatabela"/>
              <w:widowControl w:val="false"/>
              <w:spacing w:before="0" w:after="283"/>
              <w:rPr/>
            </w:pPr>
            <w:r>
              <w:rPr/>
              <w:t>Modelo: FIF-01</w:t>
            </w:r>
          </w:p>
          <w:p>
            <w:pPr>
              <w:pStyle w:val="Contedodatabela"/>
              <w:widowControl w:val="false"/>
              <w:spacing w:before="0" w:after="283"/>
              <w:rPr/>
            </w:pPr>
            <w:r>
              <w:rPr/>
              <w:t>Tensão de Operação: 220V a 440V</w:t>
            </w:r>
          </w:p>
          <w:p>
            <w:pPr>
              <w:pStyle w:val="Contedodatabela"/>
              <w:widowControl w:val="false"/>
              <w:spacing w:before="0" w:after="283"/>
              <w:rPr/>
            </w:pPr>
            <w:r>
              <w:rPr/>
              <w:t>Número de Fases da Entrada: Trifásico</w:t>
            </w:r>
          </w:p>
          <w:p>
            <w:pPr>
              <w:pStyle w:val="Contedodatabela"/>
              <w:widowControl w:val="false"/>
              <w:spacing w:before="0" w:after="283"/>
              <w:rPr/>
            </w:pPr>
            <w:r>
              <w:rPr/>
              <w:t>Contatos Auxiliares: 1NAF</w:t>
            </w:r>
          </w:p>
          <w:p>
            <w:pPr>
              <w:pStyle w:val="Contedodatabela"/>
              <w:widowControl w:val="false"/>
              <w:spacing w:before="0" w:after="283"/>
              <w:rPr/>
            </w:pPr>
            <w:r>
              <w:rPr/>
              <w:t>Característica: Falta de Fase, Inversão de Fase. Assimetria de Fase, Sem Retardo e Sem Monitoramento de Neutro</w:t>
            </w:r>
          </w:p>
          <w:p>
            <w:pPr>
              <w:pStyle w:val="Contedodatabela"/>
              <w:widowControl w:val="false"/>
              <w:spacing w:before="0" w:after="283"/>
              <w:rPr/>
            </w:pPr>
            <w:r>
              <w:rPr/>
              <w:t>Ajuste de Sensibilidade:</w:t>
            </w:r>
          </w:p>
          <w:p>
            <w:pPr>
              <w:pStyle w:val="Contedodatabela"/>
              <w:widowControl w:val="false"/>
              <w:spacing w:before="0" w:after="283"/>
              <w:rPr/>
            </w:pPr>
            <w:r>
              <w:rPr/>
              <w:t>Assimetria entre Fases - 7 a 20%</w:t>
            </w:r>
          </w:p>
          <w:p>
            <w:pPr>
              <w:pStyle w:val="Contedodatabela"/>
              <w:widowControl w:val="false"/>
              <w:spacing w:before="0" w:after="283"/>
              <w:rPr/>
            </w:pPr>
            <w:r>
              <w:rPr/>
              <w:t>Tempo de Reset: &lt;500ms</w:t>
            </w:r>
          </w:p>
          <w:p>
            <w:pPr>
              <w:pStyle w:val="Contedodatabela"/>
              <w:widowControl w:val="false"/>
              <w:spacing w:before="0" w:after="283"/>
              <w:rPr/>
            </w:pPr>
            <w:r>
              <w:rPr/>
              <w:t>Grau de Proteção:</w:t>
            </w:r>
          </w:p>
          <w:p>
            <w:pPr>
              <w:pStyle w:val="Contedodatabela"/>
              <w:widowControl w:val="false"/>
              <w:spacing w:before="0" w:after="283"/>
              <w:rPr/>
            </w:pPr>
            <w:r>
              <w:rPr/>
              <w:t>Involucro - IP51</w:t>
            </w:r>
          </w:p>
          <w:p>
            <w:pPr>
              <w:pStyle w:val="Contedodatabela"/>
              <w:widowControl w:val="false"/>
              <w:spacing w:before="0" w:after="283"/>
              <w:rPr/>
            </w:pPr>
            <w:r>
              <w:rPr/>
              <w:t>Terminais - IP10</w:t>
            </w:r>
          </w:p>
          <w:p>
            <w:pPr>
              <w:pStyle w:val="Contedodatabela"/>
              <w:widowControl w:val="false"/>
              <w:spacing w:before="0" w:after="283"/>
              <w:rPr/>
            </w:pPr>
            <w:r>
              <w:rPr/>
              <w:t>Dimensões (mm):</w:t>
            </w:r>
          </w:p>
          <w:p>
            <w:pPr>
              <w:pStyle w:val="Contedodatabela"/>
              <w:widowControl w:val="false"/>
              <w:spacing w:before="0" w:after="283"/>
              <w:rPr/>
            </w:pPr>
            <w:r>
              <w:rPr/>
              <w:t>Largura – 22,5</w:t>
            </w:r>
          </w:p>
          <w:p>
            <w:pPr>
              <w:pStyle w:val="Contedodatabela"/>
              <w:widowControl w:val="false"/>
              <w:spacing w:before="0" w:after="283"/>
              <w:rPr/>
            </w:pPr>
            <w:r>
              <w:rPr/>
              <w:t>Altura – 78,6</w:t>
            </w:r>
          </w:p>
          <w:p>
            <w:pPr>
              <w:pStyle w:val="Contedodatabela"/>
              <w:widowControl w:val="false"/>
              <w:spacing w:before="0" w:after="283"/>
              <w:rPr/>
            </w:pPr>
            <w:r>
              <w:rPr/>
              <w:t>Profundidade – 85,9.</w:t>
            </w:r>
          </w:p>
          <w:p>
            <w:pPr>
              <w:pStyle w:val="Contedodatabela"/>
              <w:widowControl w:val="false"/>
              <w:spacing w:before="0" w:after="283"/>
              <w:rPr/>
            </w:pPr>
            <w:r>
              <w:rPr/>
              <w:t>Características do produto</w:t>
            </w:r>
          </w:p>
          <w:p>
            <w:pPr>
              <w:pStyle w:val="Contedodatabela"/>
              <w:widowControl w:val="false"/>
              <w:spacing w:before="0" w:after="283"/>
              <w:rPr/>
            </w:pPr>
            <w:r>
              <w:rPr/>
              <w:t>Características principais</w:t>
            </w:r>
          </w:p>
          <w:p>
            <w:pPr>
              <w:pStyle w:val="Contedodatabela"/>
              <w:widowControl w:val="false"/>
              <w:spacing w:before="0" w:after="283"/>
              <w:rPr/>
            </w:pPr>
            <w:r>
              <w:rPr/>
              <w:t>Marca</w:t>
            </w:r>
          </w:p>
          <w:p>
            <w:pPr>
              <w:pStyle w:val="Contedodatabela"/>
              <w:widowControl w:val="false"/>
              <w:spacing w:before="0" w:after="283"/>
              <w:rPr/>
            </w:pPr>
            <w:r>
              <w:rPr/>
              <w:t>Tiwa</w:t>
            </w:r>
          </w:p>
          <w:p>
            <w:pPr>
              <w:pStyle w:val="Contedodatabela"/>
              <w:widowControl w:val="false"/>
              <w:spacing w:before="0" w:after="283"/>
              <w:rPr/>
            </w:pPr>
            <w:r>
              <w:rPr/>
              <w:t>Série</w:t>
            </w:r>
          </w:p>
          <w:p>
            <w:pPr>
              <w:pStyle w:val="Contedodatabela"/>
              <w:widowControl w:val="false"/>
              <w:spacing w:before="0" w:after="283"/>
              <w:rPr/>
            </w:pPr>
            <w:r>
              <w:rPr/>
              <w:t>JX2</w:t>
            </w:r>
          </w:p>
          <w:p>
            <w:pPr>
              <w:pStyle w:val="Contedodatabela"/>
              <w:widowControl w:val="false"/>
              <w:spacing w:before="0" w:after="283"/>
              <w:rPr/>
            </w:pPr>
            <w:r>
              <w:rPr/>
              <w:t>Modelo</w:t>
            </w:r>
          </w:p>
          <w:p>
            <w:pPr>
              <w:pStyle w:val="Contedodatabela"/>
              <w:widowControl w:val="false"/>
              <w:spacing w:before="0" w:after="283"/>
              <w:rPr/>
            </w:pPr>
            <w:r>
              <w:rPr/>
              <w:t>CJX2-5011M7</w:t>
            </w:r>
          </w:p>
          <w:p>
            <w:pPr>
              <w:pStyle w:val="Contedodatabela"/>
              <w:widowControl w:val="false"/>
              <w:spacing w:before="0" w:after="283"/>
              <w:rPr/>
            </w:pPr>
            <w:r>
              <w:rPr/>
              <w:t>Outros</w:t>
            </w:r>
          </w:p>
          <w:p>
            <w:pPr>
              <w:pStyle w:val="Contedodatabela"/>
              <w:widowControl w:val="false"/>
              <w:spacing w:before="0" w:after="283"/>
              <w:rPr/>
            </w:pPr>
            <w:r>
              <w:rPr/>
              <w:t>Potência</w:t>
            </w:r>
          </w:p>
          <w:p>
            <w:pPr>
              <w:pStyle w:val="Contedodatabela"/>
              <w:widowControl w:val="false"/>
              <w:spacing w:before="0" w:after="283"/>
              <w:rPr/>
            </w:pPr>
            <w:r>
              <w:rPr/>
              <w:t>22000 W</w:t>
            </w:r>
          </w:p>
          <w:p>
            <w:pPr>
              <w:pStyle w:val="Contedodatabela"/>
              <w:widowControl w:val="false"/>
              <w:spacing w:before="0" w:after="283"/>
              <w:rPr/>
            </w:pPr>
            <w:r>
              <w:rPr/>
              <w:t>Tipo de produto</w:t>
            </w:r>
          </w:p>
          <w:p>
            <w:pPr>
              <w:pStyle w:val="Contedodatabela"/>
              <w:widowControl w:val="false"/>
              <w:spacing w:before="0" w:after="283"/>
              <w:rPr/>
            </w:pPr>
            <w:r>
              <w:rPr/>
              <w:t>Contator</w:t>
            </w:r>
          </w:p>
          <w:p>
            <w:pPr>
              <w:pStyle w:val="Contedodatabela"/>
              <w:widowControl w:val="false"/>
              <w:spacing w:before="0" w:after="283"/>
              <w:rPr/>
            </w:pPr>
            <w:r>
              <w:rPr/>
              <w:t>Categorias de utilização</w:t>
            </w:r>
          </w:p>
          <w:p>
            <w:pPr>
              <w:pStyle w:val="Contedodatabela"/>
              <w:widowControl w:val="false"/>
              <w:spacing w:before="0" w:after="283"/>
              <w:rPr/>
            </w:pPr>
            <w:r>
              <w:rPr/>
              <w:t>Material elétrico</w:t>
            </w:r>
          </w:p>
          <w:p>
            <w:pPr>
              <w:pStyle w:val="Contedodatabela"/>
              <w:widowControl w:val="false"/>
              <w:spacing w:before="0" w:after="283"/>
              <w:rPr/>
            </w:pPr>
            <w:r>
              <w:rPr/>
              <w:t>Tipo de montagem</w:t>
            </w:r>
          </w:p>
          <w:p>
            <w:pPr>
              <w:pStyle w:val="Contedodatabela"/>
              <w:widowControl w:val="false"/>
              <w:spacing w:before="0" w:after="283"/>
              <w:rPr/>
            </w:pPr>
            <w:r>
              <w:rPr/>
              <w:t>Contator</w:t>
            </w:r>
          </w:p>
          <w:p>
            <w:pPr>
              <w:pStyle w:val="Contedodatabela"/>
              <w:widowControl w:val="false"/>
              <w:spacing w:before="0" w:after="283"/>
              <w:rPr/>
            </w:pPr>
            <w:r>
              <w:rPr/>
              <w:t>Quantidade de pólos principais</w:t>
            </w:r>
          </w:p>
          <w:p>
            <w:pPr>
              <w:pStyle w:val="Contedodatabela"/>
              <w:widowControl w:val="false"/>
              <w:spacing w:before="0" w:after="283"/>
              <w:rPr/>
            </w:pPr>
            <w:r>
              <w:rPr/>
              <w:t>3</w:t>
            </w:r>
          </w:p>
          <w:p>
            <w:pPr>
              <w:pStyle w:val="Contedodatabela"/>
              <w:widowControl w:val="false"/>
              <w:spacing w:before="0" w:after="283"/>
              <w:rPr/>
            </w:pPr>
            <w:r>
              <w:rPr/>
              <w:t>Quantidade de pólos auxiliares</w:t>
            </w:r>
          </w:p>
          <w:p>
            <w:pPr>
              <w:pStyle w:val="Contedodatabela"/>
              <w:widowControl w:val="false"/>
              <w:spacing w:before="0" w:after="283"/>
              <w:rPr/>
            </w:pPr>
            <w:r>
              <w:rPr/>
              <w:t>1</w:t>
            </w:r>
          </w:p>
          <w:p>
            <w:pPr>
              <w:pStyle w:val="Contedodatabela"/>
              <w:widowControl w:val="false"/>
              <w:spacing w:before="0" w:after="283"/>
              <w:rPr/>
            </w:pPr>
            <w:r>
              <w:rPr/>
              <w:t>Com proteção contra sobrecarga</w:t>
            </w:r>
          </w:p>
          <w:p>
            <w:pPr>
              <w:pStyle w:val="Contedodatabela"/>
              <w:widowControl w:val="false"/>
              <w:rPr>
                <w:rFonts w:ascii="Times New Roman;serif" w:hAnsi="Times New Roman;serif"/>
              </w:rPr>
            </w:pPr>
            <w:r>
              <w:rPr>
                <w:rFonts w:ascii="Times New Roman;serif" w:hAnsi="Times New Roman;serif"/>
              </w:rPr>
              <w:t>Sim</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468594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6.654,51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6.654,51</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214</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Trena Eletrônica</w:t>
            </w:r>
          </w:p>
          <w:p>
            <w:pPr>
              <w:pStyle w:val="Contedodatabela"/>
              <w:widowControl w:val="false"/>
              <w:spacing w:before="0" w:after="283"/>
              <w:rPr/>
            </w:pPr>
            <w:r>
              <w:rPr/>
              <w:t>Tipo: Eletrônica Digital</w:t>
            </w:r>
          </w:p>
          <w:p>
            <w:pPr>
              <w:pStyle w:val="Contedodatabela"/>
              <w:widowControl w:val="false"/>
              <w:spacing w:before="0" w:after="283"/>
              <w:rPr/>
            </w:pPr>
            <w:r>
              <w:rPr/>
              <w:t>Método De Medição: A Laser</w:t>
            </w:r>
          </w:p>
          <w:p>
            <w:pPr>
              <w:pStyle w:val="Contedodatabela"/>
              <w:widowControl w:val="false"/>
              <w:spacing w:before="0" w:after="283"/>
              <w:rPr/>
            </w:pPr>
            <w:r>
              <w:rPr/>
              <w:t>Alcance: 40 M</w:t>
            </w:r>
          </w:p>
          <w:p>
            <w:pPr>
              <w:pStyle w:val="Contedodatabela"/>
              <w:widowControl w:val="false"/>
              <w:spacing w:before="0" w:after="283"/>
              <w:rPr/>
            </w:pPr>
            <w:r>
              <w:rPr/>
              <w:t>Tipo Visor: Cristal Líquido</w:t>
            </w:r>
          </w:p>
          <w:p>
            <w:pPr>
              <w:pStyle w:val="Contedodatabela"/>
              <w:widowControl w:val="false"/>
              <w:rPr>
                <w:rFonts w:ascii="Times New Roman;serif" w:hAnsi="Times New Roman;serif"/>
              </w:rPr>
            </w:pPr>
            <w:r>
              <w:rPr>
                <w:rFonts w:ascii="Times New Roman;serif" w:hAnsi="Times New Roman;serif"/>
              </w:rPr>
              <w:t>Caracteristicas Adicionais: Medição De Distância, Cálculo De Área.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460781</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237,34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474,68</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215</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Lanterna Não Elétrica</w:t>
            </w:r>
          </w:p>
          <w:p>
            <w:pPr>
              <w:pStyle w:val="Contedodatabela"/>
              <w:widowControl w:val="false"/>
              <w:spacing w:before="0" w:after="283"/>
              <w:rPr/>
            </w:pPr>
            <w:r>
              <w:rPr/>
              <w:t>Material: Aço Inoxidável</w:t>
            </w:r>
          </w:p>
          <w:p>
            <w:pPr>
              <w:pStyle w:val="Contedodatabela"/>
              <w:widowControl w:val="false"/>
              <w:spacing w:before="0" w:after="283"/>
              <w:rPr/>
            </w:pPr>
            <w:r>
              <w:rPr/>
              <w:t>Quantidade Pilhas: 2</w:t>
            </w:r>
          </w:p>
          <w:p>
            <w:pPr>
              <w:pStyle w:val="Contedodatabela"/>
              <w:widowControl w:val="false"/>
              <w:spacing w:before="0" w:after="283"/>
              <w:rPr/>
            </w:pPr>
            <w:r>
              <w:rPr/>
              <w:t>Tamanho Pilha: Aaa</w:t>
            </w:r>
          </w:p>
          <w:p>
            <w:pPr>
              <w:pStyle w:val="Contedodatabela"/>
              <w:widowControl w:val="false"/>
              <w:spacing w:before="0" w:after="283"/>
              <w:rPr/>
            </w:pPr>
            <w:r>
              <w:rPr/>
              <w:t>Características Adicionais: Clips De Segurança De Metal Para Fixação</w:t>
            </w:r>
          </w:p>
          <w:p>
            <w:pPr>
              <w:pStyle w:val="Contedodatabela"/>
              <w:widowControl w:val="false"/>
              <w:spacing w:before="0" w:after="283"/>
              <w:rPr/>
            </w:pPr>
            <w:r>
              <w:rPr/>
              <w:t>Tipo: Portátil</w:t>
            </w:r>
          </w:p>
          <w:p>
            <w:pPr>
              <w:pStyle w:val="Contedodatabela"/>
              <w:widowControl w:val="false"/>
              <w:spacing w:before="0" w:after="283"/>
              <w:rPr/>
            </w:pPr>
            <w:r>
              <w:rPr/>
              <w:t>Aplicação: Segurança</w:t>
            </w:r>
          </w:p>
          <w:p>
            <w:pPr>
              <w:pStyle w:val="Contedodatabela"/>
              <w:widowControl w:val="false"/>
              <w:rPr>
                <w:rFonts w:ascii="Times New Roman;serif" w:hAnsi="Times New Roman;serif"/>
              </w:rPr>
            </w:pPr>
            <w:r>
              <w:rPr>
                <w:rFonts w:ascii="Times New Roman;serif" w:hAnsi="Times New Roman;serif"/>
              </w:rPr>
              <w:t>Tipo Lâmpada: Led</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455677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47,97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191,88</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216</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Hidróxido De Sódio</w:t>
            </w:r>
          </w:p>
          <w:p>
            <w:pPr>
              <w:pStyle w:val="Contedodatabela"/>
              <w:widowControl w:val="false"/>
              <w:spacing w:before="0" w:after="283"/>
              <w:rPr/>
            </w:pPr>
            <w:r>
              <w:rPr/>
              <w:t>Aspecto Físico: Em Lentilhas Ou Micro Pérolas Esbranquiçadas</w:t>
            </w:r>
          </w:p>
          <w:p>
            <w:pPr>
              <w:pStyle w:val="Contedodatabela"/>
              <w:widowControl w:val="false"/>
              <w:spacing w:before="0" w:after="283"/>
              <w:rPr/>
            </w:pPr>
            <w:r>
              <w:rPr/>
              <w:t>Peso Molecular: 40 G/MOL</w:t>
            </w:r>
          </w:p>
          <w:p>
            <w:pPr>
              <w:pStyle w:val="Contedodatabela"/>
              <w:widowControl w:val="false"/>
              <w:spacing w:before="0" w:after="283"/>
              <w:rPr/>
            </w:pPr>
            <w:r>
              <w:rPr/>
              <w:t>Fórmula Química: Naoh</w:t>
            </w:r>
          </w:p>
          <w:p>
            <w:pPr>
              <w:pStyle w:val="Contedodatabela"/>
              <w:widowControl w:val="false"/>
              <w:spacing w:before="0" w:after="283"/>
              <w:rPr/>
            </w:pPr>
            <w:r>
              <w:rPr/>
              <w:t>Grau De Pureza: Pureza Mínima De 98%</w:t>
            </w:r>
          </w:p>
          <w:p>
            <w:pPr>
              <w:pStyle w:val="Contedodatabela"/>
              <w:widowControl w:val="false"/>
              <w:spacing w:before="0" w:after="283"/>
              <w:rPr/>
            </w:pPr>
            <w:r>
              <w:rPr/>
              <w:t>Característica Adicional: Reagente P.A. Acs</w:t>
            </w:r>
          </w:p>
          <w:p>
            <w:pPr>
              <w:pStyle w:val="Contedodatabela"/>
              <w:widowControl w:val="false"/>
              <w:rPr>
                <w:rFonts w:ascii="Times New Roman;serif" w:hAnsi="Times New Roman;serif"/>
              </w:rPr>
            </w:pPr>
            <w:r>
              <w:rPr>
                <w:rFonts w:ascii="Times New Roman;serif" w:hAnsi="Times New Roman;serif"/>
              </w:rPr>
              <w:t>Número De Referência Química: Cas 1310-73-2</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445526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kg</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16,10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161,00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217</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Chave Fusível Distribuição</w:t>
            </w:r>
          </w:p>
          <w:p>
            <w:pPr>
              <w:pStyle w:val="Contedodatabela"/>
              <w:widowControl w:val="false"/>
              <w:spacing w:before="0" w:after="283"/>
              <w:rPr/>
            </w:pPr>
            <w:r>
              <w:rPr/>
              <w:t>Tensão Máxima Operação: 15 KV</w:t>
            </w:r>
          </w:p>
          <w:p>
            <w:pPr>
              <w:pStyle w:val="Contedodatabela"/>
              <w:widowControl w:val="false"/>
              <w:spacing w:before="0" w:after="283"/>
              <w:rPr/>
            </w:pPr>
            <w:r>
              <w:rPr/>
              <w:t>Corrente Nominal: 300 A</w:t>
            </w:r>
          </w:p>
          <w:p>
            <w:pPr>
              <w:pStyle w:val="Contedodatabela"/>
              <w:widowControl w:val="false"/>
              <w:spacing w:before="0" w:after="283"/>
              <w:rPr/>
            </w:pPr>
            <w:r>
              <w:rPr/>
              <w:t>Corrente Nominal Porta-Fusível: 100 A</w:t>
            </w:r>
          </w:p>
          <w:p>
            <w:pPr>
              <w:pStyle w:val="Contedodatabela"/>
              <w:widowControl w:val="false"/>
              <w:spacing w:before="0" w:after="283"/>
              <w:rPr/>
            </w:pPr>
            <w:r>
              <w:rPr/>
              <w:t>Capacidade Interrupção Simétrica: 7,1 KA</w:t>
            </w:r>
          </w:p>
          <w:p>
            <w:pPr>
              <w:pStyle w:val="Contedodatabela"/>
              <w:widowControl w:val="false"/>
              <w:spacing w:before="0" w:after="283"/>
              <w:rPr/>
            </w:pPr>
            <w:r>
              <w:rPr/>
              <w:t>Capacidade Interrupção Assimétrica: 10 KA</w:t>
            </w:r>
          </w:p>
          <w:p>
            <w:pPr>
              <w:pStyle w:val="Contedodatabela"/>
              <w:widowControl w:val="false"/>
              <w:spacing w:before="0" w:after="283"/>
              <w:rPr/>
            </w:pPr>
            <w:r>
              <w:rPr/>
              <w:t>Características Adicionais: Gancho Para Operação Com Ferramenta De Abertura Em</w:t>
            </w:r>
          </w:p>
          <w:p>
            <w:pPr>
              <w:pStyle w:val="Contedodatabela"/>
              <w:widowControl w:val="false"/>
              <w:spacing w:before="0" w:after="283"/>
              <w:rPr/>
            </w:pPr>
            <w:r>
              <w:rPr/>
              <w:t>Normas Técnicas: Nbr 8124</w:t>
            </w:r>
          </w:p>
          <w:p>
            <w:pPr>
              <w:pStyle w:val="Contedodatabela"/>
              <w:widowControl w:val="false"/>
              <w:spacing w:before="0" w:after="283"/>
              <w:rPr/>
            </w:pPr>
            <w:r>
              <w:rPr/>
              <w:t>Tipo Base: Isolador, Porcelana Vitrificada De Alta Resistênci</w:t>
            </w:r>
          </w:p>
          <w:p>
            <w:pPr>
              <w:pStyle w:val="Contedodatabela"/>
              <w:widowControl w:val="false"/>
              <w:spacing w:before="0" w:after="283"/>
              <w:rPr/>
            </w:pPr>
            <w:r>
              <w:rPr/>
              <w:t>Montagem: Ferragem Completa Para Fixação Em Cruzeta</w:t>
            </w:r>
          </w:p>
          <w:p>
            <w:pPr>
              <w:pStyle w:val="Contedodatabela"/>
              <w:widowControl w:val="false"/>
              <w:spacing w:before="0" w:after="283"/>
              <w:rPr/>
            </w:pPr>
            <w:r>
              <w:rPr/>
              <w:t>Característica Conector: Paralelo Estanhado Para Cabo De 10 A 120mm2</w:t>
            </w:r>
          </w:p>
          <w:p>
            <w:pPr>
              <w:pStyle w:val="Contedodatabela"/>
              <w:widowControl w:val="false"/>
              <w:spacing w:before="0" w:after="283"/>
              <w:rPr/>
            </w:pPr>
            <w:r>
              <w:rPr/>
              <w:t>Aplicação: Rede De Distribuição</w:t>
            </w:r>
          </w:p>
          <w:p>
            <w:pPr>
              <w:pStyle w:val="Contedodatabela"/>
              <w:widowControl w:val="false"/>
              <w:spacing w:before="0" w:after="283"/>
              <w:rPr/>
            </w:pPr>
            <w:r>
              <w:rPr/>
              <w:t>Descrição: Chave Fusível Base C Porcelana</w:t>
            </w:r>
          </w:p>
          <w:p>
            <w:pPr>
              <w:pStyle w:val="Contedodatabela"/>
              <w:widowControl w:val="false"/>
              <w:spacing w:before="0" w:after="283"/>
              <w:rPr/>
            </w:pPr>
            <w:r>
              <w:rPr/>
              <w:t>Especialmente projetada para proteger transformadores , banco de capacitores, cabines primárias, linhas e ramais.</w:t>
            </w:r>
          </w:p>
          <w:p>
            <w:pPr>
              <w:pStyle w:val="Contedodatabela"/>
              <w:widowControl w:val="false"/>
              <w:rPr>
                <w:rFonts w:ascii="Times New Roman;serif" w:hAnsi="Times New Roman;serif"/>
              </w:rPr>
            </w:pPr>
            <w:r>
              <w:rPr>
                <w:rFonts w:ascii="Times New Roman;serif" w:hAnsi="Times New Roman;serif"/>
              </w:rPr>
              <w:t>Sua construção robusta, fabricada com material rigorosamente testado, permite interromper desde a mínima até a máxima falta admissível pelo porta-fusível, nas mais severas condições, permanecendo inalteradas as suas características tanto mecânicas quanto elétricas.</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366513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307,43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1.229,72</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218</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Bomba Hidráulica</w:t>
            </w:r>
          </w:p>
          <w:p>
            <w:pPr>
              <w:pStyle w:val="Contedodatabela"/>
              <w:widowControl w:val="false"/>
              <w:spacing w:before="0" w:after="283"/>
              <w:rPr/>
            </w:pPr>
            <w:r>
              <w:rPr/>
              <w:t>Tipo Motor: Elétrico Monofásico</w:t>
            </w:r>
          </w:p>
          <w:p>
            <w:pPr>
              <w:pStyle w:val="Contedodatabela"/>
              <w:widowControl w:val="false"/>
              <w:spacing w:before="0" w:after="283"/>
              <w:rPr/>
            </w:pPr>
            <w:r>
              <w:rPr/>
              <w:t>Tensão Alimentação: 220 V</w:t>
            </w:r>
          </w:p>
          <w:p>
            <w:pPr>
              <w:pStyle w:val="Contedodatabela"/>
              <w:widowControl w:val="false"/>
              <w:spacing w:before="0" w:after="283"/>
              <w:rPr/>
            </w:pPr>
            <w:r>
              <w:rPr/>
              <w:t>Potência: 1 CV</w:t>
            </w:r>
          </w:p>
          <w:p>
            <w:pPr>
              <w:pStyle w:val="Contedodatabela"/>
              <w:widowControl w:val="false"/>
              <w:spacing w:before="0" w:after="283"/>
              <w:rPr/>
            </w:pPr>
            <w:r>
              <w:rPr/>
              <w:t>Vazão: 5,4 M3/H</w:t>
            </w:r>
          </w:p>
          <w:p>
            <w:pPr>
              <w:pStyle w:val="Contedodatabela"/>
              <w:widowControl w:val="false"/>
              <w:spacing w:before="0" w:after="283"/>
              <w:rPr/>
            </w:pPr>
            <w:r>
              <w:rPr/>
              <w:t>Características Adicionais: Diâmetro Do Rotor: 128 Mm, Pressão Máxima Sem Vaz</w:t>
            </w:r>
          </w:p>
          <w:p>
            <w:pPr>
              <w:pStyle w:val="Contedodatabela"/>
              <w:widowControl w:val="false"/>
              <w:spacing w:before="0" w:after="283"/>
              <w:rPr/>
            </w:pPr>
            <w:r>
              <w:rPr/>
              <w:t>Aplicação: Recalque</w:t>
            </w:r>
          </w:p>
          <w:p>
            <w:pPr>
              <w:pStyle w:val="Contedodatabela"/>
              <w:widowControl w:val="false"/>
              <w:rPr>
                <w:rFonts w:ascii="Times New Roman;serif" w:hAnsi="Times New Roman;serif"/>
              </w:rPr>
            </w:pPr>
            <w:r>
              <w:rPr>
                <w:rFonts w:ascii="Times New Roman;serif" w:hAnsi="Times New Roman;serif"/>
              </w:rPr>
              <w:t>Diâmetro: 1 POL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486677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rFonts w:ascii="Times New Roman;serif" w:hAnsi="Times New Roman;serif"/>
                <w:color w:val="000000"/>
              </w:rPr>
              <w:t>900,00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1.800,00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219</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Bomba Hidráulica</w:t>
            </w:r>
          </w:p>
          <w:p>
            <w:pPr>
              <w:pStyle w:val="Contedodatabela"/>
              <w:widowControl w:val="false"/>
              <w:spacing w:before="0" w:after="283"/>
              <w:rPr/>
            </w:pPr>
            <w:r>
              <w:rPr/>
              <w:t>Tipo Motor: Trifásico</w:t>
            </w:r>
          </w:p>
          <w:p>
            <w:pPr>
              <w:pStyle w:val="Contedodatabela"/>
              <w:widowControl w:val="false"/>
              <w:spacing w:before="0" w:after="283"/>
              <w:rPr/>
            </w:pPr>
            <w:r>
              <w:rPr/>
              <w:t>Tensão Alimentação: 220/380 V</w:t>
            </w:r>
          </w:p>
          <w:p>
            <w:pPr>
              <w:pStyle w:val="Contedodatabela"/>
              <w:widowControl w:val="false"/>
              <w:spacing w:before="0" w:after="283"/>
              <w:rPr/>
            </w:pPr>
            <w:r>
              <w:rPr/>
              <w:t>Potência: 3 CV</w:t>
            </w:r>
          </w:p>
          <w:p>
            <w:pPr>
              <w:pStyle w:val="Contedodatabela"/>
              <w:widowControl w:val="false"/>
              <w:spacing w:before="0" w:after="283"/>
              <w:rPr/>
            </w:pPr>
            <w:r>
              <w:rPr/>
              <w:t>Velocidade: 3460 RPM</w:t>
            </w:r>
          </w:p>
          <w:p>
            <w:pPr>
              <w:pStyle w:val="Contedodatabela"/>
              <w:widowControl w:val="false"/>
              <w:spacing w:before="0" w:after="283"/>
              <w:rPr/>
            </w:pPr>
            <w:r>
              <w:rPr/>
              <w:t>Freqüência: 60 HZ</w:t>
            </w:r>
          </w:p>
          <w:p>
            <w:pPr>
              <w:pStyle w:val="Contedodatabela"/>
              <w:widowControl w:val="false"/>
              <w:rPr>
                <w:rFonts w:ascii="Times New Roman;serif" w:hAnsi="Times New Roman;serif"/>
              </w:rPr>
            </w:pPr>
            <w:r>
              <w:rPr>
                <w:rFonts w:ascii="Times New Roman;serif" w:hAnsi="Times New Roman;serif"/>
              </w:rPr>
              <w:t>Aplicação: Recalque</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456735</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R$ 2</w:t>
            </w:r>
            <w:r>
              <w:rPr/>
              <w:t>.500,00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R$ 10.000,00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220</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Telha</w:t>
            </w:r>
          </w:p>
          <w:p>
            <w:pPr>
              <w:pStyle w:val="Contedodatabela"/>
              <w:widowControl w:val="false"/>
              <w:spacing w:before="0" w:after="283"/>
              <w:rPr/>
            </w:pPr>
            <w:r>
              <w:rPr/>
              <w:t>Material: Cerâmica</w:t>
            </w:r>
          </w:p>
          <w:p>
            <w:pPr>
              <w:pStyle w:val="Contedodatabela"/>
              <w:widowControl w:val="false"/>
              <w:spacing w:before="0" w:after="283"/>
              <w:rPr/>
            </w:pPr>
            <w:r>
              <w:rPr/>
              <w:t>Tipo: Romana</w:t>
            </w:r>
          </w:p>
          <w:p>
            <w:pPr>
              <w:pStyle w:val="Contedodatabela"/>
              <w:widowControl w:val="false"/>
              <w:spacing w:before="0" w:after="283"/>
              <w:rPr/>
            </w:pPr>
            <w:r>
              <w:rPr/>
              <w:t>Comprimento: 39 CM</w:t>
            </w:r>
          </w:p>
          <w:p>
            <w:pPr>
              <w:pStyle w:val="Contedodatabela"/>
              <w:widowControl w:val="false"/>
              <w:spacing w:before="0" w:after="283"/>
              <w:rPr/>
            </w:pPr>
            <w:r>
              <w:rPr/>
              <w:t>Largura: 22 CM</w:t>
            </w:r>
          </w:p>
          <w:p>
            <w:pPr>
              <w:pStyle w:val="Contedodatabela"/>
              <w:widowControl w:val="false"/>
              <w:spacing w:before="0" w:after="283"/>
              <w:rPr/>
            </w:pPr>
            <w:r>
              <w:rPr/>
              <w:t>Rendimento: 18 UN/M2</w:t>
            </w:r>
          </w:p>
          <w:p>
            <w:pPr>
              <w:pStyle w:val="Contedodatabela"/>
              <w:widowControl w:val="false"/>
              <w:spacing w:before="0" w:after="283"/>
              <w:rPr/>
            </w:pPr>
            <w:r>
              <w:rPr/>
              <w:t>Tolerância Absorção Água: 12,50 PER</w:t>
            </w:r>
          </w:p>
          <w:p>
            <w:pPr>
              <w:pStyle w:val="Contedodatabela"/>
              <w:widowControl w:val="false"/>
              <w:spacing w:before="0" w:after="283"/>
              <w:rPr/>
            </w:pPr>
            <w:r>
              <w:rPr/>
              <w:t>Tolerância Absorção Calor: Baixa</w:t>
            </w:r>
          </w:p>
          <w:p>
            <w:pPr>
              <w:pStyle w:val="Contedodatabela"/>
              <w:widowControl w:val="false"/>
              <w:spacing w:before="0" w:after="283"/>
              <w:rPr/>
            </w:pPr>
            <w:r>
              <w:rPr/>
              <w:t>Acabamento Superficial: Natural</w:t>
            </w:r>
          </w:p>
          <w:p>
            <w:pPr>
              <w:pStyle w:val="Contedodatabela"/>
              <w:widowControl w:val="false"/>
              <w:spacing w:before="0" w:after="283"/>
              <w:rPr/>
            </w:pPr>
            <w:r>
              <w:rPr/>
              <w:t>Cor: Ocre</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290076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2,09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104,50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221</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Telha</w:t>
            </w:r>
          </w:p>
          <w:p>
            <w:pPr>
              <w:pStyle w:val="Contedodatabela"/>
              <w:widowControl w:val="false"/>
              <w:spacing w:before="0" w:after="283"/>
              <w:rPr/>
            </w:pPr>
            <w:r>
              <w:rPr/>
              <w:t>Material: Cerâmica</w:t>
            </w:r>
          </w:p>
          <w:p>
            <w:pPr>
              <w:pStyle w:val="Contedodatabela"/>
              <w:widowControl w:val="false"/>
              <w:spacing w:before="0" w:after="283"/>
              <w:rPr/>
            </w:pPr>
            <w:r>
              <w:rPr/>
              <w:t>Tipo: Portuguesa</w:t>
            </w:r>
          </w:p>
          <w:p>
            <w:pPr>
              <w:pStyle w:val="Contedodatabela"/>
              <w:widowControl w:val="false"/>
              <w:spacing w:before="0" w:after="283"/>
              <w:rPr/>
            </w:pPr>
            <w:r>
              <w:rPr/>
              <w:t>Comprimento: 39 CM</w:t>
            </w:r>
          </w:p>
          <w:p>
            <w:pPr>
              <w:pStyle w:val="Contedodatabela"/>
              <w:widowControl w:val="false"/>
              <w:spacing w:before="0" w:after="283"/>
              <w:rPr/>
            </w:pPr>
            <w:r>
              <w:rPr/>
              <w:t>Largura: 21 CM</w:t>
            </w:r>
          </w:p>
          <w:p>
            <w:pPr>
              <w:pStyle w:val="Contedodatabela"/>
              <w:widowControl w:val="false"/>
              <w:spacing w:before="0" w:after="283"/>
              <w:rPr/>
            </w:pPr>
            <w:r>
              <w:rPr/>
              <w:t>Rendimento: 18 UN/M2</w:t>
            </w:r>
          </w:p>
          <w:p>
            <w:pPr>
              <w:pStyle w:val="Contedodatabela"/>
              <w:widowControl w:val="false"/>
              <w:spacing w:before="0" w:after="283"/>
              <w:rPr/>
            </w:pPr>
            <w:r>
              <w:rPr/>
              <w:t>Tolerância Absorção Água: 12,50 PER</w:t>
            </w:r>
          </w:p>
          <w:p>
            <w:pPr>
              <w:pStyle w:val="Contedodatabela"/>
              <w:widowControl w:val="false"/>
              <w:spacing w:before="0" w:after="283"/>
              <w:rPr/>
            </w:pPr>
            <w:r>
              <w:rPr/>
              <w:t>Tolerância Absorção Calor: Baixa</w:t>
            </w:r>
          </w:p>
          <w:p>
            <w:pPr>
              <w:pStyle w:val="Contedodatabela"/>
              <w:widowControl w:val="false"/>
              <w:spacing w:before="0" w:after="283"/>
              <w:rPr/>
            </w:pPr>
            <w:r>
              <w:rPr/>
              <w:t>Acabamento Superficial: Natural</w:t>
            </w:r>
          </w:p>
          <w:p>
            <w:pPr>
              <w:pStyle w:val="Contedodatabela"/>
              <w:widowControl w:val="false"/>
              <w:rPr>
                <w:rFonts w:ascii="Times New Roman;serif" w:hAnsi="Times New Roman;serif"/>
              </w:rPr>
            </w:pPr>
            <w:r>
              <w:rPr>
                <w:rFonts w:ascii="Times New Roman;serif" w:hAnsi="Times New Roman;serif"/>
              </w:rPr>
              <w:t>Cor: Ocre</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216979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2,16</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108,00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222</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Telha</w:t>
            </w:r>
          </w:p>
          <w:p>
            <w:pPr>
              <w:pStyle w:val="Contedodatabela"/>
              <w:widowControl w:val="false"/>
              <w:spacing w:before="0" w:after="283"/>
              <w:rPr/>
            </w:pPr>
            <w:r>
              <w:rPr/>
              <w:t>Material: Cerâmica</w:t>
            </w:r>
          </w:p>
          <w:p>
            <w:pPr>
              <w:pStyle w:val="Contedodatabela"/>
              <w:widowControl w:val="false"/>
              <w:spacing w:before="0" w:after="283"/>
              <w:rPr/>
            </w:pPr>
            <w:r>
              <w:rPr/>
              <w:t>Tipo: Colonial</w:t>
            </w:r>
          </w:p>
          <w:p>
            <w:pPr>
              <w:pStyle w:val="Contedodatabela"/>
              <w:widowControl w:val="false"/>
              <w:spacing w:before="0" w:after="283"/>
              <w:rPr/>
            </w:pPr>
            <w:r>
              <w:rPr/>
              <w:t>Comprimento: 46 CM</w:t>
            </w:r>
          </w:p>
          <w:p>
            <w:pPr>
              <w:pStyle w:val="Contedodatabela"/>
              <w:widowControl w:val="false"/>
              <w:spacing w:before="0" w:after="283"/>
              <w:rPr/>
            </w:pPr>
            <w:r>
              <w:rPr/>
              <w:t>Largura: 18 CM</w:t>
            </w:r>
          </w:p>
          <w:p>
            <w:pPr>
              <w:pStyle w:val="Contedodatabela"/>
              <w:widowControl w:val="false"/>
              <w:spacing w:before="0" w:after="283"/>
              <w:rPr/>
            </w:pPr>
            <w:r>
              <w:rPr/>
              <w:t>Rendimento: 28 UN/M2</w:t>
            </w:r>
          </w:p>
          <w:p>
            <w:pPr>
              <w:pStyle w:val="Contedodatabela"/>
              <w:widowControl w:val="false"/>
              <w:spacing w:before="0" w:after="283"/>
              <w:rPr/>
            </w:pPr>
            <w:r>
              <w:rPr/>
              <w:t>Tolerância Absorção Água: 12,50 PER</w:t>
            </w:r>
          </w:p>
          <w:p>
            <w:pPr>
              <w:pStyle w:val="Contedodatabela"/>
              <w:widowControl w:val="false"/>
              <w:spacing w:before="0" w:after="283"/>
              <w:rPr/>
            </w:pPr>
            <w:r>
              <w:rPr/>
              <w:t>Tolerância Absorção Calor: Baixa</w:t>
            </w:r>
          </w:p>
          <w:p>
            <w:pPr>
              <w:pStyle w:val="Contedodatabela"/>
              <w:widowControl w:val="false"/>
              <w:spacing w:before="0" w:after="283"/>
              <w:rPr/>
            </w:pPr>
            <w:r>
              <w:rPr/>
              <w:t>Acabamento Superficial: Natural</w:t>
            </w:r>
          </w:p>
          <w:p>
            <w:pPr>
              <w:pStyle w:val="Contedodatabela"/>
              <w:widowControl w:val="false"/>
              <w:rPr>
                <w:rFonts w:ascii="Times New Roman;serif" w:hAnsi="Times New Roman;serif"/>
              </w:rPr>
            </w:pPr>
            <w:r>
              <w:rPr>
                <w:rFonts w:ascii="Times New Roman;serif" w:hAnsi="Times New Roman;serif"/>
              </w:rPr>
              <w:t>Cor: Ocre</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216973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0,77</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38,50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223</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Bomba Hidráulica</w:t>
            </w:r>
          </w:p>
          <w:p>
            <w:pPr>
              <w:pStyle w:val="Contedodatabela"/>
              <w:widowControl w:val="false"/>
              <w:spacing w:before="0" w:after="283"/>
              <w:rPr/>
            </w:pPr>
            <w:r>
              <w:rPr/>
              <w:t>Material: Ferro Fundido</w:t>
            </w:r>
          </w:p>
          <w:p>
            <w:pPr>
              <w:pStyle w:val="Contedodatabela"/>
              <w:widowControl w:val="false"/>
              <w:spacing w:before="0" w:after="283"/>
              <w:rPr/>
            </w:pPr>
            <w:r>
              <w:rPr/>
              <w:t>Tipo Motor: Elétrico Trifásico</w:t>
            </w:r>
          </w:p>
          <w:p>
            <w:pPr>
              <w:pStyle w:val="Contedodatabela"/>
              <w:widowControl w:val="false"/>
              <w:spacing w:before="0" w:after="283"/>
              <w:rPr/>
            </w:pPr>
            <w:r>
              <w:rPr/>
              <w:t>Tensão Alimentação: 220 V</w:t>
            </w:r>
          </w:p>
          <w:p>
            <w:pPr>
              <w:pStyle w:val="Contedodatabela"/>
              <w:widowControl w:val="false"/>
              <w:spacing w:before="0" w:after="283"/>
              <w:rPr/>
            </w:pPr>
            <w:r>
              <w:rPr/>
              <w:t>Potência: 5 CV</w:t>
            </w:r>
          </w:p>
          <w:p>
            <w:pPr>
              <w:pStyle w:val="Contedodatabela"/>
              <w:widowControl w:val="false"/>
              <w:spacing w:before="0" w:after="283"/>
              <w:rPr/>
            </w:pPr>
            <w:r>
              <w:rPr/>
              <w:t>Modelo: Centrífuga, 3 Estágios</w:t>
            </w:r>
          </w:p>
          <w:p>
            <w:pPr>
              <w:pStyle w:val="Contedodatabela"/>
              <w:widowControl w:val="false"/>
              <w:rPr>
                <w:rFonts w:ascii="Times New Roman;serif" w:hAnsi="Times New Roman;serif"/>
              </w:rPr>
            </w:pPr>
            <w:r>
              <w:rPr>
                <w:rFonts w:ascii="Times New Roman;serif" w:hAnsi="Times New Roman;serif"/>
              </w:rPr>
              <w:t>Aplicação: Sucção E Recalque</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614347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rFonts w:ascii="Times New Roman;serif" w:hAnsi="Times New Roman;serif"/>
                <w:color w:val="000000"/>
              </w:rPr>
              <w:t>6.500,00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R$ 26.00</w:t>
            </w:r>
            <w:r>
              <w:rPr/>
              <w:t>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224</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Cuba</w:t>
            </w:r>
          </w:p>
          <w:p>
            <w:pPr>
              <w:pStyle w:val="Contedodatabela"/>
              <w:widowControl w:val="false"/>
              <w:spacing w:before="0" w:after="283"/>
              <w:rPr/>
            </w:pPr>
            <w:r>
              <w:rPr/>
              <w:t>Material: Louça</w:t>
            </w:r>
          </w:p>
          <w:p>
            <w:pPr>
              <w:pStyle w:val="Contedodatabela"/>
              <w:widowControl w:val="false"/>
              <w:spacing w:before="0" w:after="283"/>
              <w:rPr/>
            </w:pPr>
            <w:r>
              <w:rPr/>
              <w:t>Formato: Oval</w:t>
            </w:r>
          </w:p>
          <w:p>
            <w:pPr>
              <w:pStyle w:val="Contedodatabela"/>
              <w:widowControl w:val="false"/>
              <w:spacing w:before="0" w:after="283"/>
              <w:rPr/>
            </w:pPr>
            <w:r>
              <w:rPr/>
              <w:t>Dimensões: 48,50 X 37,50 CM</w:t>
            </w:r>
          </w:p>
          <w:p>
            <w:pPr>
              <w:pStyle w:val="Contedodatabela"/>
              <w:widowControl w:val="false"/>
              <w:spacing w:before="0" w:after="283"/>
              <w:rPr/>
            </w:pPr>
            <w:r>
              <w:rPr/>
              <w:t>Cor: Branca</w:t>
            </w:r>
          </w:p>
          <w:p>
            <w:pPr>
              <w:pStyle w:val="Contedodatabela"/>
              <w:widowControl w:val="false"/>
              <w:spacing w:before="0" w:after="283"/>
              <w:rPr/>
            </w:pPr>
            <w:r>
              <w:rPr/>
              <w:t>Tipo: Embutir</w:t>
            </w:r>
          </w:p>
          <w:p>
            <w:pPr>
              <w:pStyle w:val="Contedodatabela"/>
              <w:widowControl w:val="false"/>
              <w:rPr>
                <w:rFonts w:ascii="Times New Roman;serif" w:hAnsi="Times New Roman;serif"/>
              </w:rPr>
            </w:pPr>
            <w:r>
              <w:rPr>
                <w:rFonts w:ascii="Times New Roman;serif" w:hAnsi="Times New Roman;serif"/>
              </w:rPr>
              <w:t>Aplicação: Banheiro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442075</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67,51</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405,06</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225</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Cuba</w:t>
            </w:r>
          </w:p>
          <w:p>
            <w:pPr>
              <w:pStyle w:val="Contedodatabela"/>
              <w:widowControl w:val="false"/>
              <w:spacing w:before="0" w:after="283"/>
              <w:rPr/>
            </w:pPr>
            <w:r>
              <w:rPr/>
              <w:t>Material: Louça</w:t>
            </w:r>
          </w:p>
          <w:p>
            <w:pPr>
              <w:pStyle w:val="Contedodatabela"/>
              <w:widowControl w:val="false"/>
              <w:spacing w:before="0" w:after="283"/>
              <w:rPr/>
            </w:pPr>
            <w:r>
              <w:rPr/>
              <w:t>Formato: Oval</w:t>
            </w:r>
          </w:p>
          <w:p>
            <w:pPr>
              <w:pStyle w:val="Contedodatabela"/>
              <w:widowControl w:val="false"/>
              <w:spacing w:before="0" w:after="283"/>
              <w:rPr/>
            </w:pPr>
            <w:r>
              <w:rPr/>
              <w:t>Dimensões: 540 X 410 Mm</w:t>
            </w:r>
          </w:p>
          <w:p>
            <w:pPr>
              <w:pStyle w:val="Contedodatabela"/>
              <w:widowControl w:val="false"/>
              <w:rPr>
                <w:rFonts w:ascii="Times New Roman;serif" w:hAnsi="Times New Roman;serif"/>
              </w:rPr>
            </w:pPr>
            <w:r>
              <w:rPr>
                <w:rFonts w:ascii="Times New Roman;serif" w:hAnsi="Times New Roman;serif"/>
              </w:rPr>
              <w:t>Cor: Branco Gelo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236549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35,98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215,88</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226</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Trena</w:t>
            </w:r>
          </w:p>
          <w:p>
            <w:pPr>
              <w:pStyle w:val="Contedodatabela"/>
              <w:widowControl w:val="false"/>
              <w:spacing w:before="0" w:after="283"/>
              <w:rPr>
                <w:color w:val="000000"/>
              </w:rPr>
            </w:pPr>
            <w:r>
              <w:rPr>
                <w:color w:val="000000"/>
              </w:rPr>
              <w:t>Material: Aço</w:t>
            </w:r>
          </w:p>
          <w:p>
            <w:pPr>
              <w:pStyle w:val="Contedodatabela"/>
              <w:widowControl w:val="false"/>
              <w:spacing w:before="0" w:after="283"/>
              <w:rPr>
                <w:color w:val="000000"/>
              </w:rPr>
            </w:pPr>
            <w:r>
              <w:rPr>
                <w:color w:val="000000"/>
              </w:rPr>
              <w:t>Largura Lâmina: 19 MM</w:t>
            </w:r>
          </w:p>
          <w:p>
            <w:pPr>
              <w:pStyle w:val="Contedodatabela"/>
              <w:widowControl w:val="false"/>
              <w:spacing w:before="0" w:after="283"/>
              <w:rPr>
                <w:color w:val="000000"/>
              </w:rPr>
            </w:pPr>
            <w:r>
              <w:rPr>
                <w:color w:val="000000"/>
              </w:rPr>
              <w:t>Comprimento: 5 M</w:t>
            </w:r>
          </w:p>
          <w:p>
            <w:pPr>
              <w:pStyle w:val="Contedodatabela"/>
              <w:widowControl w:val="false"/>
              <w:spacing w:before="0" w:after="283"/>
              <w:rPr>
                <w:color w:val="000000"/>
              </w:rPr>
            </w:pPr>
            <w:r>
              <w:rPr>
                <w:color w:val="000000"/>
              </w:rPr>
              <w:t>Revestimento: Borracha</w:t>
            </w:r>
          </w:p>
          <w:p>
            <w:pPr>
              <w:pStyle w:val="Contedodatabela"/>
              <w:widowControl w:val="false"/>
              <w:rPr>
                <w:rFonts w:ascii="Times New Roman;serif" w:hAnsi="Times New Roman;serif"/>
                <w:color w:val="000000"/>
              </w:rPr>
            </w:pPr>
            <w:r>
              <w:rPr>
                <w:rFonts w:ascii="Times New Roman;serif" w:hAnsi="Times New Roman;serif"/>
                <w:color w:val="000000"/>
              </w:rPr>
              <w:t>Características Adicionais: Enrolamento Automático Com Trava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393216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32,68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196,08</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227</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Estrutura Metálica para Chave Fusível</w:t>
            </w:r>
          </w:p>
          <w:p>
            <w:pPr>
              <w:pStyle w:val="Contedodatabela"/>
              <w:widowControl w:val="false"/>
              <w:spacing w:before="0" w:after="283"/>
              <w:rPr/>
            </w:pPr>
            <w:r>
              <w:rPr/>
              <w:t>Modelo/Tipo: MC0412 / MC0211 O suporte e os insertos de montagem são fabricados em aço zincado a quente e fixados ao isolador por meio de cimento inorgânico, o qual não deteriora nem absorve umidade e tem uma resistência mecânica suficiente para absorver parte do esforço causado pelas forças de interrupção.</w:t>
            </w:r>
          </w:p>
          <w:p>
            <w:pPr>
              <w:pStyle w:val="Contedodatabela"/>
              <w:widowControl w:val="false"/>
              <w:spacing w:before="0" w:after="283"/>
              <w:rPr/>
            </w:pPr>
            <w:r>
              <w:rPr/>
              <w:t>Podendo ser aplicada em qualquer sistema trifásico com tensão igual ou inferior à tensão máxima de operação da Chave.</w:t>
            </w:r>
          </w:p>
          <w:p>
            <w:pPr>
              <w:pStyle w:val="Contedodatabela"/>
              <w:widowControl w:val="false"/>
              <w:spacing w:before="0" w:after="283"/>
              <w:rPr/>
            </w:pPr>
            <w:r>
              <w:rPr/>
              <w:t>Em ambientes de alta poluição ou alto grau de salinidade pode ser usada uma chave com tensão nominal maior que a da rede onde será instalada, onde o isolador terá distância de escoamento maior, possibilitando assim, maior segurança contra abertura de arcos. Ainda, para uma melhor resistência a abrasão, as ferragens poderão ser fornecidas em aço inoxidável.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291902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78,33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1.566,60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238" w:after="0"/>
              <w:jc w:val="center"/>
              <w:rPr>
                <w:rFonts w:ascii="Times New Roman;serif" w:hAnsi="Times New Roman;serif"/>
              </w:rPr>
            </w:pPr>
            <w:r>
              <w:rPr>
                <w:rFonts w:ascii="Times New Roman;serif" w:hAnsi="Times New Roman;serif"/>
              </w:rPr>
              <w:t>228</w:t>
            </w:r>
          </w:p>
        </w:tc>
        <w:tc>
          <w:tcPr>
            <w:tcW w:w="3481" w:type="dxa"/>
            <w:tcBorders>
              <w:left w:val="single" w:sz="2" w:space="0" w:color="000000"/>
              <w:bottom w:val="single" w:sz="2" w:space="0" w:color="000000"/>
            </w:tcBorders>
            <w:tcMar>
              <w:top w:w="0" w:type="dxa"/>
            </w:tcMar>
            <w:vAlign w:val="center"/>
          </w:tcPr>
          <w:p>
            <w:pPr>
              <w:pStyle w:val="Contedodatabela"/>
              <w:widowControl w:val="false"/>
              <w:spacing w:before="238" w:after="0"/>
              <w:rPr/>
            </w:pPr>
            <w:r>
              <w:rPr/>
              <w:t>Solução Limpeza</w:t>
            </w:r>
          </w:p>
          <w:p>
            <w:pPr>
              <w:pStyle w:val="Contedodatabela"/>
              <w:widowControl w:val="false"/>
              <w:spacing w:before="238" w:after="0"/>
              <w:rPr>
                <w:color w:val="000000"/>
              </w:rPr>
            </w:pPr>
            <w:r>
              <w:rPr>
                <w:color w:val="000000"/>
              </w:rPr>
              <w:t>Composição Básica: Ácidos Graxos</w:t>
            </w:r>
          </w:p>
          <w:p>
            <w:pPr>
              <w:pStyle w:val="Contedodatabela"/>
              <w:widowControl w:val="false"/>
              <w:spacing w:before="238" w:after="0"/>
              <w:rPr>
                <w:color w:val="000000"/>
              </w:rPr>
            </w:pPr>
            <w:r>
              <w:rPr>
                <w:color w:val="000000"/>
              </w:rPr>
              <w:t>Finalidade: Limpeza De Superfícies</w:t>
            </w:r>
          </w:p>
          <w:p>
            <w:pPr>
              <w:pStyle w:val="Contedodatabela"/>
              <w:widowControl w:val="false"/>
              <w:spacing w:before="238" w:after="0"/>
              <w:rPr>
                <w:color w:val="000000"/>
              </w:rPr>
            </w:pPr>
            <w:r>
              <w:rPr>
                <w:color w:val="000000"/>
              </w:rPr>
              <w:t>Aplicação: Lavagem De Estruturas Metálicas</w:t>
            </w:r>
          </w:p>
          <w:p>
            <w:pPr>
              <w:pStyle w:val="Contedodatabela"/>
              <w:widowControl w:val="false"/>
              <w:spacing w:before="238" w:after="0"/>
              <w:rPr/>
            </w:pPr>
            <w:r>
              <w:rPr/>
              <w:t>Descrição</w:t>
            </w:r>
          </w:p>
          <w:p>
            <w:pPr>
              <w:pStyle w:val="Contedodatabela"/>
              <w:widowControl w:val="false"/>
              <w:spacing w:before="238" w:after="0"/>
              <w:rPr/>
            </w:pPr>
            <w:r>
              <w:rPr/>
              <w:t>Ação Rápida e Eficaz: Remove a oxidação e o zinabre em poucos segundos, renovando a superfície dos metais amarelos (cobre, latão e bronze) sem esforço físico ou uso de ferramentas abrasivas.</w:t>
              <w:br/>
              <w:t>Segurança e Sustentabilidade: Produto ecológico, isento de corantes e ácidos corrosivos. Fórmula à base d'água, livre de cromo e derivados. Notificado na ANVISA.</w:t>
              <w:br/>
              <w:t>Aplicações Versáteis: Ideal para uma vasta gama de peças, desde componentes elétricos, como barramentos elétricos, até itens de decoração e antiguidades.</w:t>
              <w:br/>
              <w:t>Fornecido em embalagens plásticas 1 Litro.</w:t>
              <w:br/>
              <w:br/>
              <w:t>APLICAÇÕES:</w:t>
              <w:br/>
              <w:br/>
              <w:t>Diversidade de Uso: Eficiente na desoxidação e limpeza de uma ampla gama de itens, incluindo objetos de arte, antiguidades, barramentos elétricos, conectores, peças de decoração, válvulas, lustres, esculturas, troféus, utensílios de cozinha e muitos outros. Esta versatilidade destaca a adaptabilidade do produto a diferentes necessidades e contextos.</w:t>
            </w:r>
          </w:p>
        </w:tc>
        <w:tc>
          <w:tcPr>
            <w:tcW w:w="1574" w:type="dxa"/>
            <w:tcBorders>
              <w:left w:val="single" w:sz="2" w:space="0" w:color="000000"/>
              <w:bottom w:val="single" w:sz="2" w:space="0" w:color="000000"/>
            </w:tcBorders>
            <w:tcMar>
              <w:top w:w="0" w:type="dxa"/>
            </w:tcMar>
            <w:vAlign w:val="center"/>
          </w:tcPr>
          <w:p>
            <w:pPr>
              <w:pStyle w:val="Contedodatabela"/>
              <w:widowControl w:val="false"/>
              <w:spacing w:before="238" w:after="238"/>
              <w:jc w:val="center"/>
              <w:rPr/>
            </w:pPr>
            <w:r>
              <w:rPr/>
            </w:r>
          </w:p>
          <w:p>
            <w:pPr>
              <w:pStyle w:val="Contedodatabela"/>
              <w:widowControl w:val="false"/>
              <w:spacing w:before="238" w:after="0"/>
              <w:jc w:val="center"/>
              <w:rPr/>
            </w:pPr>
            <w:r>
              <w:rPr/>
            </w:r>
          </w:p>
          <w:p>
            <w:pPr>
              <w:pStyle w:val="Contedodatabela"/>
              <w:widowControl w:val="false"/>
              <w:spacing w:before="238" w:after="0"/>
              <w:jc w:val="center"/>
              <w:rPr/>
            </w:pPr>
            <w:r>
              <w:rPr/>
            </w:r>
          </w:p>
          <w:p>
            <w:pPr>
              <w:pStyle w:val="Contedodatabela"/>
              <w:widowControl w:val="false"/>
              <w:spacing w:before="238" w:after="0"/>
              <w:jc w:val="center"/>
              <w:rPr>
                <w:rFonts w:ascii="Times New Roman;serif" w:hAnsi="Times New Roman;serif"/>
              </w:rPr>
            </w:pPr>
            <w:r>
              <w:rPr>
                <w:rFonts w:ascii="Times New Roman;serif" w:hAnsi="Times New Roman;serif"/>
              </w:rPr>
              <w:t>479017</w:t>
            </w:r>
          </w:p>
        </w:tc>
        <w:tc>
          <w:tcPr>
            <w:tcW w:w="932" w:type="dxa"/>
            <w:tcBorders>
              <w:left w:val="single" w:sz="2" w:space="0" w:color="000000"/>
              <w:bottom w:val="single" w:sz="2" w:space="0" w:color="000000"/>
            </w:tcBorders>
            <w:tcMar>
              <w:top w:w="0" w:type="dxa"/>
            </w:tcMar>
            <w:vAlign w:val="center"/>
          </w:tcPr>
          <w:p>
            <w:pPr>
              <w:pStyle w:val="Contedodatabela"/>
              <w:widowControl w:val="false"/>
              <w:spacing w:before="238" w:after="238"/>
              <w:jc w:val="center"/>
              <w:rPr/>
            </w:pPr>
            <w:r>
              <w:rPr/>
            </w:r>
          </w:p>
          <w:p>
            <w:pPr>
              <w:pStyle w:val="Contedodatabela"/>
              <w:widowControl w:val="false"/>
              <w:spacing w:before="238" w:after="238"/>
              <w:jc w:val="center"/>
              <w:rPr/>
            </w:pPr>
            <w:r>
              <w:rPr/>
            </w:r>
          </w:p>
          <w:p>
            <w:pPr>
              <w:pStyle w:val="Contedodatabela"/>
              <w:widowControl w:val="false"/>
              <w:spacing w:before="238" w:after="238"/>
              <w:jc w:val="center"/>
              <w:rPr/>
            </w:pPr>
            <w:r>
              <w:rPr/>
            </w:r>
          </w:p>
          <w:p>
            <w:pPr>
              <w:pStyle w:val="Contedodatabela"/>
              <w:widowControl w:val="false"/>
              <w:spacing w:before="238" w:after="0"/>
              <w:jc w:val="center"/>
              <w:rPr>
                <w:rFonts w:ascii="Times New Roman;serif" w:hAnsi="Times New Roman;serif"/>
              </w:rPr>
            </w:pPr>
            <w:r>
              <w:rPr>
                <w:rFonts w:ascii="Times New Roman;serif" w:hAnsi="Times New Roman;serif"/>
              </w:rPr>
              <w:t>Litro</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238" w:after="238"/>
              <w:jc w:val="center"/>
              <w:rPr/>
            </w:pPr>
            <w:r>
              <w:rPr/>
            </w:r>
          </w:p>
          <w:p>
            <w:pPr>
              <w:pStyle w:val="Contedodatabela"/>
              <w:widowControl w:val="false"/>
              <w:spacing w:before="238" w:after="238"/>
              <w:jc w:val="center"/>
              <w:rPr/>
            </w:pPr>
            <w:r>
              <w:rPr/>
            </w:r>
          </w:p>
          <w:p>
            <w:pPr>
              <w:pStyle w:val="Contedodatabela"/>
              <w:widowControl w:val="false"/>
              <w:spacing w:before="238" w:after="238"/>
              <w:jc w:val="center"/>
              <w:rPr/>
            </w:pPr>
            <w:r>
              <w:rPr/>
            </w:r>
          </w:p>
          <w:p>
            <w:pPr>
              <w:pStyle w:val="Contedodatabela"/>
              <w:widowControl w:val="false"/>
              <w:spacing w:before="238" w:after="0"/>
              <w:jc w:val="center"/>
              <w:rPr>
                <w:rFonts w:ascii="Times New Roman;serif" w:hAnsi="Times New Roman;serif"/>
              </w:rPr>
            </w:pPr>
            <w:r>
              <w:rPr>
                <w:rFonts w:ascii="Times New Roman;serif" w:hAnsi="Times New Roman;serif"/>
              </w:rPr>
              <w:t>10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238" w:after="0"/>
              <w:rPr>
                <w:rFonts w:ascii="Times New Roman;serif" w:hAnsi="Times New Roman;serif"/>
              </w:rPr>
            </w:pPr>
            <w:r>
              <w:rPr>
                <w:color w:val="000000"/>
              </w:rPr>
              <w:t xml:space="preserve">R$ </w:t>
            </w:r>
            <w:r>
              <w:rPr/>
              <w:t>48,44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238" w:after="0"/>
              <w:jc w:val="center"/>
              <w:rPr>
                <w:rFonts w:ascii="Times New Roman;serif" w:hAnsi="Times New Roman;serif"/>
              </w:rPr>
            </w:pPr>
            <w:r>
              <w:rPr>
                <w:color w:val="000000"/>
              </w:rPr>
              <w:t xml:space="preserve">R$ </w:t>
            </w:r>
            <w:r>
              <w:rPr/>
              <w:t>484,40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229</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Reparo Válvula Hidráulica</w:t>
            </w:r>
          </w:p>
          <w:p>
            <w:pPr>
              <w:pStyle w:val="Contedodatabela"/>
              <w:widowControl w:val="false"/>
              <w:spacing w:before="0" w:after="283"/>
              <w:rPr>
                <w:color w:val="000000"/>
              </w:rPr>
            </w:pPr>
            <w:r>
              <w:rPr>
                <w:color w:val="000000"/>
              </w:rPr>
              <w:t>Tipo Fixação: Roscável</w:t>
            </w:r>
          </w:p>
          <w:p>
            <w:pPr>
              <w:pStyle w:val="Contedodatabela"/>
              <w:widowControl w:val="false"/>
              <w:spacing w:before="0" w:after="283"/>
              <w:rPr>
                <w:color w:val="000000"/>
              </w:rPr>
            </w:pPr>
            <w:r>
              <w:rPr>
                <w:color w:val="000000"/>
              </w:rPr>
              <w:t>Aplicação: Caixa Acoplada Ao Vaso, Modelo Astra</w:t>
            </w:r>
          </w:p>
          <w:p>
            <w:pPr>
              <w:pStyle w:val="Contedodatabela"/>
              <w:widowControl w:val="false"/>
              <w:spacing w:before="0" w:after="283"/>
              <w:rPr>
                <w:color w:val="000000"/>
              </w:rPr>
            </w:pPr>
            <w:r>
              <w:rPr>
                <w:color w:val="000000"/>
              </w:rPr>
              <w:t>Componentes: Borracha, Flutuador, Guia E Haste</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398129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sz w:val="20"/>
              </w:rPr>
            </w:pPr>
            <w:r>
              <w:rPr>
                <w:rFonts w:ascii="Times New Roman;serif" w:hAnsi="Times New Roman;serif"/>
                <w:sz w:val="20"/>
              </w:rPr>
              <w:t>CONJ.</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114,59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2.291,80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230</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Furadeira Furadeira</w:t>
            </w:r>
          </w:p>
          <w:p>
            <w:pPr>
              <w:pStyle w:val="Contedodatabela"/>
              <w:widowControl w:val="false"/>
              <w:spacing w:before="0" w:after="283"/>
              <w:rPr>
                <w:color w:val="000000"/>
              </w:rPr>
            </w:pPr>
            <w:r>
              <w:rPr>
                <w:color w:val="000000"/>
              </w:rPr>
              <w:t>Tipo: Impacto</w:t>
            </w:r>
          </w:p>
          <w:p>
            <w:pPr>
              <w:pStyle w:val="Contedodatabela"/>
              <w:widowControl w:val="false"/>
              <w:spacing w:before="0" w:after="283"/>
              <w:rPr>
                <w:color w:val="000000"/>
              </w:rPr>
            </w:pPr>
            <w:r>
              <w:rPr>
                <w:color w:val="000000"/>
              </w:rPr>
              <w:t>Potência: 900 W</w:t>
            </w:r>
          </w:p>
          <w:p>
            <w:pPr>
              <w:pStyle w:val="Contedodatabela"/>
              <w:widowControl w:val="false"/>
              <w:spacing w:before="0" w:after="283"/>
              <w:rPr>
                <w:color w:val="000000"/>
              </w:rPr>
            </w:pPr>
            <w:r>
              <w:rPr>
                <w:color w:val="000000"/>
              </w:rPr>
              <w:t>Tamanho Mandril: 5/8 POL</w:t>
            </w:r>
          </w:p>
          <w:p>
            <w:pPr>
              <w:pStyle w:val="Contedodatabela"/>
              <w:widowControl w:val="false"/>
              <w:spacing w:before="0" w:after="283"/>
              <w:rPr>
                <w:color w:val="000000"/>
              </w:rPr>
            </w:pPr>
            <w:r>
              <w:rPr>
                <w:color w:val="000000"/>
              </w:rPr>
              <w:t>Tensão Alimentação: 127 V</w:t>
            </w:r>
          </w:p>
          <w:p>
            <w:pPr>
              <w:pStyle w:val="Contedodatabela"/>
              <w:widowControl w:val="false"/>
              <w:spacing w:before="0" w:after="283"/>
              <w:rPr>
                <w:color w:val="000000"/>
              </w:rPr>
            </w:pPr>
            <w:r>
              <w:rPr>
                <w:color w:val="000000"/>
              </w:rPr>
              <w:t>Características Adicionais: 1 Empunhadeira Tipo Pá E 1 Empunhadura Auxiliar</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417953</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772,29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R$</w:t>
            </w:r>
            <w:r>
              <w:rPr/>
              <w:t>1.544,58</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231</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Serra Circular</w:t>
            </w:r>
          </w:p>
          <w:p>
            <w:pPr>
              <w:pStyle w:val="Contedodatabela"/>
              <w:widowControl w:val="false"/>
              <w:spacing w:before="0" w:after="283"/>
              <w:rPr>
                <w:color w:val="000000"/>
              </w:rPr>
            </w:pPr>
            <w:r>
              <w:rPr>
                <w:color w:val="000000"/>
              </w:rPr>
              <w:t>Diâmetro Disco: 125 MM</w:t>
            </w:r>
          </w:p>
          <w:p>
            <w:pPr>
              <w:pStyle w:val="Contedodatabela"/>
              <w:widowControl w:val="false"/>
              <w:spacing w:before="0" w:after="283"/>
              <w:rPr>
                <w:color w:val="000000"/>
              </w:rPr>
            </w:pPr>
            <w:r>
              <w:rPr>
                <w:color w:val="000000"/>
              </w:rPr>
              <w:t>Diâmetro Furo Disco: 22 MM</w:t>
            </w:r>
          </w:p>
          <w:p>
            <w:pPr>
              <w:pStyle w:val="Contedodatabela"/>
              <w:widowControl w:val="false"/>
              <w:spacing w:before="0" w:after="283"/>
              <w:rPr>
                <w:color w:val="000000"/>
              </w:rPr>
            </w:pPr>
            <w:r>
              <w:rPr>
                <w:color w:val="000000"/>
              </w:rPr>
              <w:t>Capacidade Corte A 45°: 26 MM</w:t>
            </w:r>
          </w:p>
          <w:p>
            <w:pPr>
              <w:pStyle w:val="Contedodatabela"/>
              <w:widowControl w:val="false"/>
              <w:spacing w:before="0" w:after="283"/>
              <w:rPr>
                <w:color w:val="000000"/>
              </w:rPr>
            </w:pPr>
            <w:r>
              <w:rPr>
                <w:color w:val="000000"/>
              </w:rPr>
              <w:t>Capacidade Corte A 90°: 40 MM</w:t>
            </w:r>
          </w:p>
          <w:p>
            <w:pPr>
              <w:pStyle w:val="Contedodatabela"/>
              <w:widowControl w:val="false"/>
              <w:spacing w:before="0" w:after="283"/>
              <w:rPr>
                <w:color w:val="000000"/>
              </w:rPr>
            </w:pPr>
            <w:r>
              <w:rPr>
                <w:color w:val="000000"/>
              </w:rPr>
              <w:t>Potência: 1.300 W</w:t>
            </w:r>
          </w:p>
          <w:p>
            <w:pPr>
              <w:pStyle w:val="Contedodatabela"/>
              <w:widowControl w:val="false"/>
              <w:spacing w:before="0" w:after="283"/>
              <w:rPr>
                <w:color w:val="000000"/>
              </w:rPr>
            </w:pPr>
            <w:r>
              <w:rPr>
                <w:color w:val="000000"/>
              </w:rPr>
              <w:t>Rotação: 12.200 RPM</w:t>
            </w:r>
          </w:p>
          <w:p>
            <w:pPr>
              <w:pStyle w:val="Contedodatabela"/>
              <w:widowControl w:val="false"/>
              <w:spacing w:before="0" w:after="283"/>
              <w:rPr>
                <w:color w:val="000000"/>
              </w:rPr>
            </w:pPr>
            <w:r>
              <w:rPr>
                <w:color w:val="000000"/>
              </w:rPr>
              <w:t>Peso: 2 KG</w:t>
            </w:r>
          </w:p>
          <w:p>
            <w:pPr>
              <w:pStyle w:val="Contedodatabela"/>
              <w:widowControl w:val="false"/>
              <w:spacing w:before="0" w:after="283"/>
              <w:rPr/>
            </w:pPr>
            <w:r>
              <w:rPr/>
              <w:t>Sobre este item</w:t>
            </w:r>
          </w:p>
          <w:p>
            <w:pPr>
              <w:pStyle w:val="Contedodatabela"/>
              <w:widowControl w:val="false"/>
              <w:rPr>
                <w:rFonts w:ascii="Ecofont_Spranq_eco_Sans;serif" w:hAnsi="Ecofont_Spranq_eco_Sans;serif"/>
              </w:rPr>
            </w:pPr>
            <w:r>
              <w:rPr>
                <w:rFonts w:ascii="Ecofont_Spranq_eco_Sans;serif" w:hAnsi="Ecofont_Spranq_eco_Sans;serif"/>
              </w:rPr>
              <w:t>Potência ideal para as principais aplicações</w:t>
            </w:r>
          </w:p>
          <w:p>
            <w:pPr>
              <w:pStyle w:val="Contedodatabela"/>
              <w:widowControl w:val="false"/>
              <w:rPr>
                <w:rFonts w:ascii="Ecofont_Spranq_eco_Sans;serif" w:hAnsi="Ecofont_Spranq_eco_Sans;serif"/>
              </w:rPr>
            </w:pPr>
            <w:r>
              <w:rPr>
                <w:rFonts w:ascii="Ecofont_Spranq_eco_Sans;serif" w:hAnsi="Ecofont_Spranq_eco_Sans;serif"/>
              </w:rPr>
              <w:t>Recurso contra travamento garante maior proteção ao usuário</w:t>
            </w:r>
          </w:p>
          <w:p>
            <w:pPr>
              <w:pStyle w:val="Contedodatabela"/>
              <w:widowControl w:val="false"/>
              <w:rPr>
                <w:rFonts w:ascii="Ecofont_Spranq_eco_Sans;serif" w:hAnsi="Ecofont_Spranq_eco_Sans;serif"/>
              </w:rPr>
            </w:pPr>
            <w:r>
              <w:rPr>
                <w:rFonts w:ascii="Ecofont_Spranq_eco_Sans;serif" w:hAnsi="Ecofont_Spranq_eco_Sans;serif"/>
              </w:rPr>
              <w:t>Robusto punho auxiliar para maior estabilidade durante o corte</w:t>
            </w:r>
          </w:p>
          <w:p>
            <w:pPr>
              <w:pStyle w:val="Contedodatabela"/>
              <w:widowControl w:val="false"/>
              <w:rPr>
                <w:rFonts w:ascii="Ecofont_Spranq_eco_Sans;serif" w:hAnsi="Ecofont_Spranq_eco_Sans;serif"/>
              </w:rPr>
            </w:pPr>
            <w:r>
              <w:rPr>
                <w:rFonts w:ascii="Ecofont_Spranq_eco_Sans;serif" w:hAnsi="Ecofont_Spranq_eco_Sans;serif"/>
              </w:rPr>
              <w:t>Eficiente saída de pó para longe do usuário Uso profissional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483728</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667,89</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1.335,78</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232</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Esmerilhadeira</w:t>
            </w:r>
          </w:p>
          <w:p>
            <w:pPr>
              <w:pStyle w:val="Contedodatabela"/>
              <w:widowControl w:val="false"/>
              <w:spacing w:before="0" w:after="283"/>
              <w:rPr>
                <w:color w:val="000000"/>
              </w:rPr>
            </w:pPr>
            <w:r>
              <w:rPr>
                <w:color w:val="000000"/>
              </w:rPr>
              <w:t>Tipo: Portátil E Manual</w:t>
            </w:r>
          </w:p>
          <w:p>
            <w:pPr>
              <w:pStyle w:val="Contedodatabela"/>
              <w:widowControl w:val="false"/>
              <w:spacing w:before="0" w:after="283"/>
              <w:rPr>
                <w:color w:val="000000"/>
              </w:rPr>
            </w:pPr>
            <w:r>
              <w:rPr>
                <w:color w:val="000000"/>
              </w:rPr>
              <w:t>Voltagem: 110 V</w:t>
            </w:r>
          </w:p>
          <w:p>
            <w:pPr>
              <w:pStyle w:val="Contedodatabela"/>
              <w:widowControl w:val="false"/>
              <w:spacing w:before="0" w:after="283"/>
              <w:rPr>
                <w:color w:val="000000"/>
              </w:rPr>
            </w:pPr>
            <w:r>
              <w:rPr>
                <w:color w:val="000000"/>
              </w:rPr>
              <w:t>Potência: 850 W</w:t>
            </w:r>
          </w:p>
          <w:p>
            <w:pPr>
              <w:pStyle w:val="Contedodatabela"/>
              <w:widowControl w:val="false"/>
              <w:spacing w:before="0" w:after="283"/>
              <w:rPr>
                <w:color w:val="000000"/>
              </w:rPr>
            </w:pPr>
            <w:r>
              <w:rPr>
                <w:color w:val="000000"/>
              </w:rPr>
              <w:t>Rotação: 11.000 RPM</w:t>
            </w:r>
          </w:p>
          <w:p>
            <w:pPr>
              <w:pStyle w:val="Contedodatabela"/>
              <w:widowControl w:val="false"/>
              <w:spacing w:before="0" w:after="283"/>
              <w:rPr>
                <w:color w:val="000000"/>
              </w:rPr>
            </w:pPr>
            <w:r>
              <w:rPr>
                <w:color w:val="000000"/>
              </w:rPr>
              <w:t>Diâmetro Disco: 4 1/2 POL</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482966</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376,34</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752,68</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233</w:t>
            </w:r>
          </w:p>
        </w:tc>
        <w:tc>
          <w:tcPr>
            <w:tcW w:w="3481" w:type="dxa"/>
            <w:tcBorders>
              <w:left w:val="single" w:sz="2" w:space="0" w:color="000000"/>
              <w:bottom w:val="single" w:sz="2" w:space="0" w:color="000000"/>
            </w:tcBorders>
            <w:tcMar>
              <w:top w:w="0" w:type="dxa"/>
            </w:tcMar>
            <w:vAlign w:val="center"/>
          </w:tcPr>
          <w:p>
            <w:pPr>
              <w:pStyle w:val="Contedodatabela"/>
              <w:widowControl w:val="false"/>
              <w:rPr>
                <w:color w:val="000000"/>
              </w:rPr>
            </w:pPr>
            <w:r>
              <w:rPr>
                <w:color w:val="000000"/>
              </w:rPr>
              <w:t>Armação Secundária</w:t>
            </w:r>
          </w:p>
          <w:p>
            <w:pPr>
              <w:pStyle w:val="Contedodatabela"/>
              <w:widowControl w:val="false"/>
              <w:spacing w:before="0" w:after="283"/>
              <w:rPr>
                <w:color w:val="000000"/>
              </w:rPr>
            </w:pPr>
            <w:r>
              <w:rPr>
                <w:color w:val="000000"/>
              </w:rPr>
              <w:t>Material: Aço Carbono Sae 1010/1020</w:t>
            </w:r>
          </w:p>
          <w:p>
            <w:pPr>
              <w:pStyle w:val="Contedodatabela"/>
              <w:widowControl w:val="false"/>
              <w:spacing w:before="0" w:after="283"/>
              <w:rPr>
                <w:color w:val="000000"/>
              </w:rPr>
            </w:pPr>
            <w:r>
              <w:rPr>
                <w:color w:val="000000"/>
              </w:rPr>
              <w:t>Proteção Superficial: Galvanização Por Imersão A Quente</w:t>
            </w:r>
          </w:p>
          <w:p>
            <w:pPr>
              <w:pStyle w:val="Contedodatabela"/>
              <w:widowControl w:val="false"/>
              <w:spacing w:before="0" w:after="283"/>
              <w:rPr>
                <w:color w:val="000000"/>
              </w:rPr>
            </w:pPr>
            <w:r>
              <w:rPr>
                <w:color w:val="000000"/>
              </w:rPr>
              <w:t>Aplicação: Isolador Roldana Tipo Pesado</w:t>
            </w:r>
          </w:p>
          <w:p>
            <w:pPr>
              <w:pStyle w:val="Contedodatabela"/>
              <w:widowControl w:val="false"/>
              <w:spacing w:before="0" w:after="283"/>
              <w:rPr>
                <w:color w:val="000000"/>
              </w:rPr>
            </w:pPr>
            <w:r>
              <w:rPr>
                <w:color w:val="000000"/>
              </w:rPr>
              <w:t>Tipo: Rex De 4 Linhas</w:t>
            </w:r>
          </w:p>
          <w:p>
            <w:pPr>
              <w:pStyle w:val="Contedodatabela"/>
              <w:widowControl w:val="false"/>
              <w:spacing w:before="0" w:after="283"/>
              <w:rPr>
                <w:color w:val="000000"/>
              </w:rPr>
            </w:pPr>
            <w:r>
              <w:rPr>
                <w:color w:val="000000"/>
              </w:rPr>
              <w:t>Tipo Fixação: Parafuso Porca E Arruela</w:t>
            </w:r>
          </w:p>
          <w:p>
            <w:pPr>
              <w:pStyle w:val="Contedodatabela"/>
              <w:widowControl w:val="false"/>
              <w:spacing w:before="0" w:after="283"/>
              <w:rPr>
                <w:color w:val="000000"/>
              </w:rPr>
            </w:pPr>
            <w:r>
              <w:rPr>
                <w:color w:val="000000"/>
              </w:rPr>
              <w:t>Acessórios: Haste De 725 Mm E Cupilha + 4 Isoladores Porcelana</w:t>
            </w:r>
          </w:p>
          <w:p>
            <w:pPr>
              <w:pStyle w:val="Contedodatabela"/>
              <w:widowControl w:val="false"/>
              <w:spacing w:before="0" w:after="283"/>
              <w:rPr>
                <w:color w:val="000000"/>
              </w:rPr>
            </w:pPr>
            <w:r>
              <w:rPr>
                <w:color w:val="000000"/>
              </w:rPr>
              <w:t>Características Adicionais: Com Tres Parafusos Com Porcas E Arruelas</w:t>
            </w:r>
          </w:p>
          <w:p>
            <w:pPr>
              <w:pStyle w:val="Contedodatabela"/>
              <w:widowControl w:val="false"/>
              <w:spacing w:before="0" w:after="283"/>
              <w:rPr>
                <w:color w:val="000000"/>
              </w:rPr>
            </w:pPr>
            <w:r>
              <w:rPr>
                <w:color w:val="000000"/>
              </w:rPr>
              <w:t>Número De Fases: Trifásico</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419029</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72,88</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rPr>
            </w:pPr>
            <w:r>
              <w:rPr>
                <w:color w:val="000000"/>
              </w:rPr>
              <w:t xml:space="preserve">R$ </w:t>
            </w:r>
            <w:r>
              <w:rPr/>
              <w:t>1.457,60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234</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Armação Secundária</w:t>
            </w:r>
          </w:p>
          <w:p>
            <w:pPr>
              <w:pStyle w:val="Contedodatabela"/>
              <w:widowControl w:val="false"/>
              <w:spacing w:before="0" w:after="283"/>
              <w:rPr>
                <w:color w:val="000000"/>
              </w:rPr>
            </w:pPr>
            <w:r>
              <w:rPr>
                <w:color w:val="000000"/>
              </w:rPr>
              <w:t>Material: Aço Carbono</w:t>
            </w:r>
          </w:p>
          <w:p>
            <w:pPr>
              <w:pStyle w:val="Contedodatabela"/>
              <w:widowControl w:val="false"/>
              <w:spacing w:before="0" w:after="283"/>
              <w:rPr>
                <w:color w:val="000000"/>
              </w:rPr>
            </w:pPr>
            <w:r>
              <w:rPr>
                <w:color w:val="000000"/>
              </w:rPr>
              <w:t>Proteção Superficial: Galvanização Por Imersão A Quente</w:t>
            </w:r>
          </w:p>
          <w:p>
            <w:pPr>
              <w:pStyle w:val="Contedodatabela"/>
              <w:widowControl w:val="false"/>
              <w:spacing w:before="0" w:after="283"/>
              <w:rPr>
                <w:color w:val="000000"/>
              </w:rPr>
            </w:pPr>
            <w:r>
              <w:rPr>
                <w:color w:val="000000"/>
              </w:rPr>
              <w:t>Número De Estribos: 1</w:t>
            </w:r>
          </w:p>
          <w:p>
            <w:pPr>
              <w:pStyle w:val="Contedodatabela"/>
              <w:widowControl w:val="false"/>
              <w:spacing w:before="0" w:after="283"/>
              <w:rPr>
                <w:color w:val="000000"/>
              </w:rPr>
            </w:pPr>
            <w:r>
              <w:rPr>
                <w:color w:val="000000"/>
              </w:rPr>
              <w:t>Acessórios: Haste E Cupilha</w:t>
            </w:r>
          </w:p>
          <w:p>
            <w:pPr>
              <w:pStyle w:val="Contedodatabela"/>
              <w:widowControl w:val="false"/>
              <w:spacing w:before="0" w:after="283"/>
              <w:rPr>
                <w:color w:val="000000"/>
              </w:rPr>
            </w:pPr>
            <w:r>
              <w:rPr>
                <w:color w:val="000000"/>
              </w:rPr>
              <w:t xml:space="preserve">Normas Técnicas: Abnt Pb-215, </w:t>
            </w:r>
            <w:r>
              <w:rPr>
                <w:color w:val="000000"/>
              </w:rPr>
              <w:t>conforme Apêndice B anexo.</w:t>
            </w:r>
          </w:p>
          <w:p>
            <w:pPr>
              <w:pStyle w:val="Contedodatabela"/>
              <w:widowControl w:val="false"/>
              <w:spacing w:before="0" w:after="283"/>
              <w:rPr>
                <w:color w:val="000000"/>
              </w:rPr>
            </w:pPr>
            <w:r>
              <w:rPr>
                <w:color w:val="000000"/>
              </w:rPr>
              <w:t>Características Adicionais: 5 Mm De Espessura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319814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color w:val="000000"/>
              </w:rPr>
              <w:t>R$ 24,23</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color w:val="000000"/>
              </w:rPr>
              <w:t>R$ 484,60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235</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Dobradiça Porteira Material: Aço Carbono, Tratamento Superficial: Zincado, Comprimento: 304MM, Largura: 38MM, Espessura: 4,50MM, Espessura Pino: 11MM, Quantidade Parafusos: 6UN, Diâmetro Parafusos: 0,79MM, Comprimento Parafusos: 5,08MM, Características Adicionais: Para Parafusar</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213477</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100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R$ 70,00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R$ 7.000,00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236</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Conjunto Broca Material: Aço Carbono, Aplicação: Concreto, Componentes: 4 Peças 6 , 8 , 10 E 12 Mm, Tipo: Helicoidal, Características Adicionais: Ponta De Vídea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613884</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5</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R$ 60,00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R$ 300,00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237</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Disjuntor Baixa Tensão Funcionamento: Termomagnético, Corrente Nominal: 25A, Tipo: 5sx1, Número De Fases: Bifásico, Curva De Disparo: B, Aplicação: Instalações Elétricas, Padrão: Din</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452700</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50</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R$ 35,00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R$ 1750,00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238</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Bomba Hidráulica Tensão Alimentação: 220V, Potência: 1/2CV, Características Adicionais: Monofásica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325630</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4</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R$ 279,90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highlight w:val="none"/>
                <w:shd w:fill="auto" w:val="clear"/>
              </w:rPr>
            </w:pPr>
            <w:r>
              <w:rPr>
                <w:rFonts w:ascii="Times New Roman;serif" w:hAnsi="Times New Roman;serif"/>
                <w:color w:val="000000"/>
                <w:shd w:fill="auto" w:val="clear"/>
              </w:rPr>
              <w:t>R$ 1.119,60</w:t>
            </w:r>
          </w:p>
        </w:tc>
      </w:tr>
      <w:tr>
        <w:trPr>
          <w:trHeight w:val="315" w:hRule="atLeast"/>
        </w:trPr>
        <w:tc>
          <w:tcPr>
            <w:tcW w:w="660" w:type="dxa"/>
            <w:tcBorders>
              <w:left w:val="single" w:sz="2" w:space="0" w:color="000000"/>
              <w:bottom w:val="single" w:sz="2" w:space="0" w:color="000000"/>
            </w:tcBorders>
            <w:tcMar>
              <w:top w:w="0" w:type="dxa"/>
            </w:tcMar>
            <w:vAlign w:val="center"/>
          </w:tcPr>
          <w:p>
            <w:pPr>
              <w:pStyle w:val="Contedodatabela"/>
              <w:widowControl w:val="false"/>
              <w:spacing w:before="0" w:after="283"/>
              <w:jc w:val="center"/>
              <w:rPr>
                <w:rFonts w:ascii="Times New Roman;serif" w:hAnsi="Times New Roman;serif"/>
              </w:rPr>
            </w:pPr>
            <w:r>
              <w:rPr>
                <w:rFonts w:ascii="Times New Roman;serif" w:hAnsi="Times New Roman;serif"/>
              </w:rPr>
              <w:t>239</w:t>
            </w:r>
          </w:p>
        </w:tc>
        <w:tc>
          <w:tcPr>
            <w:tcW w:w="3481" w:type="dxa"/>
            <w:tcBorders>
              <w:left w:val="single" w:sz="2" w:space="0" w:color="000000"/>
              <w:bottom w:val="single" w:sz="2" w:space="0" w:color="000000"/>
            </w:tcBorders>
            <w:tcMar>
              <w:top w:w="0" w:type="dxa"/>
            </w:tcMar>
            <w:vAlign w:val="center"/>
          </w:tcPr>
          <w:p>
            <w:pPr>
              <w:pStyle w:val="Contedodatabela"/>
              <w:widowControl w:val="false"/>
              <w:rPr/>
            </w:pPr>
            <w:r>
              <w:rPr/>
              <w:t>Bomba Hidráulica Tipo Motor: Trifásico, Tensão Alimentação: 220/380/440V, Potência: 4CV, Vazão: 1.400L/MIN, Características Adicionais: Conexão/Recalque De 3", Aplicação: Submersa</w:t>
            </w:r>
          </w:p>
        </w:tc>
        <w:tc>
          <w:tcPr>
            <w:tcW w:w="1574"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407992</w:t>
            </w:r>
          </w:p>
        </w:tc>
        <w:tc>
          <w:tcPr>
            <w:tcW w:w="932" w:type="dxa"/>
            <w:tcBorders>
              <w:left w:val="single" w:sz="2" w:space="0" w:color="000000"/>
              <w:bottom w:val="single" w:sz="2" w:space="0" w:color="000000"/>
            </w:tcBorders>
            <w:tcMar>
              <w:top w:w="0" w:type="dxa"/>
            </w:tcMar>
            <w:vAlign w:val="center"/>
          </w:tcPr>
          <w:p>
            <w:pPr>
              <w:pStyle w:val="Contedodatabela"/>
              <w:widowControl w:val="false"/>
              <w:jc w:val="center"/>
              <w:rPr>
                <w:rFonts w:ascii="Times New Roman;serif" w:hAnsi="Times New Roman;serif"/>
              </w:rPr>
            </w:pPr>
            <w:r>
              <w:rPr>
                <w:rFonts w:ascii="Times New Roman;serif" w:hAnsi="Times New Roman;serif"/>
              </w:rPr>
              <w:t>Und</w:t>
            </w:r>
          </w:p>
        </w:tc>
        <w:tc>
          <w:tcPr>
            <w:tcW w:w="898"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3</w:t>
            </w:r>
          </w:p>
        </w:tc>
        <w:tc>
          <w:tcPr>
            <w:tcW w:w="1325" w:type="dxa"/>
            <w:tcBorders>
              <w:left w:val="single" w:sz="2" w:space="0" w:color="000000"/>
              <w:bottom w:val="single" w:sz="2" w:space="0" w:color="000000"/>
            </w:tcBorders>
            <w:tcMar>
              <w:top w:w="0"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R$ 5.000,00</w:t>
            </w:r>
          </w:p>
        </w:tc>
        <w:tc>
          <w:tcPr>
            <w:tcW w:w="1794" w:type="dxa"/>
            <w:tcBorders>
              <w:left w:val="single" w:sz="2" w:space="0" w:color="000000"/>
              <w:bottom w:val="single" w:sz="2" w:space="0" w:color="000000"/>
              <w:right w:val="single" w:sz="2" w:space="0" w:color="000000"/>
            </w:tcBorders>
            <w:tcMar>
              <w:top w:w="0" w:type="dxa"/>
              <w:right w:w="28" w:type="dxa"/>
            </w:tcMar>
            <w:vAlign w:val="center"/>
          </w:tcPr>
          <w:p>
            <w:pPr>
              <w:pStyle w:val="Contedodatabela"/>
              <w:widowControl w:val="false"/>
              <w:spacing w:before="113" w:after="0"/>
              <w:jc w:val="center"/>
              <w:rPr>
                <w:rFonts w:ascii="Times New Roman;serif" w:hAnsi="Times New Roman;serif"/>
                <w:color w:val="000000"/>
              </w:rPr>
            </w:pPr>
            <w:r>
              <w:rPr>
                <w:rFonts w:ascii="Times New Roman;serif" w:hAnsi="Times New Roman;serif"/>
                <w:color w:val="000000"/>
              </w:rPr>
              <w:t>R$ 15.000,00</w:t>
            </w:r>
          </w:p>
        </w:tc>
      </w:tr>
      <w:tr>
        <w:trPr>
          <w:trHeight w:val="315" w:hRule="atLeast"/>
        </w:trPr>
        <w:tc>
          <w:tcPr>
            <w:tcW w:w="8870" w:type="dxa"/>
            <w:gridSpan w:val="6"/>
            <w:tcBorders>
              <w:top w:val="single" w:sz="2" w:space="0" w:color="000000"/>
              <w:left w:val="single" w:sz="2" w:space="0" w:color="000000"/>
              <w:bottom w:val="single" w:sz="2" w:space="0" w:color="000000"/>
              <w:right w:val="single" w:sz="2" w:space="0" w:color="000000"/>
            </w:tcBorders>
            <w:tcMar>
              <w:right w:w="28" w:type="dxa"/>
            </w:tcMar>
            <w:vAlign w:val="center"/>
          </w:tcPr>
          <w:p>
            <w:pPr>
              <w:pStyle w:val="Contedodatabela"/>
              <w:widowControl w:val="false"/>
              <w:spacing w:before="238" w:after="0"/>
              <w:jc w:val="center"/>
              <w:rPr>
                <w:rFonts w:ascii="Times New Roman;serif" w:hAnsi="Times New Roman;serif"/>
                <w:b/>
              </w:rPr>
            </w:pPr>
            <w:r>
              <w:rPr>
                <w:rFonts w:ascii="Times New Roman;serif" w:hAnsi="Times New Roman;serif"/>
                <w:b/>
              </w:rPr>
              <w:t>VALOR TOTAL</w:t>
            </w:r>
          </w:p>
        </w:tc>
        <w:tc>
          <w:tcPr>
            <w:tcW w:w="1794" w:type="dxa"/>
            <w:tcBorders>
              <w:top w:val="single" w:sz="2" w:space="0" w:color="000000"/>
              <w:left w:val="single" w:sz="2" w:space="0" w:color="000000"/>
              <w:bottom w:val="single" w:sz="2" w:space="0" w:color="000000"/>
              <w:right w:val="single" w:sz="2" w:space="0" w:color="000000"/>
            </w:tcBorders>
            <w:tcMar>
              <w:right w:w="28" w:type="dxa"/>
            </w:tcMar>
            <w:vAlign w:val="center"/>
          </w:tcPr>
          <w:p>
            <w:pPr>
              <w:pStyle w:val="Normal"/>
              <w:widowControl w:val="false"/>
              <w:suppressAutoHyphens w:val="false"/>
              <w:spacing w:beforeAutospacing="1" w:after="0"/>
              <w:jc w:val="center"/>
              <w:rPr>
                <w:sz w:val="24"/>
                <w:szCs w:val="24"/>
              </w:rPr>
            </w:pPr>
            <w:r>
              <w:rPr>
                <w:rFonts w:eastAsia="Times New Roman" w:cs="Arial" w:ascii="Arial" w:hAnsi="Arial"/>
                <w:color w:val="000000"/>
                <w:sz w:val="24"/>
                <w:szCs w:val="24"/>
              </w:rPr>
              <w:t>R$ 655.406,86</w:t>
            </w:r>
          </w:p>
        </w:tc>
      </w:tr>
    </w:tbl>
    <w:p>
      <w:pPr>
        <w:pStyle w:val="BodyText"/>
        <w:spacing w:lineRule="auto" w:line="312" w:before="119" w:after="289"/>
        <w:jc w:val="both"/>
        <w:rPr>
          <w:b/>
          <w:bCs/>
        </w:rPr>
      </w:pPr>
      <w:r>
        <w:rPr>
          <w:b/>
          <w:bCs/>
        </w:rPr>
      </w:r>
    </w:p>
    <w:p>
      <w:pPr>
        <w:pStyle w:val="Nivel2"/>
        <w:numPr>
          <w:ilvl w:val="1"/>
          <w:numId w:val="137"/>
        </w:numPr>
        <w:ind w:hanging="0" w:left="0"/>
        <w:rPr/>
      </w:pPr>
      <w:commentRangeStart w:id="0"/>
      <w:r>
        <w:rPr/>
        <w:t>Os bens objeto desta contratação são caracterizados como comuns, conforme justificativa constante do Estudo Técnico Preliminar.</w:t>
      </w:r>
      <w:commentRangeEnd w:id="0"/>
      <w:r>
        <w:commentReference w:id="0"/>
      </w:r>
      <w:r>
        <w:rPr/>
      </w:r>
    </w:p>
    <w:p>
      <w:pPr>
        <w:pStyle w:val="Nivel2"/>
        <w:numPr>
          <w:ilvl w:val="1"/>
          <w:numId w:val="138"/>
        </w:numPr>
        <w:ind w:hanging="0" w:left="0"/>
        <w:rPr/>
      </w:pPr>
      <w:commentRangeStart w:id="1"/>
      <w:r>
        <w:rPr/>
        <w:t>O objeto desta contratação não se enquadra como sendo de bem de luxo, conforme Decreto nº 10.818, de 27 de setembro de 2021.</w:t>
      </w:r>
      <w:commentRangeEnd w:id="1"/>
      <w:r>
        <w:commentReference w:id="1"/>
      </w:r>
      <w:r>
        <w:rPr/>
      </w:r>
    </w:p>
    <w:p>
      <w:pPr>
        <w:pStyle w:val="Nvel2-Red"/>
        <w:numPr>
          <w:ilvl w:val="1"/>
          <w:numId w:val="139"/>
        </w:numPr>
        <w:ind w:hanging="0" w:left="0"/>
        <w:rPr>
          <w:color w:val="000000"/>
        </w:rPr>
      </w:pPr>
      <w:r>
        <w:rPr>
          <w:color w:val="000000"/>
        </w:rPr>
        <w:t>O prazo de vigência da contratação é de um ano contados da emissão da nota de empenho, na forma do artigo 105 da Lei n° 14.133, de 2021.</w:t>
      </w:r>
    </w:p>
    <w:p>
      <w:pPr>
        <w:pStyle w:val="Nivel2"/>
        <w:numPr>
          <w:ilvl w:val="1"/>
          <w:numId w:val="140"/>
        </w:numPr>
        <w:ind w:hanging="0" w:left="0"/>
        <w:rPr/>
      </w:pPr>
      <w:r>
        <w:rPr/>
        <w:t>O contrato oferece maior detalhamento das regras que serão aplicadas em relação à vigência da contratação.</w:t>
      </w:r>
    </w:p>
    <w:p>
      <w:pPr>
        <w:pStyle w:val="Nivel01"/>
        <w:numPr>
          <w:ilvl w:val="0"/>
          <w:numId w:val="1"/>
        </w:numPr>
        <w:ind w:hanging="0" w:left="0"/>
        <w:rPr/>
      </w:pPr>
      <w:r>
        <w:rPr/>
        <w:t>FUNDAMENTAÇÃO E DESCRIÇÃO DA NECESSIDADE DA CONTRATAÇÃO</w:t>
      </w:r>
    </w:p>
    <w:p>
      <w:pPr>
        <w:pStyle w:val="Nivel2"/>
        <w:numPr>
          <w:ilvl w:val="1"/>
          <w:numId w:val="141"/>
        </w:numPr>
        <w:ind w:hanging="0" w:left="0"/>
        <w:rPr/>
      </w:pPr>
      <w:commentRangeStart w:id="2"/>
      <w:r>
        <w:rPr/>
        <w:t>A Fundamentação da Contratação e de seus quantitativos encontra-se pormenorizada em Tópico específico dos Estudos Técnicos Preliminares, apêndice deste Termo de Referência.</w:t>
      </w:r>
      <w:commentRangeEnd w:id="2"/>
      <w:r>
        <w:commentReference w:id="2"/>
      </w:r>
      <w:r>
        <w:rPr/>
      </w:r>
    </w:p>
    <w:p>
      <w:pPr>
        <w:pStyle w:val="Nivel2"/>
        <w:numPr>
          <w:ilvl w:val="1"/>
          <w:numId w:val="142"/>
        </w:numPr>
        <w:ind w:hanging="0" w:left="0"/>
        <w:rPr/>
      </w:pPr>
      <w:r>
        <w:rPr/>
        <w:t>O objeto da contratação está previsto no Plano de Contratações Anual [ANO], conforme detalhamento a seguir:</w:t>
      </w:r>
    </w:p>
    <w:p>
      <w:pPr>
        <w:pStyle w:val="Nivel3"/>
        <w:numPr>
          <w:ilvl w:val="0"/>
          <w:numId w:val="3"/>
        </w:numPr>
        <w:ind w:hanging="0" w:left="284"/>
        <w:rPr/>
      </w:pPr>
      <w:r>
        <w:rPr/>
        <w:t xml:space="preserve">ID PCA no PNCP: </w:t>
      </w:r>
      <w:r>
        <w:rPr>
          <w:rFonts w:eastAsia="Times New Roman" w:cs="Times New Roman" w:ascii="Times New Roman" w:hAnsi="Times New Roman"/>
          <w:shd w:fill="FFFFFF" w:val="clear"/>
        </w:rPr>
        <w:t>00394452000103-0-000389/2024</w:t>
      </w:r>
    </w:p>
    <w:p>
      <w:pPr>
        <w:pStyle w:val="Nivel3"/>
        <w:numPr>
          <w:ilvl w:val="0"/>
          <w:numId w:val="3"/>
        </w:numPr>
        <w:ind w:hanging="0" w:left="284"/>
        <w:rPr/>
      </w:pPr>
      <w:r>
        <w:rPr/>
        <w:t xml:space="preserve">Data de publicação no PNCP: </w:t>
      </w:r>
      <w:r>
        <w:rPr>
          <w:rFonts w:eastAsia="Times New Roman" w:cs="Times New Roman" w:ascii="Times New Roman" w:hAnsi="Times New Roman"/>
          <w:shd w:fill="FFFFFF" w:val="clear"/>
        </w:rPr>
        <w:t>29/09/23</w:t>
      </w:r>
    </w:p>
    <w:p>
      <w:pPr>
        <w:pStyle w:val="Nivel3"/>
        <w:numPr>
          <w:ilvl w:val="0"/>
          <w:numId w:val="3"/>
        </w:numPr>
        <w:ind w:hanging="0" w:left="284"/>
        <w:rPr/>
      </w:pPr>
      <w:r>
        <w:rPr/>
        <w:t xml:space="preserve">Id do item no PCA: </w:t>
      </w:r>
      <w:r>
        <w:rPr>
          <w:rFonts w:eastAsia="Times New Roman" w:cs="Times New Roman" w:ascii="Times New Roman" w:hAnsi="Times New Roman"/>
          <w:shd w:fill="FFFFFF" w:val="clear"/>
        </w:rPr>
        <w:t>43,44 e 45.</w:t>
      </w:r>
    </w:p>
    <w:p>
      <w:pPr>
        <w:pStyle w:val="Nivel3"/>
        <w:numPr>
          <w:ilvl w:val="0"/>
          <w:numId w:val="3"/>
        </w:numPr>
        <w:ind w:hanging="0" w:left="284"/>
        <w:rPr/>
      </w:pPr>
      <w:r>
        <w:rPr/>
        <w:t xml:space="preserve">Classe/Grupo: </w:t>
      </w:r>
      <w:r>
        <w:rPr>
          <w:rFonts w:eastAsia="Times New Roman" w:cs="Times New Roman" w:ascii="Times New Roman" w:hAnsi="Times New Roman"/>
          <w:shd w:fill="FFFFFF" w:val="clear"/>
        </w:rPr>
        <w:t>4710 – Canos e Tubos, 5680- Materiais diversos para construção, 5935 – Conectores elétricos</w:t>
      </w:r>
    </w:p>
    <w:p>
      <w:pPr>
        <w:pStyle w:val="Nivel3"/>
        <w:numPr>
          <w:ilvl w:val="0"/>
          <w:numId w:val="3"/>
        </w:numPr>
        <w:ind w:hanging="0" w:left="284"/>
        <w:rPr/>
      </w:pPr>
      <w:r>
        <w:rPr/>
        <w:t xml:space="preserve">Identificador da Futura Contratação: </w:t>
      </w:r>
      <w:r>
        <w:rPr>
          <w:rFonts w:eastAsia="Times New Roman" w:cs="Times New Roman" w:ascii="Times New Roman" w:hAnsi="Times New Roman"/>
          <w:shd w:fill="FFFFFF" w:val="clear"/>
        </w:rPr>
        <w:t>160237-90038/2023</w:t>
      </w:r>
    </w:p>
    <w:p>
      <w:pPr>
        <w:pStyle w:val="Ou"/>
        <w:rPr/>
      </w:pPr>
      <w:r>
        <w:rPr/>
      </w:r>
    </w:p>
    <w:p>
      <w:pPr>
        <w:pStyle w:val="Nivel01"/>
        <w:numPr>
          <w:ilvl w:val="0"/>
          <w:numId w:val="1"/>
        </w:numPr>
        <w:ind w:hanging="0" w:left="0"/>
        <w:rPr/>
      </w:pPr>
      <w:r>
        <w:rPr/>
        <w:t>DESCRIÇÃO DA SOLUÇÃO COMO UM TODO CONSIDERADO O CICLO DE VIDA DO OBJETO E ESPECIFICAÇÃO DO PRODUTO</w:t>
      </w:r>
    </w:p>
    <w:p>
      <w:pPr>
        <w:pStyle w:val="BodyText"/>
        <w:spacing w:before="280" w:after="280"/>
        <w:ind w:hanging="0" w:left="360"/>
        <w:jc w:val="both"/>
        <w:rPr>
          <w:color w:val="000000"/>
        </w:rPr>
      </w:pPr>
      <w:r>
        <w:rPr>
          <w:color w:val="000000"/>
        </w:rPr>
        <w:t>3.1.     A aquisição dos referidos materiais é de extrema importância para o desenvolvimento deste Centro, onde serão empregados para atender necessidades de manutenção dos componentes das redes elétricas, hidráulicas e demais subseções deste Centro.</w:t>
      </w:r>
    </w:p>
    <w:p>
      <w:pPr>
        <w:pStyle w:val="Nvel2-Red"/>
        <w:ind w:hanging="0" w:left="999"/>
        <w:rPr/>
      </w:pPr>
      <w:r>
        <w:rPr>
          <w:color w:val="000000"/>
        </w:rPr>
        <w:t>3.2.     Cresce a importância, por se tratar de materiais para subestação de energia, gerador e conexões / tubulações das cisternas e castelo d’agua, responsáveis por todo abastecimento de água e energia ao CAEx, assim como a Escola Vieira Fazenda, localizada dentro deste Centro.</w:t>
      </w:r>
      <w:r>
        <w:rPr/>
        <w:commentReference w:id="3"/>
      </w:r>
    </w:p>
    <w:p>
      <w:pPr>
        <w:pStyle w:val="Nivel01"/>
        <w:numPr>
          <w:ilvl w:val="0"/>
          <w:numId w:val="1"/>
        </w:numPr>
        <w:ind w:hanging="0" w:left="0"/>
        <w:rPr/>
      </w:pPr>
      <w:commentRangeStart w:id="4"/>
      <w:r>
        <w:rPr/>
        <w:t>REQUISITOS DA CONTRATAÇÃO</w:t>
      </w:r>
      <w:commentRangeEnd w:id="4"/>
      <w:r>
        <w:commentReference w:id="4"/>
      </w:r>
      <w:r>
        <w:rPr/>
      </w:r>
    </w:p>
    <w:p>
      <w:pPr>
        <w:pStyle w:val="Nvel1-SemNumPreto"/>
        <w:rPr/>
      </w:pPr>
      <w:r>
        <w:rPr/>
        <w:t>Sustentabilidade:</w:t>
      </w:r>
    </w:p>
    <w:p>
      <w:pPr>
        <w:pStyle w:val="Nvel3-R"/>
        <w:numPr>
          <w:ilvl w:val="2"/>
          <w:numId w:val="143"/>
        </w:numPr>
        <w:rPr/>
      </w:pPr>
      <w:commentRangeStart w:id="5"/>
      <w:r>
        <w:rPr/>
        <w:t>Além dos critérios de sustentabilidade eventualmente inseridos na descrição do objeto, devem ser atendidos os seguintes requisitos, que se baseiam no Guia Nacional de Contratações Sustentáveis:</w:t>
      </w:r>
    </w:p>
    <w:p>
      <w:pPr>
        <w:pStyle w:val="Contedodatabela"/>
        <w:ind w:hanging="0" w:left="360"/>
        <w:rPr>
          <w:rFonts w:ascii="Times New Roman;serif" w:hAnsi="Times New Roman;serif"/>
          <w:color w:val="000000"/>
        </w:rPr>
      </w:pPr>
      <w:r>
        <w:rPr>
          <w:rFonts w:ascii="Times New Roman;serif" w:hAnsi="Times New Roman;serif"/>
          <w:color w:val="000000"/>
        </w:rPr>
      </w:r>
    </w:p>
    <w:p>
      <w:pPr>
        <w:pStyle w:val="Contedodatabela"/>
        <w:numPr>
          <w:ilvl w:val="2"/>
          <w:numId w:val="144"/>
        </w:numPr>
        <w:spacing w:before="0" w:after="283"/>
        <w:ind w:hanging="0" w:left="284"/>
        <w:rPr>
          <w:highlight w:val="white"/>
        </w:rPr>
      </w:pPr>
      <w:r>
        <w:rPr>
          <w:rFonts w:ascii="Times New Roman;serif" w:hAnsi="Times New Roman;serif"/>
          <w:color w:val="000000"/>
        </w:rPr>
        <w:t xml:space="preserve">Disjuntor Caixa Moldada Tipo: Tripolar  </w:t>
      </w:r>
      <w:r>
        <w:rPr>
          <w:color w:val="000000"/>
        </w:rPr>
        <w:t>Uso: Interno Instalação: Fixa Tensão Operação: 690 V Corrente Nominal: 1000 A Frequência Nominal: 50/60 Hz Tensão Suportável Impulso Manobra: 12 Kv Capacidade Interrupção Simétrica: 100 Ka Tempo De Interrupção: 80ms Normas Técnicas: En/Iec 60947-1, En/Iec 60947-24 Comando: Tripolar Corrente Nominal Curto-Circuito: 220 Ka 690 V Funcionamento: Termomagnético Modelo: Fixo 3nw6261-0fb58-0ak3</w:t>
      </w:r>
    </w:p>
    <w:p>
      <w:pPr>
        <w:pStyle w:val="BodyText"/>
        <w:numPr>
          <w:ilvl w:val="2"/>
          <w:numId w:val="145"/>
        </w:numPr>
        <w:spacing w:before="280" w:after="280"/>
        <w:ind w:hanging="0" w:left="284"/>
        <w:rPr>
          <w:highlight w:val="white"/>
        </w:rPr>
      </w:pPr>
      <w:r>
        <w:rPr>
          <w:rFonts w:ascii="Ecofont_Spranq_eco_Sans;serif" w:hAnsi="Ecofont_Spranq_eco_Sans;serif"/>
          <w:color w:val="000000"/>
        </w:rPr>
        <w:t xml:space="preserve">Disjuntor Média Tensão  </w:t>
      </w:r>
      <w:r>
        <w:rPr>
          <w:rFonts w:ascii="Times New Roman;serif" w:hAnsi="Times New Roman;serif"/>
          <w:color w:val="000000"/>
        </w:rPr>
        <w:t>Operação: Manual</w:t>
      </w:r>
    </w:p>
    <w:p>
      <w:pPr>
        <w:pStyle w:val="BodyText"/>
        <w:spacing w:before="278" w:after="142"/>
        <w:rPr>
          <w:highlight w:val="white"/>
        </w:rPr>
      </w:pPr>
      <w:r>
        <w:rPr>
          <w:rFonts w:ascii="Times New Roman;serif" w:hAnsi="Times New Roman;serif"/>
          <w:color w:val="000000"/>
        </w:rPr>
        <w:t xml:space="preserve">Acessórios: Relé De Abertura; Ampola À Vacuo Vedada </w:t>
      </w:r>
    </w:p>
    <w:p>
      <w:pPr>
        <w:pStyle w:val="BodyText"/>
        <w:spacing w:before="278" w:after="142"/>
        <w:rPr>
          <w:highlight w:val="white"/>
        </w:rPr>
      </w:pPr>
      <w:r>
        <w:rPr>
          <w:rFonts w:ascii="Times New Roman;serif" w:hAnsi="Times New Roman;serif"/>
          <w:color w:val="000000"/>
        </w:rPr>
        <w:t>Capacidade Curto-Circuito: 40 KA Tipo/Modelo: DAU</w:t>
      </w:r>
    </w:p>
    <w:p>
      <w:pPr>
        <w:pStyle w:val="BodyText"/>
        <w:spacing w:before="278" w:after="142"/>
        <w:rPr>
          <w:highlight w:val="white"/>
        </w:rPr>
      </w:pPr>
      <w:r>
        <w:rPr>
          <w:rFonts w:ascii="Times New Roman;serif" w:hAnsi="Times New Roman;serif"/>
          <w:color w:val="000000"/>
        </w:rPr>
        <w:t>Detalhe técnico:</w:t>
      </w:r>
    </w:p>
    <w:p>
      <w:pPr>
        <w:pStyle w:val="BodyText"/>
        <w:spacing w:before="278" w:after="142"/>
        <w:rPr>
          <w:highlight w:val="white"/>
        </w:rPr>
      </w:pPr>
      <w:r>
        <w:rPr>
          <w:rFonts w:ascii="Times New Roman;serif" w:hAnsi="Times New Roman;serif"/>
          <w:color w:val="000000"/>
        </w:rPr>
        <w:t xml:space="preserve">Tensão-Nominal: 17,5kV / 24kV </w:t>
      </w:r>
    </w:p>
    <w:p>
      <w:pPr>
        <w:pStyle w:val="BodyText"/>
        <w:spacing w:before="278" w:after="280"/>
        <w:rPr>
          <w:highlight w:val="white"/>
        </w:rPr>
      </w:pPr>
      <w:r>
        <w:rPr>
          <w:rFonts w:ascii="Times New Roman;serif" w:hAnsi="Times New Roman;serif"/>
        </w:rPr>
        <w:t xml:space="preserve">Frequência Nominal: 60Hz </w:t>
      </w:r>
    </w:p>
    <w:p>
      <w:pPr>
        <w:pStyle w:val="BodyText"/>
        <w:spacing w:before="278" w:after="280"/>
        <w:rPr>
          <w:highlight w:val="white"/>
        </w:rPr>
      </w:pPr>
      <w:r>
        <w:rPr>
          <w:rFonts w:ascii="Times New Roman;serif" w:hAnsi="Times New Roman;serif"/>
        </w:rPr>
        <w:t xml:space="preserve">Corrente Nominal: 630 A </w:t>
      </w:r>
    </w:p>
    <w:p>
      <w:pPr>
        <w:pStyle w:val="BodyText"/>
        <w:spacing w:before="278" w:after="280"/>
        <w:rPr>
          <w:highlight w:val="white"/>
        </w:rPr>
      </w:pPr>
      <w:r>
        <w:rPr>
          <w:rFonts w:ascii="Times New Roman;serif" w:hAnsi="Times New Roman;serif"/>
        </w:rPr>
        <w:t xml:space="preserve">Tensão suportável a frequência industrial: 34,5kV / 50kV </w:t>
      </w:r>
    </w:p>
    <w:p>
      <w:pPr>
        <w:pStyle w:val="BodyText"/>
        <w:spacing w:before="278" w:after="280"/>
        <w:rPr>
          <w:highlight w:val="white"/>
        </w:rPr>
      </w:pPr>
      <w:r>
        <w:rPr>
          <w:rFonts w:ascii="Times New Roman;serif" w:hAnsi="Times New Roman;serif"/>
        </w:rPr>
        <w:t xml:space="preserve">Tensão suportável a impulso NBI: 95kV / 125kV </w:t>
      </w:r>
    </w:p>
    <w:p>
      <w:pPr>
        <w:pStyle w:val="BodyText"/>
        <w:spacing w:before="278" w:after="280"/>
        <w:rPr>
          <w:highlight w:val="white"/>
        </w:rPr>
      </w:pPr>
      <w:r>
        <w:rPr>
          <w:rFonts w:ascii="Times New Roman;serif" w:hAnsi="Times New Roman;serif"/>
        </w:rPr>
        <w:t xml:space="preserve">Capacidade de Interrupção: 31,5kA </w:t>
      </w:r>
    </w:p>
    <w:p>
      <w:pPr>
        <w:pStyle w:val="BodyText"/>
        <w:spacing w:before="278" w:after="280"/>
        <w:rPr>
          <w:highlight w:val="white"/>
        </w:rPr>
      </w:pPr>
      <w:r>
        <w:rPr>
          <w:rFonts w:ascii="Times New Roman;serif" w:hAnsi="Times New Roman;serif"/>
        </w:rPr>
        <w:t xml:space="preserve">Corrente suportável de curto circuito: 31,5kA </w:t>
      </w:r>
    </w:p>
    <w:p>
      <w:pPr>
        <w:pStyle w:val="BodyText"/>
        <w:spacing w:before="278" w:after="280"/>
        <w:rPr>
          <w:highlight w:val="white"/>
        </w:rPr>
      </w:pPr>
      <w:r>
        <w:rPr>
          <w:rFonts w:ascii="Times New Roman;serif" w:hAnsi="Times New Roman;serif"/>
        </w:rPr>
        <w:t xml:space="preserve">Sequência de operação: O-0,3s-CO-180s-CO </w:t>
      </w:r>
    </w:p>
    <w:p>
      <w:pPr>
        <w:pStyle w:val="BodyText"/>
        <w:spacing w:before="278" w:after="280"/>
        <w:rPr>
          <w:highlight w:val="white"/>
        </w:rPr>
      </w:pPr>
      <w:r>
        <w:rPr>
          <w:rFonts w:ascii="Times New Roman;serif" w:hAnsi="Times New Roman;serif"/>
        </w:rPr>
        <w:t xml:space="preserve">Durabilidade Elétrica: 20.000 Manobras </w:t>
      </w:r>
    </w:p>
    <w:p>
      <w:pPr>
        <w:pStyle w:val="BodyText"/>
        <w:spacing w:before="278" w:after="280"/>
        <w:rPr>
          <w:highlight w:val="white"/>
        </w:rPr>
      </w:pPr>
      <w:r>
        <w:rPr>
          <w:rFonts w:ascii="Times New Roman;serif" w:hAnsi="Times New Roman;serif"/>
        </w:rPr>
        <w:t xml:space="preserve">Meio Extintor: Vácuo </w:t>
      </w:r>
    </w:p>
    <w:p>
      <w:pPr>
        <w:pStyle w:val="BodyText"/>
        <w:spacing w:before="278" w:after="280"/>
        <w:rPr>
          <w:highlight w:val="white"/>
        </w:rPr>
      </w:pPr>
      <w:r>
        <w:rPr>
          <w:rFonts w:ascii="Times New Roman;serif" w:hAnsi="Times New Roman;serif"/>
        </w:rPr>
        <w:t xml:space="preserve">Bobina de Abertura: 110Vca/220Vca/125Vcc </w:t>
      </w:r>
    </w:p>
    <w:p>
      <w:pPr>
        <w:pStyle w:val="BodyText"/>
        <w:spacing w:before="278" w:after="280"/>
        <w:rPr>
          <w:highlight w:val="white"/>
        </w:rPr>
      </w:pPr>
      <w:r>
        <w:rPr>
          <w:rFonts w:ascii="Times New Roman;serif" w:hAnsi="Times New Roman;serif"/>
        </w:rPr>
        <w:t xml:space="preserve">Bobina de Fechamento: 110Vca/220Vca/125Vcc </w:t>
      </w:r>
    </w:p>
    <w:p>
      <w:pPr>
        <w:pStyle w:val="BodyText"/>
        <w:spacing w:before="278" w:after="280"/>
        <w:rPr>
          <w:highlight w:val="white"/>
        </w:rPr>
      </w:pPr>
      <w:r>
        <w:rPr>
          <w:rFonts w:ascii="Times New Roman;serif" w:hAnsi="Times New Roman;serif"/>
        </w:rPr>
        <w:t xml:space="preserve">Bobina de Trip: 110Vca/220Vca/125Vcc </w:t>
      </w:r>
    </w:p>
    <w:p>
      <w:pPr>
        <w:pStyle w:val="BodyText"/>
        <w:spacing w:before="278" w:after="280"/>
        <w:rPr>
          <w:highlight w:val="white"/>
        </w:rPr>
      </w:pPr>
      <w:r>
        <w:rPr>
          <w:rFonts w:ascii="Times New Roman;serif" w:hAnsi="Times New Roman;serif"/>
        </w:rPr>
        <w:t xml:space="preserve">Comando motorizado: 110Vca/220Vca/125Vcc </w:t>
      </w:r>
    </w:p>
    <w:p>
      <w:pPr>
        <w:pStyle w:val="BodyText"/>
        <w:spacing w:before="278" w:after="280"/>
        <w:rPr>
          <w:highlight w:val="white"/>
        </w:rPr>
      </w:pPr>
      <w:r>
        <w:rPr>
          <w:rFonts w:ascii="Times New Roman;serif" w:hAnsi="Times New Roman;serif"/>
        </w:rPr>
        <w:t xml:space="preserve">Tempo de abertura: 35ms </w:t>
      </w:r>
    </w:p>
    <w:p>
      <w:pPr>
        <w:pStyle w:val="BodyText"/>
        <w:spacing w:before="278" w:after="280"/>
        <w:rPr>
          <w:highlight w:val="white"/>
        </w:rPr>
      </w:pPr>
      <w:r>
        <w:rPr>
          <w:rFonts w:ascii="Times New Roman;serif" w:hAnsi="Times New Roman;serif"/>
        </w:rPr>
        <w:t xml:space="preserve">Tempo de fechamento: 50ms </w:t>
      </w:r>
    </w:p>
    <w:p>
      <w:pPr>
        <w:pStyle w:val="BodyText"/>
        <w:spacing w:before="278" w:after="142"/>
        <w:rPr>
          <w:highlight w:val="white"/>
        </w:rPr>
      </w:pPr>
      <w:r>
        <w:rPr>
          <w:rFonts w:ascii="Times New Roman;serif" w:hAnsi="Times New Roman;serif"/>
        </w:rPr>
        <w:t xml:space="preserve">Tempo de interrupção: 95ms </w:t>
      </w:r>
    </w:p>
    <w:p>
      <w:pPr>
        <w:pStyle w:val="BodyText"/>
        <w:spacing w:before="278" w:after="280"/>
        <w:rPr>
          <w:highlight w:val="white"/>
        </w:rPr>
      </w:pPr>
      <w:r>
        <w:rPr>
          <w:rFonts w:ascii="Times New Roman;serif" w:hAnsi="Times New Roman;serif"/>
        </w:rPr>
        <w:t xml:space="preserve">Acessórios Inclusos: Relé Anti Pumping e Bobina de Trip </w:t>
      </w:r>
    </w:p>
    <w:p>
      <w:pPr>
        <w:pStyle w:val="BodyText"/>
        <w:spacing w:before="278" w:after="142"/>
        <w:rPr>
          <w:highlight w:val="white"/>
        </w:rPr>
      </w:pPr>
      <w:r>
        <w:rPr>
          <w:rFonts w:ascii="Times New Roman;serif" w:hAnsi="Times New Roman;serif"/>
        </w:rPr>
        <w:t>Acessórios Opcionais: Bloqueio tipo Kirk, Bobina de Mínima, No break,</w:t>
      </w:r>
    </w:p>
    <w:p>
      <w:pPr>
        <w:pStyle w:val="BodyText"/>
        <w:spacing w:before="278" w:after="142"/>
        <w:rPr>
          <w:highlight w:val="white"/>
        </w:rPr>
      </w:pPr>
      <w:r>
        <w:rPr>
          <w:rFonts w:ascii="Times New Roman;serif" w:hAnsi="Times New Roman;serif"/>
        </w:rPr>
        <w:t xml:space="preserve">Carrinho e Contador de Manobras </w:t>
      </w:r>
    </w:p>
    <w:p>
      <w:pPr>
        <w:pStyle w:val="Nvel3-R"/>
        <w:numPr>
          <w:ilvl w:val="2"/>
          <w:numId w:val="146"/>
        </w:numPr>
        <w:rPr>
          <w:highlight w:val="white"/>
        </w:rPr>
      </w:pPr>
      <w:commentRangeEnd w:id="5"/>
      <w:r>
        <w:commentReference w:id="5"/>
      </w:r>
      <w:r>
        <w:rPr/>
      </w:r>
    </w:p>
    <w:p>
      <w:pPr>
        <w:pStyle w:val="Nvel1-SemNum"/>
        <w:rPr/>
      </w:pPr>
      <w:r>
        <w:rPr/>
        <w:t>Indicação de marcas ou modelos (</w:t>
      </w:r>
      <w:r>
        <w:fldChar w:fldCharType="begin"/>
      </w:r>
      <w:r>
        <w:rPr>
          <w:u w:val="single"/>
          <w:rStyle w:val="ListLabel2397"/>
          <w:color w:val="0000FF"/>
        </w:rPr>
        <w:instrText xml:space="preserve"> HYPERLINK "http://www.planalto.gov.br/ccivil_03/_ato2019-2022/2021/lei/L14133.htm" \l "art41"</w:instrText>
      </w:r>
      <w:r>
        <w:rPr>
          <w:u w:val="single"/>
          <w:rStyle w:val="ListLabel2397"/>
          <w:color w:val="0000FF"/>
        </w:rPr>
        <w:fldChar w:fldCharType="separate"/>
      </w:r>
      <w:r>
        <w:rPr>
          <w:rStyle w:val="ListLabel2397"/>
          <w:color w:val="0000FF"/>
          <w:u w:val="single"/>
        </w:rPr>
        <w:t>Art. 41, inciso I, da Lei nº 14.133, de 2021</w:t>
      </w:r>
      <w:r>
        <w:rPr>
          <w:u w:val="single"/>
          <w:rStyle w:val="ListLabel2397"/>
          <w:color w:val="0000FF"/>
        </w:rPr>
        <w:fldChar w:fldCharType="end"/>
      </w:r>
      <w:r>
        <w:rPr/>
        <w:t>):</w:t>
      </w:r>
    </w:p>
    <w:p>
      <w:pPr>
        <w:pStyle w:val="Nivel2"/>
        <w:numPr>
          <w:ilvl w:val="1"/>
          <w:numId w:val="147"/>
        </w:numPr>
        <w:ind w:hanging="0" w:left="0"/>
        <w:rPr/>
      </w:pPr>
      <w:commentRangeStart w:id="6"/>
      <w:r>
        <w:rPr/>
        <w:t>Na presente contratação será admitida a indicação da(s) seguinte(s) marca(s), característica(s) ou modelo(s), de acordo com as justificativas contidas nos Estudos Técnicos Preliminares: (...)</w:t>
      </w:r>
      <w:commentRangeEnd w:id="6"/>
      <w:r>
        <w:commentReference w:id="6"/>
      </w:r>
      <w:r>
        <w:rPr/>
      </w:r>
    </w:p>
    <w:p>
      <w:pPr>
        <w:pStyle w:val="Nvel2-Red"/>
        <w:ind w:hanging="0" w:left="999"/>
        <w:rPr/>
      </w:pPr>
      <w:r>
        <w:rPr/>
        <w:commentReference w:id="7"/>
      </w:r>
    </w:p>
    <w:p>
      <w:pPr>
        <w:pStyle w:val="Nvel1-SemNumPreto"/>
        <w:rPr/>
      </w:pPr>
      <w:r>
        <w:rPr/>
        <w:t>Subcontratação</w:t>
      </w:r>
    </w:p>
    <w:p>
      <w:pPr>
        <w:pStyle w:val="Nivel2"/>
        <w:numPr>
          <w:ilvl w:val="1"/>
          <w:numId w:val="148"/>
        </w:numPr>
        <w:ind w:hanging="0" w:left="0"/>
        <w:rPr/>
      </w:pPr>
      <w:commentRangeStart w:id="8"/>
      <w:r>
        <w:rPr/>
        <w:t>Não é admitida a subcontratação do objeto contratual.</w:t>
      </w:r>
      <w:commentRangeStart w:id="9"/>
      <w:commentRangeEnd w:id="8"/>
      <w:r>
        <w:commentReference w:id="8"/>
      </w:r>
      <w:r>
        <w:rPr/>
      </w:r>
    </w:p>
    <w:p>
      <w:pPr>
        <w:pStyle w:val="Nivel2"/>
        <w:numPr>
          <w:ilvl w:val="1"/>
          <w:numId w:val="149"/>
        </w:numPr>
        <w:ind w:hanging="0" w:left="0"/>
        <w:rPr/>
      </w:pPr>
      <w:r>
        <w:rPr/>
        <w:t>O contrato oferece maior detalhamento das regras que serão aplicadas em relação à subcontratação, caso admitida.</w:t>
      </w:r>
      <w:commentRangeEnd w:id="9"/>
      <w:r>
        <w:commentReference w:id="9"/>
      </w:r>
      <w:r>
        <w:rPr/>
      </w:r>
    </w:p>
    <w:p>
      <w:pPr>
        <w:pStyle w:val="Nvel1-SemNumPreto"/>
        <w:rPr/>
      </w:pPr>
      <w:commentRangeStart w:id="10"/>
      <w:r>
        <w:rPr/>
        <w:t>Garantia da contratação</w:t>
      </w:r>
      <w:commentRangeEnd w:id="10"/>
      <w:r>
        <w:commentReference w:id="10"/>
      </w:r>
      <w:r>
        <w:rPr/>
      </w:r>
    </w:p>
    <w:p>
      <w:pPr>
        <w:pStyle w:val="Nvel2-Red"/>
        <w:numPr>
          <w:ilvl w:val="1"/>
          <w:numId w:val="150"/>
        </w:numPr>
        <w:ind w:hanging="0" w:left="0"/>
        <w:rPr/>
      </w:pPr>
      <w:r>
        <w:rPr>
          <w:color w:val="000000"/>
        </w:rPr>
        <w:t xml:space="preserve">Não haverá exigência da garantia da contratação dos </w:t>
      </w:r>
      <w:r>
        <w:fldChar w:fldCharType="begin"/>
      </w:r>
      <w:r>
        <w:rPr>
          <w:u w:val="single"/>
          <w:rStyle w:val="ListLabel2398"/>
          <w:color w:val="000000"/>
        </w:rPr>
        <w:instrText xml:space="preserve"> HYPERLINK "http://www.planalto.gov.br/ccivil_03/_ato2019-2022/2021/lei/L14133.htm" \l "art96"</w:instrText>
      </w:r>
      <w:r>
        <w:rPr>
          <w:u w:val="single"/>
          <w:rStyle w:val="ListLabel2398"/>
          <w:color w:val="000000"/>
        </w:rPr>
        <w:fldChar w:fldCharType="separate"/>
      </w:r>
      <w:r>
        <w:rPr>
          <w:rStyle w:val="ListLabel2398"/>
          <w:color w:val="000000"/>
          <w:u w:val="single"/>
        </w:rPr>
        <w:t>artigos 96 e seguintes da Lei nº 14.133, de 2021</w:t>
      </w:r>
      <w:r>
        <w:rPr>
          <w:u w:val="single"/>
          <w:rStyle w:val="ListLabel2398"/>
          <w:color w:val="000000"/>
        </w:rPr>
        <w:fldChar w:fldCharType="end"/>
      </w:r>
      <w:r>
        <w:rPr>
          <w:color w:val="000000"/>
        </w:rPr>
        <w:t>, pelas razões constantes do Estudo Técnico Preliminar.</w:t>
      </w:r>
    </w:p>
    <w:p>
      <w:pPr>
        <w:pStyle w:val="Ou"/>
        <w:spacing w:lineRule="auto" w:line="312" w:before="120" w:after="288"/>
        <w:contextualSpacing/>
        <w:rPr>
          <w:szCs w:val="20"/>
        </w:rPr>
      </w:pPr>
      <w:r>
        <w:rPr>
          <w:szCs w:val="20"/>
        </w:rPr>
      </w:r>
    </w:p>
    <w:p>
      <w:pPr>
        <w:pStyle w:val="Nivel2"/>
        <w:numPr>
          <w:ilvl w:val="1"/>
          <w:numId w:val="151"/>
        </w:numPr>
        <w:ind w:hanging="0" w:left="0"/>
        <w:rPr/>
      </w:pPr>
      <w:r>
        <w:rPr/>
        <w:t>O contrato oferece maior detalhamento das regras que serão aplicadas em relação à garantia da contratação.</w:t>
      </w:r>
    </w:p>
    <w:p>
      <w:pPr>
        <w:pStyle w:val="Nivel01"/>
        <w:numPr>
          <w:ilvl w:val="0"/>
          <w:numId w:val="1"/>
        </w:numPr>
        <w:ind w:hanging="0" w:left="0"/>
        <w:rPr/>
      </w:pPr>
      <w:commentRangeStart w:id="11"/>
      <w:r>
        <w:rPr/>
        <w:t>MODELO DE EXECUÇÃO DO OBJETO</w:t>
      </w:r>
      <w:commentRangeEnd w:id="11"/>
      <w:r>
        <w:commentReference w:id="11"/>
      </w:r>
      <w:r>
        <w:rPr/>
      </w:r>
    </w:p>
    <w:p>
      <w:pPr>
        <w:pStyle w:val="Nvel1-SemNum"/>
        <w:rPr/>
      </w:pPr>
      <w:r>
        <w:rPr/>
        <w:t>Condições de Entrega</w:t>
      </w:r>
    </w:p>
    <w:p>
      <w:pPr>
        <w:pStyle w:val="Nvel2-Red"/>
        <w:numPr>
          <w:ilvl w:val="1"/>
          <w:numId w:val="152"/>
        </w:numPr>
        <w:ind w:hanging="0" w:left="0"/>
        <w:rPr/>
      </w:pPr>
      <w:r>
        <w:rPr>
          <w:color w:val="000000"/>
        </w:rPr>
        <w:t xml:space="preserve">O prazo de entrega dos bens é de 30 dias, contados da emissão da nota de empenho, em remessa única. </w:t>
      </w:r>
    </w:p>
    <w:p>
      <w:pPr>
        <w:pStyle w:val="Nvel2-Red"/>
        <w:numPr>
          <w:ilvl w:val="1"/>
          <w:numId w:val="153"/>
        </w:numPr>
        <w:ind w:hanging="0" w:left="0"/>
        <w:rPr>
          <w:color w:val="000000"/>
        </w:rPr>
      </w:pPr>
      <w:r>
        <w:rPr>
          <w:color w:val="000000"/>
        </w:rPr>
        <w:t>Caso não seja possível a entrega na data assinalada, a empresa deverá comunicar as razões respectivas com pelo menos 10 dias de antecedência para que qualquer pleito de prorrogação de prazo seja analisado, ressalvadas situações de caso fortuito e força maior.</w:t>
      </w:r>
    </w:p>
    <w:p>
      <w:pPr>
        <w:pStyle w:val="Nivel2"/>
        <w:numPr>
          <w:ilvl w:val="1"/>
          <w:numId w:val="154"/>
        </w:numPr>
        <w:ind w:hanging="0" w:left="0"/>
        <w:rPr/>
      </w:pPr>
      <w:commentRangeStart w:id="12"/>
      <w:r>
        <w:rPr/>
        <w:t>Os bens deverão ser entregues no seguinte endereço: Estrada Roberto Burle Marx, nº 9140 Guaratiba, Rio de Janeiro CEP: 23020-265, de segunda a quinta-feira, das 09:00 as 16:00 horas e sexta-feira das 09:00 as 11:30, telefone para contato (21) 2410-7268 ou 2410-7295.</w:t>
      </w:r>
    </w:p>
    <w:p>
      <w:pPr>
        <w:pStyle w:val="Nivel2"/>
        <w:ind w:hanging="0" w:left="999"/>
        <w:rPr/>
      </w:pPr>
      <w:commentRangeEnd w:id="12"/>
      <w:r>
        <w:commentReference w:id="12"/>
      </w:r>
      <w:r>
        <w:rPr/>
      </w:r>
    </w:p>
    <w:p>
      <w:pPr>
        <w:pStyle w:val="Nvel2-Red"/>
        <w:rPr/>
      </w:pPr>
      <w:r>
        <w:rPr/>
      </w:r>
    </w:p>
    <w:p>
      <w:pPr>
        <w:pStyle w:val="Nvel1-SemNumPreto"/>
        <w:rPr/>
      </w:pPr>
      <w:commentRangeStart w:id="13"/>
      <w:r>
        <w:rPr/>
        <w:t>Garantia, manutenção e assistência técnica</w:t>
      </w:r>
      <w:commentRangeEnd w:id="13"/>
      <w:r>
        <w:commentReference w:id="13"/>
      </w:r>
      <w:r>
        <w:rPr/>
      </w:r>
    </w:p>
    <w:p>
      <w:pPr>
        <w:pStyle w:val="Nvel2-Red"/>
        <w:numPr>
          <w:ilvl w:val="1"/>
          <w:numId w:val="155"/>
        </w:numPr>
        <w:ind w:hanging="0" w:left="0"/>
        <w:rPr>
          <w:color w:val="000000"/>
        </w:rPr>
      </w:pPr>
      <w:commentRangeStart w:id="14"/>
      <w:r>
        <w:rPr>
          <w:color w:val="000000"/>
        </w:rPr>
        <w:t>O prazo de garantia é aquele estabelecido na Lei nº 8.078, de 11 de setembro de 1990 (Código de Defesa do Consumidor)</w:t>
      </w:r>
      <w:commentRangeStart w:id="15"/>
      <w:commentRangeEnd w:id="14"/>
      <w:r>
        <w:commentReference w:id="14"/>
      </w:r>
      <w:r>
        <w:rPr>
          <w:color w:val="000000"/>
        </w:rPr>
      </w:r>
    </w:p>
    <w:p>
      <w:pPr>
        <w:pStyle w:val="Nvel2-Red"/>
        <w:numPr>
          <w:ilvl w:val="1"/>
          <w:numId w:val="156"/>
        </w:numPr>
        <w:ind w:hanging="0" w:left="0"/>
        <w:rPr/>
      </w:pPr>
      <w:r>
        <w:rPr>
          <w:color w:val="00000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commentRangeEnd w:id="15"/>
      <w:r>
        <w:commentReference w:id="15"/>
      </w:r>
      <w:r>
        <w:rPr>
          <w:color w:val="000000"/>
        </w:rPr>
      </w:r>
    </w:p>
    <w:p>
      <w:pPr>
        <w:pStyle w:val="Nivel01"/>
        <w:numPr>
          <w:ilvl w:val="0"/>
          <w:numId w:val="1"/>
        </w:numPr>
        <w:ind w:hanging="0" w:left="0"/>
        <w:rPr/>
      </w:pPr>
      <w:r>
        <w:rPr/>
        <w:t>MODELO DE GESTÃO DO CONTRATO</w:t>
      </w:r>
    </w:p>
    <w:p>
      <w:pPr>
        <w:pStyle w:val="Nivel2"/>
        <w:numPr>
          <w:ilvl w:val="1"/>
          <w:numId w:val="157"/>
        </w:numPr>
        <w:ind w:hanging="0" w:left="0"/>
        <w:rPr/>
      </w:pPr>
      <w:r>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58"/>
        </w:numPr>
        <w:ind w:hanging="0" w:left="0"/>
        <w:rPr/>
      </w:pPr>
      <w:r>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59"/>
        </w:numPr>
        <w:ind w:hanging="0" w:left="0"/>
        <w:rPr/>
      </w:pPr>
      <w:r>
        <w:rPr/>
        <w:t>As comunicações entre o órgão ou entidade e a contratada devem ser realizadas por escrito sempre que o ato exigir tal formalidade, admitindo-se o uso de mensagem eletrônica para esse fim.</w:t>
      </w:r>
    </w:p>
    <w:p>
      <w:pPr>
        <w:pStyle w:val="Nivel2"/>
        <w:numPr>
          <w:ilvl w:val="1"/>
          <w:numId w:val="160"/>
        </w:numPr>
        <w:ind w:hanging="0" w:left="0"/>
        <w:rPr/>
      </w:pPr>
      <w:r>
        <w:rPr/>
        <w:t>O órgão ou entidade poderá convocar representante da empresa para adoção de providências que devam ser cumpridas de imediato.</w:t>
      </w:r>
    </w:p>
    <w:p>
      <w:pPr>
        <w:pStyle w:val="Nivel2"/>
        <w:numPr>
          <w:ilvl w:val="1"/>
          <w:numId w:val="161"/>
        </w:numPr>
        <w:ind w:hanging="0" w:left="0"/>
        <w:rPr/>
      </w:pPr>
      <w:r>
        <w:rPr/>
        <w:t>Após a assinatura do contrato ou instrumento equivalente</w:t>
      </w:r>
      <w:r>
        <w:rPr>
          <w:strike/>
        </w:rPr>
        <w:t>,</w:t>
      </w:r>
      <w: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rPr/>
      </w:pPr>
      <w:r>
        <w:rPr/>
        <w:t>Fiscalização</w:t>
      </w:r>
    </w:p>
    <w:p>
      <w:pPr>
        <w:pStyle w:val="Nivel2"/>
        <w:numPr>
          <w:ilvl w:val="1"/>
          <w:numId w:val="162"/>
        </w:numPr>
        <w:ind w:hanging="0" w:left="0"/>
        <w:rPr/>
      </w:pPr>
      <w:commentRangeStart w:id="16"/>
      <w:r>
        <w:rPr/>
        <w:t>A execução do contrato deverá ser acompanhada e fiscalizada pelo(s) fiscal(is) do contrato, ou pelos respectivos substitutos (</w:t>
      </w:r>
      <w:r>
        <w:fldChar w:fldCharType="begin"/>
      </w:r>
      <w:r>
        <w:rPr>
          <w:u w:val="single"/>
          <w:rStyle w:val="ListLabel2397"/>
          <w:color w:val="0000FF"/>
        </w:rPr>
        <w:instrText xml:space="preserve"> HYPERLINK "http://www.planalto.gov.br/ccivil_03/_ato2019-2022/2021/lei/L14133.htm" \l "art117"</w:instrText>
      </w:r>
      <w:r>
        <w:rPr>
          <w:u w:val="single"/>
          <w:rStyle w:val="ListLabel2397"/>
          <w:color w:val="0000FF"/>
        </w:rPr>
        <w:fldChar w:fldCharType="separate"/>
      </w:r>
      <w:r>
        <w:rPr>
          <w:rStyle w:val="ListLabel2397"/>
          <w:color w:val="0000FF"/>
          <w:u w:val="single"/>
        </w:rPr>
        <w:t>Lei nº 14.133, de 2021, art. 117, caput</w:t>
      </w:r>
      <w:r>
        <w:rPr>
          <w:u w:val="single"/>
          <w:rStyle w:val="ListLabel2397"/>
          <w:color w:val="0000FF"/>
        </w:rPr>
        <w:fldChar w:fldCharType="end"/>
      </w:r>
      <w:r>
        <w:rPr/>
        <w:t>).</w:t>
      </w:r>
    </w:p>
    <w:p>
      <w:pPr>
        <w:pStyle w:val="Nvel1-SemNumPreto"/>
        <w:rPr/>
      </w:pPr>
      <w:r>
        <w:rPr/>
        <w:t>Fiscalização Técnica</w:t>
      </w:r>
    </w:p>
    <w:p>
      <w:pPr>
        <w:pStyle w:val="Nivel2"/>
        <w:numPr>
          <w:ilvl w:val="1"/>
          <w:numId w:val="163"/>
        </w:numPr>
        <w:ind w:hanging="0" w:left="0"/>
        <w:rPr/>
      </w:pPr>
      <w:r>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164"/>
        </w:numPr>
        <w:ind w:hanging="0" w:left="284"/>
        <w:rPr/>
      </w:pPr>
      <w:r>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u w:val="single"/>
          <w:rStyle w:val="ListLabel2397"/>
          <w:color w:val="0000FF"/>
        </w:rPr>
        <w:instrText xml:space="preserve"> HYPERLINK "http://www.planalto.gov.br/ccivil_03/_ato2019-2022/2021/lei/L14133.htm" \l "art117§1"</w:instrText>
      </w:r>
      <w:r>
        <w:rPr>
          <w:u w:val="single"/>
          <w:rStyle w:val="ListLabel2397"/>
          <w:color w:val="0000FF"/>
        </w:rPr>
        <w:fldChar w:fldCharType="separate"/>
      </w:r>
      <w:r>
        <w:rPr>
          <w:rStyle w:val="ListLabel2397"/>
          <w:color w:val="0000FF"/>
          <w:u w:val="single"/>
        </w:rPr>
        <w:t>Lei nº 14.133, de 2021, art. 117, §1º</w:t>
      </w:r>
      <w:r>
        <w:rPr>
          <w:u w:val="single"/>
          <w:rStyle w:val="ListLabel2397"/>
          <w:color w:val="0000FF"/>
        </w:rPr>
        <w:fldChar w:fldCharType="end"/>
      </w:r>
      <w:r>
        <w:rPr/>
        <w:t xml:space="preserve">, e </w:t>
      </w:r>
      <w:r>
        <w:fldChar w:fldCharType="begin"/>
      </w:r>
      <w:r>
        <w:rPr>
          <w:u w:val="single"/>
          <w:rStyle w:val="ListLabel2397"/>
          <w:color w:val="0000FF"/>
        </w:rPr>
        <w:instrText xml:space="preserve"> HYPERLINK "https://www.planalto.gov.br/ccivil_03/_ato2019-2022/2022/Decreto/D11246.htm" \l "art22"</w:instrText>
      </w:r>
      <w:r>
        <w:rPr>
          <w:u w:val="single"/>
          <w:rStyle w:val="ListLabel2397"/>
          <w:color w:val="0000FF"/>
        </w:rPr>
        <w:fldChar w:fldCharType="separate"/>
      </w:r>
      <w:r>
        <w:rPr>
          <w:rStyle w:val="ListLabel2397"/>
          <w:color w:val="0000FF"/>
          <w:u w:val="single"/>
        </w:rPr>
        <w:t>Decreto nº 11.246, de 2022, art. 22, II);</w:t>
      </w:r>
      <w:r>
        <w:rPr>
          <w:u w:val="single"/>
          <w:rStyle w:val="ListLabel2397"/>
          <w:color w:val="0000FF"/>
        </w:rPr>
        <w:fldChar w:fldCharType="end"/>
      </w:r>
      <w:commentRangeEnd w:id="16"/>
      <w:r>
        <w:commentReference w:id="16"/>
      </w:r>
      <w:r>
        <w:rPr>
          <w:rStyle w:val="Hyperlink1"/>
        </w:rPr>
      </w:r>
    </w:p>
    <w:p>
      <w:pPr>
        <w:pStyle w:val="Nivel3"/>
        <w:numPr>
          <w:ilvl w:val="2"/>
          <w:numId w:val="165"/>
        </w:numPr>
        <w:ind w:hanging="0" w:left="284"/>
        <w:rPr/>
      </w:pPr>
      <w:r>
        <w:rPr/>
        <w:t>Identificada qualquer inexatidão ou irregularidade, o fiscal técnico do contrato emitirá notificações para a correção da execução do contrato, determinando prazo para a correção. (</w:t>
      </w:r>
      <w:r>
        <w:fldChar w:fldCharType="begin"/>
      </w:r>
      <w:r>
        <w:rPr>
          <w:u w:val="single"/>
          <w:rStyle w:val="ListLabel2397"/>
          <w:color w:val="0000FF"/>
        </w:rPr>
        <w:instrText xml:space="preserve"> HYPERLINK "https://www.planalto.gov.br/ccivil_03/_ato2019-2022/2022/Decreto/D11246.htm" \l "art22"</w:instrText>
      </w:r>
      <w:r>
        <w:rPr>
          <w:u w:val="single"/>
          <w:rStyle w:val="ListLabel2397"/>
          <w:color w:val="0000FF"/>
        </w:rPr>
        <w:fldChar w:fldCharType="separate"/>
      </w:r>
      <w:r>
        <w:rPr>
          <w:rStyle w:val="ListLabel2397"/>
          <w:color w:val="0000FF"/>
          <w:u w:val="single"/>
        </w:rPr>
        <w:t>Decreto nº 11.246, de 2022, art. 22, III</w:t>
      </w:r>
      <w:r>
        <w:rPr>
          <w:u w:val="single"/>
          <w:rStyle w:val="ListLabel2397"/>
          <w:color w:val="0000FF"/>
        </w:rPr>
        <w:fldChar w:fldCharType="end"/>
      </w:r>
      <w:r>
        <w:rPr/>
        <w:t xml:space="preserve">); </w:t>
      </w:r>
    </w:p>
    <w:p>
      <w:pPr>
        <w:pStyle w:val="Nivel3"/>
        <w:numPr>
          <w:ilvl w:val="2"/>
          <w:numId w:val="166"/>
        </w:numPr>
        <w:ind w:hanging="0" w:left="284"/>
        <w:rPr/>
      </w:pPr>
      <w:r>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u w:val="single"/>
          <w:rStyle w:val="ListLabel2397"/>
          <w:color w:val="0000FF"/>
        </w:rPr>
        <w:instrText xml:space="preserve"> HYPERLINK "https://www.planalto.gov.br/ccivil_03/_ato2019-2022/2022/Decreto/D11246.htm" \l "art22"</w:instrText>
      </w:r>
      <w:r>
        <w:rPr>
          <w:u w:val="single"/>
          <w:rStyle w:val="ListLabel2397"/>
          <w:color w:val="0000FF"/>
        </w:rPr>
        <w:fldChar w:fldCharType="separate"/>
      </w:r>
      <w:r>
        <w:rPr>
          <w:rStyle w:val="ListLabel2397"/>
          <w:color w:val="0000FF"/>
          <w:u w:val="single"/>
        </w:rPr>
        <w:t>Decreto nº 11.246, de 2022, art. 22, IV</w:t>
      </w:r>
      <w:r>
        <w:rPr>
          <w:u w:val="single"/>
          <w:rStyle w:val="ListLabel2397"/>
          <w:color w:val="0000FF"/>
        </w:rPr>
        <w:fldChar w:fldCharType="end"/>
      </w:r>
      <w:r>
        <w:rPr/>
        <w:t>).</w:t>
      </w:r>
    </w:p>
    <w:p>
      <w:pPr>
        <w:pStyle w:val="Nivel3"/>
        <w:numPr>
          <w:ilvl w:val="2"/>
          <w:numId w:val="167"/>
        </w:numPr>
        <w:ind w:hanging="0" w:left="284"/>
        <w:rPr/>
      </w:pPr>
      <w:r>
        <w:rPr/>
        <w:t>No caso de ocorrências que possam inviabilizar a execução do contrato nas datas aprazadas, o fiscal técnico do contrato comunicará o fato imediatamente ao gestor do contrato. (</w:t>
      </w:r>
      <w:r>
        <w:fldChar w:fldCharType="begin"/>
      </w:r>
      <w:r>
        <w:rPr>
          <w:u w:val="single"/>
          <w:rStyle w:val="ListLabel2397"/>
          <w:color w:val="0000FF"/>
        </w:rPr>
        <w:instrText xml:space="preserve"> HYPERLINK "https://www.planalto.gov.br/ccivil_03/_ato2019-2022/2022/Decreto/D11246.htm" \l "art22"</w:instrText>
      </w:r>
      <w:r>
        <w:rPr>
          <w:u w:val="single"/>
          <w:rStyle w:val="ListLabel2397"/>
          <w:color w:val="0000FF"/>
        </w:rPr>
        <w:fldChar w:fldCharType="separate"/>
      </w:r>
      <w:r>
        <w:rPr>
          <w:rStyle w:val="ListLabel2397"/>
          <w:color w:val="0000FF"/>
          <w:u w:val="single"/>
        </w:rPr>
        <w:t>Decreto nº 11.246, de 2022, art. 22, V</w:t>
      </w:r>
      <w:r>
        <w:rPr>
          <w:u w:val="single"/>
          <w:rStyle w:val="ListLabel2397"/>
          <w:color w:val="0000FF"/>
        </w:rPr>
        <w:fldChar w:fldCharType="end"/>
      </w:r>
      <w:r>
        <w:rPr/>
        <w:t>).</w:t>
      </w:r>
    </w:p>
    <w:p>
      <w:pPr>
        <w:pStyle w:val="Nivel3"/>
        <w:numPr>
          <w:ilvl w:val="2"/>
          <w:numId w:val="168"/>
        </w:numPr>
        <w:ind w:hanging="0" w:left="284"/>
        <w:rPr/>
      </w:pPr>
      <w:r>
        <w:rPr/>
        <w:t xml:space="preserve">O fiscal técnico do contrato comunicará ao gestor do contrato, em tempo hábil, o término do contrato sob sua responsabilidade, com vistas à renovação tempestiva ou à prorrogação contratual </w:t>
      </w:r>
      <w:r>
        <w:fldChar w:fldCharType="begin"/>
      </w:r>
      <w:r>
        <w:rPr>
          <w:u w:val="single"/>
          <w:rStyle w:val="ListLabel2397"/>
          <w:color w:val="0000FF"/>
        </w:rPr>
        <w:instrText xml:space="preserve"> HYPERLINK "https://www.planalto.gov.br/ccivil_03/_ato2019-2022/2022/Decreto/D11246.htm" \l "art22"</w:instrText>
      </w:r>
      <w:r>
        <w:rPr>
          <w:u w:val="single"/>
          <w:rStyle w:val="ListLabel2397"/>
          <w:color w:val="0000FF"/>
        </w:rPr>
        <w:fldChar w:fldCharType="separate"/>
      </w:r>
      <w:r>
        <w:rPr>
          <w:rStyle w:val="ListLabel2397"/>
          <w:color w:val="0000FF"/>
          <w:u w:val="single"/>
        </w:rPr>
        <w:t>(Decreto nº 11.246, de 2022, art. 22, VII</w:t>
      </w:r>
      <w:r>
        <w:rPr>
          <w:u w:val="single"/>
          <w:rStyle w:val="ListLabel2397"/>
          <w:color w:val="0000FF"/>
        </w:rPr>
        <w:fldChar w:fldCharType="end"/>
      </w:r>
      <w:r>
        <w:rPr/>
        <w:t>).</w:t>
      </w:r>
    </w:p>
    <w:p>
      <w:pPr>
        <w:pStyle w:val="Nivel3"/>
        <w:ind w:hanging="0" w:left="0"/>
        <w:rPr/>
      </w:pPr>
      <w:r>
        <w:rPr/>
        <w:t>Fiscalização Administrativa</w:t>
      </w:r>
    </w:p>
    <w:p>
      <w:pPr>
        <w:pStyle w:val="Nivel2"/>
        <w:numPr>
          <w:ilvl w:val="1"/>
          <w:numId w:val="169"/>
        </w:numPr>
        <w:ind w:hanging="0" w:left="0"/>
        <w:rPr/>
      </w:pPr>
      <w: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u w:val="single"/>
          <w:rStyle w:val="ListLabel2397"/>
          <w:color w:val="0000FF"/>
        </w:rPr>
        <w:instrText xml:space="preserve"> HYPERLINK "https://www.planalto.gov.br/ccivil_03/_ato2019-2022/2022/Decreto/D11246.htm" \l "art23"</w:instrText>
      </w:r>
      <w:r>
        <w:rPr>
          <w:u w:val="single"/>
          <w:rStyle w:val="ListLabel2397"/>
          <w:color w:val="0000FF"/>
        </w:rPr>
        <w:fldChar w:fldCharType="separate"/>
      </w:r>
      <w:r>
        <w:rPr>
          <w:rStyle w:val="ListLabel2397"/>
          <w:color w:val="0000FF"/>
          <w:u w:val="single"/>
        </w:rPr>
        <w:t>Art. 23, I e II, do Decreto nº 11.246, de 2022</w:t>
      </w:r>
      <w:r>
        <w:rPr>
          <w:u w:val="single"/>
          <w:rStyle w:val="ListLabel2397"/>
          <w:color w:val="0000FF"/>
        </w:rPr>
        <w:fldChar w:fldCharType="end"/>
      </w:r>
      <w:r>
        <w:rPr/>
        <w:t>).</w:t>
      </w:r>
    </w:p>
    <w:p>
      <w:pPr>
        <w:pStyle w:val="Nivel3"/>
        <w:numPr>
          <w:ilvl w:val="2"/>
          <w:numId w:val="170"/>
        </w:numPr>
        <w:ind w:hanging="0" w:left="284"/>
        <w:rPr/>
      </w:pPr>
      <w:r>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u w:val="single"/>
          <w:rStyle w:val="ListLabel2397"/>
          <w:color w:val="0000FF"/>
        </w:rPr>
        <w:instrText xml:space="preserve"> HYPERLINK "https://www.planalto.gov.br/ccivil_03/_ato2019-2022/2022/Decreto/D11246.htm" \l "art23"</w:instrText>
      </w:r>
      <w:r>
        <w:rPr>
          <w:u w:val="single"/>
          <w:rStyle w:val="ListLabel2397"/>
          <w:color w:val="0000FF"/>
        </w:rPr>
        <w:fldChar w:fldCharType="separate"/>
      </w:r>
      <w:r>
        <w:rPr>
          <w:rStyle w:val="ListLabel2397"/>
          <w:color w:val="0000FF"/>
          <w:u w:val="single"/>
        </w:rPr>
        <w:t>Decreto nº 11.246, de 2022, art. 23, IV</w:t>
      </w:r>
      <w:r>
        <w:rPr>
          <w:u w:val="single"/>
          <w:rStyle w:val="ListLabel2397"/>
          <w:color w:val="0000FF"/>
        </w:rPr>
        <w:fldChar w:fldCharType="end"/>
      </w:r>
      <w:r>
        <w:rPr/>
        <w:t>).</w:t>
      </w:r>
    </w:p>
    <w:p>
      <w:pPr>
        <w:pStyle w:val="Nvel3-R"/>
        <w:numPr>
          <w:ilvl w:val="2"/>
          <w:numId w:val="171"/>
        </w:numPr>
        <w:rPr/>
      </w:pPr>
      <w:r>
        <w:rPr/>
        <w:commentReference w:id="17"/>
      </w:r>
    </w:p>
    <w:p>
      <w:pPr>
        <w:pStyle w:val="Nvel1-SemNumPreto"/>
        <w:rPr>
          <w:i/>
          <w:i/>
          <w:iCs/>
        </w:rPr>
      </w:pPr>
      <w:r>
        <w:rPr/>
        <w:t>Gestor do Contrato</w:t>
      </w:r>
    </w:p>
    <w:p>
      <w:pPr>
        <w:pStyle w:val="Nivel2"/>
        <w:numPr>
          <w:ilvl w:val="1"/>
          <w:numId w:val="172"/>
        </w:numPr>
        <w:ind w:hanging="0" w:left="0"/>
        <w:rPr/>
      </w:pPr>
      <w: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73"/>
        </w:numPr>
        <w:ind w:hanging="0" w:left="0"/>
        <w:rPr/>
      </w:pPr>
      <w: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74"/>
        </w:numPr>
        <w:ind w:hanging="0" w:left="0"/>
        <w:rPr/>
      </w:pPr>
      <w: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75"/>
        </w:numPr>
        <w:ind w:hanging="0" w:left="0"/>
        <w:rPr/>
      </w:pPr>
      <w: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76"/>
        </w:numPr>
        <w:ind w:hanging="0" w:left="0"/>
        <w:rPr/>
      </w:pPr>
      <w: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77"/>
        </w:numPr>
        <w:ind w:hanging="0" w:left="0"/>
        <w:rPr/>
      </w:pPr>
      <w: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78"/>
        </w:numPr>
        <w:ind w:hanging="0" w:left="0"/>
        <w:rPr/>
      </w:pPr>
      <w:r>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1"/>
        </w:numPr>
        <w:ind w:hanging="0" w:left="0"/>
        <w:rPr/>
      </w:pPr>
      <w:r>
        <w:rPr/>
        <w:t>CRITÉRIOS DE MEDIÇÃO E DE PAGAMENTO</w:t>
      </w:r>
    </w:p>
    <w:p>
      <w:pPr>
        <w:pStyle w:val="Nvel1-SemNumPreto"/>
        <w:rPr/>
      </w:pPr>
      <w:r>
        <w:rPr/>
        <w:t>Recebimento</w:t>
      </w:r>
    </w:p>
    <w:p>
      <w:pPr>
        <w:pStyle w:val="Nivel2"/>
        <w:numPr>
          <w:ilvl w:val="1"/>
          <w:numId w:val="179"/>
        </w:numPr>
        <w:ind w:hanging="0" w:left="0"/>
        <w:rPr>
          <w:lang w:eastAsia="en-US"/>
        </w:rPr>
      </w:pPr>
      <w:commentRangeStart w:id="18"/>
      <w:r>
        <w:rPr>
          <w:lang w:eastAsia="en-US"/>
        </w:rPr>
        <w:t>Os bens serão recebidos provisoriamente, de forma sumária</w:t>
      </w:r>
      <w:r>
        <w:rPr>
          <w:lang w:eastAsia="en-US"/>
        </w:rPr>
      </w:r>
      <w:commentRangeEnd w:id="18"/>
      <w:r>
        <w:commentReference w:id="18"/>
      </w:r>
      <w:r>
        <w:rPr>
          <w:lang w:eastAsia="en-US"/>
        </w:rPr>
        <w:t xml:space="preserve">, no ato da entrega, juntamente com a </w:t>
      </w:r>
      <w:r>
        <w:rPr>
          <w:rFonts w:eastAsia="Calibri"/>
          <w:lang w:eastAsia="en-US"/>
        </w:rPr>
        <w:t>nota</w:t>
      </w:r>
      <w:r>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Referênciae na proposta.</w:t>
      </w:r>
    </w:p>
    <w:p>
      <w:pPr>
        <w:pStyle w:val="Nivel2"/>
        <w:numPr>
          <w:ilvl w:val="1"/>
          <w:numId w:val="180"/>
        </w:numPr>
        <w:ind w:hanging="0" w:left="0"/>
        <w:rPr>
          <w:lang w:eastAsia="en-US"/>
        </w:rPr>
      </w:pPr>
      <w:r>
        <w:rPr>
          <w:lang w:eastAsia="en-US"/>
        </w:rPr>
        <w:t>Os bens poderão ser rejeitados, no todo ou em parte, inclusive antes do recebimento provisório, quando em desacordo com as especificações constantes no Termo de Referênciae na proposta, devendo ser substituídos no prazo de 30 (trinta)dias, a contar da notificação da contratada, às suas custas, sem prejuízo da aplicação das penalidades.</w:t>
      </w:r>
    </w:p>
    <w:p>
      <w:pPr>
        <w:pStyle w:val="Nivel2"/>
        <w:numPr>
          <w:ilvl w:val="1"/>
          <w:numId w:val="181"/>
        </w:numPr>
        <w:ind w:hanging="0" w:left="0"/>
        <w:rPr>
          <w:lang w:eastAsia="en-US"/>
        </w:rPr>
      </w:pPr>
      <w:commentRangeStart w:id="19"/>
      <w:r>
        <w:rPr>
          <w:lang w:eastAsia="en-US"/>
        </w:rPr>
        <w:t>O recebimento definitivo ocorrerá no prazo de 10 (dez) dias úteis,a contar do recebimento da nota fiscal ou instrumento de cobrança equivalente pela Administração, após a verificação da qualidade e quantidade do material e consequente aceitação mediante termo detalhado.</w:t>
      </w:r>
      <w:commentRangeEnd w:id="19"/>
      <w:r>
        <w:commentReference w:id="19"/>
      </w:r>
      <w:r>
        <w:rPr>
          <w:lang w:eastAsia="en-US"/>
        </w:rPr>
      </w:r>
    </w:p>
    <w:p>
      <w:pPr>
        <w:pStyle w:val="Nivel2"/>
        <w:numPr>
          <w:ilvl w:val="1"/>
          <w:numId w:val="182"/>
        </w:numPr>
        <w:ind w:hanging="0" w:left="0"/>
        <w:rPr>
          <w:lang w:eastAsia="en-US"/>
        </w:rPr>
      </w:pPr>
      <w:commentRangeStart w:id="20"/>
      <w:r>
        <w:rPr>
          <w:lang w:eastAsia="en-US"/>
        </w:rPr>
        <w:t xml:space="preserve">Para as contratações decorrentes de despesas cujos valores não ultrapassem o limite de que trata o </w:t>
      </w:r>
      <w:r>
        <w:fldChar w:fldCharType="begin"/>
      </w:r>
      <w:r>
        <w:rPr>
          <w:u w:val="single"/>
          <w:rStyle w:val="ListLabel2400"/>
          <w:color w:val="0000FF"/>
          <w:lang w:eastAsia="en-US"/>
        </w:rPr>
        <w:instrText xml:space="preserve"> HYPERLINK "http://www.planalto.gov.br/ccivil_03/_ato2019-2022/2021/lei/L14133.htm" \l "art75"</w:instrText>
      </w:r>
      <w:r>
        <w:rPr>
          <w:u w:val="single"/>
          <w:rStyle w:val="ListLabel2400"/>
          <w:color w:val="0000FF"/>
          <w:lang w:eastAsia="en-US"/>
        </w:rPr>
        <w:fldChar w:fldCharType="separate"/>
      </w:r>
      <w:r>
        <w:rPr>
          <w:rStyle w:val="ListLabel2400"/>
          <w:color w:val="0000FF"/>
          <w:u w:val="single"/>
          <w:lang w:eastAsia="en-US"/>
        </w:rPr>
        <w:t>inciso II do art. 75 da Lei nº 14.133, de 2021</w:t>
      </w:r>
      <w:r>
        <w:rPr>
          <w:u w:val="single"/>
          <w:rStyle w:val="ListLabel2400"/>
          <w:color w:val="0000FF"/>
          <w:lang w:eastAsia="en-US"/>
        </w:rPr>
        <w:fldChar w:fldCharType="end"/>
      </w:r>
      <w:r>
        <w:rPr>
          <w:lang w:eastAsia="en-US"/>
        </w:rPr>
        <w:t xml:space="preserve">, o prazo máximo para o recebimento definitivo será de até </w:t>
      </w:r>
      <w:r>
        <w:rPr/>
        <w:t>365</w:t>
      </w:r>
      <w:r>
        <w:rPr>
          <w:lang w:eastAsia="en-US"/>
        </w:rPr>
        <w:t xml:space="preserve"> dias úteis.</w:t>
      </w:r>
      <w:commentRangeEnd w:id="20"/>
      <w:r>
        <w:commentReference w:id="20"/>
      </w:r>
      <w:r>
        <w:rPr>
          <w:lang w:eastAsia="en-US"/>
        </w:rPr>
      </w:r>
    </w:p>
    <w:p>
      <w:pPr>
        <w:pStyle w:val="Nivel2"/>
        <w:numPr>
          <w:ilvl w:val="1"/>
          <w:numId w:val="183"/>
        </w:numPr>
        <w:ind w:hanging="0" w:left="0"/>
        <w:rPr>
          <w:lang w:eastAsia="en-US"/>
        </w:rPr>
      </w:pPr>
      <w:r>
        <w:rPr>
          <w:lang w:eastAsia="en-US"/>
        </w:rPr>
        <w:t xml:space="preserve">O prazo para recebimento definitivo poderá ser excepcionalmente prorrogado, </w:t>
      </w:r>
      <w:r>
        <w:rPr>
          <w:color w:val="auto"/>
          <w:lang w:eastAsia="en-US"/>
        </w:rPr>
        <w:t>de forma justificada, por igual período, quando houver necessidade de diligências para a aferição do ate</w:t>
      </w:r>
      <w:r>
        <w:rPr>
          <w:lang w:eastAsia="en-US"/>
        </w:rPr>
        <w:t>ndimento das exigências contratuais.</w:t>
      </w:r>
    </w:p>
    <w:p>
      <w:pPr>
        <w:pStyle w:val="Nivel2"/>
        <w:numPr>
          <w:ilvl w:val="1"/>
          <w:numId w:val="184"/>
        </w:numPr>
        <w:ind w:hanging="0" w:left="0"/>
        <w:rPr>
          <w:lang w:eastAsia="en-US"/>
        </w:rPr>
      </w:pPr>
      <w:r>
        <w:rPr>
          <w:lang w:eastAsia="en-US"/>
        </w:rPr>
        <w:t xml:space="preserve">No caso de controvérsia sobre a execução do objeto, quanto à dimensão, qualidade e quantidade, deverá ser observado o teor do </w:t>
      </w:r>
      <w:r>
        <w:fldChar w:fldCharType="begin"/>
      </w:r>
      <w:r>
        <w:rPr>
          <w:u w:val="single"/>
          <w:rStyle w:val="ListLabel2400"/>
          <w:color w:val="0000FF"/>
          <w:lang w:eastAsia="en-US"/>
        </w:rPr>
        <w:instrText xml:space="preserve"> HYPERLINK "http://www.planalto.gov.br/ccivil_03/_ato2019-2022/2021/lei/L14133.htm" \l "art143"</w:instrText>
      </w:r>
      <w:r>
        <w:rPr>
          <w:u w:val="single"/>
          <w:rStyle w:val="ListLabel2400"/>
          <w:color w:val="0000FF"/>
          <w:lang w:eastAsia="en-US"/>
        </w:rPr>
        <w:fldChar w:fldCharType="separate"/>
      </w:r>
      <w:r>
        <w:rPr>
          <w:rStyle w:val="ListLabel2400"/>
          <w:color w:val="0000FF"/>
          <w:u w:val="single"/>
          <w:lang w:eastAsia="en-US"/>
        </w:rPr>
        <w:t>art. 143 da Lei nº 14.133, de 2021</w:t>
      </w:r>
      <w:r>
        <w:rPr>
          <w:u w:val="single"/>
          <w:rStyle w:val="ListLabel2400"/>
          <w:color w:val="0000FF"/>
          <w:lang w:eastAsia="en-US"/>
        </w:rPr>
        <w:fldChar w:fldCharType="end"/>
      </w:r>
      <w:r>
        <w:rPr>
          <w:lang w:eastAsia="en-US"/>
        </w:rPr>
        <w:t>, comunicando-se à empresa para emissão de Nota Fiscal no que pertine à parcela incontroversa da execução do objeto, para efeito de liquidação e pagamento.</w:t>
      </w:r>
    </w:p>
    <w:p>
      <w:pPr>
        <w:pStyle w:val="Nivel2"/>
        <w:numPr>
          <w:ilvl w:val="1"/>
          <w:numId w:val="185"/>
        </w:numPr>
        <w:ind w:hanging="0" w:left="0"/>
        <w:rPr>
          <w:lang w:eastAsia="en-US"/>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186"/>
        </w:numPr>
        <w:ind w:hanging="0" w:left="0"/>
        <w:rPr>
          <w:lang w:eastAsia="en-US"/>
        </w:rPr>
      </w:pPr>
      <w:r>
        <w:rPr>
          <w:lang w:eastAsia="en-US"/>
        </w:rPr>
        <w:t>O recebimento provisório ou definitivo não excluirá a responsabilidade civil pela solidez e pela segurança dos bens nem a responsabilidade ético-profissional pela perfeita execução do contrato.</w:t>
      </w:r>
    </w:p>
    <w:p>
      <w:pPr>
        <w:pStyle w:val="Nvel1-SemNumPreto"/>
        <w:rPr/>
      </w:pPr>
      <w:r>
        <w:rPr/>
        <w:t>Liquidação</w:t>
      </w:r>
    </w:p>
    <w:p>
      <w:pPr>
        <w:pStyle w:val="Nivel2"/>
        <w:numPr>
          <w:ilvl w:val="1"/>
          <w:numId w:val="187"/>
        </w:numPr>
        <w:ind w:hanging="0" w:left="0"/>
        <w:rPr>
          <w:lang w:eastAsia="en-US"/>
        </w:rPr>
      </w:pPr>
      <w:r>
        <w:rPr>
          <w:lang w:eastAsia="en-US"/>
        </w:rPr>
        <w:t>Recebida a Nota Fiscal ou documento de cobrança equivalente, correrá o prazo de dez dias úteis para fins de liquidação, na forma desta seção, prorrogáveis por igual período, nos termos do art. 7º, §3</w:t>
      </w:r>
      <w:r>
        <w:rPr>
          <w:rStyle w:val="Hyperlink1"/>
          <w:lang w:eastAsia="en-US"/>
        </w:rPr>
        <w:t>º da Instrução Normativa SEGES/ME nº 77/2022</w:t>
      </w:r>
      <w:r>
        <w:rPr>
          <w:lang w:eastAsia="en-US"/>
        </w:rPr>
        <w:t>.</w:t>
      </w:r>
    </w:p>
    <w:p>
      <w:pPr>
        <w:pStyle w:val="Nivel3"/>
        <w:numPr>
          <w:ilvl w:val="2"/>
          <w:numId w:val="188"/>
        </w:numPr>
        <w:ind w:hanging="0" w:left="284"/>
        <w:rPr/>
      </w:pPr>
      <w:r>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u w:val="single"/>
          <w:rStyle w:val="ListLabel2397"/>
          <w:color w:val="0000FF"/>
        </w:rPr>
        <w:instrText xml:space="preserve"> HYPERLINK "http://www.planalto.gov.br/ccivil_03/_ato2019-2022/2021/lei/L14133.htm" \l "art75"</w:instrText>
      </w:r>
      <w:r>
        <w:rPr>
          <w:u w:val="single"/>
          <w:rStyle w:val="ListLabel2397"/>
          <w:color w:val="0000FF"/>
        </w:rPr>
        <w:fldChar w:fldCharType="separate"/>
      </w:r>
      <w:r>
        <w:rPr>
          <w:rStyle w:val="ListLabel2397"/>
          <w:color w:val="0000FF"/>
          <w:u w:val="single"/>
        </w:rPr>
        <w:t>inciso II do art. 75 da Lei nº 14.133, de 2021</w:t>
      </w:r>
      <w:r>
        <w:rPr>
          <w:u w:val="single"/>
          <w:rStyle w:val="ListLabel2397"/>
          <w:color w:val="0000FF"/>
        </w:rPr>
        <w:fldChar w:fldCharType="end"/>
      </w:r>
      <w:r>
        <w:rPr/>
        <w:t>.</w:t>
      </w:r>
    </w:p>
    <w:p>
      <w:pPr>
        <w:pStyle w:val="Nivel2"/>
        <w:numPr>
          <w:ilvl w:val="1"/>
          <w:numId w:val="189"/>
        </w:numPr>
        <w:ind w:hanging="0" w:left="0"/>
        <w:rPr>
          <w:lang w:eastAsia="en-US"/>
        </w:rPr>
      </w:pPr>
      <w:r>
        <w:rPr>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190"/>
        </w:numPr>
        <w:ind w:hanging="0" w:left="284"/>
        <w:rPr>
          <w:lang w:eastAsia="en-US"/>
        </w:rPr>
      </w:pPr>
      <w:r>
        <w:rPr>
          <w:lang w:eastAsia="en-US"/>
        </w:rPr>
        <w:t>o prazo de validade;</w:t>
      </w:r>
    </w:p>
    <w:p>
      <w:pPr>
        <w:pStyle w:val="Nivel3"/>
        <w:numPr>
          <w:ilvl w:val="2"/>
          <w:numId w:val="191"/>
        </w:numPr>
        <w:ind w:hanging="0" w:left="284"/>
        <w:rPr>
          <w:lang w:eastAsia="en-US"/>
        </w:rPr>
      </w:pPr>
      <w:r>
        <w:rPr>
          <w:lang w:eastAsia="en-US"/>
        </w:rPr>
        <w:t xml:space="preserve">a data da emissão; </w:t>
      </w:r>
    </w:p>
    <w:p>
      <w:pPr>
        <w:pStyle w:val="Nivel3"/>
        <w:numPr>
          <w:ilvl w:val="2"/>
          <w:numId w:val="192"/>
        </w:numPr>
        <w:ind w:hanging="0" w:left="284"/>
        <w:rPr>
          <w:lang w:eastAsia="en-US"/>
        </w:rPr>
      </w:pPr>
      <w:r>
        <w:rPr>
          <w:lang w:eastAsia="en-US"/>
        </w:rPr>
        <w:t xml:space="preserve">os dados do contrato e do órgão contratante; </w:t>
      </w:r>
    </w:p>
    <w:p>
      <w:pPr>
        <w:pStyle w:val="Nivel3"/>
        <w:numPr>
          <w:ilvl w:val="2"/>
          <w:numId w:val="193"/>
        </w:numPr>
        <w:ind w:hanging="0" w:left="284"/>
        <w:rPr>
          <w:lang w:eastAsia="en-US"/>
        </w:rPr>
      </w:pPr>
      <w:r>
        <w:rPr>
          <w:lang w:eastAsia="en-US"/>
        </w:rPr>
        <w:t xml:space="preserve">o período respectivo de execução do contrato; </w:t>
      </w:r>
    </w:p>
    <w:p>
      <w:pPr>
        <w:pStyle w:val="Nivel3"/>
        <w:numPr>
          <w:ilvl w:val="2"/>
          <w:numId w:val="194"/>
        </w:numPr>
        <w:ind w:hanging="0" w:left="284"/>
        <w:rPr>
          <w:lang w:eastAsia="en-US"/>
        </w:rPr>
      </w:pPr>
      <w:r>
        <w:rPr>
          <w:lang w:eastAsia="en-US"/>
        </w:rPr>
        <w:t xml:space="preserve">o valor a pagar; e </w:t>
      </w:r>
    </w:p>
    <w:p>
      <w:pPr>
        <w:pStyle w:val="Nivel3"/>
        <w:numPr>
          <w:ilvl w:val="2"/>
          <w:numId w:val="195"/>
        </w:numPr>
        <w:ind w:hanging="0" w:left="284"/>
        <w:rPr>
          <w:lang w:eastAsia="en-US"/>
        </w:rPr>
      </w:pPr>
      <w:r>
        <w:rPr>
          <w:lang w:eastAsia="en-US"/>
        </w:rPr>
        <w:t>eventual destaque do valor de retenções tributárias cabíveis.</w:t>
      </w:r>
    </w:p>
    <w:p>
      <w:pPr>
        <w:pStyle w:val="Nivel2"/>
        <w:numPr>
          <w:ilvl w:val="1"/>
          <w:numId w:val="196"/>
        </w:numPr>
        <w:ind w:hanging="0" w:left="0"/>
        <w:rPr>
          <w:lang w:eastAsia="en-US"/>
        </w:rPr>
      </w:pPr>
      <w:r>
        <w:rPr>
          <w:rFonts w:eastAsia="Calibri"/>
          <w:lang w:eastAsia="en-US"/>
        </w:rPr>
        <w:t xml:space="preserve">Havendo erro na apresentação da nota fiscal ou instrumento de cobrança equivalente, ou circunstância que impeça a </w:t>
      </w:r>
      <w:r>
        <w:rPr>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197"/>
        </w:numPr>
        <w:ind w:hanging="0" w:left="0"/>
        <w:rPr>
          <w:lang w:eastAsia="en-US"/>
        </w:rPr>
      </w:pPr>
      <w:r>
        <w:rPr>
          <w:lang w:eastAsia="en-US"/>
        </w:rPr>
        <w:t xml:space="preserve">A nota fiscal ou instrumento de cobrança equivalente deverá ser obrigatoriamente acompanhado da comprovação da regularidade fiscal, constatada por meio de consulta </w:t>
      </w:r>
      <w:r>
        <w:rPr>
          <w:i/>
          <w:iCs/>
          <w:lang w:eastAsia="en-US"/>
        </w:rPr>
        <w:t>on-line</w:t>
      </w:r>
      <w:r>
        <w:rPr>
          <w:lang w:eastAsia="en-US"/>
        </w:rPr>
        <w:t xml:space="preserve"> ao SICAF ou, na impossibilidade de acesso ao referido Sistema, mediante consulta aos sítios eletrônicos oficiais ou à documentação mencionada no </w:t>
      </w:r>
      <w:r>
        <w:fldChar w:fldCharType="begin"/>
      </w:r>
      <w:r>
        <w:rPr>
          <w:u w:val="single"/>
          <w:rStyle w:val="ListLabel2400"/>
          <w:color w:val="0000FF"/>
          <w:lang w:eastAsia="en-US"/>
        </w:rPr>
        <w:instrText xml:space="preserve"> HYPERLINK "http://www.planalto.gov.br/ccivil_03/_ato2019-2022/2021/lei/L14133.htm" \l "art68"</w:instrText>
      </w:r>
      <w:r>
        <w:rPr>
          <w:u w:val="single"/>
          <w:rStyle w:val="ListLabel2400"/>
          <w:color w:val="0000FF"/>
          <w:lang w:eastAsia="en-US"/>
        </w:rPr>
        <w:fldChar w:fldCharType="separate"/>
      </w:r>
      <w:r>
        <w:rPr>
          <w:rStyle w:val="ListLabel2400"/>
          <w:color w:val="0000FF"/>
          <w:u w:val="single"/>
          <w:lang w:eastAsia="en-US"/>
        </w:rPr>
        <w:t xml:space="preserve">art. 68 da Lei nº 14.133, de 2021.  </w:t>
      </w:r>
      <w:r>
        <w:rPr>
          <w:u w:val="single"/>
          <w:rStyle w:val="ListLabel2400"/>
          <w:color w:val="0000FF"/>
          <w:lang w:eastAsia="en-US"/>
        </w:rPr>
        <w:fldChar w:fldCharType="end"/>
      </w:r>
    </w:p>
    <w:p>
      <w:pPr>
        <w:pStyle w:val="Nivel2"/>
        <w:numPr>
          <w:ilvl w:val="1"/>
          <w:numId w:val="198"/>
        </w:numPr>
        <w:ind w:hanging="0" w:left="0"/>
        <w:rPr/>
      </w:pPr>
      <w: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pPr>
        <w:pStyle w:val="Nivel2"/>
        <w:numPr>
          <w:ilvl w:val="1"/>
          <w:numId w:val="199"/>
        </w:numPr>
        <w:ind w:hanging="0" w:left="0"/>
        <w:rPr>
          <w:lang w:eastAsia="en-US"/>
        </w:rPr>
      </w:pPr>
      <w:r>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200"/>
        </w:numPr>
        <w:ind w:hanging="0" w:left="0"/>
        <w:rPr>
          <w:lang w:eastAsia="en-US"/>
        </w:rPr>
      </w:pPr>
      <w:r>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201"/>
        </w:numPr>
        <w:ind w:hanging="0" w:left="0"/>
        <w:rPr>
          <w:lang w:eastAsia="en-US"/>
        </w:rPr>
      </w:pPr>
      <w:r>
        <w:rPr>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202"/>
        </w:numPr>
        <w:ind w:hanging="0" w:left="0"/>
        <w:rPr>
          <w:lang w:eastAsia="en-US"/>
        </w:rPr>
      </w:pPr>
      <w:r>
        <w:rPr>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rPr/>
      </w:pPr>
      <w:r>
        <w:rPr/>
        <w:t>Prazo de pagamento</w:t>
      </w:r>
    </w:p>
    <w:p>
      <w:pPr>
        <w:pStyle w:val="Nivel2"/>
        <w:numPr>
          <w:ilvl w:val="1"/>
          <w:numId w:val="203"/>
        </w:numPr>
        <w:ind w:hanging="0" w:left="0"/>
        <w:rPr/>
      </w:pPr>
      <w:r>
        <w:rPr/>
        <w:t xml:space="preserve">O pagamento será efetuado no prazo de até 10 (dez) dias úteis contados da finalização da liquidação da despesa, conforme seção anterior, nos termos da </w:t>
      </w:r>
      <w:hyperlink r:id="rId3">
        <w:r>
          <w:rPr>
            <w:rStyle w:val="ListLabel2397"/>
            <w:color w:val="0000FF"/>
            <w:u w:val="single"/>
          </w:rPr>
          <w:t>Instrução Normativa SEGES/ME nº 77, de 2022</w:t>
        </w:r>
      </w:hyperlink>
      <w:r>
        <w:rPr/>
        <w:t>.</w:t>
      </w:r>
    </w:p>
    <w:p>
      <w:pPr>
        <w:pStyle w:val="Nivel2"/>
        <w:numPr>
          <w:ilvl w:val="1"/>
          <w:numId w:val="204"/>
        </w:numPr>
        <w:ind w:hanging="0" w:left="0"/>
        <w:rPr>
          <w:lang w:eastAsia="en-US"/>
        </w:rPr>
      </w:pPr>
      <w:commentRangeStart w:id="21"/>
      <w:r>
        <w:rPr>
          <w:lang w:eastAsia="en-US"/>
        </w:rPr>
        <w:t xml:space="preserve">No caso de atraso pelo Contratante, os valores devidos ao contratado serão atualizados monetariamente entre o termo final do prazo de pagamento até a data de sua efetiva realização, mediante aplicação do índice </w:t>
      </w:r>
      <w:r>
        <w:rPr>
          <w:i/>
          <w:iCs/>
          <w:lang w:eastAsia="en-US"/>
        </w:rPr>
        <w:t>IPCA</w:t>
      </w:r>
      <w:r>
        <w:rPr>
          <w:lang w:eastAsia="en-US"/>
        </w:rPr>
        <w:t xml:space="preserve"> de correção monetária.</w:t>
      </w:r>
      <w:commentRangeEnd w:id="21"/>
      <w:r>
        <w:commentReference w:id="21"/>
      </w:r>
      <w:r>
        <w:rPr>
          <w:lang w:eastAsia="en-US"/>
        </w:rPr>
      </w:r>
    </w:p>
    <w:p>
      <w:pPr>
        <w:pStyle w:val="Nvel1-SemNumPreto"/>
        <w:rPr/>
      </w:pPr>
      <w:r>
        <w:rPr/>
        <w:t>Forma de pagamento</w:t>
      </w:r>
    </w:p>
    <w:p>
      <w:pPr>
        <w:pStyle w:val="Nivel2"/>
        <w:numPr>
          <w:ilvl w:val="1"/>
          <w:numId w:val="205"/>
        </w:numPr>
        <w:ind w:hanging="0" w:left="0"/>
        <w:rPr>
          <w:lang w:eastAsia="en-US"/>
        </w:rPr>
      </w:pPr>
      <w:r>
        <w:rPr>
          <w:lang w:eastAsia="en-US"/>
        </w:rPr>
        <w:t>O pagamento será realizado por meio de ordem bancária, para crédito em banco, agência e conta corrente indicados pelo contratado.</w:t>
      </w:r>
    </w:p>
    <w:p>
      <w:pPr>
        <w:pStyle w:val="Nivel2"/>
        <w:numPr>
          <w:ilvl w:val="1"/>
          <w:numId w:val="206"/>
        </w:numPr>
        <w:ind w:hanging="0" w:left="0"/>
        <w:rPr>
          <w:lang w:eastAsia="en-US"/>
        </w:rPr>
      </w:pPr>
      <w:r>
        <w:rPr>
          <w:lang w:eastAsia="en-US"/>
        </w:rPr>
        <w:t>Será considerada data do pagamento o dia em que constar como emitida a ordem bancária para pagamento.</w:t>
      </w:r>
    </w:p>
    <w:p>
      <w:pPr>
        <w:pStyle w:val="Nivel2"/>
        <w:numPr>
          <w:ilvl w:val="1"/>
          <w:numId w:val="207"/>
        </w:numPr>
        <w:ind w:hanging="0" w:left="0"/>
        <w:rPr>
          <w:lang w:eastAsia="en-US"/>
        </w:rPr>
      </w:pPr>
      <w:r>
        <w:rPr>
          <w:lang w:eastAsia="en-US"/>
        </w:rPr>
        <w:t>Quando do pagamento, será efetuada a retenção tributária prevista na legislação aplicável.</w:t>
      </w:r>
    </w:p>
    <w:p>
      <w:pPr>
        <w:pStyle w:val="Nivel3"/>
        <w:numPr>
          <w:ilvl w:val="2"/>
          <w:numId w:val="208"/>
        </w:numPr>
        <w:ind w:hanging="0" w:left="284"/>
        <w:rPr>
          <w:lang w:eastAsia="en-US"/>
        </w:rPr>
      </w:pPr>
      <w:commentRangeStart w:id="22"/>
      <w:r>
        <w:rPr>
          <w:lang w:eastAsia="en-US"/>
        </w:rPr>
        <w:t>Independentemente do percentual de tributo inserido na planilha, quando houver, serão retidos na fonte, quando da realização do pagamento, os percentuais estabelecidos na legislação vigente.</w:t>
      </w:r>
      <w:commentRangeEnd w:id="22"/>
      <w:r>
        <w:commentReference w:id="22"/>
      </w:r>
      <w:r>
        <w:rPr>
          <w:lang w:eastAsia="en-US"/>
        </w:rPr>
      </w:r>
    </w:p>
    <w:p>
      <w:pPr>
        <w:pStyle w:val="Nivel2"/>
        <w:numPr>
          <w:ilvl w:val="1"/>
          <w:numId w:val="209"/>
        </w:numPr>
        <w:ind w:hanging="0" w:left="0"/>
        <w:rPr>
          <w:lang w:eastAsia="en-US"/>
        </w:rPr>
      </w:pPr>
      <w:r>
        <w:rPr>
          <w:lang w:eastAsia="en-US"/>
        </w:rPr>
        <w:t xml:space="preserve">O contratado regularmente optante pelo Simples Nacional, nos termos da </w:t>
      </w:r>
      <w:hyperlink r:id="rId4">
        <w:r>
          <w:rPr>
            <w:rStyle w:val="ListLabel2400"/>
            <w:color w:val="0000FF"/>
            <w:u w:val="single"/>
            <w:lang w:eastAsia="en-US"/>
          </w:rPr>
          <w:t>Lei Complementar nº 123, de 2006</w:t>
        </w:r>
      </w:hyperlink>
      <w:r>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3-R"/>
        <w:numPr>
          <w:ilvl w:val="2"/>
          <w:numId w:val="210"/>
        </w:numPr>
        <w:rPr/>
      </w:pPr>
      <w:r>
        <w:rPr/>
      </w:r>
    </w:p>
    <w:p>
      <w:pPr>
        <w:pStyle w:val="Nvel1-SemNumPreto"/>
        <w:rPr/>
      </w:pPr>
      <w:commentRangeStart w:id="23"/>
      <w:r>
        <w:rPr/>
        <w:t>Cessão de crédito</w:t>
      </w:r>
      <w:commentRangeEnd w:id="23"/>
      <w:r>
        <w:commentReference w:id="23"/>
      </w:r>
      <w:r>
        <w:rPr/>
      </w:r>
    </w:p>
    <w:p>
      <w:pPr>
        <w:pStyle w:val="Nivel2"/>
        <w:numPr>
          <w:ilvl w:val="1"/>
          <w:numId w:val="211"/>
        </w:numPr>
        <w:ind w:hanging="0" w:left="0"/>
        <w:rPr>
          <w:lang w:eastAsia="en-US"/>
        </w:rPr>
      </w:pPr>
      <w:r>
        <w:rPr>
          <w:lang w:eastAsia="en-US"/>
        </w:rPr>
        <w:t xml:space="preserve">É admitida a cessão fiduciária de direitos creditícios com instituição financeira, nos termos e de acordo com os procedimentos previstos na </w:t>
      </w:r>
      <w:hyperlink r:id="rId5">
        <w:r>
          <w:rPr>
            <w:rStyle w:val="ListLabel2400"/>
            <w:color w:val="0000FF"/>
            <w:u w:val="single"/>
            <w:lang w:eastAsia="en-US"/>
          </w:rPr>
          <w:t>Instrução Normativa SEGES/ME nº 53, de 8 de Julho de 2020</w:t>
        </w:r>
      </w:hyperlink>
      <w:r>
        <w:rPr>
          <w:lang w:eastAsia="en-US"/>
        </w:rPr>
        <w:t>, conforme as regras deste presente tópico.</w:t>
      </w:r>
    </w:p>
    <w:p>
      <w:pPr>
        <w:pStyle w:val="Nvel3-R"/>
        <w:numPr>
          <w:ilvl w:val="2"/>
          <w:numId w:val="212"/>
        </w:numPr>
        <w:rPr/>
      </w:pPr>
      <w:bookmarkStart w:id="0" w:name="_Ref118216946"/>
      <w:commentRangeStart w:id="24"/>
      <w:r>
        <w:rPr/>
        <w:t>As cessões de crédito não abrangidas pela Instrução Normativa SEGES/ME nº 53, de 8 de julho de 2020 dependerão de prévia aprovação do contratante.</w:t>
      </w:r>
      <w:bookmarkEnd w:id="0"/>
      <w:commentRangeEnd w:id="24"/>
      <w:r>
        <w:commentReference w:id="24"/>
      </w:r>
      <w:r>
        <w:rPr/>
      </w:r>
    </w:p>
    <w:p>
      <w:pPr>
        <w:pStyle w:val="Nivel2"/>
        <w:numPr>
          <w:ilvl w:val="1"/>
          <w:numId w:val="213"/>
        </w:numPr>
        <w:ind w:hanging="0" w:left="0"/>
        <w:rPr>
          <w:lang w:eastAsia="en-US"/>
        </w:rPr>
      </w:pPr>
      <w:commentRangeStart w:id="25"/>
      <w:r>
        <w:rPr>
          <w:lang w:eastAsia="en-US"/>
        </w:rPr>
        <w:t>A eficácia da cessão de crédito</w:t>
      </w:r>
      <w:r>
        <w:rPr/>
        <w:t xml:space="preserve"> não abrangidas pela Instrução Normativa SEGES/ME nº 53, de 8 de julho de 2020,</w:t>
      </w:r>
      <w:r>
        <w:rPr>
          <w:lang w:eastAsia="en-US"/>
        </w:rPr>
        <w:t xml:space="preserve"> em relação à Administração, está condicionada à celebração de termo aditivo ao contrato administrativo.</w:t>
      </w:r>
    </w:p>
    <w:p>
      <w:pPr>
        <w:pStyle w:val="Nivel2"/>
        <w:numPr>
          <w:ilvl w:val="1"/>
          <w:numId w:val="214"/>
        </w:numPr>
        <w:ind w:hanging="0" w:left="0"/>
        <w:rPr>
          <w:lang w:eastAsia="en-US"/>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u w:val="single"/>
          <w:rStyle w:val="ListLabel2400"/>
          <w:color w:val="0000FF"/>
          <w:lang w:eastAsia="en-US"/>
        </w:rPr>
        <w:instrText xml:space="preserve"> HYPERLINK "https://www.planalto.gov.br/ccivil_03/leis/l8429.htm" \l ":~:text=LEI Nº 8.429%2C DE 2 DE JUNHO DE 1992&amp;text=Dispõe sobre as sanções aplicáveis,fundacional e dá outras providências."</w:instrText>
      </w:r>
      <w:r>
        <w:rPr>
          <w:u w:val="single"/>
          <w:rStyle w:val="ListLabel2400"/>
          <w:color w:val="0000FF"/>
          <w:lang w:eastAsia="en-US"/>
        </w:rPr>
        <w:fldChar w:fldCharType="separate"/>
      </w:r>
      <w:r>
        <w:rPr>
          <w:rStyle w:val="ListLabel2400"/>
          <w:color w:val="0000FF"/>
          <w:u w:val="single"/>
          <w:lang w:eastAsia="en-US"/>
        </w:rPr>
        <w:t>o art. 12 da Lei nº 8.429, de 1992</w:t>
      </w:r>
      <w:r>
        <w:rPr>
          <w:u w:val="single"/>
          <w:rStyle w:val="ListLabel2400"/>
          <w:color w:val="0000FF"/>
          <w:lang w:eastAsia="en-US"/>
        </w:rPr>
        <w:fldChar w:fldCharType="end"/>
      </w:r>
      <w:r>
        <w:rPr>
          <w:lang w:eastAsia="en-US"/>
        </w:rPr>
        <w:t xml:space="preserve">, nos termos do </w:t>
      </w:r>
      <w:hyperlink r:id="rId6">
        <w:r>
          <w:rPr>
            <w:rStyle w:val="ListLabel2400"/>
            <w:color w:val="0000FF"/>
            <w:u w:val="single"/>
            <w:lang w:eastAsia="en-US"/>
          </w:rPr>
          <w:t>Parecer JL-01, de 18 de maio de 2020.</w:t>
        </w:r>
      </w:hyperlink>
    </w:p>
    <w:p>
      <w:pPr>
        <w:pStyle w:val="Nivel2"/>
        <w:numPr>
          <w:ilvl w:val="1"/>
          <w:numId w:val="215"/>
        </w:numPr>
        <w:ind w:hanging="0" w:left="0"/>
        <w:rPr/>
      </w:pPr>
      <w:r>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commentRangeStart w:id="26"/>
      <w:r>
        <w:rPr>
          <w:sz w:val="19"/>
          <w:szCs w:val="19"/>
        </w:rPr>
        <w:t>(INSTRUÇÃO NORMATIVA Nº 53, DE 8 DE JULHO DE 2020 e Anexos)</w:t>
      </w:r>
      <w:commentRangeEnd w:id="26"/>
      <w:r>
        <w:commentReference w:id="26"/>
      </w:r>
      <w:r>
        <w:rPr>
          <w:sz w:val="19"/>
          <w:szCs w:val="19"/>
        </w:rPr>
      </w:r>
    </w:p>
    <w:p>
      <w:pPr>
        <w:pStyle w:val="Nivel2"/>
        <w:numPr>
          <w:ilvl w:val="1"/>
          <w:numId w:val="216"/>
        </w:numPr>
        <w:ind w:hanging="0" w:left="0"/>
        <w:rPr>
          <w:lang w:eastAsia="en-US"/>
        </w:rPr>
      </w:pPr>
      <w:r>
        <w:rPr>
          <w:lang w:eastAsia="en-US"/>
        </w:rPr>
        <w:t>A cessão de crédito não afetará a execução do objeto contratado, que continuará sob a integral responsabilidade do contratado.</w:t>
      </w:r>
      <w:commentRangeEnd w:id="25"/>
      <w:r>
        <w:commentReference w:id="25"/>
      </w:r>
      <w:r>
        <w:rPr>
          <w:lang w:eastAsia="en-US"/>
        </w:rPr>
      </w:r>
    </w:p>
    <w:p>
      <w:pPr>
        <w:pStyle w:val="Nivel01"/>
        <w:numPr>
          <w:ilvl w:val="0"/>
          <w:numId w:val="1"/>
        </w:numPr>
        <w:ind w:hanging="0" w:left="0"/>
        <w:rPr/>
      </w:pPr>
      <w:r>
        <w:rPr/>
        <w:t>FORMA E CRITÉRIOS DE SELEÇÃO DO FORNECEDOR E FORMA DE FORNECIMENTO</w:t>
      </w:r>
    </w:p>
    <w:p>
      <w:pPr>
        <w:pStyle w:val="Nvel1-SemNumPreto"/>
        <w:rPr>
          <w:highlight w:val="yellow"/>
        </w:rPr>
      </w:pPr>
      <w:r>
        <w:rPr/>
        <w:t>Forma de seleção e critério de julgamento da proposta</w:t>
      </w:r>
    </w:p>
    <w:p>
      <w:pPr>
        <w:pStyle w:val="Nivel2"/>
        <w:numPr>
          <w:ilvl w:val="1"/>
          <w:numId w:val="217"/>
        </w:numPr>
        <w:ind w:hanging="0" w:left="0"/>
        <w:rPr/>
      </w:pPr>
      <w:r>
        <w:rPr/>
        <w:t>O fornecedor será selecionado por meio da realização de procedimento de LICITAÇÃO, na modalidade PREGÃO, sob a forma ELETRÔNICA, com adoção do critério de julgamento pelo MENOR PREÇO.</w:t>
      </w:r>
    </w:p>
    <w:p>
      <w:pPr>
        <w:pStyle w:val="Nvel1-SemNumPreto"/>
        <w:rPr/>
      </w:pPr>
      <w:r>
        <w:rPr/>
        <w:t>Forma de fornecimento</w:t>
      </w:r>
    </w:p>
    <w:p>
      <w:pPr>
        <w:pStyle w:val="Nivel2"/>
        <w:numPr>
          <w:ilvl w:val="1"/>
          <w:numId w:val="218"/>
        </w:numPr>
        <w:ind w:hanging="0" w:left="0"/>
        <w:rPr/>
      </w:pPr>
      <w:r>
        <w:rPr>
          <w:rStyle w:val="Normaltextrun"/>
          <w:shd w:fill="FFFFFF" w:val="clear"/>
        </w:rPr>
        <w:t xml:space="preserve">O </w:t>
      </w:r>
      <w:r>
        <w:rPr>
          <w:rStyle w:val="Findhit"/>
          <w:shd w:fill="FFFFFF" w:val="clear"/>
        </w:rPr>
        <w:t xml:space="preserve">fornecimento do objeto será </w:t>
      </w:r>
      <w:r>
        <w:rPr/>
        <w:t>integral</w:t>
      </w:r>
      <w:r>
        <w:rPr>
          <w:shd w:fill="FFFFFF" w:val="clear"/>
        </w:rPr>
        <w:t>.</w:t>
      </w:r>
    </w:p>
    <w:p>
      <w:pPr>
        <w:pStyle w:val="Nvel1-SemNumPreto"/>
        <w:rPr/>
      </w:pPr>
      <w:commentRangeStart w:id="27"/>
      <w:r>
        <w:rPr/>
        <w:t>Exigências de habilitação</w:t>
      </w:r>
      <w:commentRangeEnd w:id="27"/>
      <w:r>
        <w:commentReference w:id="27"/>
      </w:r>
      <w:r>
        <w:rPr/>
      </w:r>
    </w:p>
    <w:p>
      <w:pPr>
        <w:pStyle w:val="Nivel2"/>
        <w:numPr>
          <w:ilvl w:val="1"/>
          <w:numId w:val="219"/>
        </w:numPr>
        <w:ind w:hanging="0" w:left="0"/>
        <w:rPr/>
      </w:pPr>
      <w:r>
        <w:rPr/>
        <w:t>Para fins de habilitação, deverá o licitante comprovar os seguintes requisitos:</w:t>
      </w:r>
    </w:p>
    <w:p>
      <w:pPr>
        <w:pStyle w:val="Nvel1-SemNumPreto"/>
        <w:rPr/>
      </w:pPr>
      <w:r>
        <w:rPr/>
        <w:t>Habilitação jurídica</w:t>
      </w:r>
    </w:p>
    <w:p>
      <w:pPr>
        <w:pStyle w:val="Nivel2"/>
        <w:numPr>
          <w:ilvl w:val="1"/>
          <w:numId w:val="220"/>
        </w:numPr>
        <w:ind w:hanging="0" w:left="0"/>
        <w:rPr/>
      </w:pPr>
      <w:bookmarkStart w:id="1" w:name="_Ref115800561"/>
      <w:commentRangeStart w:id="28"/>
      <w:r>
        <w:rPr>
          <w:b/>
          <w:bCs/>
        </w:rPr>
        <w:t>Pessoa física:</w:t>
      </w:r>
      <w:r>
        <w:rPr/>
        <w:t xml:space="preserve"> cédula de identidade (RG) ou documento equivalente que, por força de lei, tenha validade para fins de identificação em todo o território nacional;</w:t>
      </w:r>
      <w:bookmarkEnd w:id="1"/>
      <w:commentRangeEnd w:id="28"/>
      <w:r>
        <w:commentReference w:id="28"/>
      </w:r>
      <w:r>
        <w:rPr/>
      </w:r>
    </w:p>
    <w:p>
      <w:pPr>
        <w:pStyle w:val="Nivel2"/>
        <w:numPr>
          <w:ilvl w:val="1"/>
          <w:numId w:val="221"/>
        </w:numPr>
        <w:ind w:hanging="0" w:left="0"/>
        <w:rPr/>
      </w:pPr>
      <w:r>
        <w:rPr>
          <w:b/>
          <w:bCs/>
        </w:rPr>
        <w:t>Empresário individual:</w:t>
      </w:r>
      <w:r>
        <w:rPr/>
        <w:t xml:space="preserve"> inscrição no Registro Público de Empresas Mercantis, a cargo da Junta Comercial da respectiva sede; </w:t>
      </w:r>
    </w:p>
    <w:p>
      <w:pPr>
        <w:pStyle w:val="Nivel2"/>
        <w:numPr>
          <w:ilvl w:val="1"/>
          <w:numId w:val="222"/>
        </w:numPr>
        <w:ind w:hanging="0" w:left="0"/>
        <w:rPr/>
      </w:pPr>
      <w:r>
        <w:rPr>
          <w:b/>
          <w:bCs/>
        </w:rPr>
        <w:t>Microempreendedor Individual - MEI:</w:t>
      </w:r>
      <w:r>
        <w:rPr/>
        <w:t xml:space="preserve"> Certificado da Condição de Microempreendedor Individual - CCMEI, cuja aceitação ficará condicionada à verificação da autenticidade no sítio </w:t>
      </w:r>
      <w:hyperlink r:id="rId7">
        <w:r>
          <w:rPr>
            <w:rStyle w:val="ListLabel2397"/>
            <w:color w:val="0000FF"/>
            <w:u w:val="single"/>
          </w:rPr>
          <w:t>https://www.gov.br/empresas-e-negocios/pt-br/empreendedor</w:t>
        </w:r>
      </w:hyperlink>
      <w:r>
        <w:rPr/>
        <w:t xml:space="preserve">; </w:t>
      </w:r>
    </w:p>
    <w:p>
      <w:pPr>
        <w:pStyle w:val="Nivel2"/>
        <w:numPr>
          <w:ilvl w:val="1"/>
          <w:numId w:val="223"/>
        </w:numPr>
        <w:ind w:hanging="0" w:left="0"/>
        <w:rPr/>
      </w:pPr>
      <w:commentRangeStart w:id="29"/>
      <w: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commentRangeEnd w:id="29"/>
      <w:r>
        <w:commentReference w:id="29"/>
      </w:r>
      <w:r>
        <w:rPr/>
      </w:r>
    </w:p>
    <w:p>
      <w:pPr>
        <w:pStyle w:val="Nivel2"/>
        <w:numPr>
          <w:ilvl w:val="1"/>
          <w:numId w:val="224"/>
        </w:numPr>
        <w:ind w:hanging="0" w:left="0"/>
        <w:rPr/>
      </w:pPr>
      <w:r>
        <w:rPr>
          <w:b/>
          <w:bCs/>
        </w:rPr>
        <w:t>Sociedade empresária estrangeira:</w:t>
      </w:r>
      <w: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
        <w:r>
          <w:rPr>
            <w:rStyle w:val="ListLabel2397"/>
            <w:color w:val="0000FF"/>
            <w:u w:val="single"/>
          </w:rPr>
          <w:t>Normativa DREI/ME n.º 77, de 18 de março de 2020</w:t>
        </w:r>
      </w:hyperlink>
      <w:r>
        <w:rPr/>
        <w:t>.</w:t>
      </w:r>
    </w:p>
    <w:p>
      <w:pPr>
        <w:pStyle w:val="Nivel2"/>
        <w:numPr>
          <w:ilvl w:val="1"/>
          <w:numId w:val="225"/>
        </w:numPr>
        <w:ind w:hanging="0" w:left="0"/>
        <w:rPr/>
      </w:pPr>
      <w:r>
        <w:rPr>
          <w:b/>
          <w:bCs/>
        </w:rPr>
        <w:t xml:space="preserve">Sociedade simples: </w:t>
      </w:r>
      <w:r>
        <w:rPr/>
        <w:t>inscrição do ato constitutivo no Registro Civil de Pessoas Jurídicas do local de sua sede, acompanhada de documento comprobatório de seus administradores;</w:t>
      </w:r>
    </w:p>
    <w:p>
      <w:pPr>
        <w:pStyle w:val="Nivel2"/>
        <w:numPr>
          <w:ilvl w:val="1"/>
          <w:numId w:val="226"/>
        </w:numPr>
        <w:ind w:hanging="0" w:left="0"/>
        <w:rPr/>
      </w:pPr>
      <w:r>
        <w:rPr>
          <w:b/>
          <w:bCs/>
        </w:rPr>
        <w:t>Filial, sucursal ou agência de sociedade simples ou empresária:</w:t>
      </w:r>
      <w:r>
        <w:rPr/>
        <w:t xml:space="preserve"> inscrição do ato constitutivo da filial, sucursal ou agência da sociedade simples ou empresária, respectivamente, no Registro Civil das Pessoas Jurídicas ou no Registro Público de Empresas </w:t>
      </w:r>
      <w:bookmarkStart w:id="2" w:name="_Int_ySfCXwr4"/>
      <w:r>
        <w:rPr/>
        <w:t>Mercantis onde</w:t>
      </w:r>
      <w:bookmarkEnd w:id="2"/>
      <w:r>
        <w:rPr/>
        <w:t xml:space="preserve"> opera, com averbação no Registro onde tem sede a matriz</w:t>
      </w:r>
    </w:p>
    <w:p>
      <w:pPr>
        <w:pStyle w:val="Nivel2"/>
        <w:numPr>
          <w:ilvl w:val="1"/>
          <w:numId w:val="227"/>
        </w:numPr>
        <w:ind w:hanging="0" w:left="0"/>
        <w:rPr/>
      </w:pPr>
      <w:r>
        <w:rPr>
          <w:b/>
          <w:bCs/>
        </w:rPr>
        <w:t>Sociedade cooperativa:</w:t>
      </w:r>
      <w:r>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u w:val="single"/>
          <w:rStyle w:val="ListLabel2397"/>
          <w:color w:val="0000FF"/>
        </w:rPr>
        <w:instrText xml:space="preserve"> HYPERLINK "https://www.planalto.gov.br/ccivil_03/leis/l5764.htm" \l "art107"</w:instrText>
      </w:r>
      <w:r>
        <w:rPr>
          <w:u w:val="single"/>
          <w:rStyle w:val="ListLabel2397"/>
          <w:color w:val="0000FF"/>
        </w:rPr>
        <w:fldChar w:fldCharType="separate"/>
      </w:r>
      <w:r>
        <w:rPr>
          <w:rStyle w:val="ListLabel2397"/>
          <w:color w:val="0000FF"/>
          <w:u w:val="single"/>
        </w:rPr>
        <w:t>art. 107 da Lei nº 5.764, de 16 de dezembro 1971</w:t>
      </w:r>
      <w:r>
        <w:rPr>
          <w:u w:val="single"/>
          <w:rStyle w:val="ListLabel2397"/>
          <w:color w:val="0000FF"/>
        </w:rPr>
        <w:fldChar w:fldCharType="end"/>
      </w:r>
      <w:r>
        <w:rPr/>
        <w:t>.</w:t>
      </w:r>
    </w:p>
    <w:p>
      <w:pPr>
        <w:pStyle w:val="Nivel2"/>
        <w:numPr>
          <w:ilvl w:val="1"/>
          <w:numId w:val="228"/>
        </w:numPr>
        <w:ind w:hanging="0" w:left="0"/>
        <w:rPr/>
      </w:pPr>
      <w:r>
        <w:rPr>
          <w:b/>
          <w:bCs/>
        </w:rPr>
        <w:t>Agricultor familiar:</w:t>
      </w:r>
      <w:r>
        <w:rPr/>
        <w:t xml:space="preserve"> Declaração de Aptidão ao Pronaf – DAP ou DAP-P válida, ou, ainda, outros documentos definidos pela Secretaria Especial de Agricultura Familiar e do Desenvolvimento Agrário, nos termos do</w:t>
      </w:r>
      <w:r>
        <w:fldChar w:fldCharType="begin"/>
      </w:r>
      <w:r>
        <w:rPr>
          <w:u w:val="single"/>
          <w:rStyle w:val="ListLabel2397"/>
          <w:color w:val="0000FF"/>
        </w:rPr>
        <w:instrText xml:space="preserve"> HYPERLINK "https://www.planalto.gov.br/ccivil_03/_ato2019-2022/2021/decreto/d10880.htm" \l "art4§2"</w:instrText>
      </w:r>
      <w:r>
        <w:rPr>
          <w:u w:val="single"/>
          <w:rStyle w:val="ListLabel2397"/>
          <w:color w:val="0000FF"/>
        </w:rPr>
        <w:fldChar w:fldCharType="separate"/>
      </w:r>
      <w:r>
        <w:rPr>
          <w:rStyle w:val="ListLabel2397"/>
          <w:color w:val="0000FF"/>
          <w:u w:val="single"/>
        </w:rPr>
        <w:t xml:space="preserve"> art. 4º, §2º do Decreto nº 10.880, de 2 de dezembro de 2021</w:t>
      </w:r>
      <w:r>
        <w:rPr>
          <w:u w:val="single"/>
          <w:rStyle w:val="ListLabel2397"/>
          <w:color w:val="0000FF"/>
        </w:rPr>
        <w:fldChar w:fldCharType="end"/>
      </w:r>
      <w:r>
        <w:rPr/>
        <w:t>.</w:t>
      </w:r>
    </w:p>
    <w:p>
      <w:pPr>
        <w:pStyle w:val="Nivel2"/>
        <w:numPr>
          <w:ilvl w:val="1"/>
          <w:numId w:val="229"/>
        </w:numPr>
        <w:ind w:hanging="0" w:left="0"/>
        <w:rPr/>
      </w:pPr>
      <w:r>
        <w:rPr>
          <w:b/>
          <w:bCs/>
        </w:rPr>
        <w:t>Produtor Rural:</w:t>
      </w:r>
      <w:r>
        <w:rPr/>
        <w:t xml:space="preserve"> matrícula no Cadastro Específico do INSS – CEI, que comprove a qualificação como produtor rural pessoa física, nos termos da </w:t>
      </w:r>
      <w:hyperlink r:id="rId9">
        <w:r>
          <w:rPr>
            <w:rStyle w:val="ListLabel2397"/>
            <w:color w:val="0000FF"/>
            <w:u w:val="single"/>
          </w:rPr>
          <w:t>Instrução Normativa RFB n. 971, de 13 de novembro de 2009</w:t>
        </w:r>
      </w:hyperlink>
      <w:r>
        <w:rPr/>
        <w:t xml:space="preserve"> (arts. 17 a 19 e 165).</w:t>
      </w:r>
      <w:r>
        <w:rPr/>
        <w:commentReference w:id="30"/>
      </w:r>
    </w:p>
    <w:p>
      <w:pPr>
        <w:pStyle w:val="Nivel2"/>
        <w:numPr>
          <w:ilvl w:val="1"/>
          <w:numId w:val="230"/>
        </w:numPr>
        <w:ind w:hanging="0" w:left="0"/>
        <w:rPr/>
      </w:pPr>
      <w:r>
        <w:rPr/>
        <w:t>Os documentos apresentados deverão estar acompanhados de todas as alterações ou da consolidação respectiva.</w:t>
      </w:r>
    </w:p>
    <w:p>
      <w:pPr>
        <w:pStyle w:val="Nvel1-SemNumPreto"/>
        <w:rPr/>
      </w:pPr>
      <w:r>
        <w:rPr/>
        <w:t>Habilitação fiscal, social e trabalhista</w:t>
      </w:r>
    </w:p>
    <w:p>
      <w:pPr>
        <w:pStyle w:val="Nivel2"/>
        <w:numPr>
          <w:ilvl w:val="1"/>
          <w:numId w:val="231"/>
        </w:numPr>
        <w:ind w:hanging="0" w:left="0"/>
        <w:rPr/>
      </w:pPr>
      <w:commentRangeStart w:id="31"/>
      <w:r>
        <w:rPr/>
        <w:t>Prova de inscrição no Cadastro Nacional de Pessoas Jurídicas ou no Cadastro de Pessoas Físicas, conforme o caso;</w:t>
      </w:r>
    </w:p>
    <w:p>
      <w:pPr>
        <w:pStyle w:val="Nivel2"/>
        <w:numPr>
          <w:ilvl w:val="1"/>
          <w:numId w:val="232"/>
        </w:numPr>
        <w:ind w:hanging="0" w:left="0"/>
        <w:rPr/>
      </w:pPr>
      <w: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33"/>
        </w:numPr>
        <w:ind w:hanging="0" w:left="0"/>
        <w:rPr/>
      </w:pPr>
      <w:r>
        <w:rPr/>
        <w:t>Prova de regularidade com o Fundo de Garantia do Tempo de Serviço (FGTS);</w:t>
      </w:r>
    </w:p>
    <w:p>
      <w:pPr>
        <w:pStyle w:val="Nivel2"/>
        <w:numPr>
          <w:ilvl w:val="1"/>
          <w:numId w:val="234"/>
        </w:numPr>
        <w:ind w:hanging="0" w:left="0"/>
        <w:rPr/>
      </w:pPr>
      <w: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35"/>
        </w:numPr>
        <w:ind w:hanging="0" w:left="0"/>
        <w:rPr/>
      </w:pPr>
      <w:r>
        <w:rPr/>
        <w:t xml:space="preserve">Prova de inscrição no cadastro de contribuintes </w:t>
      </w:r>
      <w:r>
        <w:rPr>
          <w:i/>
          <w:iCs/>
          <w:color w:themeColor="text1" w:val="000000"/>
        </w:rPr>
        <w:t>[Estadual/Distrital]</w:t>
      </w:r>
      <w:r>
        <w:rPr/>
        <w:t xml:space="preserve">relativo ao domicílio ou sede do fornecedor, pertinente ao seu ramo de atividade e compatível com o objeto contratual; </w:t>
      </w:r>
    </w:p>
    <w:p>
      <w:pPr>
        <w:pStyle w:val="Nivel2"/>
        <w:numPr>
          <w:ilvl w:val="1"/>
          <w:numId w:val="236"/>
        </w:numPr>
        <w:ind w:hanging="0" w:left="0"/>
        <w:rPr/>
      </w:pPr>
      <w:r>
        <w:rPr/>
        <w:t xml:space="preserve">Prova de regularidade com a Fazenda </w:t>
      </w:r>
      <w:r>
        <w:rPr>
          <w:i/>
          <w:iCs/>
          <w:color w:themeColor="text1" w:val="000000"/>
        </w:rPr>
        <w:t>[Estadual/Distrital]</w:t>
      </w:r>
      <w:r>
        <w:rPr/>
        <w:t>do domicílio ou sede do fornecedor, relativa à atividade em cujo exercício contrata ou concorre;</w:t>
      </w:r>
      <w:commentRangeEnd w:id="31"/>
      <w:r>
        <w:commentReference w:id="31"/>
      </w:r>
      <w:r>
        <w:rPr/>
      </w:r>
    </w:p>
    <w:p>
      <w:pPr>
        <w:pStyle w:val="Nivel2"/>
        <w:numPr>
          <w:ilvl w:val="1"/>
          <w:numId w:val="237"/>
        </w:numPr>
        <w:ind w:hanging="0" w:left="0"/>
        <w:rPr/>
      </w:pPr>
      <w:r>
        <w:rPr/>
        <w:t xml:space="preserve">Caso o fornecedor seja considerado isento dos tributos </w:t>
      </w:r>
      <w:r>
        <w:rPr>
          <w:i/>
          <w:iCs/>
          <w:color w:themeColor="text1" w:val="000000"/>
          <w:u w:val="single"/>
        </w:rPr>
        <w:t>[Estadual/Distrital]</w:t>
      </w:r>
      <w:r>
        <w:rPr/>
        <w:t>relacionados ao objeto contratual, deverá comprovar tal condição mediante a apresentação de declaração da Fazenda respectiva do seu domicílio ou sede, ou outra equivalente, na forma da lei.</w:t>
      </w:r>
    </w:p>
    <w:p>
      <w:pPr>
        <w:pStyle w:val="Nivel2"/>
        <w:numPr>
          <w:ilvl w:val="1"/>
          <w:numId w:val="238"/>
        </w:numPr>
        <w:ind w:hanging="0" w:left="0"/>
        <w:rPr/>
      </w:pPr>
      <w:commentRangeStart w:id="32"/>
      <w:r>
        <w:rPr/>
        <w:t>O fornecedor enquadrado como microempreendedor individual que pretenda auferir os benefícios do tratamento diferenciado previstos na Lei Complementar n. 123, de 2006, estará dispensado da prova de inscrição nos cadastros de contribuintes estadual e municipal.</w:t>
      </w:r>
      <w:commentRangeEnd w:id="32"/>
      <w:r>
        <w:commentReference w:id="32"/>
      </w:r>
      <w:r>
        <w:rPr/>
      </w:r>
    </w:p>
    <w:p>
      <w:pPr>
        <w:pStyle w:val="Nvel1-SemNumPreto"/>
        <w:rPr/>
      </w:pPr>
      <w:commentRangeStart w:id="33"/>
      <w:r>
        <w:rPr/>
        <w:t>Qualificação Econômico-Financeira</w:t>
      </w:r>
      <w:commentRangeEnd w:id="33"/>
      <w:r>
        <w:commentReference w:id="33"/>
      </w:r>
      <w:r>
        <w:rPr/>
      </w:r>
    </w:p>
    <w:p>
      <w:pPr>
        <w:pStyle w:val="Nivel2"/>
        <w:numPr>
          <w:ilvl w:val="1"/>
          <w:numId w:val="239"/>
        </w:numPr>
        <w:ind w:hanging="0" w:left="0"/>
        <w:rPr/>
      </w:pPr>
      <w:r>
        <w:rPr/>
        <w:t>Certidão negativa de insolvência civil expedida pelo distribuidor do domicílio ou sede do licitante, caso se trate de pessoa física, desde que admitida a sua participação na licitação (</w:t>
      </w:r>
      <w:r>
        <w:fldChar w:fldCharType="begin"/>
      </w:r>
      <w:r>
        <w:rPr>
          <w:u w:val="single"/>
          <w:rStyle w:val="ListLabel2397"/>
          <w:color w:val="0000FF"/>
        </w:rPr>
        <w:instrText xml:space="preserve"> HYPERLINK "https://www.gov.br/compras/pt-br/acesso-a-informacao/legislacao/instrucoes-normativas/instrucao-normativa-seges-me-no-116-de-21-de-dezembro-de-2021" \l "art5"</w:instrText>
      </w:r>
      <w:r>
        <w:rPr>
          <w:u w:val="single"/>
          <w:rStyle w:val="ListLabel2397"/>
          <w:color w:val="0000FF"/>
        </w:rPr>
        <w:fldChar w:fldCharType="separate"/>
      </w:r>
      <w:r>
        <w:rPr>
          <w:rStyle w:val="ListLabel2397"/>
          <w:color w:val="0000FF"/>
          <w:u w:val="single"/>
        </w:rPr>
        <w:t>art. 5º, inciso II, alínea “c”, da Instrução Normativa Seges/ME nº 116, de 2021</w:t>
      </w:r>
      <w:r>
        <w:rPr>
          <w:u w:val="single"/>
          <w:rStyle w:val="ListLabel2397"/>
          <w:color w:val="0000FF"/>
        </w:rPr>
        <w:fldChar w:fldCharType="end"/>
      </w:r>
      <w:r>
        <w:rPr/>
        <w:t xml:space="preserve">), ou de sociedade simples; </w:t>
      </w:r>
    </w:p>
    <w:p>
      <w:pPr>
        <w:pStyle w:val="Nivel2"/>
        <w:numPr>
          <w:ilvl w:val="1"/>
          <w:numId w:val="240"/>
        </w:numPr>
        <w:ind w:hanging="0" w:left="0"/>
        <w:rPr/>
      </w:pPr>
      <w:r>
        <w:rPr/>
        <w:t xml:space="preserve">Certidão negativa de falência expedida pelo distribuidor da sede do fornecedor - </w:t>
      </w:r>
      <w:r>
        <w:fldChar w:fldCharType="begin"/>
      </w:r>
      <w:r>
        <w:rPr>
          <w:u w:val="single"/>
          <w:rStyle w:val="ListLabel2397"/>
          <w:color w:val="0000FF"/>
        </w:rPr>
        <w:instrText xml:space="preserve"> HYPERLINK "http://www.planalto.gov.br/ccivil_03/_ato2019-2022/2021/lei/L14133.htm" \l "art69"</w:instrText>
      </w:r>
      <w:r>
        <w:rPr>
          <w:u w:val="single"/>
          <w:rStyle w:val="ListLabel2397"/>
          <w:color w:val="0000FF"/>
        </w:rPr>
        <w:fldChar w:fldCharType="separate"/>
      </w:r>
      <w:r>
        <w:rPr>
          <w:rStyle w:val="ListLabel2397"/>
          <w:color w:val="0000FF"/>
          <w:u w:val="single"/>
        </w:rPr>
        <w:t>Lei nº 14.133, de 2021, art. 69, caput, inciso II</w:t>
      </w:r>
      <w:r>
        <w:rPr>
          <w:u w:val="single"/>
          <w:rStyle w:val="ListLabel2397"/>
          <w:color w:val="0000FF"/>
        </w:rPr>
        <w:fldChar w:fldCharType="end"/>
      </w:r>
      <w:r>
        <w:rPr/>
        <w:t>);</w:t>
      </w:r>
    </w:p>
    <w:p>
      <w:pPr>
        <w:pStyle w:val="Nivel2"/>
        <w:numPr>
          <w:ilvl w:val="1"/>
          <w:numId w:val="241"/>
        </w:numPr>
        <w:ind w:hanging="0" w:left="0"/>
        <w:rPr/>
      </w:pPr>
      <w:r>
        <w:rPr/>
        <w:t>Balanço patrimonial, demonstração de resultado de exercício e demais demonstrações contábeis dos 2 (dois) últimos exercícios sociais, comprovando;</w:t>
      </w:r>
    </w:p>
    <w:p>
      <w:pPr>
        <w:pStyle w:val="Nivel3"/>
        <w:numPr>
          <w:ilvl w:val="2"/>
          <w:numId w:val="242"/>
        </w:numPr>
        <w:ind w:hanging="0" w:left="284"/>
        <w:rPr/>
      </w:pPr>
      <w:r>
        <w:rPr/>
        <w:t>índices de Liquidez Geral (LG), Liquidez Corrente (LC), e Solvência Geral (SG) superiores a 1 (um);</w:t>
      </w:r>
    </w:p>
    <w:p>
      <w:pPr>
        <w:pStyle w:val="Nivel3"/>
        <w:numPr>
          <w:ilvl w:val="2"/>
          <w:numId w:val="243"/>
        </w:numPr>
        <w:ind w:hanging="0" w:left="284"/>
        <w:rPr/>
      </w:pPr>
      <w:r>
        <w:rPr/>
        <w:t>As empresas criadas no exercício financeiro da licitação deverão atender a todas as exigências da habilitação e poderão substituir os demonstrativos contábeis pelo balanço de abertura.</w:t>
      </w:r>
    </w:p>
    <w:p>
      <w:pPr>
        <w:pStyle w:val="Nivel3"/>
        <w:numPr>
          <w:ilvl w:val="2"/>
          <w:numId w:val="244"/>
        </w:numPr>
        <w:ind w:hanging="0" w:left="284"/>
        <w:rPr/>
      </w:pPr>
      <w:r>
        <w:rPr/>
        <w:t>Os documentos referidos acima limitar-se-ão ao último exercício no caso de a pessoa jurídica ter sido constituída há menos de 2 (dois) anos;</w:t>
      </w:r>
    </w:p>
    <w:p>
      <w:pPr>
        <w:pStyle w:val="Nivel3"/>
        <w:numPr>
          <w:ilvl w:val="2"/>
          <w:numId w:val="245"/>
        </w:numPr>
        <w:ind w:hanging="0" w:left="284"/>
        <w:rPr/>
      </w:pPr>
      <w:commentRangeStart w:id="34"/>
      <w:r>
        <w:rPr/>
        <w:t xml:space="preserve">Os documentos referidos </w:t>
      </w:r>
      <w:r>
        <w:rPr/>
      </w:r>
      <w:commentRangeEnd w:id="34"/>
      <w:r>
        <w:commentReference w:id="34"/>
      </w:r>
      <w:r>
        <w:rPr/>
        <w:t>acima deverão ser exigidos com base no limite definido pela Receita Federal do Brasil para transmissão da Escrituração Contábil Digital - ECD ao Sped.</w:t>
      </w:r>
    </w:p>
    <w:p>
      <w:pPr>
        <w:pStyle w:val="Nivel2"/>
        <w:numPr>
          <w:ilvl w:val="1"/>
          <w:numId w:val="246"/>
        </w:numPr>
        <w:ind w:hanging="0" w:left="0"/>
        <w:rPr/>
      </w:pPr>
      <w:commentRangeStart w:id="35"/>
      <w:r>
        <w:rPr/>
        <w:t xml:space="preserve">Caso a empresa licitante apresente resultado inferior ou igual a 1 (um) em qualquer dos índices de Liquidez Geral (LG), Solvência Geral (SG) e Liquidez Corrente (LC), será exigido para fins de habilitação capital mínimo </w:t>
      </w:r>
      <w:r>
        <w:rPr>
          <w:u w:val="single"/>
        </w:rPr>
        <w:t>d</w:t>
      </w:r>
      <w:r>
        <w:rPr/>
        <w:t>e 1 % do valor total estimado da parcela pertinente.</w:t>
      </w:r>
      <w:commentRangeEnd w:id="35"/>
      <w:r>
        <w:commentReference w:id="35"/>
      </w:r>
      <w:r>
        <w:rPr/>
      </w:r>
    </w:p>
    <w:p>
      <w:pPr>
        <w:pStyle w:val="Nivel2"/>
        <w:numPr>
          <w:ilvl w:val="1"/>
          <w:numId w:val="247"/>
        </w:numPr>
        <w:ind w:hanging="0" w:left="0"/>
        <w:rPr/>
      </w:pPr>
      <w:r>
        <w:rPr/>
        <w:t>As empresas criadas no exercício financeiro da licitação deverão atender a todas as exigências da habilitação e poderão substituir os demonstrativos contábeis pelo balanço de abertura. (Lei nº 14.133, de 2021, art. 65, §1º).</w:t>
      </w:r>
    </w:p>
    <w:p>
      <w:pPr>
        <w:pStyle w:val="Nivel2"/>
        <w:ind w:hanging="0" w:left="999"/>
        <w:rPr/>
      </w:pPr>
      <w:r>
        <w:rPr/>
        <w:commentReference w:id="36"/>
      </w:r>
    </w:p>
    <w:p>
      <w:pPr>
        <w:pStyle w:val="Nvel1-SemNumPreto"/>
        <w:rPr/>
      </w:pPr>
      <w:commentRangeStart w:id="37"/>
      <w:r>
        <w:rPr/>
        <w:t>Qualificação Técnica</w:t>
      </w:r>
      <w:commentRangeEnd w:id="37"/>
      <w:r>
        <w:commentReference w:id="37"/>
      </w:r>
      <w:r>
        <w:rPr/>
      </w:r>
    </w:p>
    <w:p>
      <w:pPr>
        <w:pStyle w:val="Nvel3-R"/>
        <w:numPr>
          <w:ilvl w:val="2"/>
          <w:numId w:val="248"/>
        </w:numPr>
        <w:rPr/>
      </w:pPr>
      <w:r>
        <w:rPr/>
        <w:commentReference w:id="38"/>
      </w:r>
    </w:p>
    <w:p>
      <w:pPr>
        <w:pStyle w:val="Nivel2"/>
        <w:numPr>
          <w:ilvl w:val="1"/>
          <w:numId w:val="249"/>
        </w:numPr>
        <w:ind w:hanging="0" w:left="0"/>
        <w:rPr/>
      </w:pPr>
      <w:r>
        <w:rPr/>
        <w:t>Caso admitida a participação de cooperativas, será exigida a seguinte documentação complementar:</w:t>
      </w:r>
    </w:p>
    <w:p>
      <w:pPr>
        <w:pStyle w:val="Nivel3"/>
        <w:numPr>
          <w:ilvl w:val="2"/>
          <w:numId w:val="250"/>
        </w:numPr>
        <w:ind w:hanging="0" w:left="284"/>
        <w:rPr/>
      </w:pPr>
      <w: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u w:val="single"/>
          <w:rStyle w:val="ListLabel2397"/>
          <w:color w:val="0000FF"/>
        </w:rPr>
        <w:instrText xml:space="preserve"> HYPERLINK "https://www.planalto.gov.br/ccivil_03/leis/l5764.htm" \l "art4"</w:instrText>
      </w:r>
      <w:r>
        <w:rPr>
          <w:u w:val="single"/>
          <w:rStyle w:val="ListLabel2397"/>
          <w:color w:val="0000FF"/>
        </w:rPr>
        <w:fldChar w:fldCharType="separate"/>
      </w:r>
      <w:r>
        <w:rPr>
          <w:rStyle w:val="ListLabel2397"/>
          <w:color w:val="0000FF"/>
          <w:u w:val="single"/>
        </w:rPr>
        <w:t>arts. 4º, inciso XI, 21, inciso I</w:t>
      </w:r>
      <w:r>
        <w:rPr>
          <w:u w:val="single"/>
          <w:rStyle w:val="ListLabel2397"/>
          <w:color w:val="0000FF"/>
        </w:rPr>
        <w:fldChar w:fldCharType="end"/>
      </w:r>
      <w:r>
        <w:rPr/>
        <w:t xml:space="preserve"> e </w:t>
      </w:r>
      <w:r>
        <w:fldChar w:fldCharType="begin"/>
      </w:r>
      <w:r>
        <w:rPr>
          <w:u w:val="single"/>
          <w:rStyle w:val="ListLabel2397"/>
          <w:color w:val="0000FF"/>
        </w:rPr>
        <w:instrText xml:space="preserve"> HYPERLINK "https://www.planalto.gov.br/ccivil_03/leis/l5764.htm" \l "art42"</w:instrText>
      </w:r>
      <w:r>
        <w:rPr>
          <w:u w:val="single"/>
          <w:rStyle w:val="ListLabel2397"/>
          <w:color w:val="0000FF"/>
        </w:rPr>
        <w:fldChar w:fldCharType="separate"/>
      </w:r>
      <w:r>
        <w:rPr>
          <w:rStyle w:val="ListLabel2397"/>
          <w:color w:val="0000FF"/>
          <w:u w:val="single"/>
        </w:rPr>
        <w:t>42, §§2º a 6º da Lei n. 5.764, de 1971</w:t>
      </w:r>
      <w:r>
        <w:rPr>
          <w:u w:val="single"/>
          <w:rStyle w:val="ListLabel2397"/>
          <w:color w:val="0000FF"/>
        </w:rPr>
        <w:fldChar w:fldCharType="end"/>
      </w:r>
      <w:r>
        <w:rPr/>
        <w:t>;</w:t>
      </w:r>
    </w:p>
    <w:p>
      <w:pPr>
        <w:pStyle w:val="Nivel3"/>
        <w:numPr>
          <w:ilvl w:val="2"/>
          <w:numId w:val="251"/>
        </w:numPr>
        <w:ind w:hanging="0" w:left="284"/>
        <w:rPr/>
      </w:pPr>
      <w:r>
        <w:rPr/>
        <w:t>A declaração de regularidade de situação do contribuinte individual – DRSCI, para cada um dos cooperados indicados;</w:t>
      </w:r>
    </w:p>
    <w:p>
      <w:pPr>
        <w:pStyle w:val="Nivel3"/>
        <w:numPr>
          <w:ilvl w:val="2"/>
          <w:numId w:val="252"/>
        </w:numPr>
        <w:ind w:hanging="0" w:left="284"/>
        <w:rPr/>
      </w:pPr>
      <w:r>
        <w:rPr/>
        <w:t xml:space="preserve">A comprovação do capital social proporcional ao número de cooperados necessários à execução contratual; </w:t>
      </w:r>
    </w:p>
    <w:p>
      <w:pPr>
        <w:pStyle w:val="Nivel3"/>
        <w:numPr>
          <w:ilvl w:val="2"/>
          <w:numId w:val="253"/>
        </w:numPr>
        <w:ind w:hanging="0" w:left="284"/>
        <w:rPr/>
      </w:pPr>
      <w:r>
        <w:rPr/>
        <w:t xml:space="preserve">O registro previsto na </w:t>
      </w:r>
      <w:r>
        <w:fldChar w:fldCharType="begin"/>
      </w:r>
      <w:r>
        <w:rPr>
          <w:u w:val="single"/>
          <w:rStyle w:val="ListLabel2397"/>
          <w:color w:val="0000FF"/>
        </w:rPr>
        <w:instrText xml:space="preserve"> HYPERLINK "https://www.planalto.gov.br/ccivil_03/leis/l5764.htm" \l "art107"</w:instrText>
      </w:r>
      <w:r>
        <w:rPr>
          <w:u w:val="single"/>
          <w:rStyle w:val="ListLabel2397"/>
          <w:color w:val="0000FF"/>
        </w:rPr>
        <w:fldChar w:fldCharType="separate"/>
      </w:r>
      <w:r>
        <w:rPr>
          <w:rStyle w:val="ListLabel2397"/>
          <w:color w:val="0000FF"/>
          <w:u w:val="single"/>
        </w:rPr>
        <w:t>Lei n. 5.764, de 1971, art. 107</w:t>
      </w:r>
      <w:r>
        <w:rPr>
          <w:u w:val="single"/>
          <w:rStyle w:val="ListLabel2397"/>
          <w:color w:val="0000FF"/>
        </w:rPr>
        <w:fldChar w:fldCharType="end"/>
      </w:r>
      <w:r>
        <w:rPr/>
        <w:t>;</w:t>
      </w:r>
    </w:p>
    <w:p>
      <w:pPr>
        <w:pStyle w:val="Nivel3"/>
        <w:numPr>
          <w:ilvl w:val="2"/>
          <w:numId w:val="254"/>
        </w:numPr>
        <w:ind w:hanging="0" w:left="284"/>
        <w:rPr/>
      </w:pPr>
      <w:r>
        <w:rPr/>
        <w:t>A comprovação de integração das respectivas quotas-partes por parte dos cooperados que executarão o contrato; e</w:t>
      </w:r>
    </w:p>
    <w:p>
      <w:pPr>
        <w:pStyle w:val="Nivel3"/>
        <w:numPr>
          <w:ilvl w:val="2"/>
          <w:numId w:val="255"/>
        </w:numPr>
        <w:ind w:hanging="0" w:left="284"/>
        <w:rPr/>
      </w:pPr>
      <w:r>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pPr>
        <w:pStyle w:val="Nivel3"/>
        <w:numPr>
          <w:ilvl w:val="2"/>
          <w:numId w:val="256"/>
        </w:numPr>
        <w:ind w:hanging="0" w:left="284"/>
        <w:rPr/>
      </w:pPr>
      <w:r>
        <w:rPr/>
        <w:t xml:space="preserve">A última auditoria contábil-financeira da cooperativa, conforme dispõe o </w:t>
      </w:r>
      <w:r>
        <w:fldChar w:fldCharType="begin"/>
      </w:r>
      <w:r>
        <w:rPr>
          <w:u w:val="single"/>
          <w:rStyle w:val="ListLabel2397"/>
          <w:color w:val="0000FF"/>
        </w:rPr>
        <w:instrText xml:space="preserve"> HYPERLINK "https://www.planalto.gov.br/ccivil_03/leis/l5764.htm" \l "art112"</w:instrText>
      </w:r>
      <w:r>
        <w:rPr>
          <w:u w:val="single"/>
          <w:rStyle w:val="ListLabel2397"/>
          <w:color w:val="0000FF"/>
        </w:rPr>
        <w:fldChar w:fldCharType="separate"/>
      </w:r>
      <w:r>
        <w:rPr>
          <w:rStyle w:val="ListLabel2397"/>
          <w:color w:val="0000FF"/>
          <w:u w:val="single"/>
        </w:rPr>
        <w:t>art. 112 da Lei n. 5.764, de 1971</w:t>
      </w:r>
      <w:r>
        <w:rPr>
          <w:u w:val="single"/>
          <w:rStyle w:val="ListLabel2397"/>
          <w:color w:val="0000FF"/>
        </w:rPr>
        <w:fldChar w:fldCharType="end"/>
      </w:r>
      <w:r>
        <w:rPr/>
        <w:t>, ou uma declaração, sob as penas da lei, de que tal auditoria não foi exigida pelo órgão fiscalizador.</w:t>
      </w:r>
    </w:p>
    <w:p>
      <w:pPr>
        <w:pStyle w:val="Nivel01"/>
        <w:numPr>
          <w:ilvl w:val="0"/>
          <w:numId w:val="1"/>
        </w:numPr>
        <w:ind w:hanging="0" w:left="0"/>
        <w:rPr/>
      </w:pPr>
      <w:commentRangeStart w:id="39"/>
      <w:r>
        <w:rPr/>
        <w:t>ESTIMATIVAS DO VALOR DA CONTRATAÇÃO</w:t>
      </w:r>
      <w:commentRangeEnd w:id="39"/>
      <w:r>
        <w:commentReference w:id="39"/>
      </w:r>
      <w:r>
        <w:rPr/>
      </w:r>
    </w:p>
    <w:p>
      <w:pPr>
        <w:pStyle w:val="Nvel2-Red"/>
        <w:numPr>
          <w:ilvl w:val="1"/>
          <w:numId w:val="257"/>
        </w:numPr>
        <w:ind w:hanging="0" w:left="0"/>
        <w:rPr>
          <w:color w:val="000000"/>
        </w:rPr>
      </w:pPr>
      <w:r>
        <w:rPr>
          <w:color w:val="000000"/>
        </w:rPr>
        <w:t xml:space="preserve">O custo estimado total da contratação é de R$ </w:t>
      </w:r>
      <w:r>
        <w:rPr>
          <w:rFonts w:cs="Liberation Sans" w:ascii="Liberation Sans" w:hAnsi="Liberation Sans"/>
          <w:color w:val="000000"/>
        </w:rPr>
        <w:t>R$ 655.406,86</w:t>
      </w:r>
      <w:r>
        <w:rPr>
          <w:color w:val="000000"/>
          <w:spacing w:val="1"/>
        </w:rPr>
        <w:t>(seiscentos e cinquenta e cinco mil quatrocentos e seis reais e oitenta e seis centavos</w:t>
      </w:r>
      <w:r>
        <w:rPr>
          <w:color w:val="000000"/>
        </w:rPr>
        <w:t>), conforme custos unitários apostos na tabela acima.</w:t>
      </w:r>
      <w:r>
        <w:rPr/>
        <w:commentReference w:id="40"/>
      </w:r>
    </w:p>
    <w:p>
      <w:pPr>
        <w:pStyle w:val="Nvel2-Red"/>
        <w:numPr>
          <w:ilvl w:val="1"/>
          <w:numId w:val="258"/>
        </w:numPr>
        <w:ind w:hanging="0" w:left="0"/>
        <w:rPr>
          <w:color w:val="000000"/>
        </w:rPr>
      </w:pPr>
      <w:commentRangeStart w:id="41"/>
      <w:r>
        <w:rPr>
          <w:color w:val="000000"/>
        </w:rPr>
        <w:t>A estimativa de custo levou em consideração o risco envolvido na contratação e sua alocação entre contratante e contratado, conforme especificado na matriz de risco constante do Contrato.</w:t>
      </w:r>
      <w:commentRangeEnd w:id="41"/>
      <w:r>
        <w:commentReference w:id="41"/>
      </w:r>
      <w:r>
        <w:rPr>
          <w:color w:val="000000"/>
        </w:rPr>
      </w:r>
    </w:p>
    <w:p>
      <w:pPr>
        <w:pStyle w:val="Nvel2-Red"/>
        <w:numPr>
          <w:ilvl w:val="1"/>
          <w:numId w:val="259"/>
        </w:numPr>
        <w:ind w:hanging="0" w:left="0"/>
        <w:rPr>
          <w:color w:val="000000"/>
        </w:rPr>
      </w:pPr>
      <w:r>
        <w:rPr>
          <w:rFonts w:eastAsia="MS Mincho"/>
          <w:color w:val="000000"/>
        </w:rPr>
        <w:t xml:space="preserve">Em caso de licitação para Registro de Preços, os preços </w:t>
      </w:r>
      <w:r>
        <w:rPr>
          <w:color w:val="000000"/>
        </w:rPr>
        <w:t>registrados poderão ser alterados ou atualizados em decorrência de eventual redução dos preços praticados no mercado ou de fato que eleve o custo dos bens, das obras ou dos serviços registrados, nas seguintes situações (art. 25 do Decreto nº 11.462/2023):</w:t>
      </w:r>
    </w:p>
    <w:p>
      <w:pPr>
        <w:pStyle w:val="Nvel3-R"/>
        <w:numPr>
          <w:ilvl w:val="2"/>
          <w:numId w:val="260"/>
        </w:numPr>
        <w:rPr>
          <w:rStyle w:val="Hyperlink1"/>
          <w:rFonts w:ascii="Ecofont_Spranq_eco_Sans" w:hAnsi="Ecofont_Spranq_eco_Sans" w:eastAsia="MS Mincho" w:cs="Tahoma"/>
          <w:i w:val="false"/>
          <w:i w:val="false"/>
          <w:iCs w:val="false"/>
          <w:color w:val="FF0000"/>
          <w:sz w:val="24"/>
          <w:szCs w:val="24"/>
          <w:u w:val="none"/>
        </w:rPr>
      </w:pPr>
      <w:r>
        <w:rPr/>
        <w:t>em caso de força maior, caso fortuito ou fato do príncipe ou em decorrência de fatos imprevisíveis ou previsíveis de consequências incalculáveis, que inviabilizem a execução da ata tal como pactuada, nos termos do disposto na a</w:t>
      </w:r>
      <w:r>
        <w:fldChar w:fldCharType="begin"/>
      </w:r>
      <w:r>
        <w:rPr>
          <w:u w:val="single"/>
          <w:rStyle w:val="ListLabel2401"/>
          <w:rFonts w:eastAsia="Arial"/>
          <w:color w:val="000000"/>
        </w:rPr>
        <w:instrText xml:space="preserve"> HYPERLINK "http://www.planalto.gov.br/ccivil_03/_Ato2019-2022/2021/Lei/L14133.htm" \l "art124iid"</w:instrText>
      </w:r>
      <w:r>
        <w:rPr>
          <w:u w:val="single"/>
          <w:rStyle w:val="ListLabel2401"/>
          <w:rFonts w:eastAsia="Arial"/>
          <w:color w:val="000000"/>
        </w:rPr>
        <w:fldChar w:fldCharType="separate"/>
      </w:r>
      <w:r>
        <w:rPr>
          <w:rStyle w:val="ListLabel2401"/>
          <w:rFonts w:eastAsia="Arial"/>
          <w:color w:val="000000"/>
          <w:u w:val="single"/>
        </w:rPr>
        <w:t>línea “d” do inciso II do capu</w:t>
      </w:r>
      <w:r>
        <w:rPr>
          <w:u w:val="single"/>
          <w:rStyle w:val="ListLabel2401"/>
          <w:rFonts w:eastAsia="Arial"/>
          <w:color w:val="000000"/>
        </w:rPr>
        <w:fldChar w:fldCharType="end"/>
      </w:r>
      <w:r>
        <w:rPr>
          <w:rStyle w:val="Hyperlink1"/>
          <w:rFonts w:eastAsia="Arial"/>
          <w:b/>
          <w:bCs/>
          <w:color w:val="000000"/>
        </w:rPr>
        <w:t>t</w:t>
      </w:r>
      <w:r>
        <w:rPr>
          <w:rStyle w:val="Hyperlink1"/>
          <w:rFonts w:eastAsia="Arial"/>
          <w:color w:val="000000"/>
        </w:rPr>
        <w:t xml:space="preserve"> do art. 124 da Lei nº 14.133, de 2021;</w:t>
      </w:r>
    </w:p>
    <w:p>
      <w:pPr>
        <w:pStyle w:val="Nvel3-R"/>
        <w:numPr>
          <w:ilvl w:val="2"/>
          <w:numId w:val="261"/>
        </w:numPr>
        <w:rPr>
          <w:rFonts w:ascii="Ecofont_Spranq_eco_Sans" w:hAnsi="Ecofont_Spranq_eco_Sans" w:eastAsia="MS Mincho" w:cs="Tahoma"/>
          <w:sz w:val="24"/>
          <w:szCs w:val="24"/>
        </w:rPr>
      </w:pPr>
      <w:r>
        <w:rPr/>
        <w:t>em caso de criação, alteração ou extinção de quaisquer tributos ou encargos legais ou superveniência de disposições legais, com comprovada repercussão sobre os preços registrados;</w:t>
      </w:r>
    </w:p>
    <w:p>
      <w:pPr>
        <w:pStyle w:val="Nvel3-R"/>
        <w:numPr>
          <w:ilvl w:val="2"/>
          <w:numId w:val="262"/>
        </w:numPr>
        <w:rPr>
          <w:rFonts w:ascii="Ecofont_Spranq_eco_Sans" w:hAnsi="Ecofont_Spranq_eco_Sans" w:eastAsia="MS Mincho" w:cs="Tahoma"/>
          <w:sz w:val="24"/>
          <w:szCs w:val="24"/>
        </w:rPr>
      </w:pPr>
      <w:r>
        <w:rPr/>
        <w:t>serão reajustados os preços registrados, respeitada a contagem da anualidade e o índice previsto para a contratação; ou</w:t>
      </w:r>
    </w:p>
    <w:p>
      <w:pPr>
        <w:pStyle w:val="Nvel3-R"/>
        <w:numPr>
          <w:ilvl w:val="2"/>
          <w:numId w:val="263"/>
        </w:numPr>
        <w:rPr>
          <w:rFonts w:ascii="Ecofont_Spranq_eco_Sans" w:hAnsi="Ecofont_Spranq_eco_Sans" w:eastAsia="MS Mincho" w:cs="Tahoma"/>
          <w:sz w:val="24"/>
          <w:szCs w:val="24"/>
        </w:rPr>
      </w:pPr>
      <w:r>
        <w:rPr/>
        <w:t>poderão ser repactuados, a pedido do interessado, conforme critérios definidos para a contratação.</w:t>
      </w:r>
    </w:p>
    <w:p>
      <w:pPr>
        <w:pStyle w:val="Nivel01"/>
        <w:numPr>
          <w:ilvl w:val="0"/>
          <w:numId w:val="1"/>
        </w:numPr>
        <w:ind w:hanging="0" w:left="0"/>
        <w:rPr/>
      </w:pPr>
      <w:r>
        <w:rPr/>
        <w:t>ADEQUAÇÃO ORÇAMENTÁRIA</w:t>
      </w:r>
    </w:p>
    <w:p>
      <w:pPr>
        <w:pStyle w:val="Nivel2"/>
        <w:numPr>
          <w:ilvl w:val="1"/>
          <w:numId w:val="264"/>
        </w:numPr>
        <w:ind w:hanging="0" w:left="0"/>
        <w:rPr/>
      </w:pPr>
      <w:r>
        <w:rPr/>
        <w:t>As despesas decorrentes da presente contratação correrão à conta de recursos específicos consignados no Orçamento Geral da União.</w:t>
      </w:r>
    </w:p>
    <w:p>
      <w:pPr>
        <w:pStyle w:val="Nivel2"/>
        <w:numPr>
          <w:ilvl w:val="1"/>
          <w:numId w:val="265"/>
        </w:numPr>
        <w:ind w:hanging="0" w:left="0"/>
        <w:rPr/>
      </w:pPr>
      <w:r>
        <w:rPr/>
        <w:t>A contratação será atendida pela seguinte dotação:</w:t>
      </w:r>
    </w:p>
    <w:p>
      <w:pPr>
        <w:pStyle w:val="ListParagraph"/>
        <w:numPr>
          <w:ilvl w:val="0"/>
          <w:numId w:val="2"/>
        </w:numPr>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Gestão/Unidade: 160237/0001-0001/167237</w:t>
      </w:r>
    </w:p>
    <w:p>
      <w:pPr>
        <w:pStyle w:val="ListParagraph"/>
        <w:numPr>
          <w:ilvl w:val="0"/>
          <w:numId w:val="2"/>
        </w:numPr>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Fonte de Recursos: 1050000415/1050000142/1000000000</w:t>
      </w:r>
    </w:p>
    <w:p>
      <w:pPr>
        <w:pStyle w:val="ListParagraph"/>
        <w:numPr>
          <w:ilvl w:val="0"/>
          <w:numId w:val="2"/>
        </w:numPr>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Programa de Trabalho: 232146/232191</w:t>
      </w:r>
    </w:p>
    <w:p>
      <w:pPr>
        <w:pStyle w:val="ListParagraph"/>
        <w:numPr>
          <w:ilvl w:val="0"/>
          <w:numId w:val="2"/>
        </w:numPr>
        <w:spacing w:lineRule="auto" w:line="276" w:before="120" w:after="120"/>
        <w:ind w:hanging="0" w:left="284"/>
        <w:contextualSpacing/>
        <w:jc w:val="both"/>
        <w:rPr>
          <w:rFonts w:ascii="Arial" w:hAnsi="Arial" w:eastAsia="Arial" w:cs="Arial"/>
          <w:sz w:val="20"/>
          <w:szCs w:val="20"/>
        </w:rPr>
      </w:pPr>
      <w:r>
        <w:rPr>
          <w:rFonts w:eastAsia="Arial" w:cs="Arial" w:ascii="Arial" w:hAnsi="Arial"/>
          <w:sz w:val="20"/>
          <w:szCs w:val="20"/>
        </w:rPr>
        <w:t>Elemento de Despesa: 339030/449052</w:t>
      </w:r>
    </w:p>
    <w:p>
      <w:pPr>
        <w:pStyle w:val="ListParagraph"/>
        <w:numPr>
          <w:ilvl w:val="0"/>
          <w:numId w:val="2"/>
        </w:numPr>
        <w:spacing w:lineRule="auto" w:line="276" w:before="120" w:after="120"/>
        <w:ind w:hanging="0" w:left="284"/>
        <w:contextualSpacing/>
        <w:jc w:val="both"/>
        <w:rPr>
          <w:rFonts w:eastAsia="MS Mincho"/>
        </w:rPr>
      </w:pPr>
      <w:r>
        <w:rPr>
          <w:rFonts w:eastAsia="Arial" w:cs="Arial" w:ascii="Arial" w:hAnsi="Arial"/>
          <w:sz w:val="20"/>
          <w:szCs w:val="20"/>
        </w:rPr>
        <w:t>Plano Interno: KOAPFUNADOM/1XOMOBMPNRE/KOACT8VAPTA</w:t>
      </w:r>
    </w:p>
    <w:p>
      <w:pPr>
        <w:pStyle w:val="Nvel2-Red"/>
        <w:numPr>
          <w:ilvl w:val="1"/>
          <w:numId w:val="266"/>
        </w:numPr>
        <w:ind w:hanging="0" w:left="0"/>
        <w:rPr/>
      </w:pPr>
      <w:commentRangeStart w:id="42"/>
      <w:r>
        <w:rPr>
          <w:color w:val="000000"/>
        </w:rPr>
        <w:t>A dotação relativa aos exercícios financeiros subsequentes será indicada após aprovação da Lei Orçamentária respectiva e liberação dos créditos correspondentes, mediante apostilamento.</w:t>
      </w:r>
      <w:bookmarkStart w:id="3" w:name="_Hlk82471863"/>
      <w:bookmarkEnd w:id="3"/>
      <w:commentRangeEnd w:id="42"/>
      <w:r>
        <w:commentReference w:id="42"/>
      </w:r>
      <w:r>
        <w:rPr>
          <w:color w:val="000000"/>
        </w:rPr>
      </w:r>
    </w:p>
    <w:p>
      <w:pPr>
        <w:pStyle w:val="Nivel2"/>
        <w:rPr/>
      </w:pPr>
      <w:r>
        <w:rPr/>
      </w:r>
    </w:p>
    <w:p>
      <w:pPr>
        <w:pStyle w:val="Normal"/>
        <w:spacing w:before="97" w:after="0"/>
        <w:ind w:hanging="0" w:right="1896"/>
        <w:rPr>
          <w:rFonts w:ascii="Times New Roman" w:hAnsi="Times New Roman" w:cs="Times New Roman"/>
          <w:color w:val="000000"/>
        </w:rPr>
      </w:pPr>
      <w:r>
        <w:rPr/>
      </w:r>
    </w:p>
    <w:p>
      <w:pPr>
        <w:pStyle w:val="Normal"/>
        <w:spacing w:before="97" w:after="0"/>
        <w:ind w:hanging="0" w:right="1896"/>
        <w:rPr>
          <w:rFonts w:ascii="Times New Roman" w:hAnsi="Times New Roman" w:cs="Times New Roman"/>
          <w:color w:val="000000"/>
        </w:rPr>
      </w:pPr>
      <w:r>
        <w:rPr/>
      </w:r>
    </w:p>
    <w:p>
      <w:pPr>
        <w:pStyle w:val="Normal"/>
        <w:widowControl/>
        <w:suppressAutoHyphens w:val="true"/>
        <w:bidi w:val="0"/>
        <w:spacing w:before="97" w:after="0"/>
        <w:ind w:hanging="0" w:left="0" w:right="170"/>
        <w:jc w:val="right"/>
        <w:rPr>
          <w:rFonts w:ascii="Times New Roman" w:hAnsi="Times New Roman" w:cs="Times New Roman"/>
          <w:color w:val="000000"/>
        </w:rPr>
      </w:pPr>
      <w:r>
        <w:rPr>
          <w:rFonts w:cs="Times New Roman" w:ascii="Times New Roman" w:hAnsi="Times New Roman"/>
          <w:bCs/>
          <w:color w:val="000000"/>
        </w:rPr>
        <w:t>Rio de Janeiro, RJ, 13 de Junho de 2024.</w:t>
      </w:r>
    </w:p>
    <w:p>
      <w:pPr>
        <w:pStyle w:val="Nivel2"/>
        <w:rPr/>
      </w:pPr>
      <w:r>
        <w:rPr/>
      </w:r>
    </w:p>
    <w:p>
      <w:pPr>
        <w:pStyle w:val="Nivel2"/>
        <w:rPr/>
      </w:pPr>
      <w:r>
        <w:rPr/>
      </w:r>
    </w:p>
    <w:p>
      <w:pPr>
        <w:pStyle w:val="Nivel2"/>
        <w:rPr/>
      </w:pPr>
      <w:r>
        <w:rPr/>
      </w:r>
    </w:p>
    <w:p>
      <w:pPr>
        <w:pStyle w:val="BodyText"/>
        <w:widowControl w:val="false"/>
        <w:spacing w:before="3" w:after="280"/>
        <w:jc w:val="center"/>
        <w:rPr/>
      </w:pPr>
      <w:r>
        <w:rPr>
          <w:rFonts w:ascii="Arial" w:hAnsi="Arial"/>
          <w:bCs/>
        </w:rPr>
        <w:t xml:space="preserve">JOSÉ MAURICIO </w:t>
      </w:r>
      <w:r>
        <w:rPr>
          <w:rFonts w:ascii="Arial" w:hAnsi="Arial"/>
          <w:b/>
        </w:rPr>
        <w:t>PORFIRIO</w:t>
      </w:r>
      <w:r>
        <w:rPr>
          <w:rFonts w:ascii="Arial" w:hAnsi="Arial"/>
          <w:bCs/>
        </w:rPr>
        <w:t xml:space="preserve"> DE SOUZA JÚNIOR</w:t>
      </w:r>
      <w:r>
        <w:rPr>
          <w:rFonts w:ascii="Arial" w:hAnsi="Arial"/>
        </w:rPr>
        <w:t xml:space="preserve"> – 3° Sgt</w:t>
      </w:r>
    </w:p>
    <w:p>
      <w:pPr>
        <w:pStyle w:val="BodyText"/>
        <w:widowControl w:val="false"/>
        <w:tabs>
          <w:tab w:val="clear" w:pos="708"/>
          <w:tab w:val="left" w:pos="4135" w:leader="none"/>
          <w:tab w:val="left" w:pos="5011" w:leader="none"/>
          <w:tab w:val="left" w:pos="6753" w:leader="none"/>
        </w:tabs>
        <w:spacing w:before="124" w:after="280"/>
        <w:jc w:val="center"/>
        <w:textAlignment w:val="baseline"/>
        <w:rPr>
          <w:rFonts w:ascii="Arial" w:hAnsi="Arial" w:cs="Arial"/>
          <w:iCs/>
          <w:color w:val="000000"/>
        </w:rPr>
      </w:pPr>
      <w:r>
        <w:rPr>
          <w:rFonts w:cs="Arial" w:ascii="Arial" w:hAnsi="Arial"/>
          <w:iCs/>
          <w:color w:val="000000"/>
        </w:rPr>
        <w:t>Membro da equipe de planejamento da contratação</w:t>
      </w:r>
    </w:p>
    <w:p>
      <w:pPr>
        <w:pStyle w:val="BodyText"/>
        <w:widowControl w:val="false"/>
        <w:tabs>
          <w:tab w:val="clear" w:pos="708"/>
          <w:tab w:val="left" w:pos="4135" w:leader="none"/>
          <w:tab w:val="left" w:pos="5011" w:leader="none"/>
          <w:tab w:val="left" w:pos="6753" w:leader="none"/>
        </w:tabs>
        <w:spacing w:before="124" w:after="280"/>
        <w:jc w:val="center"/>
        <w:textAlignment w:val="baseline"/>
        <w:rPr>
          <w:rFonts w:ascii="Arial" w:hAnsi="Arial" w:cs="Arial"/>
          <w:iCs/>
          <w:color w:val="000000"/>
        </w:rPr>
      </w:pPr>
      <w:r>
        <w:rPr>
          <w:rFonts w:cs="Arial" w:ascii="Arial" w:hAnsi="Arial"/>
          <w:iCs/>
          <w:color w:val="000000"/>
        </w:rPr>
      </w:r>
    </w:p>
    <w:p>
      <w:pPr>
        <w:pStyle w:val="BodyText"/>
        <w:widowControl w:val="false"/>
        <w:tabs>
          <w:tab w:val="clear" w:pos="708"/>
          <w:tab w:val="left" w:pos="4135" w:leader="none"/>
          <w:tab w:val="left" w:pos="5011" w:leader="none"/>
          <w:tab w:val="left" w:pos="6753" w:leader="none"/>
        </w:tabs>
        <w:spacing w:before="124" w:after="280"/>
        <w:textAlignment w:val="baseline"/>
        <w:rPr>
          <w:rFonts w:ascii="Arial" w:hAnsi="Arial" w:cs="Arial"/>
          <w:color w:val="000000"/>
        </w:rPr>
      </w:pPr>
      <w:r>
        <w:rPr/>
      </w:r>
    </w:p>
    <w:p>
      <w:pPr>
        <w:pStyle w:val="BodyText"/>
        <w:widowControl w:val="false"/>
        <w:tabs>
          <w:tab w:val="clear" w:pos="708"/>
          <w:tab w:val="left" w:pos="0" w:leader="none"/>
          <w:tab w:val="left" w:pos="5011" w:leader="none"/>
          <w:tab w:val="left" w:pos="6753" w:leader="none"/>
        </w:tabs>
        <w:suppressAutoHyphens w:val="true"/>
        <w:bidi w:val="0"/>
        <w:spacing w:before="124" w:afterAutospacing="1"/>
        <w:ind w:hanging="0" w:left="1701" w:right="0"/>
        <w:jc w:val="left"/>
        <w:textAlignment w:val="baseline"/>
        <w:rPr>
          <w:rFonts w:ascii="Arial" w:hAnsi="Arial" w:cs="Arial"/>
          <w:color w:val="000000"/>
        </w:rPr>
      </w:pPr>
      <w:r>
        <w:rPr>
          <w:rFonts w:cs="Arial" w:ascii="Arial" w:hAnsi="Arial"/>
          <w:color w:val="000000"/>
        </w:rPr>
        <w:t xml:space="preserve">ANTONIO MARCOS </w:t>
      </w:r>
      <w:r>
        <w:rPr>
          <w:rFonts w:cs="Arial" w:ascii="Arial" w:hAnsi="Arial"/>
          <w:b/>
          <w:bCs/>
          <w:color w:val="000000"/>
        </w:rPr>
        <w:t>ALMEIDA</w:t>
      </w:r>
      <w:r>
        <w:rPr>
          <w:rFonts w:cs="Arial" w:ascii="Arial" w:hAnsi="Arial"/>
          <w:color w:val="000000"/>
        </w:rPr>
        <w:t xml:space="preserve"> DA SILVA - 3º Sgt</w:t>
      </w:r>
    </w:p>
    <w:p>
      <w:pPr>
        <w:pStyle w:val="BodyText"/>
        <w:widowControl w:val="false"/>
        <w:tabs>
          <w:tab w:val="clear" w:pos="708"/>
          <w:tab w:val="left" w:pos="4135" w:leader="none"/>
          <w:tab w:val="left" w:pos="5011" w:leader="none"/>
          <w:tab w:val="left" w:pos="6753" w:leader="none"/>
        </w:tabs>
        <w:spacing w:before="124" w:after="280"/>
        <w:jc w:val="center"/>
        <w:textAlignment w:val="baseline"/>
        <w:rPr>
          <w:rFonts w:ascii="Arial" w:hAnsi="Arial"/>
          <w:color w:val="000000"/>
        </w:rPr>
      </w:pPr>
      <w:r>
        <w:rPr>
          <w:rFonts w:cs="Arial" w:ascii="Arial" w:hAnsi="Arial"/>
          <w:color w:val="000000"/>
        </w:rPr>
        <w:t>Membro da equipe de planejamento da contratação</w:t>
      </w:r>
    </w:p>
    <w:p>
      <w:pPr>
        <w:pStyle w:val="Normal"/>
        <w:rPr>
          <w:rFonts w:ascii="Arial" w:hAnsi="Arial" w:eastAsia="MS Mincho" w:cs="Times New Roman"/>
          <w:iCs/>
          <w:color w:val="000000"/>
          <w:sz w:val="22"/>
          <w:szCs w:val="20"/>
        </w:rPr>
      </w:pPr>
      <w:r>
        <w:rPr>
          <w:rFonts w:eastAsia="MS Mincho" w:cs="Times New Roman" w:ascii="Arial" w:hAnsi="Arial"/>
          <w:iCs/>
          <w:color w:val="000000"/>
          <w:sz w:val="22"/>
          <w:szCs w:val="20"/>
        </w:rPr>
      </w:r>
    </w:p>
    <w:p>
      <w:pPr>
        <w:pStyle w:val="Normal"/>
        <w:ind w:hanging="0" w:left="-142"/>
        <w:jc w:val="center"/>
        <w:rPr>
          <w:rFonts w:ascii="Arial" w:hAnsi="Arial" w:eastAsia="MS Mincho" w:cs="Times New Roman"/>
          <w:iCs/>
          <w:color w:val="000000"/>
          <w:sz w:val="22"/>
          <w:szCs w:val="20"/>
        </w:rPr>
      </w:pPr>
      <w:r>
        <w:rPr>
          <w:rFonts w:eastAsia="MS Mincho" w:cs="Times New Roman" w:ascii="Arial" w:hAnsi="Arial"/>
          <w:iCs/>
          <w:color w:val="000000"/>
          <w:sz w:val="22"/>
          <w:szCs w:val="20"/>
        </w:rPr>
      </w:r>
    </w:p>
    <w:p>
      <w:pPr>
        <w:pStyle w:val="Normal"/>
        <w:ind w:hanging="0" w:left="-142"/>
        <w:jc w:val="center"/>
        <w:rPr>
          <w:rFonts w:ascii="Arial" w:hAnsi="Arial" w:eastAsia="MS Mincho" w:cs="Times New Roman"/>
          <w:iCs/>
          <w:color w:val="000000"/>
          <w:sz w:val="22"/>
          <w:szCs w:val="20"/>
        </w:rPr>
      </w:pPr>
      <w:r>
        <w:rPr>
          <w:rFonts w:eastAsia="MS Mincho" w:cs="Times New Roman" w:ascii="Arial" w:hAnsi="Arial"/>
          <w:iCs/>
          <w:color w:val="000000"/>
          <w:sz w:val="22"/>
          <w:szCs w:val="20"/>
        </w:rPr>
      </w:r>
    </w:p>
    <w:p>
      <w:pPr>
        <w:pStyle w:val="Normal"/>
        <w:ind w:hanging="0" w:left="-142"/>
        <w:jc w:val="center"/>
        <w:rPr>
          <w:rFonts w:ascii="Arial" w:hAnsi="Arial" w:eastAsia="MS Mincho" w:cs="Times New Roman"/>
          <w:iCs/>
          <w:color w:val="000000"/>
          <w:sz w:val="22"/>
          <w:szCs w:val="20"/>
        </w:rPr>
      </w:pPr>
      <w:r>
        <w:rPr>
          <w:rFonts w:eastAsia="MS Mincho" w:cs="Times New Roman" w:ascii="Arial" w:hAnsi="Arial"/>
          <w:iCs/>
          <w:color w:val="000000"/>
          <w:sz w:val="22"/>
          <w:szCs w:val="20"/>
        </w:rPr>
      </w:r>
    </w:p>
    <w:p>
      <w:pPr>
        <w:pStyle w:val="Normal"/>
        <w:tabs>
          <w:tab w:val="clear" w:pos="708"/>
          <w:tab w:val="left" w:pos="1134" w:leader="none"/>
          <w:tab w:val="left" w:pos="1276" w:leader="none"/>
        </w:tabs>
        <w:spacing w:lineRule="auto" w:line="276"/>
        <w:ind w:hanging="0" w:left="624" w:right="340"/>
        <w:jc w:val="both"/>
        <w:rPr>
          <w:rFonts w:ascii="Arial" w:hAnsi="Arial" w:eastAsia="MS Mincho" w:cs="Times New Roman"/>
          <w:iCs/>
          <w:color w:val="000000"/>
          <w:sz w:val="22"/>
          <w:szCs w:val="20"/>
        </w:rPr>
      </w:pPr>
      <w:r>
        <w:rPr>
          <w:rFonts w:eastAsia="Times New Roman" w:cs="Arial" w:ascii="Arial" w:hAnsi="Arial"/>
          <w:iCs/>
          <w:color w:val="000000"/>
          <w:sz w:val="22"/>
          <w:szCs w:val="20"/>
        </w:rPr>
        <w:t xml:space="preserve">A vista das informações contidas nestes autos e de acordo com o que estabelece o inciso II, artigo 14º do Decreto nº 10024 de 20 de setembro de 2019, </w:t>
      </w:r>
      <w:r>
        <w:rPr>
          <w:rFonts w:eastAsia="Times New Roman" w:cs="Arial" w:ascii="Arial" w:hAnsi="Arial"/>
          <w:b/>
          <w:iCs/>
          <w:color w:val="000000"/>
          <w:sz w:val="22"/>
          <w:szCs w:val="20"/>
        </w:rPr>
        <w:t>APROVO</w:t>
      </w:r>
      <w:r>
        <w:rPr>
          <w:rFonts w:eastAsia="Times New Roman" w:cs="Arial" w:ascii="Arial" w:hAnsi="Arial"/>
          <w:iCs/>
          <w:color w:val="000000"/>
          <w:sz w:val="22"/>
          <w:szCs w:val="20"/>
        </w:rPr>
        <w:t xml:space="preserve"> o presente Estudo Técnico Preliminar.</w:t>
      </w:r>
    </w:p>
    <w:p>
      <w:pPr>
        <w:pStyle w:val="Normal"/>
        <w:ind w:hanging="0" w:left="-142"/>
        <w:jc w:val="center"/>
        <w:rPr>
          <w:rFonts w:ascii="Arial" w:hAnsi="Arial" w:eastAsia="MS Mincho" w:cs="Times New Roman"/>
          <w:iCs/>
          <w:color w:val="000000"/>
          <w:sz w:val="22"/>
          <w:szCs w:val="20"/>
        </w:rPr>
      </w:pPr>
      <w:r>
        <w:rPr>
          <w:rFonts w:eastAsia="MS Mincho" w:cs="Times New Roman" w:ascii="Arial" w:hAnsi="Arial"/>
          <w:iCs/>
          <w:color w:val="000000"/>
          <w:sz w:val="22"/>
          <w:szCs w:val="20"/>
        </w:rPr>
      </w:r>
    </w:p>
    <w:p>
      <w:pPr>
        <w:pStyle w:val="Normal"/>
        <w:ind w:hanging="0" w:left="-142"/>
        <w:jc w:val="center"/>
        <w:rPr>
          <w:rFonts w:ascii="Arial" w:hAnsi="Arial" w:eastAsia="MS Mincho" w:cs="Times New Roman"/>
          <w:iCs/>
          <w:color w:val="000000"/>
          <w:sz w:val="22"/>
          <w:szCs w:val="20"/>
        </w:rPr>
      </w:pPr>
      <w:r>
        <w:rPr>
          <w:rFonts w:eastAsia="MS Mincho" w:cs="Times New Roman" w:ascii="Arial" w:hAnsi="Arial"/>
          <w:iCs/>
          <w:color w:val="000000"/>
          <w:sz w:val="22"/>
          <w:szCs w:val="20"/>
        </w:rPr>
      </w:r>
    </w:p>
    <w:p>
      <w:pPr>
        <w:pStyle w:val="Normal"/>
        <w:ind w:hanging="0" w:left="-142"/>
        <w:jc w:val="center"/>
        <w:rPr>
          <w:rFonts w:ascii="Arial" w:hAnsi="Arial" w:eastAsia="MS Mincho" w:cs="Times New Roman"/>
          <w:iCs/>
          <w:color w:val="000000"/>
          <w:sz w:val="22"/>
          <w:szCs w:val="20"/>
        </w:rPr>
      </w:pPr>
      <w:r>
        <w:rPr>
          <w:rFonts w:eastAsia="MS Mincho" w:cs="Times New Roman" w:ascii="Arial" w:hAnsi="Arial"/>
          <w:iCs/>
          <w:color w:val="000000"/>
          <w:sz w:val="22"/>
          <w:szCs w:val="20"/>
        </w:rPr>
      </w:r>
    </w:p>
    <w:p>
      <w:pPr>
        <w:pStyle w:val="Normal"/>
        <w:ind w:hanging="0" w:left="-142"/>
        <w:jc w:val="center"/>
        <w:rPr>
          <w:rFonts w:ascii="Arial" w:hAnsi="Arial" w:eastAsia="MS Mincho" w:cs="Times New Roman"/>
          <w:iCs/>
          <w:color w:val="000000"/>
          <w:sz w:val="22"/>
          <w:szCs w:val="20"/>
        </w:rPr>
      </w:pPr>
      <w:r>
        <w:rPr>
          <w:rFonts w:eastAsia="MS Mincho" w:cs="Times New Roman" w:ascii="Arial" w:hAnsi="Arial"/>
          <w:iCs/>
          <w:color w:val="000000"/>
          <w:sz w:val="22"/>
          <w:szCs w:val="20"/>
        </w:rPr>
      </w:r>
    </w:p>
    <w:p>
      <w:pPr>
        <w:pStyle w:val="Normal"/>
        <w:jc w:val="center"/>
        <w:rPr>
          <w:rFonts w:ascii="Arial" w:hAnsi="Arial"/>
        </w:rPr>
      </w:pPr>
      <w:r>
        <w:rPr>
          <w:rFonts w:ascii="Arial" w:hAnsi="Arial"/>
          <w:color w:val="000000"/>
        </w:rPr>
        <w:t>SILVIA MAZELIAH DA CUNHA DO NASCIMENTO</w:t>
      </w:r>
      <w:r>
        <w:rPr>
          <w:rFonts w:ascii="Arial" w:hAnsi="Arial"/>
        </w:rPr>
        <w:t xml:space="preserve"> – Cel</w:t>
      </w:r>
    </w:p>
    <w:p>
      <w:pPr>
        <w:pStyle w:val="Normal"/>
        <w:spacing w:lineRule="auto" w:line="276"/>
        <w:ind w:hanging="0" w:left="-142"/>
        <w:jc w:val="center"/>
        <w:rPr>
          <w:rFonts w:ascii="Arial" w:hAnsi="Arial" w:eastAsia="Times New Roman" w:cs="Arial"/>
        </w:rPr>
      </w:pPr>
      <w:r>
        <w:rPr>
          <w:rFonts w:eastAsia="Times New Roman" w:cs="Arial" w:ascii="Arial" w:hAnsi="Arial"/>
        </w:rPr>
        <w:t>Ordenador de Despesas do CAEx</w:t>
      </w:r>
    </w:p>
    <w:sectPr>
      <w:headerReference w:type="default" r:id="rId10"/>
      <w:footerReference w:type="default" r:id="rId11"/>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Orientação Normativa AGU nº 54/2014: Compete ao agente ou setor técnico da administração declarar que o objeto licitatório é de natureza comum para efeito de utilização da modalidade pregão e definir se o objeto corresponde a obra ou serviço de engenharia, sendo atribuição do órgão jurídico analisar o devido enquadramento da modalidade licitatória aplicável</w:t>
      </w:r>
    </w:p>
  </w:comment>
  <w:comment w:id="1" w:author="Autor" w:date="0-00-00T00:00:00Z" w:initials="A">
    <w:p>
      <w:pPr>
        <w:overflowPunct w:val="true"/>
        <w:rPr/>
      </w:pPr>
      <w:r>
        <w:rPr>
          <w:rFonts w:ascii="Liberation Serif" w:hAnsi="Liberation Serif" w:eastAsia="Segoe UI" w:cs="Noto Sans Arabic"/>
          <w:b/>
          <w:bCs/>
          <w:i/>
          <w:iCs/>
          <w:color w:val="000000"/>
          <w:lang w:val="en-US" w:eastAsia="en-US" w:bidi="en-US"/>
        </w:rPr>
        <w:t xml:space="preserve">Nota Explicativa: Vedação quanto à aquisição de itens de luxo - </w:t>
      </w:r>
      <w:r>
        <w:rPr>
          <w:rFonts w:ascii="Liberation Serif" w:hAnsi="Liberation Serif" w:eastAsia="Segoe UI" w:cs="Noto Sans Arabic"/>
          <w:i/>
          <w:iCs/>
          <w:color w:val="000000"/>
          <w:lang w:val="en-US" w:eastAsia="en-US" w:bidi="en-US"/>
        </w:rPr>
        <w:t xml:space="preserve">O artigo 20 da Lei nº 14.133, de 2021, estabelece que os itens de consumo deverão ser de qualidade comum, não superior à necessária para cumprir as finalidades às quais se destinam, vedada a aquisição de artigos de luxo. O Decreto nº 10.818, de 2021 regulamentou o tema, devendo as vedações nele estabelecidas serem respeitadas pelo administrador público. </w:t>
      </w:r>
    </w:p>
  </w:comment>
  <w:comment w:id="2"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De acordo com o artigo 6º, inciso XXIII, alínea ‘c’, da Lei nº 14.133, de 2021, a fundamentação da contratação é realizada mediante “referência aos estudos técnicos preliminares (ETP) correspondentes ou, quando não for possível divulgar esses estudos, no extrato das partes que não contiverem informações sigilosas”. A Instrução Normativa SEGES/ME nº 58, de 8 de agosto de 2022, dispõe sobre a “elaboração do ETP, para a aquisição de bens e a contratação de serviços e obras no âmbito da administração pública federal direta, autárquica e fundacional, e sobre o Sistema ETP digital”. No mesmo sentido é a previsão do art. 9º, inciso II, da Instrução Normativa Seges/ME nº 81, de 2022.</w:t>
      </w:r>
    </w:p>
  </w:comment>
  <w:comment w:id="3"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 1:</w:t>
      </w:r>
      <w:r>
        <w:rPr>
          <w:rFonts w:ascii="Liberation Serif" w:hAnsi="Liberation Serif" w:eastAsia="Segoe UI" w:cs="Noto Sans Arabic"/>
          <w:i/>
          <w:iCs/>
          <w:color w:val="000000"/>
          <w:lang w:val="en-US" w:eastAsia="en-US" w:bidi="en-US"/>
        </w:rPr>
        <w:t xml:space="preserve"> Artigo 18, §1º, da Lei nº 14.133, de 2021, contém a seguinte redação: </w:t>
      </w:r>
    </w:p>
    <w:p>
      <w:pPr>
        <w:overflowPunct w:val="true"/>
        <w:rPr/>
      </w:pPr>
      <w:r>
        <w:rPr>
          <w:rFonts w:ascii="Liberation Serif" w:hAnsi="Liberation Serif" w:eastAsia="Segoe UI" w:cs="Noto Sans Arabic"/>
          <w:i/>
          <w:iCs/>
          <w:color w:val="000000"/>
          <w:lang w:val="en-US" w:eastAsia="en-US" w:bidi="en-US"/>
        </w:rPr>
        <w:t>§ 1º O estudo técnico preliminar a que se refere o inciso I do caput deste artigo deverá evidenciar o problema a ser resolvido e a sua melhor solução, de modo a permitir a avaliação da viabilidade técnica e econômica da contratação, e conterá os seguintes elementos: (...)VII - descrição da solução como um todo, inclusive das exigências relacionadas à manutenção e à assistência técnica, quando for o caso.</w:t>
      </w:r>
    </w:p>
    <w:p>
      <w:pPr>
        <w:overflowPunct w:val="true"/>
        <w:rPr/>
      </w:pPr>
      <w:r>
        <w:rPr>
          <w:rFonts w:ascii="Liberation Serif" w:hAnsi="Liberation Serif" w:eastAsia="Segoe UI" w:cs="Noto Sans Arabic"/>
          <w:i/>
          <w:iCs/>
          <w:color w:val="000000"/>
          <w:lang w:val="en-US" w:eastAsia="en-US" w:bidi="en-US"/>
        </w:rPr>
        <w:t>Ver também Instrução Normativa SEGES/ME nº 58, de 08 de agosto de 2022 (ETP), art. 3º, inciso I e art. 6º.</w:t>
      </w:r>
    </w:p>
    <w:p>
      <w:pPr>
        <w:overflowPunct w:val="true"/>
        <w:rPr/>
      </w:pPr>
      <w:r>
        <w:rPr>
          <w:rFonts w:ascii="Liberation Serif" w:hAnsi="Liberation Serif" w:eastAsia="Segoe UI" w:cs="Noto Sans Arabic"/>
          <w:i/>
          <w:iCs/>
          <w:color w:val="000000"/>
          <w:lang w:val="en-US" w:eastAsia="en-US" w:bidi="en-US"/>
        </w:rPr>
        <w:t>Caso haja a necessidade de modificação da descrição em relação à originalmente feita nos estudos técnicos preliminares, recomenda-se o dispositivo 3.1, para que passe a contemplar essa alteração.</w:t>
      </w:r>
    </w:p>
    <w:p>
      <w:pPr>
        <w:overflowPunct w:val="true"/>
        <w:rPr/>
      </w:pPr>
      <w:r>
        <w:rPr>
          <w:rFonts w:ascii="Liberation Serif" w:hAnsi="Liberation Serif" w:eastAsia="Segoe UI" w:cs="Noto Sans Arabic"/>
          <w:i/>
          <w:iCs/>
          <w:color w:val="000000"/>
          <w:lang w:val="en-US" w:eastAsia="en-US" w:bidi="en-US"/>
        </w:rPr>
        <w:t>A Instrução Normativa Seges/ME nº 81, de 2022, também trata da necessidade de descrição da solução como um todo, considerado todo o ciclo de vida do objeto, com preferência a arranjos inovadores em sede de economia circular, conforme seu artigo 9º, inciso III.</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color w:val="000000"/>
          <w:lang w:val="en-US" w:eastAsia="en-US" w:bidi="en-US"/>
        </w:rPr>
        <w:t>Nota Explicativa 2:</w:t>
      </w:r>
      <w:r>
        <w:rPr>
          <w:rFonts w:ascii="Liberation Serif" w:hAnsi="Liberation Serif" w:eastAsia="Segoe UI" w:cs="Noto Sans Arabic"/>
          <w:i/>
          <w:iCs/>
          <w:color w:val="000000"/>
          <w:lang w:val="en-US" w:eastAsia="en-US" w:bidi="en-US"/>
        </w:rPr>
        <w:t xml:space="preserve"> A Instrução Normativa SEGES/ME nº 73, de 30 de setembro de 2022, em seu art. 9º, §1º, estabelece que os custos indiretos, relacionados às despesas de manutenção, utilização, reposição, depreciação e impacto ambiental, entre outros fatores vinculados ao seu ciclo de vida, poderão ser considerados para a definição do menor dispêndio, sempre que objetivamente mensuráveis, conforme parâmetros definidos em regulamento, de acordo com o § 1º do art. 34 da Lei nº 14.133, de 2021. Logo, a definição do menor dispêndio para Administração deve levar em consideração esse aspecto.</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color w:val="000000"/>
          <w:lang w:val="en-US" w:eastAsia="en-US" w:bidi="en-US"/>
        </w:rPr>
        <w:t xml:space="preserve">Nota Explicativa 3: </w:t>
      </w:r>
      <w:r>
        <w:rPr>
          <w:rFonts w:ascii="Liberation Serif" w:hAnsi="Liberation Serif" w:eastAsia="Segoe UI" w:cs="Noto Sans Arabic"/>
          <w:i/>
          <w:iCs/>
          <w:color w:val="000000"/>
          <w:lang w:val="en-US" w:eastAsia="en-US" w:bidi="en-US"/>
        </w:rPr>
        <w:t>O objeto deve ser descrito de forma detalhada, com todas as especificações necessárias e suficientes para garantir a qualidade da contração, cuidando-se para que não sejam admitidas, previstas ou incluídas condições impertinentes ou irrelevantes para o específico objeto do contrato. Deve-se levar em consideração as normas técnicas eventualmente existentes, elaboradas pela Associação Brasileira de Normas Técnicas – ABNT, quanto a requisitos mínimos de qualidade, utilidade, resistência e segurança, nos termos da Lei n° 4.150, de 21 de novembro de 1962.</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color w:val="000000"/>
          <w:lang w:val="en-US" w:eastAsia="en-US" w:bidi="en-US"/>
        </w:rPr>
        <w:t xml:space="preserve">Nota Explicativa 4: </w:t>
      </w:r>
      <w:r>
        <w:rPr>
          <w:rFonts w:ascii="Liberation Serif" w:hAnsi="Liberation Serif" w:eastAsia="Segoe UI" w:cs="Noto Sans Arabic"/>
          <w:i/>
          <w:iCs/>
          <w:color w:val="000000"/>
          <w:lang w:val="en-US" w:eastAsia="en-US" w:bidi="en-US"/>
        </w:rPr>
        <w:t xml:space="preserve">O art. 6º, XXIII, “c”, da Lei nº 14.133, de 2021, e o art. 9º, IIII, da Instrução Normativa Seges/ME nº 81, de 2022, dispõem que a descrição da solução como um todo deve considerar todo o ciclo de vida do objeto. “Ciclo de Vida” é definido no art. 3º da Lei nº 12.305, de 02 de agosto de 2010, como sendo “série de etapas que envolvem o desenvolvimento do 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 ou mais durável) até a destinação final. </w:t>
      </w:r>
      <w:r>
        <w:rPr>
          <w:rFonts w:ascii="Liberation Serif" w:hAnsi="Liberation Serif" w:eastAsia="Segoe UI" w:cs="Noto Sans Arabic"/>
          <w:b/>
          <w:bCs/>
          <w:i/>
          <w:iCs/>
          <w:color w:val="000000"/>
          <w:lang w:val="en-US" w:eastAsia="en-US" w:bidi="en-US"/>
        </w:rPr>
        <w:t>Reitere-se: se a descrição contida no ETP não contiver esse ponto, deve ser complementada neste TR</w:t>
      </w:r>
      <w:r>
        <w:rPr>
          <w:rFonts w:ascii="Liberation Serif" w:hAnsi="Liberation Serif" w:eastAsia="Segoe UI" w:cs="Noto Sans Arabic"/>
          <w:i/>
          <w:iCs/>
          <w:color w:val="000000"/>
          <w:lang w:val="en-US" w:eastAsia="en-US" w:bidi="en-US"/>
        </w:rPr>
        <w:t>.</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color w:val="000000"/>
          <w:lang w:val="en-US" w:eastAsia="en-US" w:bidi="en-US"/>
        </w:rPr>
        <w:t>Nota Explicativa 5:</w:t>
      </w:r>
      <w:r>
        <w:rPr>
          <w:rFonts w:ascii="Liberation Serif" w:hAnsi="Liberation Serif" w:eastAsia="Segoe UI" w:cs="Noto Sans Arabic"/>
          <w:i/>
          <w:iCs/>
          <w:color w:val="000000"/>
          <w:lang w:val="en-US" w:eastAsia="en-US" w:bidi="en-US"/>
        </w:rPr>
        <w:t xml:space="preserve"> O art. 40, §1º, inciso I, da Lei nº 14.133, de 2021, e o art. 9º, inciso I, alínea b, da Instrução Normativa Seges/ME nº 81, de 2022, estabelece que deve ser feita a especificação do produto/bem/serviço, preferencialmente conforme catálogo eletrônico de padronização, observados os requisitos de qualidade, rendimento, compatibilidade, durabilidade e segurança”. A Portaria SEGES/ME nº 938, de 02 de fevereiro de 2022, instituiu o </w:t>
      </w:r>
      <w:hyperlink r:id="rId1">
        <w:r>
          <w:rPr>
            <w:rFonts w:ascii="Liberation Serif" w:hAnsi="Liberation Serif" w:eastAsia="Segoe UI" w:cs="Noto Sans Arabic"/>
            <w:i/>
            <w:iCs/>
            <w:color w:val="000000"/>
            <w:lang w:val="en-US" w:eastAsia="en-US" w:bidi="en-US"/>
          </w:rPr>
          <w:t>catálogo eletrônico de padronização</w:t>
        </w:r>
      </w:hyperlink>
      <w:r>
        <w:rPr>
          <w:rFonts w:ascii="Liberation Serif" w:hAnsi="Liberation Serif" w:eastAsia="Segoe UI" w:cs="Noto Sans Arabic"/>
          <w:i/>
          <w:iCs/>
          <w:color w:val="000000"/>
          <w:lang w:val="en-US" w:eastAsia="en-US" w:bidi="en-US"/>
        </w:rPr>
        <w:t>, o qual deverá ser consultado para verificar se a contratação almejada está contemplada em seus termos. Em existindo padronização aprovada, ela deve ser considerada e eventual não-uso justificado nos autos.</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color w:val="000000"/>
          <w:lang w:val="en-US" w:eastAsia="en-US" w:bidi="en-US"/>
        </w:rPr>
        <w:t xml:space="preserve">Nota Explicativa 6: </w:t>
      </w:r>
      <w:r>
        <w:rPr>
          <w:rFonts w:ascii="Liberation Serif" w:hAnsi="Liberation Serif" w:eastAsia="Segoe UI" w:cs="Noto Sans Arabic"/>
          <w:i/>
          <w:iCs/>
          <w:color w:val="000000"/>
          <w:lang w:val="en-US" w:eastAsia="en-US" w:bidi="en-US"/>
        </w:rPr>
        <w:t xml:space="preserve">Em havendo elementos de sustentabilidade (fornecimento em material reciclável ou com madeira de reflorestamento etc.) inerentes ao objeto contratual, estes devem estar na solução como um todo de modo específico e concreto, evitando-se descrições genéricas, de difícil aferição e controle. Recomenda-se destacar em tópicos específicos da descrição do objeto seus elementos atinentes a aspectos de sustentabilidade. Sugere-se consultar o </w:t>
      </w:r>
      <w:hyperlink r:id="rId2">
        <w:r>
          <w:rPr>
            <w:rFonts w:ascii="Liberation Serif" w:hAnsi="Liberation Serif" w:eastAsia="Segoe UI" w:cs="Noto Sans Arabic"/>
            <w:i/>
            <w:iCs/>
            <w:color w:val="000000"/>
            <w:lang w:val="en-US" w:eastAsia="en-US" w:bidi="en-US"/>
          </w:rPr>
          <w:t>Guia Nacional de Contratações Sustentáveis da AGU</w:t>
        </w:r>
      </w:hyperlink>
      <w:r>
        <w:rPr>
          <w:rFonts w:ascii="Liberation Serif" w:hAnsi="Liberation Serif" w:eastAsia="Segoe UI" w:cs="Noto Sans Arabic"/>
          <w:i/>
          <w:iCs/>
          <w:color w:val="000000"/>
          <w:lang w:val="en-US" w:eastAsia="en-US" w:bidi="en-US"/>
        </w:rPr>
        <w:t xml:space="preserve"> para tal fim. Caso o Estudo Técnico Preliminar seja silente ou insuficiente a esse respeito, recomenda-se abrir tópico específico nesta seção sobre a matéria.</w:t>
      </w:r>
    </w:p>
    <w:p>
      <w:pPr>
        <w:overflowPunct w:val="true"/>
        <w:rPr/>
      </w:pPr>
      <w:r>
        <w:rPr>
          <w:rFonts w:ascii="Liberation Serif" w:hAnsi="Liberation Serif" w:eastAsia="Segoe UI" w:cs="Noto Sans Arabic"/>
          <w:i/>
          <w:iCs/>
          <w:color w:val="000000"/>
          <w:lang w:val="en-US" w:eastAsia="en-US" w:bidi="en-US"/>
        </w:rPr>
        <w:t>Vale registrar que a sustentabilidade pode incidir a partir de características do próprio objeto a ser contratado como também de outros modos, compilados no tópico “requisitos da contratação”, abaixo.</w:t>
      </w:r>
    </w:p>
  </w:comment>
  <w:comment w:id="4" w:author="Autor" w:date="0-00-00T00:00:00Z" w:initials="A">
    <w:p>
      <w:pPr>
        <w:overflowPunct w:val="true"/>
        <w:rPr/>
      </w:pPr>
      <w:r>
        <w:rPr>
          <w:rFonts w:ascii="Liberation Serif" w:hAnsi="Liberation Serif" w:eastAsia="Segoe UI" w:cs="Noto Sans Arabic"/>
          <w:b/>
          <w:bCs/>
          <w:i/>
          <w:iCs/>
          <w:color w:val="000000"/>
          <w:lang w:val="en-US" w:eastAsia="en-US" w:bidi="en-US"/>
        </w:rPr>
        <w:t xml:space="preserve">Nota Explicativa 1: </w:t>
      </w:r>
      <w:r>
        <w:rPr>
          <w:rFonts w:ascii="Liberation Serif" w:hAnsi="Liberation Serif" w:eastAsia="Segoe UI" w:cs="Noto Sans Arabic"/>
          <w:i/>
          <w:iCs/>
          <w:color w:val="000000"/>
          <w:lang w:val="en-US" w:eastAsia="en-US" w:bidi="en-US"/>
        </w:rPr>
        <w:t>Os requisitos da contratação deverão ser registrados nos Sistemas TR DIGITAL E ETP DIGITAL, nos term</w:t>
      </w:r>
      <w:r>
        <w:rPr>
          <w:rFonts w:ascii="Liberation Serif" w:hAnsi="Liberation Serif" w:eastAsia="Segoe UI" w:cs="Noto Sans Arabic"/>
          <w:i/>
          <w:iCs/>
          <w:lang w:val="en-US" w:eastAsia="en-US" w:bidi="en-US"/>
        </w:rPr>
        <w:t xml:space="preserve">os do </w:t>
      </w:r>
      <w:r>
        <w:fldChar w:fldCharType="begin"/>
      </w:r>
      <w:r>
        <w:instrText xml:space="preserve"> HYPERLINK "https://www.in.gov.br/en/web/dou/-/instrucao-normativa-cgnor/me-n-81-de-25-de-novembro-de-2022-446388890" \l "art9"</w:instrText>
      </w:r>
      <w:r>
        <w:fldChar w:fldCharType="separate"/>
      </w:r>
      <w:r>
        <w:rPr>
          <w:rFonts w:ascii="Liberation Serif" w:hAnsi="Liberation Serif" w:eastAsia="Segoe UI" w:cs="Noto Sans Arabic"/>
          <w:i/>
          <w:iCs/>
          <w:lang w:val="en-US" w:eastAsia="en-US" w:bidi="en-US"/>
        </w:rPr>
        <w:t>art. 9º, inciso IV da IN Seges/ME nº 81, de 2022</w:t>
      </w:r>
      <w:r>
        <w:fldChar w:fldCharType="end"/>
      </w:r>
      <w:r>
        <w:rPr>
          <w:rFonts w:ascii="Liberation Serif" w:hAnsi="Liberation Serif" w:eastAsia="Segoe UI" w:cs="Noto Sans Arabic"/>
          <w:i/>
          <w:iCs/>
          <w:lang w:val="en-US" w:eastAsia="en-US" w:bidi="en-US"/>
        </w:rPr>
        <w:t xml:space="preserve"> e </w:t>
      </w:r>
      <w:r>
        <w:fldChar w:fldCharType="begin"/>
      </w:r>
      <w:r>
        <w:instrText xml:space="preserve"> HYPERLINK "https://www.in.gov.br/en/web/dou/-/instrucao-normativa-seges-n-58-de-8-de-agosto-de-2022-421221597" \l "art9"</w:instrText>
      </w:r>
      <w:r>
        <w:fldChar w:fldCharType="separate"/>
      </w:r>
      <w:r>
        <w:rPr>
          <w:rFonts w:ascii="Liberation Serif" w:hAnsi="Liberation Serif" w:eastAsia="Segoe UI" w:cs="Noto Sans Arabic"/>
          <w:i/>
          <w:iCs/>
          <w:lang w:val="en-US" w:eastAsia="en-US" w:bidi="en-US"/>
        </w:rPr>
        <w:t>art. 9º, inciso II, da Instrução Normativa Seges/ME nº 58, de 2022.</w:t>
      </w:r>
      <w:r>
        <w:fldChar w:fldCharType="end"/>
      </w:r>
    </w:p>
    <w:p>
      <w:pPr>
        <w:overflowPunct w:val="true"/>
        <w:rPr/>
      </w:pPr>
      <w:r>
        <w:rPr>
          <w:rFonts w:ascii="Liberation Serif" w:hAnsi="Liberation Serif" w:eastAsia="Segoe UI" w:cs="Noto Sans Arabic"/>
          <w:b/>
          <w:bCs/>
          <w:i/>
          <w:iCs/>
          <w:color w:val="000000"/>
          <w:lang w:val="en-US" w:eastAsia="en-US" w:bidi="en-US"/>
        </w:rPr>
        <w:t xml:space="preserve">Nota Explicativa 2: </w:t>
      </w:r>
      <w:r>
        <w:rPr>
          <w:rFonts w:ascii="Liberation Serif" w:hAnsi="Liberation Serif" w:eastAsia="Segoe UI" w:cs="Noto Sans Arabic"/>
          <w:i/>
          <w:iCs/>
          <w:color w:val="000000"/>
          <w:lang w:val="en-US" w:eastAsia="en-US" w:bidi="en-US"/>
        </w:rPr>
        <w:t xml:space="preserve">Alguns requisitos de contratação tratados na lei foram abordados neste tópico do Termo de Referência. Isso não impede que outros requisitos de contratação, de caráter técnico, sejam inseridos pela área competente. Registre-se, apenas, que a documentação de habilitação técnica é objeto </w:t>
      </w:r>
      <w:r>
        <w:rPr>
          <w:rFonts w:ascii="Liberation Serif" w:hAnsi="Liberation Serif" w:eastAsia="Segoe UI" w:cs="Noto Sans Arabic"/>
          <w:i/>
          <w:iCs/>
          <w:lang w:val="en-US" w:eastAsia="en-US" w:bidi="en-US"/>
        </w:rPr>
        <w:t>de tópico específico neste TR (CRITÉRIOS DE SELEÇÃO DO FORNECEDOR) de modo que sua inclusão aqui seria redundante.</w:t>
      </w:r>
    </w:p>
  </w:comment>
  <w:comment w:id="5" w:author="Autor" w:date="0-00-00T00:00:00Z" w:initials="A">
    <w:p>
      <w:pPr>
        <w:overflowPunct w:val="false"/>
        <w:rPr/>
      </w:pPr>
      <w:r>
        <w:rPr>
          <w:rFonts w:ascii="Liberation Serif" w:hAnsi="Liberation Serif" w:eastAsia="Segoe UI" w:cs="Noto Sans Arabic"/>
          <w:b/>
          <w:bCs/>
          <w:i/>
          <w:iCs/>
          <w:color w:val="000000"/>
          <w:lang w:val="en-US" w:eastAsia="en-US" w:bidi="en-US"/>
        </w:rPr>
        <w:t xml:space="preserve">Nota Explicativa 1: </w:t>
      </w:r>
      <w:r>
        <w:rPr>
          <w:rFonts w:ascii="Liberation Serif" w:hAnsi="Liberation Serif" w:eastAsia="Segoe UI" w:cs="Noto Sans Arabic"/>
          <w:i/>
          <w:iCs/>
          <w:color w:val="000000"/>
          <w:lang w:val="en-US" w:eastAsia="en-US" w:bidi="en-US"/>
        </w:rPr>
        <w:t>O Termo de Referência e os Estudos Técnicos Preliminares deverão estar alinhados com o Plano Diretor de Logística Sustentável, Plano de Contratações Anual além de outros instrumentos de planejamento da Administração,de acord</w:t>
      </w:r>
      <w:r>
        <w:rPr>
          <w:rFonts w:ascii="Liberation Serif" w:hAnsi="Liberation Serif" w:eastAsia="Segoe UI" w:cs="Noto Sans Arabic"/>
          <w:i/>
          <w:iCs/>
          <w:lang w:val="en-US" w:eastAsia="en-US" w:bidi="en-US"/>
        </w:rPr>
        <w:t>o com o art. 7º da IN Seges/ME nº 81, de 2022, e art. 7º, da Instrução Normativa SegesME nº 58, de 2022.</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cs="Noto Sans Arabic"/>
          <w:b/>
          <w:bCs/>
          <w:i/>
          <w:iCs/>
          <w:color w:val="000000"/>
          <w:lang w:val="en-US" w:eastAsia="en-US" w:bidi="en-US"/>
        </w:rPr>
        <w:t>Nota Explicativa 2:</w:t>
      </w:r>
      <w:r>
        <w:rPr>
          <w:rFonts w:ascii="Liberation Serif" w:hAnsi="Liberation Serif" w:eastAsia="Segoe UI" w:cs="Noto Sans Arabic"/>
          <w:i/>
          <w:iCs/>
          <w:color w:val="000000"/>
          <w:lang w:val="en-US" w:eastAsia="en-US" w:bidi="en-US"/>
        </w:rPr>
        <w:t xml:space="preserve"> Nos termos da </w:t>
      </w:r>
      <w:hyperlink r:id="rId3">
        <w:r>
          <w:rPr>
            <w:rFonts w:ascii="Liberation Serif" w:hAnsi="Liberation Serif" w:eastAsia="Segoe UI" w:cs="Noto Sans Arabic"/>
            <w:i/>
            <w:iCs/>
            <w:color w:val="000000"/>
            <w:lang w:val="en-US" w:eastAsia="en-US" w:bidi="en-US"/>
          </w:rPr>
          <w:t>Portaria SEGES/ME nº 8.678, de 19 de julho de 2021</w:t>
        </w:r>
      </w:hyperlink>
      <w:r>
        <w:rPr>
          <w:rFonts w:ascii="Liberation Serif" w:hAnsi="Liberation Serif" w:eastAsia="Segoe UI" w:cs="Noto Sans Arabic"/>
          <w:i/>
          <w:iCs/>
          <w:color w:val="000000"/>
          <w:lang w:val="en-US" w:eastAsia="en-US" w:bidi="en-US"/>
        </w:rPr>
        <w:t xml:space="preserve">, o  Plano Diretor de Logística Sustentável é </w:t>
      </w:r>
      <w:r>
        <w:rPr>
          <w:rFonts w:ascii="Liberation Serif" w:hAnsi="Liberation Serif" w:eastAsia="Segoe UI" w:cs="Noto Sans Arabic"/>
          <w:i/>
          <w:iCs/>
          <w:color w:val="555555"/>
          <w:lang w:val="en-US" w:eastAsia="en-US" w:bidi="en-US"/>
        </w:rPr>
        <w:t> </w:t>
      </w:r>
      <w:r>
        <w:rPr>
          <w:rFonts w:ascii="Liberation Serif" w:hAnsi="Liberation Serif" w:eastAsia="Segoe UI" w:cs="Noto Sans Arabic"/>
          <w:i/>
          <w:iCs/>
          <w:lang w:val="en-US" w:eastAsia="en-US" w:bidi="en-US"/>
        </w:rPr>
        <w:t>instrumento de governança, vinculado ao planejamento estratégico do órgão ou entidade, ou instrumento equivalente, e às leis orçamentárias, que estabelece a estratégia das contratações e da logística no âmbito do órgão ou entidade, considerando objetivos e ações referentes a critérios e a práticas de sustentabilidade, nas dimensões econômica, social, ambiental e cultural</w:t>
      </w:r>
      <w:r>
        <w:rPr>
          <w:rFonts w:ascii="Liberation Serif" w:hAnsi="Liberation Serif" w:cs="Noto Sans Arabic" w:eastAsia="DejaVu Sans"/>
          <w:lang w:val="en-US" w:eastAsia="en-US" w:bidi="en-US"/>
        </w:rPr>
        <w:t>.</w:t>
      </w:r>
    </w:p>
    <w:p>
      <w:pPr>
        <w:overflowPunct w:val="false"/>
        <w:rPr/>
      </w:pPr>
      <w:r>
        <w:rPr>
          <w:rFonts w:ascii="Liberation Serif" w:hAnsi="Liberation Serif" w:eastAsia="Segoe UI" w:cs="Noto Sans Arabic"/>
          <w:i/>
          <w:iCs/>
          <w:color w:val="000000"/>
          <w:lang w:val="en-US" w:eastAsia="en-US" w:bidi="en-US"/>
        </w:rPr>
        <w:t xml:space="preserve">Destaque-se ainda que de acordo com o artigo 8º, §1º, III, da </w:t>
      </w:r>
      <w:r>
        <w:rPr>
          <w:rFonts w:ascii="Liberation Serif" w:hAnsi="Liberation Serif" w:eastAsia="Segoe UI" w:cs="Noto Sans Arabic"/>
          <w:i/>
          <w:iCs/>
          <w:lang w:val="en-US" w:eastAsia="en-US" w:bidi="en-US"/>
        </w:rPr>
        <w:t>Portaria SEGES/ME nº 8.678, de 2021</w:t>
      </w:r>
      <w:r>
        <w:rPr>
          <w:rFonts w:ascii="Liberation Serif" w:hAnsi="Liberation Serif" w:eastAsia="Segoe UI" w:cs="Noto Sans Arabic"/>
          <w:i/>
          <w:iCs/>
          <w:color w:val="000000"/>
          <w:lang w:val="en-US" w:eastAsia="en-US" w:bidi="en-US"/>
        </w:rPr>
        <w:t xml:space="preserve">, o Plano Diretor de Logística Sustentável deverá nortear a elaboração </w:t>
      </w:r>
      <w:r>
        <w:rPr>
          <w:rFonts w:ascii="Liberation Serif" w:hAnsi="Liberation Serif" w:eastAsia="Segoe UI" w:cs="Noto Sans Arabic"/>
          <w:i/>
          <w:iCs/>
          <w:lang w:val="en-US" w:eastAsia="en-US" w:bidi="en-US"/>
        </w:rPr>
        <w:t>dos anteprojetos, dos projetos básicos ou dos termos de referência de cada contratação.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cs="Noto Sans Arabic"/>
          <w:b/>
          <w:bCs/>
          <w:i/>
          <w:iCs/>
          <w:lang w:val="en-US" w:eastAsia="en-US" w:bidi="en-US"/>
        </w:rPr>
        <w:t>Nota Explicativa 3</w:t>
      </w:r>
      <w:r>
        <w:rPr>
          <w:rFonts w:ascii="Liberation Serif" w:hAnsi="Liberation Serif" w:eastAsia="Segoe UI" w:cs="Noto Sans Arabic"/>
          <w:i/>
          <w:iCs/>
          <w:lang w:val="en-US" w:eastAsia="en-US" w:bidi="en-US"/>
        </w:rPr>
        <w:t>: Os preceitos do desenvolvimento sustentável devem ser observados na fase preparatória da licitação, em suas dimensões econômica, social, ambiental e cultural, no mínimo, com base nos planos de gestão de logística sustentável dos órgãos e das entidades, conforme prevê o parágrafo único do artigo 11 da Instrução Normativa SEGES/ME nº 73, de 2022.</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cs="Noto Sans Arabic"/>
          <w:b/>
          <w:bCs/>
          <w:i/>
          <w:iCs/>
          <w:color w:val="000000"/>
          <w:lang w:val="en-US" w:eastAsia="en-US" w:bidi="en-US"/>
        </w:rPr>
        <w:t>Nota Explicativa 4:</w:t>
      </w:r>
      <w:r>
        <w:rPr>
          <w:rFonts w:ascii="Liberation Serif" w:hAnsi="Liberation Serif" w:eastAsia="Segoe UI" w:cs="Noto Sans Arabic"/>
          <w:i/>
          <w:iCs/>
          <w:color w:val="000000"/>
          <w:lang w:val="en-US" w:eastAsia="en-US" w:bidi="en-US"/>
        </w:rPr>
        <w:t xml:space="preserve"> Os critérios e práticas de sustentabilidade deverão ser registrados no sistema de ETP Digital, conforme previsão do Art. 9º, II, da Instrução Normativa SEGES/ME nº 58, de 2022. </w:t>
      </w:r>
    </w:p>
    <w:p>
      <w:pPr>
        <w:overflowPunct w:val="false"/>
        <w:rPr/>
      </w:pPr>
      <w:r>
        <w:rPr>
          <w:rFonts w:ascii="Liberation Serif" w:hAnsi="Liberation Serif" w:eastAsia="Segoe UI" w:cs="Noto Sans Arabic"/>
          <w:i/>
          <w:iCs/>
          <w:color w:val="000000"/>
          <w:lang w:val="en-US" w:eastAsia="en-US" w:bidi="en-US"/>
        </w:rPr>
        <w:t xml:space="preserve">Soma-se a essa previsão, o </w:t>
      </w:r>
      <w:hyperlink r:id="rId4">
        <w:r>
          <w:rPr>
            <w:rFonts w:ascii="Liberation Serif" w:hAnsi="Liberation Serif" w:eastAsia="Segoe UI" w:cs="Noto Sans Arabic"/>
            <w:i/>
            <w:iCs/>
            <w:color w:val="000000"/>
            <w:lang w:val="en-US" w:eastAsia="en-US" w:bidi="en-US"/>
          </w:rPr>
          <w:t>Parecer n. 00001/2021/CNS/CGU/AGU, da Consultoria –Geral da União aprovado nos termos do DESPACHO n. 00525/2021/GAB/CGU/AGU (NUP: 00688.000723/2019-45)</w:t>
        </w:r>
      </w:hyperlink>
      <w:r>
        <w:rPr>
          <w:rFonts w:ascii="Liberation Serif" w:hAnsi="Liberation Serif" w:eastAsia="Segoe UI" w:cs="Noto Sans Arabic"/>
          <w:i/>
          <w:iCs/>
          <w:color w:val="000000"/>
          <w:lang w:val="en-US" w:eastAsia="en-US" w:bidi="en-US"/>
        </w:rPr>
        <w:t xml:space="preserve"> que consolidou o entendimento de que a “administração pública é obrigada a adotar critérios e práticas de sustentabilidade socioambiental e de acessibilidade nas contratações públicas, nas fases de planejamento, seleção de fornecedor, execução contratual, fiscalização e na gestão dos resíduos sólidos.” </w:t>
      </w:r>
    </w:p>
    <w:p>
      <w:pPr>
        <w:overflowPunct w:val="false"/>
        <w:rPr/>
      </w:pPr>
      <w:r>
        <w:rPr>
          <w:rFonts w:ascii="Liberation Serif" w:hAnsi="Liberation Serif" w:eastAsia="Segoe UI" w:cs="Noto Sans Arabic"/>
          <w:i/>
          <w:iCs/>
          <w:color w:val="000000"/>
          <w:lang w:val="en-US" w:eastAsia="en-US" w:bidi="en-US"/>
        </w:rPr>
        <w:t>Dessa forma, a sustentabilidade deve ser considerada pelo gestor público: a) na fase de planejamento da contratação, b) na elaboração das minutas, com consulta ao Guia, c) na fase de execução contratual e d) na adequada destinação ambiental dos resíduos decorrentes da aquisição. Ainda que não constante do termo de referência, destaque-se que as contratações mediante pregão eletrônico deverão estar alinhadas com o Plano de Gestão e Logística Sustentável do órgão.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cs="Noto Sans Arabic"/>
          <w:b/>
          <w:bCs/>
          <w:i/>
          <w:iCs/>
          <w:color w:val="000000"/>
          <w:lang w:val="en-US" w:eastAsia="en-US" w:bidi="en-US"/>
        </w:rPr>
        <w:t xml:space="preserve">Nota Explicativa 5: </w:t>
      </w:r>
      <w:r>
        <w:rPr>
          <w:rFonts w:ascii="Liberation Serif" w:hAnsi="Liberation Serif" w:eastAsia="Segoe UI" w:cs="Noto Sans Arabic"/>
          <w:i/>
          <w:iCs/>
          <w:color w:val="000000"/>
          <w:lang w:val="en-US" w:eastAsia="en-US" w:bidi="en-US"/>
        </w:rPr>
        <w:t xml:space="preserve">A impossibilidade de adoção de critérios e práticas de sustentabilidade nas contratações públicas deverá ser justificada pelo gestor competente nos Estudos Técnicos Preliminares ou nos autos do processo administrativo, com a indicação das pertinentes razões de fato e/ou direito, conforme o </w:t>
      </w:r>
      <w:hyperlink r:id="rId5">
        <w:r>
          <w:rPr>
            <w:rFonts w:ascii="Liberation Serif" w:hAnsi="Liberation Serif" w:eastAsia="Segoe UI" w:cs="Noto Sans Arabic"/>
            <w:i/>
            <w:iCs/>
            <w:color w:val="000000"/>
            <w:lang w:val="en-US" w:eastAsia="en-US" w:bidi="en-US"/>
          </w:rPr>
          <w:t>Parecer n. 00001/2021/CNS/CGU/AGU</w:t>
        </w:r>
      </w:hyperlink>
      <w:r>
        <w:rPr>
          <w:rFonts w:ascii="Liberation Serif" w:hAnsi="Liberation Serif" w:eastAsia="Segoe UI" w:cs="Noto Sans Arabic"/>
          <w:i/>
          <w:iCs/>
          <w:color w:val="000000"/>
          <w:lang w:val="en-US" w:eastAsia="en-US" w:bidi="en-US"/>
        </w:rPr>
        <w:t xml:space="preserve"> e previsão do §1º do art. 9º da Instrução Normativa SEGES/ME nº 58, de 2022, que dispõe sobre a elaboração dos Estudos Técnicos Preliminares - ETP.   </w:t>
      </w:r>
    </w:p>
    <w:p>
      <w:pPr>
        <w:overflowPunct w:val="false"/>
        <w:rPr/>
      </w:pPr>
      <w:r>
        <w:rPr>
          <w:rFonts w:ascii="Liberation Serif" w:hAnsi="Liberation Serif" w:eastAsia="Segoe UI" w:cs="Noto Sans Arabic"/>
          <w:i/>
          <w:iCs/>
          <w:color w:val="000000"/>
          <w:lang w:val="en-US" w:eastAsia="en-US" w:bidi="en-US"/>
        </w:rPr>
        <w:t>Se houver justificativa nos autos para a não-adoção de critérios de sustentabilidade (e apenas nesse caso), deverá haver a supressão dos dispositivos específicos acima.</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cs="Noto Sans Arabic"/>
          <w:b/>
          <w:bCs/>
          <w:i/>
          <w:iCs/>
          <w:color w:val="000000"/>
          <w:lang w:val="en-US" w:eastAsia="en-US" w:bidi="en-US"/>
        </w:rPr>
        <w:t xml:space="preserve">Nota Explicativa 6: </w:t>
      </w:r>
      <w:r>
        <w:rPr>
          <w:rFonts w:ascii="Liberation Serif" w:hAnsi="Liberation Serif" w:eastAsia="Segoe UI" w:cs="Noto Sans Arabic"/>
          <w:i/>
          <w:iCs/>
          <w:color w:val="000000"/>
          <w:lang w:val="en-US" w:eastAsia="en-US" w:bidi="en-US"/>
        </w:rPr>
        <w:t xml:space="preserve">Aos agentes da administração pública federal encarregados de realizar contratações públicas, recomenda-se que, no exercício de suas atribuições funcionais, consultem o </w:t>
      </w:r>
      <w:hyperlink r:id="rId6">
        <w:r>
          <w:rPr>
            <w:rFonts w:ascii="Liberation Serif" w:hAnsi="Liberation Serif" w:eastAsia="Segoe UI" w:cs="Noto Sans Arabic"/>
            <w:i/>
            <w:iCs/>
            <w:color w:val="000000"/>
            <w:lang w:val="en-US" w:eastAsia="en-US" w:bidi="en-US"/>
          </w:rPr>
          <w:t>Guia Nacional de Contratações Sustentáveis da Advocacia-Geral da União</w:t>
        </w:r>
      </w:hyperlink>
      <w:r>
        <w:rPr>
          <w:rFonts w:ascii="Liberation Serif" w:hAnsi="Liberation Serif" w:eastAsia="Segoe UI" w:cs="Noto Sans Arabic"/>
          <w:i/>
          <w:iCs/>
          <w:color w:val="000000"/>
          <w:lang w:val="en-US" w:eastAsia="en-US" w:bidi="en-US"/>
        </w:rPr>
        <w:t>, disponibilizado pela Consultoria-Geral da União e no site da AGU.</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cs="Noto Sans Arabic"/>
          <w:b/>
          <w:bCs/>
          <w:i/>
          <w:iCs/>
          <w:color w:val="000000"/>
          <w:lang w:val="en-US" w:eastAsia="en-US" w:bidi="en-US"/>
        </w:rPr>
        <w:t xml:space="preserve">Nota Explicativa 7: </w:t>
      </w:r>
      <w:r>
        <w:rPr>
          <w:rFonts w:ascii="Liberation Serif" w:hAnsi="Liberation Serif" w:eastAsia="Segoe UI" w:cs="Noto Sans Arabic"/>
          <w:i/>
          <w:iCs/>
          <w:color w:val="000000"/>
          <w:lang w:val="en-US" w:eastAsia="en-US" w:bidi="en-US"/>
        </w:rPr>
        <w:t xml:space="preserve">De acordo com o </w:t>
      </w:r>
      <w:hyperlink r:id="rId7">
        <w:r>
          <w:rPr>
            <w:rFonts w:ascii="Liberation Serif" w:hAnsi="Liberation Serif" w:eastAsia="Segoe UI" w:cs="Noto Sans Arabic"/>
            <w:i/>
            <w:iCs/>
            <w:color w:val="000000"/>
            <w:lang w:val="en-US" w:eastAsia="en-US" w:bidi="en-US"/>
          </w:rPr>
          <w:t>Guia Nacional de Contratações Sustentáveis da AGU</w:t>
        </w:r>
      </w:hyperlink>
      <w:r>
        <w:rPr>
          <w:rFonts w:ascii="Liberation Serif" w:hAnsi="Liberation Serif" w:eastAsia="Segoe UI" w:cs="Noto Sans Arabic"/>
          <w:i/>
          <w:iCs/>
          <w:color w:val="000000"/>
          <w:lang w:val="en-US" w:eastAsia="en-US" w:bidi="en-US"/>
        </w:rPr>
        <w:t>, a inclusão de critérios de sustentabilidade deve ser feita de modo claro e objetivo. Deve-se evitar a transcrição literal e automática das previsões legais ou normativas, sem efetuar o exame da incidência real e efetiva delas na contratação em apreço.</w:t>
      </w:r>
    </w:p>
    <w:p>
      <w:pPr>
        <w:overflowPunct w:val="false"/>
        <w:rPr/>
      </w:pPr>
      <w:r>
        <w:rPr>
          <w:rFonts w:ascii="Liberation Serif" w:hAnsi="Liberation Serif" w:eastAsia="Segoe UI" w:cs="Noto Sans Arabic"/>
          <w:i/>
          <w:iCs/>
          <w:color w:val="000000"/>
          <w:lang w:val="en-US" w:eastAsia="en-US" w:bidi="en-US"/>
        </w:rPr>
        <w:t xml:space="preserve">Assim, uma vez exigido qualquer requisito ambiental na especificação do objeto e/ou edital, e/ou contrato, deve ser prevista a forma objetiva de comprovação. É preciso saber quais critérios de sustentabilidade devem ser incluídos nas peças editalícias, como fazer essas exigências e de que forma as pretendidas contratadas devem comprovar o cumprimento desses critérios de sustentabilidade exigidos pela Administração. (artigo 9, inciso XII, da </w:t>
      </w:r>
      <w:hyperlink r:id="rId8">
        <w:r>
          <w:rPr>
            <w:rFonts w:ascii="Liberation Serif" w:hAnsi="Liberation Serif" w:eastAsia="Segoe UI" w:cs="Noto Sans Arabic"/>
            <w:i/>
            <w:iCs/>
            <w:color w:val="000000"/>
            <w:lang w:val="en-US" w:eastAsia="en-US" w:bidi="en-US"/>
          </w:rPr>
          <w:t>Instrução Normativa SEGES/ME nº 58, de 2022</w:t>
        </w:r>
      </w:hyperlink>
      <w:r>
        <w:rPr>
          <w:rFonts w:ascii="Liberation Serif" w:hAnsi="Liberation Serif" w:eastAsia="Segoe UI" w:cs="Noto Sans Arabic"/>
          <w:i/>
          <w:iCs/>
          <w:color w:val="000000"/>
          <w:lang w:val="en-US" w:eastAsia="en-US" w:bidi="en-US"/>
        </w:rPr>
        <w:t>, que dispõe sobre a elaboração dos Estudos Técnicos Preliminares - ETP)</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cs="Noto Sans Arabic"/>
          <w:b/>
          <w:bCs/>
          <w:i/>
          <w:iCs/>
          <w:color w:val="000000"/>
          <w:lang w:val="en-US" w:eastAsia="en-US" w:bidi="en-US"/>
        </w:rPr>
        <w:t xml:space="preserve">Nota Explicativa 8: </w:t>
      </w:r>
      <w:r>
        <w:rPr>
          <w:rFonts w:ascii="Liberation Serif" w:hAnsi="Liberation Serif" w:eastAsia="Segoe UI" w:cs="Noto Sans Arabic"/>
          <w:i/>
          <w:iCs/>
          <w:color w:val="000000"/>
          <w:lang w:val="en-US" w:eastAsia="en-US" w:bidi="en-US"/>
        </w:rPr>
        <w:t xml:space="preserve">Nas aquisições e contratações governamentais, deve ser dada prioridade para produtos reciclados e recicláveis e para bens, serviços e obras que considerem critérios compatíveis com padrões de consumo sustentáveis (artigo 7º, inciso XI, da </w:t>
      </w:r>
      <w:hyperlink r:id="rId9">
        <w:r>
          <w:rPr>
            <w:rFonts w:ascii="Liberation Serif" w:hAnsi="Liberation Serif" w:eastAsia="Segoe UI" w:cs="Noto Sans Arabic"/>
            <w:i/>
            <w:iCs/>
            <w:color w:val="000000"/>
            <w:lang w:val="en-US" w:eastAsia="en-US" w:bidi="en-US"/>
          </w:rPr>
          <w:t>Lei nº 12.305, de 2010</w:t>
        </w:r>
      </w:hyperlink>
      <w:r>
        <w:rPr>
          <w:rFonts w:ascii="Liberation Serif" w:hAnsi="Liberation Serif" w:eastAsia="Segoe UI" w:cs="Noto Sans Arabic"/>
          <w:i/>
          <w:iCs/>
          <w:color w:val="000000"/>
          <w:lang w:val="en-US" w:eastAsia="en-US" w:bidi="en-US"/>
        </w:rPr>
        <w:t>, – Política Nacional de Resíduos Sólidos). Deve-se observar, também, a regulamentação a ser editada a luz da nova legislação.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cs="Noto Sans Arabic"/>
          <w:b/>
          <w:bCs/>
          <w:i/>
          <w:iCs/>
          <w:color w:val="000000"/>
          <w:lang w:val="en-US" w:eastAsia="en-US" w:bidi="en-US"/>
        </w:rPr>
        <w:t xml:space="preserve">Nota Explicativa 9: </w:t>
      </w:r>
      <w:r>
        <w:rPr>
          <w:rFonts w:ascii="Liberation Serif" w:hAnsi="Liberation Serif" w:eastAsia="Segoe UI" w:cs="Noto Sans Arabic"/>
          <w:i/>
          <w:iCs/>
          <w:color w:val="000000"/>
          <w:lang w:val="en-US" w:eastAsia="en-US" w:bidi="en-US"/>
        </w:rPr>
        <w:t xml:space="preserve">Recomenda-se, igualmente, consulta ao Catálogo de Materiais Sustentáveis (CATMAT Sustentável), bem como consulta prévia ao site governamental </w:t>
      </w:r>
      <w:hyperlink r:id="rId10">
        <w:r>
          <w:rPr>
            <w:rFonts w:ascii="Liberation Serif" w:hAnsi="Liberation Serif" w:eastAsia="Segoe UI" w:cs="Noto Sans Arabic"/>
            <w:i/>
            <w:iCs/>
            <w:color w:val="000000"/>
            <w:lang w:val="en-US" w:eastAsia="en-US" w:bidi="en-US"/>
          </w:rPr>
          <w:t>https://doacoes.gov.br</w:t>
        </w:r>
      </w:hyperlink>
      <w:r>
        <w:rPr>
          <w:rFonts w:ascii="Liberation Serif" w:hAnsi="Liberation Serif" w:eastAsia="Segoe UI" w:cs="Noto Sans Arabic"/>
          <w:i/>
          <w:iCs/>
          <w:color w:val="000000"/>
          <w:lang w:val="en-US" w:eastAsia="en-US" w:bidi="en-US"/>
        </w:rPr>
        <w:t>/, solução desenvolvida pelo Ministério da Gestão e da Inovação em Serviços Públicos, que oferta bens móveis e serviços para a administração pública, disponibilizados pelos próprios órgãos de governo ou oferecidos por particulares de forma não onerosa, otimizando a gestão do recurso público com consumo consciente e sustentável.</w:t>
      </w:r>
    </w:p>
  </w:comment>
  <w:comment w:id="6" w:author="Autor" w:date="0-00-00T00:00:00Z" w:initials="A">
    <w:p>
      <w:pPr>
        <w:overflowPunct w:val="true"/>
        <w:rPr/>
      </w:pPr>
      <w:r>
        <w:rPr>
          <w:rFonts w:ascii="Liberation Serif" w:hAnsi="Liberation Serif" w:eastAsia="Segoe UI" w:cs="Noto Sans Arabic"/>
          <w:b/>
          <w:bCs/>
          <w:i/>
          <w:iCs/>
          <w:color w:val="000000"/>
          <w:lang w:val="en-US" w:eastAsia="en-US" w:bidi="en-US"/>
        </w:rPr>
        <w:t xml:space="preserve">Nota Explicativa 1: </w:t>
      </w:r>
      <w:r>
        <w:rPr>
          <w:rFonts w:ascii="Liberation Serif" w:hAnsi="Liberation Serif" w:eastAsia="Segoe UI" w:cs="Noto Sans Arabic"/>
          <w:i/>
          <w:iCs/>
          <w:color w:val="000000"/>
          <w:lang w:val="en-US" w:eastAsia="en-US" w:bidi="en-US"/>
        </w:rPr>
        <w:t>Marca - Excepcionalmente será permitida a indicação de uma ou mais marcas ou modelos, desde que justificada tecnicamente no processo, nas hipóteses descritas no art. 41, inciso I, alíneas a, b, c e d da Lei nº 14.133, de 2021.</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color w:val="000000"/>
          <w:lang w:val="en-US" w:eastAsia="en-US" w:bidi="en-US"/>
        </w:rPr>
        <w:t xml:space="preserve">Nota Explicativa 2: </w:t>
      </w:r>
      <w:r>
        <w:rPr>
          <w:rFonts w:ascii="Liberation Serif" w:hAnsi="Liberation Serif" w:eastAsia="Segoe UI" w:cs="Noto Sans Arabic"/>
          <w:i/>
          <w:iCs/>
          <w:color w:val="000000"/>
          <w:u w:val="single"/>
          <w:lang w:val="en-US" w:eastAsia="en-US" w:bidi="en-US"/>
        </w:rPr>
        <w:t>Similaridade</w:t>
      </w:r>
      <w:r>
        <w:rPr>
          <w:rFonts w:ascii="Liberation Serif" w:hAnsi="Liberation Serif" w:eastAsia="Segoe UI" w:cs="Noto Sans Arabic"/>
          <w:b/>
          <w:bCs/>
          <w:i/>
          <w:iCs/>
          <w:color w:val="000000"/>
          <w:lang w:val="en-US" w:eastAsia="en-US" w:bidi="en-US"/>
        </w:rPr>
        <w:t>-</w:t>
      </w:r>
      <w:r>
        <w:rPr>
          <w:rFonts w:ascii="Liberation Serif" w:hAnsi="Liberation Serif" w:eastAsia="Segoe UI" w:cs="Noto Sans Arabic"/>
          <w:i/>
          <w:iCs/>
          <w:color w:val="000000"/>
          <w:lang w:val="en-US" w:eastAsia="en-US" w:bidi="en-US"/>
        </w:rPr>
        <w:t xml:space="preserve"> Quando necessária a indicação de marca como referência de qualidade ou facilitação da descrição do objeto, deve esta ser seguida das expressões “ou equivalente”, “ou similar” e “ou de melhor qualidade”, devendo, nesse caso, o produto ser aceito de fato e sem restrições pela Administração. </w:t>
      </w:r>
    </w:p>
    <w:p>
      <w:pPr>
        <w:overflowPunct w:val="true"/>
        <w:rPr/>
      </w:pPr>
      <w:r>
        <w:rPr>
          <w:rFonts w:ascii="Liberation Serif" w:hAnsi="Liberation Serif" w:eastAsia="Segoe UI" w:cs="Noto Sans Arabic"/>
          <w:i/>
          <w:iCs/>
          <w:color w:val="000000"/>
          <w:lang w:val="en-US" w:eastAsia="en-US" w:bidi="en-US"/>
        </w:rPr>
        <w:t xml:space="preserve">Permite-se menção a marca de referência no aviso, como forma ou parâmetro de qualidade para facilitar a descrição do objeto, caso em que se deve necessariamente acrescentar expressões do tipo “ou equivalente”, “ou similar”, “ou de melhor qualidade”, podendo a Administração exigir que a empresa participante do certame demonstre desempenho, qualidade e produtividade compatíveis com a marca de referência mencionada.” </w:t>
      </w:r>
    </w:p>
    <w:p>
      <w:pPr>
        <w:overflowPunct w:val="true"/>
        <w:rPr/>
      </w:pPr>
      <w:r>
        <w:rPr>
          <w:rFonts w:ascii="Liberation Serif" w:hAnsi="Liberation Serif" w:eastAsia="Segoe UI" w:cs="Noto Sans Arabic"/>
          <w:i/>
          <w:iCs/>
          <w:color w:val="000000"/>
          <w:lang w:val="en-US" w:eastAsia="en-US" w:bidi="en-US"/>
        </w:rPr>
        <w:t xml:space="preserve">Deve a Administração, ainda, observar o princípio da padronização considerada a compatibilidade de especificações estéticas, técnicas ou de desempenho, nos termos do art. 43 da Lei nº 14.133, de 2021, e do art. 9º, inciso I, alínea </w:t>
      </w:r>
      <w:r>
        <w:rPr>
          <w:rFonts w:ascii="Liberation Serif" w:hAnsi="Liberation Serif" w:eastAsia="Segoe UI" w:cs="Noto Sans Arabic"/>
          <w:i/>
          <w:iCs/>
          <w:lang w:val="en-US" w:eastAsia="en-US" w:bidi="en-US"/>
        </w:rPr>
        <w:t xml:space="preserve">b, da </w:t>
      </w:r>
      <w:hyperlink r:id="rId11">
        <w:r>
          <w:rPr>
            <w:rFonts w:ascii="Liberation Serif" w:hAnsi="Liberation Serif" w:eastAsia="Segoe UI" w:cs="Noto Sans Arabic"/>
            <w:i/>
            <w:iCs/>
            <w:lang w:val="en-US" w:eastAsia="en-US" w:bidi="en-US"/>
          </w:rPr>
          <w:t>IN Seges/ME nº 81, de 2022</w:t>
        </w:r>
      </w:hyperlink>
      <w:r>
        <w:rPr>
          <w:rFonts w:ascii="Liberation Serif" w:hAnsi="Liberation Serif" w:eastAsia="Segoe UI" w:cs="Noto Sans Arabic"/>
          <w:i/>
          <w:iCs/>
          <w:lang w:val="en-US" w:eastAsia="en-US" w:bidi="en-US"/>
        </w:rPr>
        <w:t>. T</w:t>
      </w:r>
      <w:r>
        <w:rPr>
          <w:rFonts w:ascii="Liberation Serif" w:hAnsi="Liberation Serif" w:eastAsia="Segoe UI" w:cs="Noto Sans Arabic"/>
          <w:i/>
          <w:iCs/>
          <w:color w:val="000000"/>
          <w:lang w:val="en-US" w:eastAsia="en-US" w:bidi="en-US"/>
        </w:rPr>
        <w:t>ambém deverá ser observada a Portaria SEGES/ME n. 938, de 2022, que institui o catálogo eletrônico de padronização de compras, serviços e obras, no âmbito da Administração Pública federal direta, autárquica e fundacional.</w:t>
      </w:r>
    </w:p>
  </w:comment>
  <w:comment w:id="7"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Em razão de seu potencial de restringir a competitividade do certame, a exigência de carta de solidariedade somente se justificará em situações excepcionais e devidamente motivadas.</w:t>
      </w:r>
    </w:p>
  </w:comment>
  <w:comment w:id="8"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 1</w:t>
      </w:r>
      <w:r>
        <w:rPr>
          <w:rFonts w:ascii="Liberation Serif" w:hAnsi="Liberation Serif" w:eastAsia="Segoe UI" w:cs="Noto Sans Arabic"/>
          <w:i/>
          <w:iCs/>
          <w:color w:val="000000"/>
          <w:lang w:val="en-US" w:eastAsia="en-US" w:bidi="en-US"/>
        </w:rPr>
        <w:t>: Não se admite a exigência de subcontratação para o fornecimento de bens, exceto quando estiver vinculado à prestação de serviços acessórios. Observe-se, ainda, que é vedada a subcontratação completa ou da parcela principal da obrigação.</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color w:val="000000"/>
          <w:lang w:val="en-US" w:eastAsia="en-US" w:bidi="en-US"/>
        </w:rPr>
        <w:t>Nota Explicativa 2:</w:t>
      </w:r>
      <w:r>
        <w:rPr>
          <w:rFonts w:ascii="Liberation Serif" w:hAnsi="Liberation Serif" w:eastAsia="Segoe UI" w:cs="Noto Sans Arabic"/>
          <w:i/>
          <w:iCs/>
          <w:color w:val="000000"/>
          <w:lang w:val="en-US" w:eastAsia="en-US" w:bidi="en-US"/>
        </w:rPr>
        <w:t xml:space="preserve"> A subcontratação deve ser avaliada à luz do </w:t>
      </w:r>
      <w:hyperlink r:id="rId12">
        <w:r>
          <w:rPr>
            <w:rFonts w:ascii="Liberation Serif" w:hAnsi="Liberation Serif" w:eastAsia="Segoe UI" w:cs="Noto Sans Arabic"/>
            <w:i/>
            <w:iCs/>
            <w:color w:val="000000"/>
            <w:lang w:val="en-US" w:eastAsia="en-US" w:bidi="en-US"/>
          </w:rPr>
          <w:t>artigo 122 da Lei nº 14.133, de 2021</w:t>
        </w:r>
      </w:hyperlink>
      <w:r>
        <w:rPr>
          <w:rFonts w:ascii="Liberation Serif" w:hAnsi="Liberation Serif" w:eastAsia="Segoe UI" w:cs="Noto Sans Arabic"/>
          <w:i/>
          <w:iCs/>
          <w:color w:val="000000"/>
          <w:lang w:val="en-US" w:eastAsia="en-US" w:bidi="en-US"/>
        </w:rPr>
        <w:t>:</w:t>
      </w:r>
    </w:p>
    <w:p>
      <w:pPr>
        <w:overflowPunct w:val="true"/>
        <w:rPr/>
      </w:pPr>
      <w:r>
        <w:rPr>
          <w:rFonts w:ascii="Liberation Serif" w:hAnsi="Liberation Serif" w:eastAsia="Segoe UI" w:cs="Noto Sans Arabic"/>
          <w:i/>
          <w:iCs/>
          <w:color w:val="000000"/>
          <w:lang w:val="en-US" w:eastAsia="en-US" w:bidi="en-US"/>
        </w:rPr>
        <w:t>“Art. 122. Na execução do contrato e sem prejuízo das responsabilidades contratuais e legais, o contratado poderá subcontratar partes da obra, do serviço ou do fornecimento até o limite autorizado, em cada caso, pela Administração.</w:t>
      </w:r>
    </w:p>
    <w:p>
      <w:pPr>
        <w:overflowPunct w:val="true"/>
        <w:rPr/>
      </w:pPr>
      <w:r>
        <w:rPr>
          <w:rFonts w:ascii="Liberation Serif" w:hAnsi="Liberation Serif" w:eastAsia="Segoe UI" w:cs="Noto Sans Arabic"/>
          <w:i/>
          <w:iCs/>
          <w:color w:val="000000"/>
          <w:lang w:val="en-US" w:eastAsia="en-US" w:bidi="en-US"/>
        </w:rPr>
        <w:t>§ 1º O contratado apresentará à Administração documentação que comprove a capacidade técnica do subcontratado, que será avaliada e juntada aos autos do processo correspondente.</w:t>
      </w:r>
    </w:p>
    <w:p>
      <w:pPr>
        <w:overflowPunct w:val="true"/>
        <w:rPr/>
      </w:pPr>
      <w:r>
        <w:rPr>
          <w:rFonts w:ascii="Liberation Serif" w:hAnsi="Liberation Serif" w:eastAsia="Segoe UI" w:cs="Noto Sans Arabic"/>
          <w:i/>
          <w:iCs/>
          <w:color w:val="000000"/>
          <w:lang w:val="en-US" w:eastAsia="en-US" w:bidi="en-US"/>
        </w:rPr>
        <w:t>§ 2º Regulamento ou edital de licitação poderão vedar, restringir ou estabelecer condições para a subcontratação.</w:t>
      </w:r>
    </w:p>
    <w:p>
      <w:pPr>
        <w:overflowPunct w:val="true"/>
        <w:rPr/>
      </w:pPr>
      <w:r>
        <w:rPr>
          <w:rFonts w:ascii="Liberation Serif" w:hAnsi="Liberation Serif" w:eastAsia="Segoe UI" w:cs="Noto Sans Arabic"/>
          <w:i/>
          <w:iCs/>
          <w:color w:val="000000"/>
          <w:lang w:val="en-US" w:eastAsia="en-US" w:bidi="en-US"/>
        </w:rPr>
        <w:t>§ 3º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comment>
  <w:comment w:id="9" w:author="Autor" w:date="0-00-00T00:00:00Z" w:initials="A">
    <w:p>
      <w:pPr>
        <w:overflowPunct w:val="true"/>
        <w:rPr/>
      </w:pPr>
      <w:r>
        <w:rPr>
          <w:rFonts w:ascii="Liberation Serif" w:hAnsi="Liberation Serif" w:eastAsia="Segoe UI" w:cs="Noto Sans Arabic"/>
          <w:b/>
          <w:bCs/>
          <w:i/>
          <w:iCs/>
          <w:color w:val="000000"/>
          <w:lang w:val="en-US" w:eastAsia="en-US" w:bidi="en-US"/>
        </w:rPr>
        <w:t xml:space="preserve">Nota Explicativa 1: </w:t>
      </w:r>
      <w:r>
        <w:rPr>
          <w:rFonts w:ascii="Liberation Serif" w:hAnsi="Liberation Serif" w:eastAsia="Segoe UI" w:cs="Noto Sans Arabic"/>
          <w:i/>
          <w:iCs/>
          <w:color w:val="000000"/>
          <w:lang w:val="en-US" w:eastAsia="en-US" w:bidi="en-US"/>
        </w:rPr>
        <w:t>Em havendo a necessidade de inclusão de outras especificações técnicas quanto à subcontratação, deverão ser inseridas nos itens acima.</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color w:val="000000"/>
          <w:lang w:val="en-US" w:eastAsia="en-US" w:bidi="en-US"/>
        </w:rPr>
        <w:t xml:space="preserve">Nota Explicativa 2: </w:t>
      </w:r>
      <w:r>
        <w:rPr>
          <w:rFonts w:ascii="Liberation Serif" w:hAnsi="Liberation Serif" w:eastAsia="Segoe UI" w:cs="Noto Sans Arabic"/>
          <w:i/>
          <w:iCs/>
          <w:color w:val="000000"/>
          <w:lang w:val="en-US" w:eastAsia="en-US" w:bidi="en-US"/>
        </w:rPr>
        <w:t>A subcontratação parcial é permitida e deverá ser analisada pela Administração com base nas informações dos estudos preliminares, em cada caso concreto. Caso admitida, o Termo de Referência e o Contrato estabelecerão com detalhamento seus limites e condições, inclusive especificando quais parcelas do objeto poderão ser subcontratadas.</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color w:val="000000"/>
          <w:lang w:val="en-US" w:eastAsia="en-US" w:bidi="en-US"/>
        </w:rPr>
        <w:t xml:space="preserve">Nota Explicativa 3: </w:t>
      </w:r>
      <w:r>
        <w:rPr>
          <w:rFonts w:ascii="Liberation Serif" w:hAnsi="Liberation Serif" w:eastAsia="Segoe UI" w:cs="Noto Sans Arabic"/>
          <w:i/>
          <w:iCs/>
          <w:color w:val="000000"/>
          <w:lang w:val="en-US" w:eastAsia="en-US" w:bidi="en-US"/>
        </w:rPr>
        <w:t xml:space="preserve">A depender da parcela do fornecimento cuja contratação será permitida, poderá ser previsto, no tópico pertinente, que a qualificação técnica seja demonstrada por meio de atestados relativos a potencial subcontratado, limitado a 25% do objeto a ser licitado, conforme </w:t>
      </w:r>
      <w:hyperlink r:id="rId13">
        <w:r>
          <w:rPr>
            <w:rFonts w:ascii="Liberation Serif" w:hAnsi="Liberation Serif" w:eastAsia="Segoe UI" w:cs="Noto Sans Arabic"/>
            <w:i/>
            <w:iCs/>
            <w:color w:val="000000"/>
            <w:lang w:val="en-US" w:eastAsia="en-US" w:bidi="en-US"/>
          </w:rPr>
          <w:t>art. 67, §9º da Lei nº 14.133</w:t>
        </w:r>
      </w:hyperlink>
      <w:r>
        <w:rPr>
          <w:rFonts w:ascii="Liberation Serif" w:hAnsi="Liberation Serif" w:eastAsia="Segoe UI" w:cs="Noto Sans Arabic"/>
          <w:i/>
          <w:iCs/>
          <w:color w:val="000000"/>
          <w:lang w:val="en-US" w:eastAsia="en-US" w:bidi="en-US"/>
        </w:rPr>
        <w:t>, de 2021. Nesta hipótese, mais de um licitante poderá apresentar atestado relativo ao mesmo potencial subcontratado.</w:t>
      </w:r>
    </w:p>
  </w:comment>
  <w:comment w:id="10" w:author="Autor" w:date="0-00-00T00:00:00Z" w:initials="A">
    <w:p>
      <w:pPr>
        <w:overflowPunct w:val="true"/>
        <w:rPr/>
      </w:pPr>
      <w:r>
        <w:rPr>
          <w:rFonts w:ascii="Liberation Serif" w:hAnsi="Liberation Serif" w:eastAsia="Segoe UI" w:cs="Noto Sans Arabic"/>
          <w:b/>
          <w:bCs/>
          <w:i/>
          <w:iCs/>
          <w:lang w:val="en-US" w:eastAsia="en-US" w:bidi="en-US"/>
        </w:rPr>
        <w:t xml:space="preserve">Nota Explicativa 1: </w:t>
      </w:r>
      <w:r>
        <w:rPr>
          <w:rFonts w:ascii="Liberation Serif" w:hAnsi="Liberation Serif" w:eastAsia="Segoe UI" w:cs="Noto Sans Arabic"/>
          <w:i/>
          <w:iCs/>
          <w:lang w:val="en-US" w:eastAsia="en-US" w:bidi="en-US"/>
        </w:rPr>
        <w:t>Neste momento, a área técnica competente deverá indicar se a contratação utilizará a garantia de execução ou não. As regras especificas sobre garantia, pelo seu caráter jurídico, estarão previstas no contrato e deverão ser nele inseridas caso haja indicação positiva no Termo de Referência. Caso não haja uso de minuta contratual, recomenda-se copiar e colar aqui as regras do contrato sobre esse assunto.</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lang w:val="en-US" w:eastAsia="en-US" w:bidi="en-US"/>
        </w:rPr>
        <w:t>Nota Explicativa 2</w:t>
      </w:r>
      <w:r>
        <w:rPr>
          <w:rFonts w:ascii="Liberation Serif" w:hAnsi="Liberation Serif" w:eastAsia="Segoe UI" w:cs="Noto Sans Arabic"/>
          <w:i/>
          <w:iCs/>
          <w:lang w:val="en-US" w:eastAsia="en-US" w:bidi="en-US"/>
        </w:rPr>
        <w:t>: O percentual da garantia será de:</w:t>
      </w:r>
    </w:p>
    <w:p>
      <w:pPr>
        <w:overflowPunct w:val="true"/>
        <w:rPr/>
      </w:pPr>
      <w:r>
        <w:rPr>
          <w:rFonts w:ascii="Liberation Serif" w:hAnsi="Liberation Serif" w:eastAsia="Segoe UI" w:cs="Noto Sans Arabic"/>
          <w:i/>
          <w:iCs/>
          <w:lang w:val="en-US" w:eastAsia="en-US" w:bidi="en-US"/>
        </w:rPr>
        <w:t>a) até 5% (cinco por cento) do</w:t>
      </w:r>
    </w:p>
    <w:p>
      <w:pPr>
        <w:overflowPunct w:val="true"/>
        <w:rPr/>
      </w:pPr>
      <w:r>
        <w:rPr>
          <w:rFonts w:ascii="Liberation Serif" w:hAnsi="Liberation Serif" w:eastAsia="Segoe UI" w:cs="Noto Sans Arabic"/>
          <w:i/>
          <w:iCs/>
          <w:lang w:val="en-US" w:eastAsia="en-US" w:bidi="en-US"/>
        </w:rPr>
        <w:t xml:space="preserve">valor inicial do contrato, para contratações em geral, conforme </w:t>
      </w:r>
      <w:r>
        <w:fldChar w:fldCharType="begin"/>
      </w:r>
      <w:r>
        <w:instrText xml:space="preserve"> HYPERLINK "http://www.planalto.gov.br/ccivil_03/_ato2019-2022/2021/lei/L14133.htm" \l "art98"</w:instrText>
      </w:r>
      <w:r>
        <w:fldChar w:fldCharType="separate"/>
      </w:r>
      <w:r>
        <w:rPr>
          <w:rFonts w:ascii="Liberation Serif" w:hAnsi="Liberation Serif" w:eastAsia="Segoe UI" w:cs="Noto Sans Arabic"/>
          <w:i/>
          <w:iCs/>
          <w:lang w:val="en-US" w:eastAsia="en-US" w:bidi="en-US"/>
        </w:rPr>
        <w:t>art. 98 da Lei nº 14.133, de 2021</w:t>
      </w:r>
      <w:r>
        <w:fldChar w:fldCharType="end"/>
      </w:r>
      <w:r>
        <w:rPr>
          <w:rFonts w:ascii="Liberation Serif" w:hAnsi="Liberation Serif" w:eastAsia="Segoe UI" w:cs="Noto Sans Arabic"/>
          <w:i/>
          <w:iCs/>
          <w:lang w:val="en-US" w:eastAsia="en-US" w:bidi="en-US"/>
        </w:rPr>
        <w:t>;</w:t>
      </w:r>
    </w:p>
    <w:p>
      <w:pPr>
        <w:overflowPunct w:val="true"/>
        <w:rPr/>
      </w:pPr>
      <w:r>
        <w:rPr>
          <w:rFonts w:ascii="Liberation Serif" w:hAnsi="Liberation Serif" w:eastAsia="Segoe UI" w:cs="Noto Sans Arabic"/>
          <w:i/>
          <w:iCs/>
          <w:lang w:val="en-US" w:eastAsia="en-US" w:bidi="en-US"/>
        </w:rPr>
        <w:t>b) até 10% (dez por cento) do</w:t>
      </w:r>
    </w:p>
    <w:p>
      <w:pPr>
        <w:overflowPunct w:val="true"/>
        <w:rPr/>
      </w:pPr>
      <w:r>
        <w:rPr>
          <w:rFonts w:ascii="Liberation Serif" w:hAnsi="Liberation Serif" w:eastAsia="Segoe UI" w:cs="Noto Sans Arabic"/>
          <w:i/>
          <w:iCs/>
          <w:lang w:val="en-US" w:eastAsia="en-US" w:bidi="en-US"/>
        </w:rPr>
        <w:t>valor inicial do contrato, nos casos de alta complexidade técnica e riscos</w:t>
      </w:r>
    </w:p>
    <w:p>
      <w:pPr>
        <w:overflowPunct w:val="true"/>
        <w:rPr/>
      </w:pPr>
      <w:r>
        <w:rPr>
          <w:rFonts w:ascii="Liberation Serif" w:hAnsi="Liberation Serif" w:eastAsia="Segoe UI" w:cs="Noto Sans Arabic"/>
          <w:i/>
          <w:iCs/>
          <w:lang w:val="en-US" w:eastAsia="en-US" w:bidi="en-US"/>
        </w:rPr>
        <w:t>envolvidos, caso em que deverá haver justificativa específica nos autos,</w:t>
      </w:r>
    </w:p>
    <w:p>
      <w:pPr>
        <w:overflowPunct w:val="true"/>
        <w:rPr/>
      </w:pPr>
      <w:r>
        <w:rPr>
          <w:rFonts w:ascii="Liberation Serif" w:hAnsi="Liberation Serif" w:eastAsia="Segoe UI" w:cs="Noto Sans Arabic"/>
          <w:i/>
          <w:iCs/>
          <w:lang w:val="en-US" w:eastAsia="en-US" w:bidi="en-US"/>
        </w:rPr>
        <w:t>conforme art. 98 da Lei nº 14.133, de 2021;</w:t>
      </w:r>
    </w:p>
    <w:p>
      <w:pPr>
        <w:overflowPunct w:val="true"/>
        <w:rPr/>
      </w:pPr>
      <w:r>
        <w:rPr>
          <w:rFonts w:ascii="Liberation Serif" w:hAnsi="Liberation Serif" w:eastAsia="Segoe UI" w:cs="Noto Sans Arabic"/>
          <w:i/>
          <w:iCs/>
          <w:lang w:val="en-US" w:eastAsia="en-US" w:bidi="en-US"/>
        </w:rPr>
        <w:t>c) deverá ser acrescido de</w:t>
      </w:r>
    </w:p>
    <w:p>
      <w:pPr>
        <w:overflowPunct w:val="true"/>
        <w:rPr/>
      </w:pPr>
      <w:r>
        <w:rPr>
          <w:rFonts w:ascii="Liberation Serif" w:hAnsi="Liberation Serif" w:eastAsia="Segoe UI" w:cs="Noto Sans Arabic"/>
          <w:i/>
          <w:iCs/>
          <w:lang w:val="en-US" w:eastAsia="en-US" w:bidi="en-US"/>
        </w:rPr>
        <w:t>garantia adicional aos percentuais citados anteriormente, em casos de previsão</w:t>
      </w:r>
    </w:p>
    <w:p>
      <w:pPr>
        <w:overflowPunct w:val="true"/>
        <w:rPr/>
      </w:pPr>
      <w:r>
        <w:rPr>
          <w:rFonts w:ascii="Liberation Serif" w:hAnsi="Liberation Serif" w:eastAsia="Segoe UI" w:cs="Noto Sans Arabic"/>
          <w:i/>
          <w:iCs/>
          <w:lang w:val="en-US" w:eastAsia="en-US" w:bidi="en-US"/>
        </w:rPr>
        <w:t xml:space="preserve">de antecipação de pagamento, nos termos do </w:t>
      </w:r>
      <w:r>
        <w:fldChar w:fldCharType="begin"/>
      </w:r>
      <w:r>
        <w:instrText xml:space="preserve"> HYPERLINK "http://www.planalto.gov.br/ccivil_03/_ato2019-2022/2021/lei/L14133.htm" \l "art145§2"</w:instrText>
      </w:r>
      <w:r>
        <w:fldChar w:fldCharType="separate"/>
      </w:r>
      <w:r>
        <w:rPr>
          <w:rFonts w:ascii="Liberation Serif" w:hAnsi="Liberation Serif" w:eastAsia="Segoe UI" w:cs="Noto Sans Arabic"/>
          <w:i/>
          <w:iCs/>
          <w:lang w:val="en-US" w:eastAsia="en-US" w:bidi="en-US"/>
        </w:rPr>
        <w:t>art. 145, § 2º, da Lei nº 14.133, de 2021</w:t>
      </w:r>
      <w:r>
        <w:fldChar w:fldCharType="end"/>
      </w:r>
      <w:r>
        <w:rPr>
          <w:rFonts w:ascii="Liberation Serif" w:hAnsi="Liberation Serif" w:eastAsia="Segoe UI" w:cs="Noto Sans Arabic"/>
          <w:i/>
          <w:iCs/>
          <w:lang w:val="en-US" w:eastAsia="en-US" w:bidi="en-US"/>
        </w:rPr>
        <w:t>;</w:t>
      </w:r>
    </w:p>
    <w:p>
      <w:pPr>
        <w:overflowPunct w:val="true"/>
        <w:rPr/>
      </w:pPr>
      <w:r>
        <w:rPr>
          <w:rFonts w:ascii="Liberation Serif" w:hAnsi="Liberation Serif" w:eastAsia="Segoe UI" w:cs="Noto Sans Arabic"/>
          <w:i/>
          <w:iCs/>
          <w:lang w:val="en-US" w:eastAsia="en-US" w:bidi="en-US"/>
        </w:rPr>
        <w:t>d) Nos casos de contratos que impliquem a entrega de bens pela Administração, dos quais o contratado ficará depositário, o valor desses bens deverá ser acrescido ao valor da garantia calculado de acordo com os itens anteriores.</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lang w:val="en-US" w:eastAsia="en-US" w:bidi="en-US"/>
        </w:rPr>
        <w:t xml:space="preserve">Nota Explicativa 3: </w:t>
      </w:r>
      <w:r>
        <w:rPr>
          <w:rFonts w:ascii="Liberation Serif" w:hAnsi="Liberation Serif" w:eastAsia="Segoe UI" w:cs="Noto Sans Arabic"/>
          <w:i/>
          <w:iCs/>
          <w:lang w:val="en-US" w:eastAsia="en-US" w:bidi="en-US"/>
        </w:rPr>
        <w:t xml:space="preserve">No </w:t>
      </w:r>
      <w:r>
        <w:fldChar w:fldCharType="begin"/>
      </w:r>
      <w:r>
        <w:instrText xml:space="preserve"> HYPERLINK "http://www.planalto.gov.br/ccivil_03/_ato2019-2022/2021/lei/L14133.htm" \l "art96§3"</w:instrText>
      </w:r>
      <w:r>
        <w:fldChar w:fldCharType="separate"/>
      </w:r>
      <w:r>
        <w:rPr>
          <w:rFonts w:ascii="Liberation Serif" w:hAnsi="Liberation Serif" w:eastAsia="Segoe UI" w:cs="Noto Sans Arabic"/>
          <w:i/>
          <w:iCs/>
          <w:lang w:val="en-US" w:eastAsia="en-US" w:bidi="en-US"/>
        </w:rPr>
        <w:t>art. 96, §3º, da Lei nº 14.133, de 2021</w:t>
      </w:r>
      <w:r>
        <w:fldChar w:fldCharType="end"/>
      </w:r>
      <w:r>
        <w:rPr>
          <w:rFonts w:ascii="Liberation Serif" w:hAnsi="Liberation Serif" w:eastAsia="Segoe UI" w:cs="Noto Sans Arabic"/>
          <w:i/>
          <w:iCs/>
          <w:lang w:val="en-US" w:eastAsia="en-US" w:bidi="en-US"/>
        </w:rPr>
        <w:t>, há previsão apenas do prazo para apresentação da garantia na modalidade seguro-garantia, em contratações precedidas de licitações, caso em que o prazo deverá ser contado da homologação da licitação. Nas demais modalidades, deverá a Administração prever o prazo e o termo início de sua contagem para a apresentação da garantia. Como o seguro-garantia, nos termos da lei, teria de ser pré-contratual, esta disposição deve estar contida neste documento igualmente pré-contratual.</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lang w:val="en-US" w:eastAsia="en-US" w:bidi="en-US"/>
        </w:rPr>
      </w:r>
    </w:p>
  </w:comment>
  <w:comment w:id="11" w:author="Autor" w:date="0-00-00T00:00:00Z" w:initials="A">
    <w:p>
      <w:pPr>
        <w:overflowPunct w:val="true"/>
        <w:rPr/>
      </w:pPr>
      <w:r>
        <w:rPr>
          <w:rFonts w:ascii="Liberation Serif" w:hAnsi="Liberation Serif" w:eastAsia="Segoe UI" w:cs="Noto Sans Arabic"/>
          <w:b/>
          <w:bCs/>
          <w:lang w:val="en-US" w:eastAsia="en-US" w:bidi="en-US"/>
        </w:rPr>
        <w:t>Nota explicativa</w:t>
      </w:r>
      <w:r>
        <w:rPr>
          <w:rFonts w:ascii="Liberation Serif" w:hAnsi="Liberation Serif" w:eastAsia="Segoe UI" w:cs="Noto Sans Arabic"/>
          <w:lang w:val="en-US" w:eastAsia="en-US" w:bidi="en-US"/>
        </w:rPr>
        <w:t>: Este item deve ser adaptado de acordo com as necessidades específicas do órgão ou entidade, apresentando-se, este modelo, de forma meramente exemplificativa.</w:t>
      </w:r>
    </w:p>
  </w:comment>
  <w:comment w:id="12" w:author="Autor" w:date="0-00-00T00:00:00Z" w:initials="A">
    <w:p>
      <w:pPr>
        <w:overflowPunct w:val="true"/>
        <w:rPr/>
      </w:pPr>
      <w:r>
        <w:rPr>
          <w:rFonts w:ascii="Liberation Serif" w:hAnsi="Liberation Serif" w:eastAsia="Segoe UI" w:cs="Noto Sans Arabic"/>
          <w:b/>
          <w:bCs/>
          <w:i/>
          <w:iCs/>
          <w:color w:val="000000"/>
          <w:lang w:val="en-US" w:eastAsia="en-US" w:bidi="en-US"/>
        </w:rPr>
        <w:t xml:space="preserve">Nota Explicativa 1: </w:t>
      </w:r>
      <w:r>
        <w:rPr>
          <w:rFonts w:ascii="Liberation Serif" w:hAnsi="Liberation Serif" w:eastAsia="Segoe UI" w:cs="Noto Sans Arabic"/>
          <w:i/>
          <w:iCs/>
          <w:color w:val="000000"/>
          <w:lang w:val="en-US" w:eastAsia="en-US" w:bidi="en-US"/>
        </w:rPr>
        <w:t>Deverá ser registrado no Sistema de TR Digital a indicação dos locais de entrega de produtos e das regras para recebimentos provisório e definitivo, quando for o caso.</w:t>
      </w:r>
      <w:r>
        <w:rPr>
          <w:rFonts w:ascii="Liberation Serif" w:hAnsi="Liberation Serif" w:eastAsia="Segoe UI" w:cs="Noto Sans Arabic"/>
          <w:i/>
          <w:iCs/>
          <w:lang w:val="en-US" w:eastAsia="en-US" w:bidi="en-US"/>
        </w:rPr>
        <w:t>(</w:t>
      </w:r>
      <w:hyperlink r:id="rId14">
        <w:r>
          <w:rPr>
            <w:rFonts w:ascii="Liberation Serif" w:hAnsi="Liberation Serif" w:eastAsia="Segoe UI" w:cs="Noto Sans Arabic"/>
            <w:i/>
            <w:iCs/>
            <w:lang w:val="en-US" w:eastAsia="en-US" w:bidi="en-US"/>
          </w:rPr>
          <w:t>art.9º, inciso I, alínea c, da IN Seges/ME nº 81, de 2022)</w:t>
        </w:r>
      </w:hyperlink>
      <w:r>
        <w:rPr>
          <w:rFonts w:ascii="Liberation Serif" w:hAnsi="Liberation Serif" w:eastAsia="Segoe UI" w:cs="Noto Sans Arabic"/>
          <w:i/>
          <w:iCs/>
          <w:lang w:val="en-US" w:eastAsia="en-US" w:bidi="en-US"/>
        </w:rPr>
        <w:t>.</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color w:val="000000"/>
          <w:lang w:val="en-US" w:eastAsia="en-US" w:bidi="en-US"/>
        </w:rPr>
        <w:t xml:space="preserve">Nota Explicativa 2: </w:t>
      </w:r>
      <w:r>
        <w:rPr>
          <w:rFonts w:ascii="Liberation Serif" w:hAnsi="Liberation Serif" w:eastAsia="Segoe UI" w:cs="Noto Sans Arabic"/>
          <w:i/>
          <w:iCs/>
          <w:color w:val="000000"/>
          <w:lang w:val="en-US" w:eastAsia="en-US" w:bidi="en-US"/>
        </w:rPr>
        <w:t>Caso haja mais de um endereço, deve-se especificar. Do mesmo modo, se os endereços se modificarem conforme cada entrega. Ademais, se houver a necessidade de previamente se acordar a data ou hora de entrega com o setor de almoxarifado respectivo, deve-se especificar essa obrigação.</w:t>
      </w:r>
    </w:p>
  </w:comment>
  <w:comment w:id="13"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 1:</w:t>
      </w:r>
      <w:r>
        <w:rPr>
          <w:rFonts w:ascii="Liberation Serif" w:hAnsi="Liberation Serif" w:eastAsia="Segoe UI" w:cs="Noto Sans Arabic"/>
          <w:i/>
          <w:iCs/>
          <w:color w:val="000000"/>
          <w:lang w:val="en-US" w:eastAsia="en-US" w:bidi="en-US"/>
        </w:rPr>
        <w:t xml:space="preserve"> Fica a critério da Administração exigir - ou não - a garantia contratual dos bens, complementar à garantia legal, mediante a devida fundamentação, a ser exposta neste item do Termo de Referência. Não a exigindo, deverá suprimir o item. </w:t>
      </w:r>
    </w:p>
    <w:p>
      <w:pPr>
        <w:overflowPunct w:val="true"/>
        <w:rPr/>
      </w:pPr>
      <w:r>
        <w:rPr>
          <w:rFonts w:ascii="Liberation Serif" w:hAnsi="Liberation Serif" w:eastAsia="Segoe UI"/>
          <w:lang w:val="en-US" w:eastAsia="en-US" w:bidi="en-US"/>
        </w:rPr>
      </w:r>
    </w:p>
    <w:p>
      <w:pPr>
        <w:overflowPunct w:val="true"/>
        <w:rPr/>
      </w:pPr>
      <w:r>
        <w:rPr>
          <w:rFonts w:ascii="Liberation Serif" w:hAnsi="Liberation Serif" w:eastAsia="Segoe UI" w:cs="Noto Sans Arabic"/>
          <w:b/>
          <w:bCs/>
          <w:i/>
          <w:iCs/>
          <w:color w:val="000000"/>
          <w:lang w:val="en-US" w:eastAsia="en-US" w:bidi="en-US"/>
        </w:rPr>
        <w:t>Nota Explicativa 2</w:t>
      </w:r>
      <w:r>
        <w:rPr>
          <w:rFonts w:ascii="Liberation Serif" w:hAnsi="Liberation Serif" w:eastAsia="Segoe UI" w:cs="Noto Sans Arabic"/>
          <w:i/>
          <w:iCs/>
          <w:color w:val="000000"/>
          <w:lang w:val="en-US" w:eastAsia="en-US" w:bidi="en-US"/>
        </w:rPr>
        <w:t xml:space="preserve">: O </w:t>
      </w:r>
      <w:hyperlink r:id="rId15">
        <w:r>
          <w:rPr>
            <w:rFonts w:ascii="Liberation Serif" w:hAnsi="Liberation Serif" w:eastAsia="Segoe UI" w:cs="Noto Sans Arabic"/>
            <w:i/>
            <w:iCs/>
            <w:color w:val="000000"/>
            <w:lang w:val="en-US" w:eastAsia="en-US" w:bidi="en-US"/>
          </w:rPr>
          <w:t xml:space="preserve">artigo 9º, inciso alínea “d” </w:t>
        </w:r>
      </w:hyperlink>
      <w:hyperlink r:id="rId16">
        <w:r>
          <w:rPr>
            <w:rFonts w:ascii="Liberation Serif" w:hAnsi="Liberation Serif" w:eastAsia="Segoe UI" w:cs="Noto Sans Arabic"/>
            <w:i/>
            <w:iCs/>
            <w:color w:val="000000"/>
            <w:lang w:val="en-US" w:eastAsia="en-US" w:bidi="en-US"/>
          </w:rPr>
          <w:t>da IN Seges/ME nº 81</w:t>
        </w:r>
      </w:hyperlink>
      <w:r>
        <w:rPr>
          <w:rFonts w:ascii="Liberation Serif" w:hAnsi="Liberation Serif" w:eastAsia="Segoe UI" w:cs="Noto Sans Arabic"/>
          <w:i/>
          <w:iCs/>
          <w:lang w:val="en-US" w:eastAsia="en-US" w:bidi="en-US"/>
        </w:rPr>
        <w:t xml:space="preserve"> de 2022 ex</w:t>
      </w:r>
      <w:r>
        <w:rPr>
          <w:rFonts w:ascii="Liberation Serif" w:hAnsi="Liberation Serif" w:eastAsia="Segoe UI" w:cs="Noto Sans Arabic"/>
          <w:i/>
          <w:iCs/>
          <w:color w:val="000000"/>
          <w:lang w:val="en-US" w:eastAsia="en-US" w:bidi="en-US"/>
        </w:rPr>
        <w:t>ige que a inserção no TR Digital da especificação da garantia exigida e das condições de manutenção e assistência técnica, quando for o caso.</w:t>
      </w:r>
    </w:p>
  </w:comment>
  <w:comment w:id="14" w:author="Autor" w:date="0-00-00T00:00:00Z" w:initials="A">
    <w:p>
      <w:pPr>
        <w:overflowPunct w:val="true"/>
        <w:rPr/>
      </w:pPr>
      <w:r>
        <w:rPr>
          <w:rFonts w:ascii="Liberation Serif" w:hAnsi="Liberation Serif" w:eastAsia="Segoe UI" w:cs="Noto Sans Arabic"/>
          <w:b/>
          <w:bCs/>
          <w:lang w:val="en-US" w:eastAsia="en-US" w:bidi="en-US"/>
        </w:rPr>
        <w:t xml:space="preserve">Nota Explicativa: </w:t>
      </w:r>
      <w:r>
        <w:rPr>
          <w:rFonts w:ascii="Liberation Serif" w:hAnsi="Liberation Serif" w:eastAsia="Segoe UI" w:cs="Noto Sans Arabic"/>
          <w:lang w:val="en-US" w:eastAsia="en-US" w:bidi="en-US"/>
        </w:rPr>
        <w:t>Sugere-se esta redação para material de consumo</w:t>
      </w:r>
    </w:p>
  </w:comment>
  <w:comment w:id="15"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Desde que fundamentado em estudo técnico preliminar, a Administração poderá exigir que os serviços de manutenção e assistência técnica sejam prestados mediante deslocamento de técnico ou disponibilizados em unidade de prestação de serviços localizada em distância compatível com suas necessidades. (</w:t>
      </w:r>
      <w:hyperlink r:id="rId17">
        <w:r>
          <w:rPr>
            <w:rFonts w:ascii="Liberation Serif" w:hAnsi="Liberation Serif" w:eastAsia="Segoe UI" w:cs="Noto Sans Arabic"/>
            <w:i/>
            <w:iCs/>
            <w:color w:val="000000"/>
            <w:lang w:val="en-US" w:eastAsia="en-US" w:bidi="en-US"/>
          </w:rPr>
          <w:t>Art. 40, §4º, Lei nº 14.133, de 2021</w:t>
        </w:r>
      </w:hyperlink>
      <w:r>
        <w:rPr>
          <w:rFonts w:ascii="Liberation Serif" w:hAnsi="Liberation Serif" w:eastAsia="Segoe UI" w:cs="Noto Sans Arabic"/>
          <w:i/>
          <w:iCs/>
          <w:color w:val="000000"/>
          <w:lang w:val="en-US" w:eastAsia="en-US" w:bidi="en-US"/>
        </w:rPr>
        <w:t xml:space="preserve">, e </w:t>
      </w:r>
      <w:hyperlink r:id="rId18">
        <w:r>
          <w:rPr>
            <w:rFonts w:ascii="Liberation Serif" w:hAnsi="Liberation Serif" w:eastAsia="Segoe UI" w:cs="Noto Sans Arabic"/>
            <w:i/>
            <w:iCs/>
            <w:color w:val="000000"/>
            <w:lang w:val="en-US" w:eastAsia="en-US" w:bidi="en-US"/>
          </w:rPr>
          <w:t>art. 10, inciso II, da Instrução Normativa SEGES/ME nº 58, de 2022</w:t>
        </w:r>
      </w:hyperlink>
      <w:r>
        <w:rPr>
          <w:rFonts w:ascii="Liberation Serif" w:hAnsi="Liberation Serif" w:eastAsia="Segoe UI" w:cs="Noto Sans Arabic"/>
          <w:i/>
          <w:iCs/>
          <w:color w:val="000000"/>
          <w:lang w:val="en-US" w:eastAsia="en-US" w:bidi="en-US"/>
        </w:rPr>
        <w:t>).</w:t>
      </w:r>
    </w:p>
  </w:comment>
  <w:comment w:id="16" w:author="Autor" w:date="0-00-00T00:00:00Z" w:initials="A">
    <w:p>
      <w:pPr>
        <w:overflowPunct w:val="true"/>
        <w:rPr/>
      </w:pPr>
      <w:r>
        <w:rPr>
          <w:rFonts w:ascii="Liberation Serif" w:hAnsi="Liberation Serif" w:eastAsia="Segoe UI" w:cs="Noto Sans Arabic"/>
          <w:b/>
          <w:bCs/>
          <w:lang w:val="en-US" w:eastAsia="en-US" w:bidi="en-US"/>
        </w:rPr>
        <w:t xml:space="preserve">Nota Explicativa: </w:t>
      </w:r>
      <w:r>
        <w:rPr>
          <w:rFonts w:ascii="Liberation Serif" w:hAnsi="Liberation Serif" w:eastAsia="Segoe UI" w:cs="Noto Sans Arabic"/>
          <w:lang w:val="en-US" w:eastAsia="en-US" w:bidi="en-US"/>
        </w:rPr>
        <w:t xml:space="preserve">Os gestores e fiscais do contrato serão designados pela autoridade máxima do órgão ou da entidade, ou a quem as normas de organização administrativa indicarem, na forma do </w:t>
      </w:r>
      <w:hyperlink r:id="rId19">
        <w:r>
          <w:rPr>
            <w:rFonts w:ascii="Liberation Serif" w:hAnsi="Liberation Serif" w:eastAsia="Segoe UI" w:cs="Noto Sans Arabic"/>
            <w:lang w:val="en-US" w:eastAsia="en-US" w:bidi="en-US"/>
          </w:rPr>
          <w:t>art. 7º da Lei nº 14.133, de 2021</w:t>
        </w:r>
      </w:hyperlink>
      <w:r>
        <w:rPr>
          <w:rFonts w:ascii="Liberation Serif" w:hAnsi="Liberation Serif" w:eastAsia="Segoe UI" w:cs="Noto Sans Arabic"/>
          <w:lang w:val="en-US" w:eastAsia="en-US" w:bidi="en-US"/>
        </w:rPr>
        <w:t xml:space="preserve">, e art. 8º do </w:t>
      </w:r>
      <w:hyperlink r:id="rId20">
        <w:r>
          <w:rPr>
            <w:rFonts w:ascii="Liberation Serif" w:hAnsi="Liberation Serif" w:eastAsia="Segoe UI" w:cs="Noto Sans Arabic"/>
            <w:lang w:val="en-US" w:eastAsia="en-US" w:bidi="en-US"/>
          </w:rPr>
          <w:t>Decreto nº 11.246, de 2022</w:t>
        </w:r>
      </w:hyperlink>
      <w:r>
        <w:rPr>
          <w:rFonts w:ascii="Liberation Serif" w:hAnsi="Liberation Serif" w:eastAsia="Segoe UI" w:cs="Noto Sans Arabic"/>
          <w:lang w:val="en-US" w:eastAsia="en-US" w:bidi="en-US"/>
        </w:rPr>
        <w:t>, devendo a Administração instruir os autos com as publicações dos atos de designação dos agentes públicos para o exercício dessas funções.</w:t>
      </w:r>
    </w:p>
  </w:comment>
  <w:comment w:id="17" w:author="Autor" w:date="0-00-00T00:00:00Z" w:initials="A">
    <w:p>
      <w:pPr>
        <w:overflowPunct w:val="fals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Inserir o subitem 6.12 se for o caso para inclusão de rotinas de fiscalização específicas para atender às peculiaridades do objeto contratado.</w:t>
      </w:r>
    </w:p>
  </w:comment>
  <w:comment w:id="18" w:author="Autor" w:date="0-00-00T00:00:00Z" w:initials="A">
    <w:p>
      <w:pPr>
        <w:overflowPunct w:val="true"/>
        <w:rPr/>
      </w:pPr>
      <w:r>
        <w:rPr>
          <w:rFonts w:ascii="Liberation Serif" w:hAnsi="Liberation Serif" w:eastAsia="Segoe UI" w:cs="Noto Sans Arabic"/>
          <w:b/>
          <w:lang w:val="en-US" w:eastAsia="en-US" w:bidi="en-US"/>
        </w:rPr>
        <w:t>Nota Explicativa:</w:t>
      </w:r>
      <w:r>
        <w:rPr>
          <w:rFonts w:ascii="Liberation Serif" w:hAnsi="Liberation Serif" w:eastAsia="Segoe UI" w:cs="Noto Sans Arabic"/>
          <w:lang w:val="en-US" w:eastAsia="en-US" w:bidi="en-US"/>
        </w:rPr>
        <w:t xml:space="preserve"> O modelo contém redação mais simples de recebimento. Caso se entenda que há necessidade de maior detalhamento, o órgão poderá promover aprimoramento da redação nesse ponto, inclusive com disciplina do recebimento provisório pelo fiscal técnico e administrativo, se for o caso.</w:t>
      </w:r>
    </w:p>
  </w:comment>
  <w:comment w:id="19"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O art. 7º, inciso I, </w:t>
      </w:r>
      <w:hyperlink r:id="rId21">
        <w:r>
          <w:rPr>
            <w:rFonts w:ascii="Liberation Serif" w:hAnsi="Liberation Serif" w:eastAsia="Segoe UI" w:cs="Noto Sans Arabic"/>
            <w:i/>
            <w:iCs/>
            <w:color w:val="000000"/>
            <w:lang w:val="en-US" w:eastAsia="en-US" w:bidi="en-US"/>
          </w:rPr>
          <w:t>da Instrução Normativa SEGES/ME nº 77, de 4 de novembro de 2022</w:t>
        </w:r>
      </w:hyperlink>
      <w:r>
        <w:rPr>
          <w:rFonts w:ascii="Liberation Serif" w:hAnsi="Liberation Serif" w:eastAsia="Segoe UI" w:cs="Noto Sans Arabic"/>
          <w:i/>
          <w:iCs/>
          <w:color w:val="000000"/>
          <w:lang w:val="en-US" w:eastAsia="en-US" w:bidi="en-US"/>
        </w:rPr>
        <w:t xml:space="preserve">, estabelece o prazo de 10 (dez dias) úteis para a liquidação da despesa, </w:t>
      </w:r>
      <w:r>
        <w:rPr>
          <w:rFonts w:ascii="Liberation Serif" w:hAnsi="Liberation Serif" w:eastAsia="Segoe UI" w:cs="Noto Sans Arabic"/>
          <w:b/>
          <w:bCs/>
          <w:i/>
          <w:iCs/>
          <w:color w:val="000000"/>
          <w:lang w:val="en-US" w:eastAsia="en-US" w:bidi="en-US"/>
        </w:rPr>
        <w:t xml:space="preserve">a contar do recebimento da nota fiscal ou instrumento de cobrança equivalente </w:t>
      </w:r>
      <w:r>
        <w:rPr>
          <w:rFonts w:ascii="Liberation Serif" w:hAnsi="Liberation Serif" w:eastAsia="Segoe UI" w:cs="Noto Sans Arabic"/>
          <w:i/>
          <w:iCs/>
          <w:color w:val="000000"/>
          <w:lang w:val="en-US" w:eastAsia="en-US" w:bidi="en-US"/>
        </w:rPr>
        <w:t xml:space="preserve">pela Administração. Tendo em vista que os bens serão entregues para a Administração juntamente com a respectiva nota fiscal ou instrumento equivalente de cobrança (fatura, invoice etc.), deve-se concluir que, no caso das compras, durante o curso do prazo de liquidação, a Administração deverá realizar também os recebimentos provisório e definitivo do bem. Em outras palavras, </w:t>
      </w:r>
      <w:r>
        <w:rPr>
          <w:rFonts w:ascii="Liberation Serif" w:hAnsi="Liberation Serif" w:eastAsia="Segoe UI" w:cs="Noto Sans Arabic"/>
          <w:b/>
          <w:bCs/>
          <w:i/>
          <w:iCs/>
          <w:color w:val="000000"/>
          <w:lang w:val="en-US" w:eastAsia="en-US" w:bidi="en-US"/>
        </w:rPr>
        <w:t>o prazo máximo de 10 dias úteis deverá ser suficiente para as providências de recebimentos provisório, definitivo e de liquidação</w:t>
      </w:r>
      <w:r>
        <w:rPr>
          <w:rFonts w:ascii="Liberation Serif" w:hAnsi="Liberation Serif" w:eastAsia="Segoe UI" w:cs="Noto Sans Arabic"/>
          <w:i/>
          <w:iCs/>
          <w:color w:val="000000"/>
          <w:lang w:val="en-US" w:eastAsia="en-US" w:bidi="en-US"/>
        </w:rPr>
        <w:t xml:space="preserve">. Assim, embora a </w:t>
      </w:r>
      <w:hyperlink r:id="rId22">
        <w:r>
          <w:rPr>
            <w:rFonts w:ascii="Liberation Serif" w:hAnsi="Liberation Serif" w:eastAsia="Segoe UI" w:cs="Noto Sans Arabic"/>
            <w:i/>
            <w:iCs/>
            <w:color w:val="000000"/>
            <w:lang w:val="en-US" w:eastAsia="en-US" w:bidi="en-US"/>
          </w:rPr>
          <w:t>Lei nº 14.133/21</w:t>
        </w:r>
      </w:hyperlink>
      <w:r>
        <w:rPr>
          <w:rFonts w:ascii="Liberation Serif" w:hAnsi="Liberation Serif" w:eastAsia="Segoe UI" w:cs="Noto Sans Arabic"/>
          <w:i/>
          <w:iCs/>
          <w:color w:val="000000"/>
          <w:lang w:val="en-US" w:eastAsia="en-US" w:bidi="en-US"/>
        </w:rPr>
        <w:t xml:space="preserve"> não fixe prazo máximo de recebimento definitivo, este prazo deverá ser inferior ao fixado para liquidação de despesa pela </w:t>
      </w:r>
      <w:hyperlink r:id="rId23">
        <w:r>
          <w:rPr>
            <w:rFonts w:ascii="Liberation Serif" w:hAnsi="Liberation Serif" w:eastAsia="Segoe UI" w:cs="Noto Sans Arabic"/>
            <w:i/>
            <w:iCs/>
            <w:color w:val="000000"/>
            <w:lang w:val="en-US" w:eastAsia="en-US" w:bidi="en-US"/>
          </w:rPr>
          <w:t>IN SEGES/ME nº 77, de 2022</w:t>
        </w:r>
      </w:hyperlink>
      <w:r>
        <w:rPr>
          <w:rFonts w:ascii="Liberation Serif" w:hAnsi="Liberation Serif" w:eastAsia="Segoe UI" w:cs="Noto Sans Arabic"/>
          <w:i/>
          <w:iCs/>
          <w:color w:val="000000"/>
          <w:lang w:val="en-US" w:eastAsia="en-US" w:bidi="en-US"/>
        </w:rPr>
        <w:t>. Portanto, a Administração deve definir o prazo de recebimento considerando o máximo de 10 dias úteis, a sua realidade administrativa, a complexidade do objeto e o tempo que será consumido para os procedimentos contábeis de liquidação. Em sendo detectado, na fase de planejamento da contratação (notadamente no gerenciamento dos riscos), que haverá dificuldades para cumprimento do prazo estabelecido, deverão ser previstas medidas para superar tais contingências.</w:t>
      </w:r>
    </w:p>
  </w:comment>
  <w:comment w:id="20" w:author="Autor" w:date="0-00-00T00:00:00Z" w:initials="A">
    <w:p>
      <w:pPr>
        <w:overflowPunct w:val="true"/>
        <w:rPr/>
      </w:pPr>
      <w:r>
        <w:rPr>
          <w:rFonts w:ascii="Liberation Serif" w:hAnsi="Liberation Serif" w:eastAsia="Segoe UI" w:cs="Noto Sans Arabic"/>
          <w:b/>
          <w:bCs/>
          <w:i/>
          <w:iCs/>
          <w:color w:val="000000"/>
          <w:lang w:val="en-US" w:eastAsia="en-US" w:bidi="en-US"/>
        </w:rPr>
        <w:t xml:space="preserve">Nota Explicativa: </w:t>
      </w:r>
      <w:r>
        <w:rPr>
          <w:rFonts w:ascii="Liberation Serif" w:hAnsi="Liberation Serif" w:eastAsia="Segoe UI" w:cs="Noto Sans Arabic"/>
          <w:i/>
          <w:iCs/>
          <w:color w:val="000000"/>
          <w:lang w:val="en-US" w:eastAsia="en-US" w:bidi="en-US"/>
        </w:rPr>
        <w:t xml:space="preserve">Observar que o artigo 7º, §2º, </w:t>
      </w:r>
      <w:hyperlink r:id="rId24">
        <w:r>
          <w:rPr>
            <w:rFonts w:ascii="Liberation Serif" w:hAnsi="Liberation Serif" w:eastAsia="Segoe UI" w:cs="Noto Sans Arabic"/>
            <w:i/>
            <w:iCs/>
            <w:color w:val="000000"/>
            <w:lang w:val="en-US" w:eastAsia="en-US" w:bidi="en-US"/>
          </w:rPr>
          <w:t>da Instrução Normativa nº 77, de 2022</w:t>
        </w:r>
      </w:hyperlink>
      <w:r>
        <w:rPr>
          <w:rFonts w:ascii="Liberation Serif" w:hAnsi="Liberation Serif" w:eastAsia="Segoe UI" w:cs="Noto Sans Arabic"/>
          <w:i/>
          <w:iCs/>
          <w:color w:val="000000"/>
          <w:lang w:val="en-US" w:eastAsia="en-US" w:bidi="en-US"/>
        </w:rPr>
        <w:t xml:space="preserve">, prevê que “Para as contratações decorrentes de despesas cujos valores não ultrapassem o limite de que trata o inciso II do </w:t>
      </w:r>
      <w:hyperlink r:id="rId25">
        <w:r>
          <w:rPr>
            <w:rFonts w:ascii="Liberation Serif" w:hAnsi="Liberation Serif" w:eastAsia="Segoe UI" w:cs="Noto Sans Arabic"/>
            <w:i/>
            <w:iCs/>
            <w:color w:val="000000"/>
            <w:lang w:val="en-US" w:eastAsia="en-US" w:bidi="en-US"/>
          </w:rPr>
          <w:t>art. 75 da Lei nº 14.133, de 2021</w:t>
        </w:r>
      </w:hyperlink>
      <w:r>
        <w:rPr>
          <w:rFonts w:ascii="Liberation Serif" w:hAnsi="Liberation Serif" w:eastAsia="Segoe UI" w:cs="Noto Sans Arabic"/>
          <w:i/>
          <w:iCs/>
          <w:color w:val="000000"/>
          <w:lang w:val="en-US" w:eastAsia="en-US" w:bidi="en-US"/>
        </w:rPr>
        <w:t xml:space="preserve">, os prazos de que dos incisos I e II do caput </w:t>
      </w:r>
      <w:r>
        <w:rPr>
          <w:rFonts w:ascii="Liberation Serif" w:hAnsi="Liberation Serif" w:eastAsia="Segoe UI" w:cs="Noto Sans Arabic"/>
          <w:b/>
          <w:bCs/>
          <w:i/>
          <w:iCs/>
          <w:color w:val="000000"/>
          <w:lang w:val="en-US" w:eastAsia="en-US" w:bidi="en-US"/>
        </w:rPr>
        <w:t>serão reduzidos pela metade</w:t>
      </w:r>
      <w:r>
        <w:rPr>
          <w:rFonts w:ascii="Liberation Serif" w:hAnsi="Liberation Serif" w:eastAsia="Segoe UI" w:cs="Noto Sans Arabic"/>
          <w:i/>
          <w:iCs/>
          <w:color w:val="000000"/>
          <w:lang w:val="en-US" w:eastAsia="en-US" w:bidi="en-US"/>
        </w:rPr>
        <w:t>.” (g.n). Como o prazo máximo de liquidação será reduzido pela metade, então o prazo de recebimento também deverá ser ajustado.</w:t>
      </w:r>
    </w:p>
  </w:comment>
  <w:comment w:id="21"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Deverá a Administração indicar o índice de preços a ser utilizado para a atualização monetária do valor devido ao contratado.</w:t>
      </w:r>
    </w:p>
  </w:comment>
  <w:comment w:id="22" w:author="Autor" w:date="0-00-00T00:00:00Z" w:initials="A">
    <w:p>
      <w:pPr>
        <w:overflowPunct w:val="true"/>
        <w:rPr/>
      </w:pPr>
      <w:r>
        <w:rPr>
          <w:rFonts w:ascii="Liberation Serif" w:hAnsi="Liberation Serif" w:eastAsia="Segoe UI" w:cs="Noto Sans Arabic"/>
          <w:b/>
          <w:bCs/>
          <w:i/>
          <w:iCs/>
          <w:color w:val="000000"/>
          <w:lang w:val="en-US" w:eastAsia="en-US" w:bidi="en-US"/>
        </w:rPr>
        <w:t xml:space="preserve">Nota Explicativa: </w:t>
      </w:r>
      <w:r>
        <w:rPr>
          <w:rFonts w:ascii="Liberation Serif" w:hAnsi="Liberation Serif" w:eastAsia="Segoe UI" w:cs="Noto Sans Arabic"/>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23"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lang w:val="en-US" w:eastAsia="en-US" w:bidi="en-US"/>
        </w:rPr>
        <w:t>A IN SEGES/ME nº 53, de 2020, disciplinou uma modalidade específica de operação de crédito no âmbito dos contratos administrativos – a denominada “operação de crédito garantida por cessão fiduciária” (ou, simplesmente, “cessão fiduciária”) –, prescrevendo, em seu art. 15, que editais e contratos prevejam expressamente sua admissibilidade. A possibilidade de cessão dos créditos de que trata a referida Instrução Normativa é, portanto, mandatória/cogente/impositiva.</w:t>
      </w:r>
    </w:p>
    <w:p>
      <w:pPr>
        <w:overflowPunct w:val="true"/>
        <w:rPr/>
      </w:pPr>
      <w:r>
        <w:rPr>
          <w:rFonts w:ascii="Liberation Serif" w:hAnsi="Liberation Serif" w:eastAsia="Segoe UI" w:cs="Noto Sans Arabic"/>
          <w:i/>
          <w:iCs/>
          <w:lang w:val="en-US" w:eastAsia="en-US" w:bidi="en-US"/>
        </w:rPr>
        <w:t>A cessão fiduciária, regida pela IN SEGES/ME nº 53/2020, é feita com instituição financeira, para garantia de operação de crédito e ocorre por intermédio do sistema AntecipaGOV. Neste tipo de negócio jurídico, o fornecedor que detém um vínculo contratual com a Administração Pública, contrai empréstimo perante instituição financeira e, como garantia da operação, cede a esta última seus direitos creditórios pertinentes ao contrato administrativo, mas sem envolver a alteração subjetiva do polo contratual. A instituição financeira não passa a receber diretamente da Administração Pública; os pagamentos continuam sendo feitos à contratada, que indica conta corrente para este fim. É do recebimento do pagamento pela contratada em diante que é realizado o acertamento entre esta e a instituição financeira.</w:t>
      </w:r>
    </w:p>
    <w:p>
      <w:pPr>
        <w:overflowPunct w:val="true"/>
        <w:rPr/>
      </w:pPr>
      <w:r>
        <w:rPr>
          <w:rFonts w:ascii="Liberation Serif" w:hAnsi="Liberation Serif" w:eastAsia="Segoe UI" w:cs="Noto Sans Arabic"/>
          <w:i/>
          <w:iCs/>
          <w:lang w:val="en-US" w:eastAsia="en-US" w:bidi="en-US"/>
        </w:rPr>
        <w:t>Já em relação às demais modalidades de cessão de crédito, não abrangidas pela IN SEGES/ME nº 53/2020, feitas fora da plataforma AntecipaGov, tem-se que sua previsão em editais e contratos administrativos, embora não obrigatória, continua admitida por força do Parecer JL-01, do Advogado-Geral da União (disponível em http://www.planalto.gov.br/ccivil_03/AGU/Pareceres/2019-2022/PRC-JL-01-2020.htm), aprovado pelo Sr. Presidente da República em 26/05/2020, e, portanto, vinculante para toda a administração pública (arts. 40, §1º e 41 da Lei Complementar nº 73, de 1993).</w:t>
      </w:r>
    </w:p>
    <w:p>
      <w:pPr>
        <w:overflowPunct w:val="true"/>
        <w:rPr/>
      </w:pPr>
      <w:r>
        <w:rPr>
          <w:rFonts w:ascii="Liberation Serif" w:hAnsi="Liberation Serif" w:eastAsia="Segoe UI" w:cs="Noto Sans Arabic"/>
          <w:i/>
          <w:iCs/>
          <w:lang w:val="en-US" w:eastAsia="en-US" w:bidi="en-US"/>
        </w:rPr>
        <w:t>Quanto a estas últimas, importa destacar a seguinte condicionante que foi erigida pelo referido Parecer nº JL – 01/2020 como requisito para a sua admissibilidade em contratos administrativos: inexistência de vedação no instrumento convocatório. Assim, relativamente às cessões de crédito em geral, ter-se-á por admitida desde que não haja vedação em cláusula contratual ou no instrumento convocatório.</w:t>
      </w:r>
    </w:p>
  </w:comment>
  <w:comment w:id="24" w:author="Autor" w:date="0-00-00T00:00:00Z" w:initials="A">
    <w:p>
      <w:pPr>
        <w:overflowPunct w:val="fals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No caso do subitem 7.33.1, o órgão contratante pode optar por mudar a redação para já vedar de plano as cessões não fiduciárias. Entretanto, reitera-se que as cessões fiduciárias (subitem 7.33) devem permanecer permitidas, por força do </w:t>
      </w:r>
      <w:hyperlink r:id="rId26">
        <w:r>
          <w:rPr>
            <w:rFonts w:ascii="Liberation Serif" w:hAnsi="Liberation Serif" w:eastAsia="Segoe UI" w:cs="Noto Sans Arabic"/>
            <w:i/>
            <w:iCs/>
            <w:color w:val="000000"/>
            <w:lang w:val="en-US" w:eastAsia="en-US" w:bidi="en-US"/>
          </w:rPr>
          <w:t>art. 15 da IN SEGES/ME nº 53/2020</w:t>
        </w:r>
      </w:hyperlink>
      <w:r>
        <w:rPr>
          <w:rFonts w:ascii="Liberation Serif" w:hAnsi="Liberation Serif" w:eastAsia="Segoe UI" w:cs="Noto Sans Arabic"/>
          <w:i/>
          <w:iCs/>
          <w:color w:val="000000"/>
          <w:lang w:val="en-US" w:eastAsia="en-US" w:bidi="en-US"/>
        </w:rPr>
        <w:t>.</w:t>
      </w:r>
    </w:p>
  </w:comment>
  <w:comment w:id="26" w:author="Autor" w:date="0-00-00T00:00:00Z" w:initials="A">
    <w:p>
      <w:pPr>
        <w:overflowPunct w:val="true"/>
        <w:rPr/>
      </w:pPr>
      <w:r>
        <w:rPr>
          <w:rFonts w:ascii="Liberation Serif" w:hAnsi="Liberation Serif" w:eastAsia="Segoe UI" w:cs="Noto Sans Arabic"/>
          <w:b/>
          <w:bCs/>
          <w:i/>
          <w:iCs/>
          <w:lang w:val="en-US" w:eastAsia="en-US" w:bidi="en-US"/>
        </w:rPr>
        <w:t xml:space="preserve">Nota Explicativa: </w:t>
      </w:r>
      <w:r>
        <w:rPr>
          <w:rFonts w:ascii="Liberation Serif" w:hAnsi="Liberation Serif" w:eastAsia="Segoe UI" w:cs="Noto Sans Arabic"/>
          <w:lang w:val="en-US" w:eastAsia="en-US" w:bidi="en-US"/>
        </w:rPr>
        <w:t>A INSTRUÇÃO NORMATIVA Nº 53, DE 8 DE JULHO DE 2020 apresenta algumas limitações quanto ao valor da operação de crédito:</w:t>
      </w:r>
    </w:p>
    <w:p>
      <w:pPr>
        <w:overflowPunct w:val="true"/>
        <w:rPr/>
      </w:pPr>
      <w:r>
        <w:rPr>
          <w:rFonts w:ascii="Liberation Serif" w:hAnsi="Liberation Serif" w:eastAsia="Segoe UI" w:cs="Noto Sans Arabic"/>
          <w:lang w:val="en-US" w:eastAsia="en-US" w:bidi="en-US"/>
        </w:rPr>
        <w:t>Anexo I:</w:t>
      </w:r>
    </w:p>
    <w:p>
      <w:pPr>
        <w:overflowPunct w:val="true"/>
        <w:rPr/>
      </w:pPr>
      <w:r>
        <w:rPr>
          <w:rFonts w:ascii="Liberation Serif" w:hAnsi="Liberation Serif" w:eastAsia="Segoe UI" w:cs="Noto Sans Arabic"/>
          <w:lang w:val="en-US" w:eastAsia="en-US" w:bidi="en-US"/>
        </w:rPr>
        <w:t xml:space="preserve">"1.2. O </w:t>
      </w:r>
      <w:r>
        <w:rPr>
          <w:rFonts w:ascii="Liberation Serif" w:hAnsi="Liberation Serif" w:eastAsia="Segoe UI" w:cs="Noto Sans Arabic"/>
          <w:b/>
          <w:bCs/>
          <w:lang w:val="en-US" w:eastAsia="en-US" w:bidi="en-US"/>
        </w:rPr>
        <w:t>valor da operação de crédito não poderá exceder a setenta por cento do saldo</w:t>
      </w:r>
      <w:r>
        <w:rPr>
          <w:rFonts w:ascii="Liberation Serif" w:hAnsi="Liberation Serif" w:eastAsia="Segoe UI" w:cs="Noto Sans Arabic"/>
          <w:lang w:val="en-US" w:eastAsia="en-US" w:bidi="en-US"/>
        </w:rPr>
        <w:t xml:space="preserve"> a receber atualizado do(s) contrato(s) selecionado(s) pelas instituições financeiras.</w:t>
      </w:r>
    </w:p>
    <w:p>
      <w:pPr>
        <w:overflowPunct w:val="true"/>
        <w:rPr/>
      </w:pPr>
      <w:r>
        <w:rPr>
          <w:rFonts w:ascii="Liberation Serif" w:hAnsi="Liberation Serif" w:eastAsia="Segoe UI" w:cs="Noto Sans Arabic"/>
          <w:lang w:val="en-US" w:eastAsia="en-US" w:bidi="en-US"/>
        </w:rPr>
        <w:t>(...)</w:t>
      </w:r>
    </w:p>
    <w:p>
      <w:pPr>
        <w:overflowPunct w:val="true"/>
        <w:rPr/>
      </w:pPr>
      <w:r>
        <w:rPr>
          <w:rFonts w:ascii="Liberation Serif" w:hAnsi="Liberation Serif" w:eastAsia="Segoe UI" w:cs="Noto Sans Arabic"/>
          <w:lang w:val="en-US" w:eastAsia="en-US" w:bidi="en-US"/>
        </w:rPr>
        <w:t xml:space="preserve">a) </w:t>
      </w:r>
      <w:r>
        <w:rPr>
          <w:rFonts w:ascii="Liberation Serif" w:hAnsi="Liberation Serif" w:eastAsia="Segoe UI" w:cs="Noto Sans Arabic"/>
          <w:b/>
          <w:bCs/>
          <w:lang w:val="en-US" w:eastAsia="en-US" w:bidi="en-US"/>
        </w:rPr>
        <w:t xml:space="preserve">o valor máximo da nova operação </w:t>
      </w:r>
      <w:r>
        <w:rPr>
          <w:rFonts w:ascii="Liberation Serif" w:hAnsi="Liberation Serif" w:eastAsia="Segoe UI" w:cs="Noto Sans Arabic"/>
          <w:lang w:val="en-US" w:eastAsia="en-US" w:bidi="en-US"/>
        </w:rPr>
        <w:t>de crédito corresponderá a setenta por cento da diferença entre o saldo atualizado dos créditos do contrato e o saldo devedor atualizado da operação anterior;"</w:t>
      </w:r>
    </w:p>
  </w:comment>
  <w:comment w:id="25"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lang w:val="en-US" w:eastAsia="en-US" w:bidi="en-US"/>
        </w:rPr>
        <w:t>Conforme exposto, a operação de crédito realizada por meio do AntecipaGov não configura uma cessão de crédito tratada no PARECER Nº JL - 01, não sendo necessária a formalização por meio de Termo Aditivo.</w:t>
      </w:r>
      <w:r>
        <w:rPr>
          <w:rFonts w:ascii="Liberation Serif" w:hAnsi="Liberation Serif" w:eastAsia="Segoe UI" w:cs="Noto Sans Arabic"/>
          <w:i/>
          <w:iCs/>
          <w:color w:val="000000"/>
          <w:lang w:val="en-US" w:eastAsia="en-US" w:bidi="en-US"/>
        </w:rPr>
        <w:t>.</w:t>
      </w:r>
    </w:p>
  </w:comment>
  <w:comment w:id="27"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É fundamental que a Administração observe que exigências demasiadas poderão prejudicar a competitividade da licitação e ofender a o disposto no </w:t>
      </w:r>
      <w:hyperlink r:id="rId27">
        <w:r>
          <w:rPr>
            <w:rFonts w:ascii="Liberation Serif" w:hAnsi="Liberation Serif" w:eastAsia="Segoe UI" w:cs="Noto Sans Arabic"/>
            <w:i/>
            <w:iCs/>
            <w:color w:val="000000"/>
            <w:lang w:val="en-US" w:eastAsia="en-US" w:bidi="en-US"/>
          </w:rPr>
          <w:t>art. 37, inciso XXI da Constituição Federal</w:t>
        </w:r>
      </w:hyperlink>
      <w:r>
        <w:rPr>
          <w:rFonts w:ascii="Liberation Serif" w:hAnsi="Liberation Serif" w:eastAsia="Segoe UI" w:cs="Noto Sans Arabic"/>
          <w:i/>
          <w:iCs/>
          <w:color w:val="000000"/>
          <w:lang w:val="en-US" w:eastAsia="en-US" w:bidi="en-US"/>
        </w:rPr>
        <w:t>, o qual preceitua que “o processo de licitação pública... somente permitirá as exigências de qualificação técnica e econômica indispensáveis à garantia do cumprimento das obrigações”.</w:t>
      </w:r>
    </w:p>
    <w:p>
      <w:pPr>
        <w:overflowPunct w:val="true"/>
        <w:rPr/>
      </w:pPr>
      <w:r>
        <w:rPr>
          <w:rFonts w:ascii="Liberation Serif" w:hAnsi="Liberation Serif" w:eastAsia="Segoe UI" w:cs="Noto Sans Arabic"/>
          <w:i/>
          <w:iCs/>
          <w:color w:val="000000"/>
          <w:lang w:val="en-US" w:eastAsia="en-US" w:bidi="en-US"/>
        </w:rPr>
        <w:t>O</w:t>
      </w:r>
      <w:hyperlink r:id="rId28">
        <w:r>
          <w:rPr>
            <w:rFonts w:ascii="Liberation Serif" w:hAnsi="Liberation Serif" w:eastAsia="Segoe UI" w:cs="Noto Sans Arabic"/>
            <w:i/>
            <w:iCs/>
            <w:color w:val="000000"/>
            <w:lang w:val="en-US" w:eastAsia="en-US" w:bidi="en-US"/>
          </w:rPr>
          <w:t xml:space="preserve"> art. 70, III, da Lei Nº 14.133/2021</w:t>
        </w:r>
      </w:hyperlink>
      <w:r>
        <w:rPr>
          <w:rFonts w:ascii="Liberation Serif" w:hAnsi="Liberation Serif" w:eastAsia="Segoe UI" w:cs="Noto Sans Arabic"/>
          <w:i/>
          <w:iCs/>
          <w:color w:val="000000"/>
          <w:lang w:val="en-US" w:eastAsia="en-US" w:bidi="en-US"/>
        </w:rPr>
        <w:t>,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pPr>
        <w:overflowPunct w:val="true"/>
        <w:rPr/>
      </w:pPr>
      <w:r>
        <w:rPr>
          <w:rFonts w:ascii="Liberation Serif" w:hAnsi="Liberation Serif" w:eastAsia="Segoe UI" w:cs="Noto Sans Arabic"/>
          <w:i/>
          <w:iCs/>
          <w:color w:val="000000"/>
          <w:lang w:val="en-US" w:eastAsia="en-US" w:bidi="en-US"/>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da contratada em suportar vicissitudes contratuais, excluindo-se o que entender excessivo. </w:t>
      </w:r>
    </w:p>
    <w:p>
      <w:pPr>
        <w:overflowPunct w:val="true"/>
        <w:rPr/>
      </w:pPr>
      <w:r>
        <w:rPr>
          <w:rFonts w:ascii="Liberation Serif" w:hAnsi="Liberation Serif" w:eastAsia="Segoe UI" w:cs="Noto Sans Arabic"/>
          <w:i/>
          <w:iCs/>
          <w:color w:val="000000"/>
          <w:lang w:val="en-US" w:eastAsia="en-US" w:bidi="en-US"/>
        </w:rPr>
        <w:t>Em licitação dividida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pPr>
        <w:overflowPunct w:val="true"/>
        <w:rPr/>
      </w:pPr>
      <w:r>
        <w:rPr>
          <w:rFonts w:ascii="Liberation Serif" w:hAnsi="Liberation Serif" w:eastAsia="Segoe UI" w:cs="Noto Sans Arabic"/>
          <w:i/>
          <w:iCs/>
          <w:color w:val="000000"/>
          <w:lang w:val="en-US" w:eastAsia="en-US" w:bidi="en-US"/>
        </w:rPr>
        <w:t>É vedada a inclusão de requisitos que não tenham suporte nos arts. 66 a 69 da Lei nº 14.133, de 2021.</w:t>
      </w:r>
    </w:p>
  </w:comment>
  <w:comment w:id="28"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A Instrução Normativa </w:t>
      </w:r>
      <w:hyperlink r:id="rId29">
        <w:r>
          <w:rPr>
            <w:rFonts w:ascii="Liberation Serif" w:hAnsi="Liberation Serif" w:eastAsia="Segoe UI" w:cs="Noto Sans Arabic"/>
            <w:i/>
            <w:iCs/>
            <w:color w:val="000000"/>
            <w:lang w:val="en-US" w:eastAsia="en-US" w:bidi="en-US"/>
          </w:rPr>
          <w:t>SEGES/ME nº 116, de 21 de dezembro de 2021</w:t>
        </w:r>
      </w:hyperlink>
      <w:r>
        <w:rPr>
          <w:rFonts w:ascii="Liberation Serif" w:hAnsi="Liberation Serif" w:eastAsia="Segoe UI" w:cs="Noto Sans Arabic"/>
          <w:i/>
          <w:iCs/>
          <w:color w:val="000000"/>
          <w:lang w:val="en-US" w:eastAsia="en-US" w:bidi="en-US"/>
        </w:rPr>
        <w:t xml:space="preserve">, estabelece procedimentos para a participação de pessoa física nas contratações públicas regidas pela </w:t>
      </w:r>
      <w:hyperlink r:id="rId30">
        <w:r>
          <w:rPr>
            <w:rFonts w:ascii="Liberation Serif" w:hAnsi="Liberation Serif" w:eastAsia="Segoe UI" w:cs="Noto Sans Arabic"/>
            <w:i/>
            <w:iCs/>
            <w:color w:val="000000"/>
            <w:lang w:val="en-US" w:eastAsia="en-US" w:bidi="en-US"/>
          </w:rPr>
          <w:t>Lei nº 14.133, de 2021</w:t>
        </w:r>
      </w:hyperlink>
      <w:r>
        <w:rPr>
          <w:rFonts w:ascii="Liberation Serif" w:hAnsi="Liberation Serif" w:eastAsia="Segoe UI" w:cs="Noto Sans Arabic"/>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pPr>
        <w:overflowPunct w:val="true"/>
        <w:rPr/>
      </w:pPr>
      <w:r>
        <w:rPr>
          <w:rFonts w:ascii="Liberation Serif" w:hAnsi="Liberation Serif" w:eastAsia="Segoe UI" w:cs="Noto Sans Arabic"/>
          <w:i/>
          <w:iCs/>
          <w:color w:val="000000"/>
          <w:lang w:val="en-US" w:eastAsia="en-US" w:bidi="en-US"/>
        </w:rPr>
        <w:t xml:space="preserve">A </w:t>
      </w:r>
      <w:hyperlink r:id="rId31">
        <w:r>
          <w:rPr>
            <w:rFonts w:ascii="Liberation Serif" w:hAnsi="Liberation Serif" w:eastAsia="Segoe UI" w:cs="Noto Sans Arabic"/>
            <w:i/>
            <w:iCs/>
            <w:color w:val="000000"/>
            <w:lang w:val="en-US" w:eastAsia="en-US" w:bidi="en-US"/>
          </w:rPr>
          <w:t>IN SEGES/ME nº 116, de 2021</w:t>
        </w:r>
      </w:hyperlink>
      <w:r>
        <w:rPr>
          <w:rFonts w:ascii="Liberation Serif" w:hAnsi="Liberation Serif" w:eastAsia="Segoe UI" w:cs="Noto Sans Arabic"/>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cs="Noto Sans Arabic"/>
          <w:b/>
          <w:bCs/>
          <w:i/>
          <w:iCs/>
          <w:color w:val="000000"/>
          <w:lang w:val="en-US" w:eastAsia="en-US" w:bidi="en-US"/>
        </w:rPr>
        <w:t>capital social mínimo</w:t>
      </w:r>
      <w:r>
        <w:rPr>
          <w:rFonts w:ascii="Liberation Serif" w:hAnsi="Liberation Serif" w:eastAsia="Segoe UI" w:cs="Noto Sans Arabic"/>
          <w:i/>
          <w:iCs/>
          <w:color w:val="000000"/>
          <w:lang w:val="en-US" w:eastAsia="en-US" w:bidi="en-US"/>
        </w:rPr>
        <w:t xml:space="preserve"> e </w:t>
      </w:r>
      <w:r>
        <w:rPr>
          <w:rFonts w:ascii="Liberation Serif" w:hAnsi="Liberation Serif" w:eastAsia="Segoe UI" w:cs="Noto Sans Arabic"/>
          <w:b/>
          <w:bCs/>
          <w:i/>
          <w:iCs/>
          <w:color w:val="000000"/>
          <w:lang w:val="en-US" w:eastAsia="en-US" w:bidi="en-US"/>
        </w:rPr>
        <w:t>estrutura mínima</w:t>
      </w:r>
      <w:r>
        <w:rPr>
          <w:rFonts w:ascii="Liberation Serif" w:hAnsi="Liberation Serif" w:eastAsia="Segoe UI" w:cs="Noto Sans Arabic"/>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cs="Noto Sans Arabic"/>
          <w:b/>
          <w:bCs/>
          <w:i/>
          <w:iCs/>
          <w:color w:val="000000"/>
          <w:lang w:val="en-US" w:eastAsia="en-US" w:bidi="en-US"/>
        </w:rPr>
        <w:t>incompatíveis com a natureza profissional da pessoa física</w:t>
      </w:r>
      <w:r>
        <w:rPr>
          <w:rFonts w:ascii="Liberation Serif" w:hAnsi="Liberation Serif" w:eastAsia="Segoe UI" w:cs="Noto Sans Arabic"/>
          <w:i/>
          <w:iCs/>
          <w:color w:val="000000"/>
          <w:lang w:val="en-US" w:eastAsia="en-US" w:bidi="en-US"/>
        </w:rPr>
        <w:t xml:space="preserve">, conforme </w:t>
      </w:r>
      <w:r>
        <w:rPr>
          <w:rFonts w:ascii="Liberation Serif" w:hAnsi="Liberation Serif" w:eastAsia="Segoe UI" w:cs="Noto Sans Arabic"/>
          <w:b/>
          <w:bCs/>
          <w:i/>
          <w:iCs/>
          <w:color w:val="000000"/>
          <w:lang w:val="en-US" w:eastAsia="en-US" w:bidi="en-US"/>
        </w:rPr>
        <w:t>demonstrado em estudo técnico preliminar</w:t>
      </w:r>
      <w:r>
        <w:rPr>
          <w:rFonts w:ascii="Liberation Serif" w:hAnsi="Liberation Serif" w:eastAsia="Segoe UI" w:cs="Noto Sans Arabic"/>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pPr>
        <w:overflowPunct w:val="true"/>
        <w:rPr/>
      </w:pPr>
      <w:r>
        <w:rPr>
          <w:rFonts w:ascii="Liberation Serif" w:hAnsi="Liberation Serif" w:eastAsia="Segoe UI" w:cs="Noto Sans Arabic"/>
          <w:i/>
          <w:iCs/>
          <w:color w:val="000000"/>
          <w:lang w:val="en-US" w:eastAsia="en-US" w:bidi="en-US"/>
        </w:rPr>
        <w:t xml:space="preserve">O </w:t>
      </w:r>
      <w:hyperlink r:id="rId32">
        <w:r>
          <w:rPr>
            <w:rFonts w:ascii="Liberation Serif" w:hAnsi="Liberation Serif" w:eastAsia="Segoe UI" w:cs="Noto Sans Arabic"/>
            <w:i/>
            <w:iCs/>
            <w:color w:val="000000"/>
            <w:lang w:val="en-US" w:eastAsia="en-US" w:bidi="en-US"/>
          </w:rPr>
          <w:t>Decreto n.º 10.977, de 23 de fevereiro de 2022,</w:t>
        </w:r>
      </w:hyperlink>
      <w:r>
        <w:rPr>
          <w:rFonts w:ascii="Liberation Serif" w:hAnsi="Liberation Serif" w:eastAsia="Segoe UI" w:cs="Noto Sans Arabic"/>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cs="Noto Sans Arabic"/>
          <w:b/>
          <w:bCs/>
          <w:i/>
          <w:iCs/>
          <w:color w:val="000000"/>
          <w:lang w:val="en-US" w:eastAsia="en-US" w:bidi="en-US"/>
        </w:rPr>
        <w:t>caput </w:t>
      </w:r>
      <w:r>
        <w:rPr>
          <w:rFonts w:ascii="Liberation Serif" w:hAnsi="Liberation Serif" w:eastAsia="Segoe UI" w:cs="Noto Sans Arabic"/>
          <w:i/>
          <w:iCs/>
          <w:color w:val="000000"/>
          <w:lang w:val="en-US" w:eastAsia="en-US" w:bidi="en-US"/>
        </w:rPr>
        <w:t>do seu art. 11.</w:t>
      </w:r>
    </w:p>
  </w:comment>
  <w:comment w:id="29"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O </w:t>
      </w:r>
      <w:hyperlink r:id="rId33">
        <w:r>
          <w:rPr>
            <w:rFonts w:ascii="Liberation Serif" w:hAnsi="Liberation Serif" w:eastAsia="Segoe UI" w:cs="Noto Sans Arabic"/>
            <w:i/>
            <w:iCs/>
            <w:color w:val="000000"/>
            <w:lang w:val="en-US" w:eastAsia="en-US" w:bidi="en-US"/>
          </w:rPr>
          <w:t>art. 41 da Lei nº 14.195, de 26 de agosto de 2021</w:t>
        </w:r>
      </w:hyperlink>
      <w:r>
        <w:rPr>
          <w:rFonts w:ascii="Liberation Serif" w:hAnsi="Liberation Serif" w:eastAsia="Segoe UI" w:cs="Noto Sans Arabic"/>
          <w:i/>
          <w:iCs/>
          <w:color w:val="000000"/>
          <w:lang w:val="en-US" w:eastAsia="en-US" w:bidi="en-US"/>
        </w:rPr>
        <w:t>, transformou todas as empresas individuais de responsabilidade limitada (EIRELI) existentes na data da entrada em vigor da Lei em sociedades limitadas unipessoais (SLU), independentemente de qualquer alteração em seus respectivos atos constitutivos.</w:t>
      </w:r>
    </w:p>
    <w:p>
      <w:pPr>
        <w:overflowPunct w:val="true"/>
        <w:rPr/>
      </w:pPr>
      <w:r>
        <w:rPr>
          <w:rFonts w:ascii="Liberation Serif" w:hAnsi="Liberation Serif" w:eastAsia="Segoe UI" w:cs="Noto Sans Arabic"/>
          <w:i/>
          <w:iCs/>
          <w:color w:val="000000"/>
          <w:lang w:val="en-US" w:eastAsia="en-US" w:bidi="en-US"/>
        </w:rPr>
        <w:t xml:space="preserve">Posteriormente, </w:t>
      </w:r>
      <w:hyperlink r:id="rId34">
        <w:r>
          <w:rPr>
            <w:rFonts w:ascii="Liberation Serif" w:hAnsi="Liberation Serif" w:eastAsia="Segoe UI" w:cs="Noto Sans Arabic"/>
            <w:i/>
            <w:iCs/>
            <w:color w:val="000000"/>
            <w:lang w:val="en-US" w:eastAsia="en-US" w:bidi="en-US"/>
          </w:rPr>
          <w:t>o inciso VI, alíneas “a” e “b”, art. 20, da Lei nº 14.382, de 27 de junho de 2022</w:t>
        </w:r>
      </w:hyperlink>
      <w:r>
        <w:rPr>
          <w:rFonts w:ascii="Liberation Serif" w:hAnsi="Liberation Serif" w:eastAsia="Segoe UI" w:cs="Noto Sans Arabic"/>
          <w:i/>
          <w:iCs/>
          <w:color w:val="000000"/>
          <w:lang w:val="en-US" w:eastAsia="en-US" w:bidi="en-US"/>
        </w:rPr>
        <w:t>, revogou as disposições sobre EIRELI constantes do inciso VI do caput do art. 44 e do Título I-A do Livro II da Parte Especial do Código Civil (</w:t>
      </w:r>
      <w:hyperlink r:id="rId35">
        <w:r>
          <w:rPr>
            <w:rFonts w:ascii="Liberation Serif" w:hAnsi="Liberation Serif" w:eastAsia="Segoe UI" w:cs="Noto Sans Arabic"/>
            <w:i/>
            <w:iCs/>
            <w:color w:val="000000"/>
            <w:lang w:val="en-US" w:eastAsia="en-US" w:bidi="en-US"/>
          </w:rPr>
          <w:t>Lei nº 10.406, de 10 de janeiro de 2002</w:t>
        </w:r>
      </w:hyperlink>
      <w:r>
        <w:rPr>
          <w:rFonts w:ascii="Liberation Serif" w:hAnsi="Liberation Serif" w:eastAsia="Segoe UI" w:cs="Noto Sans Arabic"/>
          <w:i/>
          <w:iCs/>
          <w:color w:val="000000"/>
          <w:lang w:val="en-US" w:eastAsia="en-US" w:bidi="en-US"/>
        </w:rPr>
        <w:t>).</w:t>
      </w:r>
    </w:p>
    <w:p>
      <w:pPr>
        <w:overflowPunct w:val="true"/>
        <w:rPr/>
      </w:pPr>
      <w:r>
        <w:rPr>
          <w:rFonts w:ascii="Liberation Serif" w:hAnsi="Liberation Serif" w:eastAsia="Segoe UI" w:cs="Noto Sans Arabic"/>
          <w:i/>
          <w:iCs/>
          <w:color w:val="000000"/>
          <w:lang w:val="en-US" w:eastAsia="en-US" w:bidi="en-US"/>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30"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O subitem 8.13 tem como fundamento a parte final do disposto no </w:t>
      </w:r>
      <w:hyperlink r:id="rId36">
        <w:r>
          <w:rPr>
            <w:rFonts w:ascii="Liberation Serif" w:hAnsi="Liberation Serif" w:eastAsia="Segoe UI" w:cs="Noto Sans Arabic"/>
            <w:i/>
            <w:iCs/>
            <w:color w:val="000000"/>
            <w:lang w:val="en-US" w:eastAsia="en-US" w:bidi="en-US"/>
          </w:rPr>
          <w:t>art. 66 da Lei nº 14.133, de 2021</w:t>
        </w:r>
      </w:hyperlink>
      <w:r>
        <w:rPr>
          <w:rFonts w:ascii="Liberation Serif" w:hAnsi="Liberation Serif" w:eastAsia="Segoe UI" w:cs="Noto Sans Arabic"/>
          <w:i/>
          <w:iCs/>
          <w:color w:val="000000"/>
          <w:lang w:val="en-US" w:eastAsia="en-US" w:bidi="en-US"/>
        </w:rPr>
        <w:t>. Cabe ao órgão ou entidade analisar se a atividade relativa ao objeto a ser contratado exige registro ou autorização para funcionamento, em razão de previsão legal ou normativa. Em caso positivo, deverão ser especificados o documento a ser apresentado, o órgão competente para expedi-lo e o respectivo fundamento legal. Cite-se, como exemplo, a necessidade de registro de pessoas físicas ou jurídicas no Exército, com vistas ao exercício de qualquer atividade relativa a Produto Controlado pelo Exército (PCE), tais como a fabricação, o comércio, a importação, a exportação, a utilização e a prestação de serviços envolvendo arma de fogo, explosivo, munição, dentre outros.</w:t>
      </w:r>
    </w:p>
  </w:comment>
  <w:comment w:id="31"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O artigo 193 do Código Tributário Nacional (</w:t>
      </w:r>
      <w:hyperlink r:id="rId37">
        <w:r>
          <w:rPr>
            <w:rFonts w:ascii="Liberation Serif" w:hAnsi="Liberation Serif" w:eastAsia="Segoe UI" w:cs="Noto Sans Arabic"/>
            <w:i/>
            <w:iCs/>
            <w:color w:val="000000"/>
            <w:lang w:val="en-US" w:eastAsia="en-US" w:bidi="en-US"/>
          </w:rPr>
          <w:t>Lei nº 5.172, de 25 de outubro de 1966</w:t>
        </w:r>
      </w:hyperlink>
      <w:r>
        <w:rPr>
          <w:rFonts w:ascii="Liberation Serif" w:hAnsi="Liberation Serif" w:eastAsia="Segoe UI" w:cs="Noto Sans Arabic"/>
          <w:i/>
          <w:iCs/>
          <w:color w:val="000000"/>
          <w:lang w:val="en-US" w:eastAsia="en-US" w:bidi="en-US"/>
        </w:rPr>
        <w:t xml:space="preserve">) preceitua que a prova da quitação de todos os tributos devidos dar-se-á no âmbito da Fazenda Pública interessada, “relativos à atividade em cujo exercício contrata ou concorre”. Nessa mesma linha, </w:t>
      </w:r>
      <w:hyperlink r:id="rId38">
        <w:r>
          <w:rPr>
            <w:rFonts w:ascii="Liberation Serif" w:hAnsi="Liberation Serif" w:eastAsia="Segoe UI" w:cs="Noto Sans Arabic"/>
            <w:i/>
            <w:iCs/>
            <w:color w:val="000000"/>
            <w:lang w:val="en-US" w:eastAsia="en-US" w:bidi="en-US"/>
          </w:rPr>
          <w:t>o art. 68, inciso II, da Lei n.º 14.133, de 2021</w:t>
        </w:r>
      </w:hyperlink>
      <w:r>
        <w:rPr>
          <w:rFonts w:ascii="Liberation Serif" w:hAnsi="Liberation Serif" w:eastAsia="Segoe UI" w:cs="Noto Sans Arabic"/>
          <w:i/>
          <w:iCs/>
          <w:color w:val="000000"/>
          <w:lang w:val="en-US" w:eastAsia="en-US" w:bidi="en-US"/>
        </w:rPr>
        <w:t>,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32"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A apresentação do Certificado de Condição de Microempreendedor Individual – CCMEI supre as exigências de inscrição nos cadastros fiscais, na medida em que essas informações constam no próprio Certificado.</w:t>
      </w:r>
    </w:p>
  </w:comment>
  <w:comment w:id="33"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 1:</w:t>
      </w:r>
      <w:r>
        <w:rPr>
          <w:rFonts w:ascii="Liberation Serif" w:hAnsi="Liberation Serif" w:eastAsia="Segoe UI" w:cs="Noto Sans Arabic"/>
          <w:i/>
          <w:iCs/>
          <w:color w:val="000000"/>
          <w:lang w:val="en-US" w:eastAsia="en-US" w:bidi="en-US"/>
        </w:rPr>
        <w:t xml:space="preserve"> A Administração deve examinar, diante do caso concreto, se o objeto da contratação demanda a exigência de todos os requisitos de habilitação apresentados neste modelo, levando-se em consideração o vulto e/ou a complexidade e a essencialidade do objeto, bem como os riscos decorrentes de sua paralisação em função da eventual incapacidade econômica da contratada em suportar os deveres contratuais, excluindo-se o que entender excessivo. Nesse sentido, a exigência pode restringir-se a alguns itens, como, por exemplo, somente aos itens não exclusivos a microempresa e empresas de pequeno porte, ou mesmo não ser exigida para nenhum deles, caso em que deve ser suprimida do edital. Conforme Nota Explicativa do início deste tópico, a exigência de qualificação técnica e econômica nas circunstâncias previstas no art. 70, III da </w:t>
      </w:r>
      <w:hyperlink r:id="rId39">
        <w:r>
          <w:rPr>
            <w:rFonts w:ascii="Liberation Serif" w:hAnsi="Liberation Serif" w:eastAsia="Segoe UI" w:cs="Noto Sans Arabic"/>
            <w:i/>
            <w:iCs/>
            <w:color w:val="000000"/>
            <w:lang w:val="en-US" w:eastAsia="en-US" w:bidi="en-US"/>
          </w:rPr>
          <w:t>Lei n.º 14.133, de 2021</w:t>
        </w:r>
      </w:hyperlink>
      <w:r>
        <w:rPr>
          <w:rFonts w:ascii="Liberation Serif" w:hAnsi="Liberation Serif" w:eastAsia="Segoe UI" w:cs="Noto Sans Arabic"/>
          <w:i/>
          <w:iCs/>
          <w:color w:val="000000"/>
          <w:lang w:val="en-US" w:eastAsia="en-US" w:bidi="en-US"/>
        </w:rPr>
        <w:t xml:space="preserve">, deve ser excepcional e justificada, à luz do </w:t>
      </w:r>
      <w:hyperlink r:id="rId40">
        <w:r>
          <w:rPr>
            <w:rFonts w:ascii="Liberation Serif" w:hAnsi="Liberation Serif" w:eastAsia="Segoe UI" w:cs="Noto Sans Arabic"/>
            <w:i/>
            <w:iCs/>
            <w:color w:val="000000"/>
            <w:lang w:val="en-US" w:eastAsia="en-US" w:bidi="en-US"/>
          </w:rPr>
          <w:t>art. 37, XXI, da Constituição Federal</w:t>
        </w:r>
      </w:hyperlink>
      <w:r>
        <w:rPr>
          <w:rFonts w:ascii="Liberation Serif" w:hAnsi="Liberation Serif" w:eastAsia="Segoe UI" w:cs="Noto Sans Arabic"/>
          <w:i/>
          <w:iCs/>
          <w:color w:val="000000"/>
          <w:lang w:val="en-US" w:eastAsia="en-US" w:bidi="en-US"/>
        </w:rPr>
        <w:t>.</w:t>
      </w:r>
    </w:p>
    <w:p>
      <w:pPr>
        <w:overflowPunct w:val="true"/>
        <w:rPr/>
      </w:pPr>
      <w:r>
        <w:rPr>
          <w:rFonts w:ascii="Liberation Serif" w:hAnsi="Liberation Serif" w:eastAsia="Segoe UI" w:cs="Noto Sans Arabic"/>
          <w:b/>
          <w:bCs/>
          <w:i/>
          <w:iCs/>
          <w:color w:val="000000"/>
          <w:lang w:val="en-US" w:eastAsia="en-US" w:bidi="en-US"/>
        </w:rPr>
        <w:t>Nota Explicativa 2:</w:t>
      </w:r>
      <w:r>
        <w:rPr>
          <w:rFonts w:ascii="Liberation Serif" w:hAnsi="Liberation Serif" w:eastAsia="Segoe UI" w:cs="Noto Sans Arabic"/>
          <w:i/>
          <w:iCs/>
          <w:color w:val="000000"/>
          <w:lang w:val="en-US" w:eastAsia="en-US" w:bidi="en-US"/>
        </w:rPr>
        <w:t xml:space="preserve"> É possível adotar critérios de habilitação econômico-financeira com requisitos diferenciados, estabelecidos conforme as peculiaridades do objeto a ser licitado, com justificativa do percentual adotado nos autos do procedimento licitatório.</w:t>
      </w:r>
    </w:p>
  </w:comment>
  <w:comment w:id="34" w:author="Autor" w:date="0-00-00T00:00:00Z" w:initials="A">
    <w:p>
      <w:pPr>
        <w:overflowPunct w:val="true"/>
        <w:rPr/>
      </w:pPr>
      <w:r>
        <w:rPr>
          <w:rFonts w:ascii="Liberation Serif" w:hAnsi="Liberation Serif" w:eastAsia="Segoe UI" w:cs="Noto Sans Arabic"/>
          <w:lang w:val="en-US" w:eastAsia="en-US" w:bidi="en-US"/>
        </w:rPr>
        <w:t>Nota Explicativa: Conforme o §4º do art. 16 da Instrução Normativa SEGES/MP nº 3, de 2018</w:t>
      </w:r>
    </w:p>
  </w:comment>
  <w:comment w:id="35"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 1:</w:t>
      </w:r>
      <w:r>
        <w:rPr>
          <w:rFonts w:ascii="Liberation Serif" w:hAnsi="Liberation Serif" w:eastAsia="Segoe UI" w:cs="Noto Sans Arabic"/>
          <w:i/>
          <w:iCs/>
          <w:color w:val="000000"/>
          <w:lang w:val="en-US" w:eastAsia="en-US" w:bidi="en-US"/>
        </w:rPr>
        <w:t xml:space="preserve"> Não podem ser cumulativas as exigências de capital mínimo e de patrimônio líquido mínimo, razão pela qual a Administração deverá escolher motivadamente entre uma das duas opções.</w:t>
      </w:r>
    </w:p>
    <w:p>
      <w:pPr>
        <w:overflowPunct w:val="true"/>
        <w:rPr/>
      </w:pPr>
      <w:r>
        <w:rPr>
          <w:rFonts w:ascii="Liberation Serif" w:hAnsi="Liberation Serif" w:eastAsia="Segoe UI" w:cs="Noto Sans Arabic"/>
          <w:b/>
          <w:bCs/>
          <w:i/>
          <w:iCs/>
          <w:color w:val="000000"/>
          <w:lang w:val="en-US" w:eastAsia="en-US" w:bidi="en-US"/>
        </w:rPr>
        <w:t>Nota Explicativa 2:</w:t>
      </w:r>
      <w:r>
        <w:rPr>
          <w:rFonts w:ascii="Liberation Serif" w:hAnsi="Liberation Serif" w:eastAsia="Segoe UI" w:cs="Noto Sans Arabic"/>
          <w:i/>
          <w:iCs/>
          <w:color w:val="000000"/>
          <w:lang w:val="en-US" w:eastAsia="en-US" w:bidi="en-US"/>
        </w:rPr>
        <w:t xml:space="preserve"> A fixação do percentual se insere na esfera de atuação discricionária da Administração até o limite legal de 10% (dez por cento) do valor estimado da contratação e deve ser proporcional aos riscos que a inexecução total ou parcial do contrato poderá acarretar para a Administração, considerando-se, entre outros fatores, o valor do contrato, a essencialidade do objeto, o tempo de duração do contrato. </w:t>
      </w:r>
    </w:p>
    <w:p>
      <w:pPr>
        <w:overflowPunct w:val="true"/>
        <w:rPr/>
      </w:pPr>
      <w:r>
        <w:rPr>
          <w:rFonts w:ascii="Liberation Serif" w:hAnsi="Liberation Serif" w:eastAsia="Segoe UI" w:cs="Noto Sans Arabic"/>
          <w:i/>
          <w:iCs/>
          <w:color w:val="000000"/>
          <w:lang w:val="en-US" w:eastAsia="en-US" w:bidi="en-US"/>
        </w:rPr>
        <w:t>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comment>
  <w:comment w:id="36"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w:t>
      </w:r>
      <w:r>
        <w:rPr>
          <w:rFonts w:ascii="Liberation Serif" w:hAnsi="Liberation Serif" w:eastAsia="Segoe UI" w:cs="Noto Sans Arabic"/>
          <w:i/>
          <w:iCs/>
          <w:color w:val="000000"/>
          <w:lang w:val="en-US" w:eastAsia="en-US" w:bidi="en-US"/>
        </w:rPr>
        <w:t xml:space="preserve"> A previsão do subitem 8.29 decorre do disposto no </w:t>
      </w:r>
      <w:hyperlink r:id="rId41">
        <w:r>
          <w:rPr>
            <w:rFonts w:ascii="Liberation Serif" w:hAnsi="Liberation Serif" w:eastAsia="Segoe UI" w:cs="Noto Sans Arabic"/>
            <w:i/>
            <w:iCs/>
            <w:color w:val="000000"/>
            <w:lang w:val="en-US" w:eastAsia="en-US" w:bidi="en-US"/>
          </w:rPr>
          <w:t>art. 69, §1º da Lei nº 14.133, de 2021</w:t>
        </w:r>
      </w:hyperlink>
      <w:r>
        <w:rPr>
          <w:rFonts w:ascii="Liberation Serif" w:hAnsi="Liberation Serif" w:eastAsia="Segoe UI" w:cs="Noto Sans Arabic"/>
          <w:i/>
          <w:iCs/>
          <w:color w:val="000000"/>
          <w:lang w:val="en-US" w:eastAsia="en-US" w:bidi="en-US"/>
        </w:rPr>
        <w:t>, podendo a Administração optar por tal disposição, desde que justificadamente.</w:t>
      </w:r>
    </w:p>
  </w:comment>
  <w:comment w:id="37"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 1</w:t>
      </w:r>
      <w:r>
        <w:rPr>
          <w:rFonts w:ascii="Liberation Serif" w:hAnsi="Liberation Serif" w:eastAsia="Segoe UI" w:cs="Noto Sans Arabic"/>
          <w:i/>
          <w:iCs/>
          <w:color w:val="000000"/>
          <w:lang w:val="en-US" w:eastAsia="en-US" w:bidi="en-US"/>
        </w:rPr>
        <w:t xml:space="preserve">: O </w:t>
      </w:r>
      <w:hyperlink r:id="rId42">
        <w:r>
          <w:rPr>
            <w:rFonts w:ascii="Liberation Serif" w:hAnsi="Liberation Serif" w:eastAsia="Segoe UI" w:cs="Noto Sans Arabic"/>
            <w:i/>
            <w:iCs/>
            <w:color w:val="000000"/>
            <w:lang w:val="en-US" w:eastAsia="en-US" w:bidi="en-US"/>
          </w:rPr>
          <w:t>art. 67 da Lei nº 14.133, de 2021</w:t>
        </w:r>
      </w:hyperlink>
      <w:r>
        <w:rPr>
          <w:rFonts w:ascii="Liberation Serif" w:hAnsi="Liberation Serif" w:eastAsia="Segoe UI" w:cs="Noto Sans Arabic"/>
          <w:i/>
          <w:iCs/>
          <w:color w:val="000000"/>
          <w:lang w:val="en-US" w:eastAsia="en-US" w:bidi="en-US"/>
        </w:rPr>
        <w:t xml:space="preserve">, não estabelece exigências de qualificação técnico-operacional ou técnico-profissional para o caso de contratações cujo objeto seja a aquisição de bens, tratando o dispositivo legal apenas das exigências pertinentes às obras e serviços. Nada obstante, entende-se ser juridicamente possível que a Administração formule exigências de qualificação técnica dos fornecedores no caso de compras de bens, com fundamento no </w:t>
      </w:r>
      <w:hyperlink r:id="rId43">
        <w:r>
          <w:rPr>
            <w:rFonts w:ascii="Liberation Serif" w:hAnsi="Liberation Serif" w:eastAsia="Segoe UI" w:cs="Noto Sans Arabic"/>
            <w:i/>
            <w:iCs/>
            <w:color w:val="000000"/>
            <w:lang w:val="en-US" w:eastAsia="en-US" w:bidi="en-US"/>
          </w:rPr>
          <w:t>artigo 37, inciso XXI, da Constituição Federal</w:t>
        </w:r>
      </w:hyperlink>
      <w:r>
        <w:rPr>
          <w:rFonts w:ascii="Liberation Serif" w:hAnsi="Liberation Serif" w:eastAsia="Segoe UI" w:cs="Noto Sans Arabic"/>
          <w:i/>
          <w:iCs/>
          <w:color w:val="000000"/>
          <w:lang w:val="en-US" w:eastAsia="en-US" w:bidi="en-US"/>
        </w:rPr>
        <w:t xml:space="preserve">, caso verifique que a medida é indispensável à garantia do cumprimento das obrigações pertinentes à execução do objeto. </w:t>
      </w:r>
    </w:p>
    <w:p>
      <w:pPr>
        <w:overflowPunct w:val="true"/>
        <w:rPr/>
      </w:pPr>
      <w:r>
        <w:rPr>
          <w:rFonts w:ascii="Liberation Serif" w:hAnsi="Liberation Serif" w:eastAsia="Segoe UI" w:cs="Noto Sans Arabic"/>
          <w:i/>
          <w:iCs/>
          <w:color w:val="000000"/>
          <w:lang w:val="en-US" w:eastAsia="en-US" w:bidi="en-US"/>
        </w:rPr>
        <w:t>Para tanto, recomenda-se que a Administração se utilize da interpretação extensiva das regras, limites e princípios que incidem em relação à prova de qualificação técnica dos licitantes na contratação de serviços, observadas as peculiaridades das compras em cada caso concreto.</w:t>
      </w:r>
    </w:p>
    <w:p>
      <w:pPr>
        <w:overflowPunct w:val="true"/>
        <w:rPr/>
      </w:pPr>
      <w:r>
        <w:rPr>
          <w:rFonts w:ascii="Liberation Serif" w:hAnsi="Liberation Serif" w:eastAsia="Segoe UI" w:cs="Noto Sans Arabic"/>
          <w:b/>
          <w:bCs/>
          <w:i/>
          <w:iCs/>
          <w:lang w:val="en-US" w:eastAsia="en-US" w:bidi="en-US"/>
        </w:rPr>
        <w:t xml:space="preserve">Nota Explicativa 2: </w:t>
      </w:r>
      <w:r>
        <w:rPr>
          <w:rFonts w:ascii="Liberation Serif" w:hAnsi="Liberation Serif" w:eastAsia="Segoe UI" w:cs="Noto Sans Arabic"/>
          <w:i/>
          <w:iCs/>
          <w:color w:val="000000"/>
          <w:lang w:val="en-US" w:eastAsia="en-US" w:bidi="en-US"/>
        </w:rPr>
        <w:t>Além de avaliar a pertinência de exigir qualificação técnica, o rigor das exigências também deve ser avaliado, promovendo-se adaptações pela área demandante ante 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p>
      <w:pPr>
        <w:overflowPunct w:val="true"/>
        <w:rPr/>
      </w:pPr>
      <w:r>
        <w:rPr>
          <w:rFonts w:ascii="Liberation Serif" w:hAnsi="Liberation Serif" w:eastAsia="Segoe UI" w:cs="Noto Sans Arabic"/>
          <w:b/>
          <w:bCs/>
          <w:i/>
          <w:iCs/>
          <w:color w:val="000000"/>
          <w:lang w:val="en-US" w:eastAsia="en-US" w:bidi="en-US"/>
        </w:rPr>
        <w:t>Nota Explicativa 3</w:t>
      </w:r>
      <w:r>
        <w:rPr>
          <w:rFonts w:ascii="Liberation Serif" w:hAnsi="Liberation Serif" w:eastAsia="Segoe UI" w:cs="Noto Sans Arabic"/>
          <w:i/>
          <w:iCs/>
          <w:color w:val="000000"/>
          <w:lang w:val="en-US" w:eastAsia="en-US" w:bidi="en-US"/>
        </w:rPr>
        <w:t>: Em relação pessoa física ou jurídica que se caracterize como “potencial subcontratado”, é possível a previsão de exigência de atestados específicos, situação na qual mais de um licitante poderá apresentar atestado relativo ao mesmo potencial subcontratado. Nesse sentido é o teor do § 9º do art. 67 da Lei nº 14.133, de 2021:</w:t>
      </w:r>
    </w:p>
    <w:p>
      <w:pPr>
        <w:overflowPunct w:val="true"/>
        <w:rPr/>
      </w:pPr>
      <w:r>
        <w:rPr>
          <w:rFonts w:ascii="Liberation Serif" w:hAnsi="Liberation Serif" w:eastAsia="Segoe UI" w:cs="Noto Sans Arabic"/>
          <w:i/>
          <w:iCs/>
          <w:color w:val="000000"/>
          <w:lang w:val="en-US" w:eastAsia="en-US" w:bidi="en-US"/>
        </w:rPr>
        <w:t>“O edital poderá prever,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comment>
  <w:comment w:id="38" w:author="Autor" w:date="0-00-00T00:00:00Z" w:initials="A">
    <w:p>
      <w:pPr>
        <w:overflowPunct w:val="false"/>
        <w:rPr/>
      </w:pPr>
      <w:r>
        <w:rPr>
          <w:rFonts w:ascii="Liberation Serif" w:hAnsi="Liberation Serif" w:eastAsia="Segoe UI" w:cs="Noto Sans Arabic"/>
          <w:b/>
          <w:bCs/>
          <w:lang w:val="en-US" w:eastAsia="en-US" w:bidi="en-US"/>
        </w:rPr>
        <w:t>Nota Explicativa:</w:t>
      </w:r>
      <w:r>
        <w:rPr>
          <w:rFonts w:ascii="Liberation Serif" w:hAnsi="Liberation Serif" w:eastAsia="Segoe UI" w:cs="Noto Sans Arabic"/>
          <w:lang w:val="en-US" w:eastAsia="en-US" w:bidi="en-US"/>
        </w:rPr>
        <w:t xml:space="preserve"> Eventuais requisitos de qualificação técnica previstos em lei específica e que incidam sobre a atividade objeto da contratação, deverão ser indicados no item 8.31.5, com fundamento no art. 67, inciso IV, da </w:t>
      </w:r>
      <w:hyperlink r:id="rId44">
        <w:r>
          <w:rPr>
            <w:rFonts w:ascii="Liberation Serif" w:hAnsi="Liberation Serif" w:eastAsia="Segoe UI" w:cs="Noto Sans Arabic"/>
            <w:lang w:val="en-US" w:eastAsia="en-US" w:bidi="en-US"/>
          </w:rPr>
          <w:t>Lei nº 14.133, de 2021</w:t>
        </w:r>
      </w:hyperlink>
      <w:r>
        <w:rPr>
          <w:rFonts w:ascii="Liberation Serif" w:hAnsi="Liberation Serif" w:eastAsia="Segoe UI" w:cs="Noto Sans Arabic"/>
          <w:lang w:val="en-US" w:eastAsia="en-US" w:bidi="en-US"/>
        </w:rPr>
        <w:t xml:space="preserve">. Cita-se, exemplificativamente, a exigência, dentre os documentos de habilitação técnica, da chamada Autorização Especial, emitida pela Agência Nacional de Vigilância Sanitária – Anvisa, nas contratações para aquisição de medicamentos sujeitos a controle especial, com base na </w:t>
      </w:r>
      <w:hyperlink r:id="rId45">
        <w:r>
          <w:rPr>
            <w:rFonts w:ascii="Liberation Serif" w:hAnsi="Liberation Serif" w:eastAsia="Segoe UI" w:cs="Noto Sans Arabic"/>
            <w:lang w:val="en-US" w:eastAsia="en-US" w:bidi="en-US"/>
          </w:rPr>
          <w:t>Lei n.º 6.360, de 23 de setembro de 1976</w:t>
        </w:r>
      </w:hyperlink>
      <w:r>
        <w:rPr>
          <w:rFonts w:ascii="Liberation Serif" w:hAnsi="Liberation Serif" w:eastAsia="Segoe UI" w:cs="Noto Sans Arabic"/>
          <w:lang w:val="en-US" w:eastAsia="en-US" w:bidi="en-US"/>
        </w:rPr>
        <w:t xml:space="preserve">, e na </w:t>
      </w:r>
      <w:hyperlink r:id="rId46">
        <w:r>
          <w:rPr>
            <w:rFonts w:ascii="Liberation Serif" w:hAnsi="Liberation Serif" w:eastAsia="Segoe UI" w:cs="Noto Sans Arabic"/>
            <w:lang w:val="en-US" w:eastAsia="en-US" w:bidi="en-US"/>
          </w:rPr>
          <w:t>Resolução da Diretoria Colegiada da RDC/Anvisa nº 16, de 1º de abril de 2014</w:t>
        </w:r>
      </w:hyperlink>
      <w:r>
        <w:rPr>
          <w:rFonts w:ascii="Liberation Serif" w:hAnsi="Liberation Serif" w:eastAsia="Segoe UI" w:cs="Noto Sans Arabic"/>
          <w:lang w:val="en-US" w:eastAsia="en-US" w:bidi="en-US"/>
        </w:rPr>
        <w:t>.</w:t>
      </w:r>
    </w:p>
  </w:comment>
  <w:comment w:id="39" w:author="Autor" w:date="0-00-00T00:00:00Z" w:initials="A">
    <w:p>
      <w:pPr>
        <w:overflowPunct w:val="true"/>
        <w:rPr/>
      </w:pPr>
      <w:r>
        <w:rPr>
          <w:rFonts w:ascii="Liberation Serif" w:hAnsi="Liberation Serif" w:eastAsia="Segoe UI" w:cs="Noto Sans Arabic"/>
          <w:b/>
          <w:bCs/>
          <w:i/>
          <w:iCs/>
          <w:color w:val="000000"/>
          <w:lang w:val="en-US" w:eastAsia="en-US" w:bidi="en-US"/>
        </w:rPr>
        <w:t xml:space="preserve">Nota Explicativa 1: </w:t>
      </w:r>
      <w:r>
        <w:rPr>
          <w:rFonts w:ascii="Liberation Serif" w:hAnsi="Liberation Serif" w:eastAsia="Segoe UI" w:cs="Noto Sans Arabic"/>
          <w:i/>
          <w:iCs/>
          <w:color w:val="000000"/>
          <w:lang w:val="en-US" w:eastAsia="en-US" w:bidi="en-US"/>
        </w:rPr>
        <w:t xml:space="preserve">Pesquisa de Preços - A estimativa de preços deve ser precedida de regular pesquisa, nos moldes do </w:t>
      </w:r>
      <w:hyperlink r:id="rId47">
        <w:r>
          <w:rPr>
            <w:rFonts w:ascii="Liberation Serif" w:hAnsi="Liberation Serif" w:eastAsia="Segoe UI" w:cs="Noto Sans Arabic"/>
            <w:i/>
            <w:iCs/>
            <w:color w:val="000000"/>
            <w:lang w:val="en-US" w:eastAsia="en-US" w:bidi="en-US"/>
          </w:rPr>
          <w:t>art. 23 da Lei nº 14.133, de 2021</w:t>
        </w:r>
      </w:hyperlink>
      <w:r>
        <w:rPr>
          <w:rFonts w:ascii="Liberation Serif" w:hAnsi="Liberation Serif" w:eastAsia="Segoe UI" w:cs="Noto Sans Arabic"/>
          <w:i/>
          <w:iCs/>
          <w:color w:val="000000"/>
          <w:lang w:val="en-US" w:eastAsia="en-US" w:bidi="en-US"/>
        </w:rPr>
        <w:t xml:space="preserve">, e da </w:t>
      </w:r>
      <w:hyperlink r:id="rId48">
        <w:r>
          <w:rPr>
            <w:rFonts w:ascii="Liberation Serif" w:hAnsi="Liberation Serif" w:eastAsia="Segoe UI" w:cs="Noto Sans Arabic"/>
            <w:i/>
            <w:iCs/>
            <w:color w:val="000000"/>
            <w:lang w:val="en-US" w:eastAsia="en-US" w:bidi="en-US"/>
          </w:rPr>
          <w:t>Instrução Normativa SEGES/ME nº 65, de 7 de julho 2021.</w:t>
        </w:r>
      </w:hyperlink>
    </w:p>
    <w:p>
      <w:pPr>
        <w:overflowPunct w:val="true"/>
        <w:rPr/>
      </w:pPr>
      <w:r>
        <w:rPr>
          <w:rFonts w:ascii="Liberation Serif" w:hAnsi="Liberation Serif" w:eastAsia="Segoe UI" w:cs="Noto Sans Arabic"/>
          <w:b/>
          <w:bCs/>
          <w:i/>
          <w:iCs/>
          <w:lang w:val="en-US" w:eastAsia="en-US" w:bidi="en-US"/>
        </w:rPr>
        <w:t>Nota Explicativa 2:</w:t>
      </w:r>
      <w:r>
        <w:rPr>
          <w:rFonts w:ascii="Liberation Serif" w:hAnsi="Liberation Serif" w:eastAsia="Segoe UI" w:cs="Noto Sans Arabic"/>
          <w:i/>
          <w:iCs/>
          <w:lang w:val="en-US" w:eastAsia="en-US" w:bidi="en-US"/>
        </w:rPr>
        <w:t xml:space="preserve"> Os preços unitários referenciais, as memórias de cálculo e os documentos que lhe dão suporte, com os parâmetros utilizados para a obtenção dos preços e para os respectivos cálculos, devem constar de anexo ao termo de referência,nos termos do </w:t>
      </w:r>
      <w:hyperlink r:id="rId49">
        <w:r>
          <w:rPr>
            <w:rFonts w:ascii="Liberation Serif" w:hAnsi="Liberation Serif" w:eastAsia="Segoe UI" w:cs="Noto Sans Arabic"/>
            <w:i/>
            <w:iCs/>
            <w:lang w:val="en-US" w:eastAsia="en-US" w:bidi="en-US"/>
          </w:rPr>
          <w:t>art. 9º, IX, da Instrução Normativa Seges/ME nº 81, de 2022</w:t>
        </w:r>
      </w:hyperlink>
      <w:r>
        <w:rPr>
          <w:rFonts w:ascii="Liberation Serif" w:hAnsi="Liberation Serif" w:eastAsia="Segoe UI" w:cs="Noto Sans Arabic"/>
          <w:i/>
          <w:iCs/>
          <w:lang w:val="en-US" w:eastAsia="en-US" w:bidi="en-US"/>
        </w:rPr>
        <w:t xml:space="preserve">. Caso a Administração opte por preservar o sigilo da estimativa do valor da contratação, também deverá ser preservado o sigilo desse anexo. </w:t>
      </w:r>
    </w:p>
    <w:p>
      <w:pPr>
        <w:overflowPunct w:val="true"/>
        <w:rPr/>
      </w:pPr>
      <w:r>
        <w:rPr>
          <w:rFonts w:ascii="Liberation Serif" w:hAnsi="Liberation Serif" w:eastAsia="Segoe UI" w:cs="Noto Sans Arabic"/>
          <w:b/>
          <w:bCs/>
          <w:i/>
          <w:iCs/>
          <w:lang w:val="en-US" w:eastAsia="en-US" w:bidi="en-US"/>
        </w:rPr>
        <w:t xml:space="preserve">Nota Explicativa 3: </w:t>
      </w:r>
      <w:r>
        <w:rPr>
          <w:rFonts w:ascii="Liberation Serif" w:hAnsi="Liberation Serif" w:eastAsia="Segoe UI" w:cs="Noto Sans Arabic"/>
          <w:i/>
          <w:iCs/>
          <w:lang w:val="en-US" w:eastAsia="en-US" w:bidi="en-US"/>
        </w:rPr>
        <w:t>Utilizar a redação do item 9.1 na hipótese de licitação em que for adotado o critério de julgamento por menor preço, sem caráter sigiloso.</w:t>
      </w:r>
    </w:p>
  </w:comment>
  <w:comment w:id="40" w:author="Autor" w:date="0-00-00T00:00:00Z" w:initials="A">
    <w:p>
      <w:pPr>
        <w:overflowPunct w:val="true"/>
        <w:rPr/>
      </w:pPr>
      <w:r>
        <w:rPr>
          <w:rFonts w:ascii="Liberation Serif" w:hAnsi="Liberation Serif" w:eastAsia="Segoe UI" w:cs="Noto Sans Arabic"/>
          <w:b/>
          <w:bCs/>
          <w:i/>
          <w:iCs/>
          <w:color w:val="000000"/>
          <w:lang w:val="en-US" w:eastAsia="en-US" w:bidi="en-US"/>
        </w:rPr>
        <w:t>Nota Explicativa 1:</w:t>
      </w:r>
      <w:r>
        <w:rPr>
          <w:rFonts w:ascii="Liberation Serif" w:hAnsi="Liberation Serif" w:eastAsia="Segoe UI" w:cs="Noto Sans Arabic"/>
          <w:i/>
          <w:iCs/>
          <w:color w:val="000000"/>
          <w:lang w:val="en-US" w:eastAsia="en-US" w:bidi="en-US"/>
        </w:rPr>
        <w:t xml:space="preserve"> Utilizar a redação do item 9.3 na hipótese em que for adotado o critério de julgamento por menor preço e caso a Administração opte por preservar o sigilo da estimativa do valor da contratação. Na hipótese de licitação em que for adotado o critério de julgamento por maior desconto, o preço estimado ou o máximo aceitável </w:t>
      </w:r>
      <w:r>
        <w:rPr>
          <w:rFonts w:ascii="Liberation Serif" w:hAnsi="Liberation Serif" w:eastAsia="Segoe UI" w:cs="Noto Sans Arabic"/>
          <w:b/>
          <w:bCs/>
          <w:i/>
          <w:iCs/>
          <w:color w:val="000000"/>
          <w:u w:val="single"/>
          <w:lang w:val="en-US" w:eastAsia="en-US" w:bidi="en-US"/>
        </w:rPr>
        <w:t>não</w:t>
      </w:r>
      <w:r>
        <w:rPr>
          <w:rFonts w:ascii="Liberation Serif" w:hAnsi="Liberation Serif" w:eastAsia="Segoe UI" w:cs="Noto Sans Arabic"/>
          <w:i/>
          <w:iCs/>
          <w:color w:val="000000"/>
          <w:lang w:val="en-US" w:eastAsia="en-US" w:bidi="en-US"/>
        </w:rPr>
        <w:t xml:space="preserve"> poderá ser sigiloso (</w:t>
      </w:r>
      <w:hyperlink r:id="rId50">
        <w:r>
          <w:rPr>
            <w:rFonts w:ascii="Liberation Serif" w:hAnsi="Liberation Serif" w:eastAsia="Segoe UI" w:cs="Noto Sans Arabic"/>
            <w:i/>
            <w:iCs/>
            <w:color w:val="000000"/>
            <w:lang w:val="en-US" w:eastAsia="en-US" w:bidi="en-US"/>
          </w:rPr>
          <w:t>art. 24, parágrafo único, da Lei nº 14.133, de 2021</w:t>
        </w:r>
      </w:hyperlink>
      <w:r>
        <w:rPr>
          <w:rFonts w:ascii="Liberation Serif" w:hAnsi="Liberation Serif" w:eastAsia="Segoe UI" w:cs="Noto Sans Arabic"/>
          <w:i/>
          <w:iCs/>
          <w:color w:val="000000"/>
          <w:lang w:val="en-US" w:eastAsia="en-US" w:bidi="en-US"/>
        </w:rPr>
        <w:t xml:space="preserve">, e </w:t>
      </w:r>
      <w:hyperlink r:id="rId51">
        <w:r>
          <w:rPr>
            <w:rFonts w:ascii="Liberation Serif" w:hAnsi="Liberation Serif" w:eastAsia="Segoe UI" w:cs="Noto Sans Arabic"/>
            <w:i/>
            <w:iCs/>
            <w:color w:val="000000"/>
            <w:lang w:val="en-US" w:eastAsia="en-US" w:bidi="en-US"/>
          </w:rPr>
          <w:t>Instrução Normativa Seges/ME nº 73, de 2022, art. 12, §3º</w:t>
        </w:r>
      </w:hyperlink>
      <w:r>
        <w:rPr>
          <w:rFonts w:ascii="Liberation Serif" w:hAnsi="Liberation Serif" w:eastAsia="Segoe UI" w:cs="Noto Sans Arabic"/>
          <w:i/>
          <w:iCs/>
          <w:color w:val="000000"/>
          <w:lang w:val="en-US" w:eastAsia="en-US" w:bidi="en-US"/>
        </w:rPr>
        <w:t>)</w:t>
      </w:r>
    </w:p>
  </w:comment>
  <w:comment w:id="41" w:author="Autor" w:date="0-00-00T00:00:00Z" w:initials="A">
    <w:p>
      <w:pPr>
        <w:overflowPunct w:val="true"/>
        <w:rPr/>
      </w:pPr>
      <w:r>
        <w:rPr>
          <w:rFonts w:ascii="Liberation Serif" w:hAnsi="Liberation Serif" w:eastAsia="Segoe UI" w:cs="Noto Sans Arabic"/>
          <w:b/>
          <w:bCs/>
          <w:i/>
          <w:iCs/>
          <w:lang w:val="en-US" w:eastAsia="en-US" w:bidi="en-US"/>
        </w:rPr>
        <w:t>Nota Explicativa:</w:t>
      </w:r>
      <w:r>
        <w:rPr>
          <w:rFonts w:ascii="Liberation Serif" w:hAnsi="Liberation Serif" w:eastAsia="Segoe UI" w:cs="Noto Sans Arabic"/>
          <w:i/>
          <w:iCs/>
          <w:color w:val="000000"/>
          <w:lang w:val="en-US" w:eastAsia="en-US" w:bidi="en-US"/>
        </w:rPr>
        <w:t>Em caso de utilização de matriz de alocação de risco, o custo estimado da contratação deve levar em consideração o conjunto de riscos alocados ao contratado, o que naturalmente implicará elevação no custo da contratação (cf. art. 22, caput, e art. 103, §3º, ambos da Lei n. 14.133, de 2021).</w:t>
      </w:r>
    </w:p>
  </w:comment>
  <w:comment w:id="42" w:author="Autor" w:date="0-00-00T00:00:00Z" w:initials="A">
    <w:p>
      <w:pPr>
        <w:overflowPunct w:val="true"/>
        <w:rPr/>
      </w:pPr>
      <w:r>
        <w:rPr>
          <w:rFonts w:ascii="Liberation Serif" w:hAnsi="Liberation Serif" w:eastAsia="Segoe UI" w:cs="Noto Sans Arabic"/>
          <w:b/>
          <w:bCs/>
          <w:i/>
          <w:iCs/>
          <w:color w:val="000000"/>
          <w:lang w:val="en-US" w:eastAsia="en-US" w:bidi="en-US"/>
        </w:rPr>
        <w:t xml:space="preserve">Nota Explicativa: </w:t>
      </w:r>
      <w:r>
        <w:rPr>
          <w:rFonts w:ascii="Liberation Serif" w:hAnsi="Liberation Serif" w:eastAsia="Segoe UI" w:cs="Noto Sans Arabic"/>
          <w:i/>
          <w:iCs/>
          <w:color w:val="000000"/>
          <w:lang w:val="en-US" w:eastAsia="en-US" w:bidi="en-US"/>
        </w:rPr>
        <w:t xml:space="preserve">O art. 106, II da </w:t>
      </w:r>
      <w:hyperlink r:id="rId52">
        <w:r>
          <w:rPr>
            <w:rFonts w:ascii="Liberation Serif" w:hAnsi="Liberation Serif" w:eastAsia="Segoe UI" w:cs="Noto Sans Arabic"/>
            <w:i/>
            <w:iCs/>
            <w:color w:val="000000"/>
            <w:lang w:val="en-US" w:eastAsia="en-US" w:bidi="en-US"/>
          </w:rPr>
          <w:t>Lei nº 14.133, de 2021</w:t>
        </w:r>
      </w:hyperlink>
      <w:r>
        <w:rPr>
          <w:rFonts w:ascii="Liberation Serif" w:hAnsi="Liberation Serif" w:eastAsia="Segoe UI" w:cs="Noto Sans Arabic"/>
          <w:i/>
          <w:iCs/>
          <w:color w:val="000000"/>
          <w:lang w:val="en-US" w:eastAsia="en-US" w:bidi="en-US"/>
        </w:rPr>
        <w:t>, prevê para contratações de serviços e fornecimento continuado que a “a Administração deverá atestar, no início da contratação e de cada exercício, a existência de créditos orçamentários vinculados à contratação e a vantagem em sua manutenção”. Quanto à rescisão contratual por ausência de crédito ou vantajosidade (art. 106, III), remete-se às regras específicas constantes do contrato, inclusive em relação à aplicação do art. 106, §1º.</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Times New Roman">
    <w:altName w:val="serif"/>
    <w:charset w:val="00"/>
    <w:family w:val="roman"/>
    <w:pitch w:val="variable"/>
  </w:font>
  <w:font w:name="Ecofont_Spranq_eco_Sans">
    <w:altName w:val="serif"/>
    <w:charset w:val="00"/>
    <w:family w:val="roman"/>
    <w:pitch w:val="variable"/>
  </w:font>
  <w:font w:name="Arial">
    <w:altName w:val="serif"/>
    <w:charset w:val="00"/>
    <w:family w:val="roman"/>
    <w:pitch w:val="variable"/>
  </w:font>
  <w:font w:name="Rawline">
    <w:altName w:val="Raleway"/>
    <w:charset w:val="00"/>
    <w:family w:val="roman"/>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68842882"/>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2"/>
          </w:rPr>
        </w:pPr>
        <w:r>
          <w:rPr>
            <w:rFonts w:cs="Arial" w:ascii="Arial" w:hAnsi="Arial"/>
            <w:color w:themeColor="text1" w:themeTint="80" w:val="7F7F7F"/>
            <w:sz w:val="12"/>
          </w:rPr>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Atualização: dezembro/2023</w:t>
        </w:r>
      </w:p>
      <w:p>
        <w:pPr>
          <w:pStyle w:val="Footer"/>
          <w:rPr>
            <w:rFonts w:ascii="Rawline" w:hAnsi="Rawline"/>
            <w:color w:themeColor="text2" w:themeShade="80" w:val="0F243E"/>
            <w:sz w:val="22"/>
            <w:szCs w:val="22"/>
          </w:rPr>
        </w:pPr>
        <w:r>
          <w:rPr>
            <w:rFonts w:cs="Arial" w:ascii="Rawline" w:hAnsi="Rawline"/>
            <w:sz w:val="12"/>
            <w:szCs w:val="12"/>
          </w:rPr>
          <w:t>Termo de Referência Aquisições – Licitação - Modelo para Pregão Eletrônico</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 (versão dezembro/2022)</w:t>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TERMO DE REFERÊNCIA - AQUISIÇÕES - LICITAÇÃO</w:t>
    </w:r>
  </w:p>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3">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 w:numId="198">
    <w:abstractNumId w:val="1"/>
  </w:num>
  <w:num w:numId="199">
    <w:abstractNumId w:val="1"/>
  </w:num>
  <w:num w:numId="200">
    <w:abstractNumId w:val="1"/>
  </w:num>
  <w:num w:numId="201">
    <w:abstractNumId w:val="1"/>
  </w:num>
  <w:num w:numId="202">
    <w:abstractNumId w:val="1"/>
  </w:num>
  <w:num w:numId="203">
    <w:abstractNumId w:val="1"/>
  </w:num>
  <w:num w:numId="204">
    <w:abstractNumId w:val="1"/>
  </w:num>
  <w:num w:numId="205">
    <w:abstractNumId w:val="1"/>
  </w:num>
  <w:num w:numId="206">
    <w:abstractNumId w:val="1"/>
  </w:num>
  <w:num w:numId="207">
    <w:abstractNumId w:val="1"/>
  </w:num>
  <w:num w:numId="208">
    <w:abstractNumId w:val="1"/>
  </w:num>
  <w:num w:numId="209">
    <w:abstractNumId w:val="1"/>
  </w:num>
  <w:num w:numId="210">
    <w:abstractNumId w:val="1"/>
  </w:num>
  <w:num w:numId="211">
    <w:abstractNumId w:val="1"/>
  </w:num>
  <w:num w:numId="212">
    <w:abstractNumId w:val="1"/>
  </w:num>
  <w:num w:numId="213">
    <w:abstractNumId w:val="1"/>
  </w:num>
  <w:num w:numId="214">
    <w:abstractNumId w:val="1"/>
  </w:num>
  <w:num w:numId="215">
    <w:abstractNumId w:val="1"/>
  </w:num>
  <w:num w:numId="216">
    <w:abstractNumId w:val="1"/>
  </w:num>
  <w:num w:numId="217">
    <w:abstractNumId w:val="1"/>
  </w:num>
  <w:num w:numId="218">
    <w:abstractNumId w:val="1"/>
  </w:num>
  <w:num w:numId="219">
    <w:abstractNumId w:val="1"/>
  </w:num>
  <w:num w:numId="220">
    <w:abstractNumId w:val="1"/>
  </w:num>
  <w:num w:numId="221">
    <w:abstractNumId w:val="1"/>
  </w:num>
  <w:num w:numId="222">
    <w:abstractNumId w:val="1"/>
  </w:num>
  <w:num w:numId="223">
    <w:abstractNumId w:val="1"/>
  </w:num>
  <w:num w:numId="224">
    <w:abstractNumId w:val="1"/>
  </w:num>
  <w:num w:numId="225">
    <w:abstractNumId w:val="1"/>
  </w:num>
  <w:num w:numId="226">
    <w:abstractNumId w:val="1"/>
  </w:num>
  <w:num w:numId="227">
    <w:abstractNumId w:val="1"/>
  </w:num>
  <w:num w:numId="228">
    <w:abstractNumId w:val="1"/>
  </w:num>
  <w:num w:numId="229">
    <w:abstractNumId w:val="1"/>
  </w:num>
  <w:num w:numId="230">
    <w:abstractNumId w:val="1"/>
  </w:num>
  <w:num w:numId="231">
    <w:abstractNumId w:val="1"/>
  </w:num>
  <w:num w:numId="232">
    <w:abstractNumId w:val="1"/>
  </w:num>
  <w:num w:numId="233">
    <w:abstractNumId w:val="1"/>
  </w:num>
  <w:num w:numId="234">
    <w:abstractNumId w:val="1"/>
  </w:num>
  <w:num w:numId="235">
    <w:abstractNumId w:val="1"/>
  </w:num>
  <w:num w:numId="236">
    <w:abstractNumId w:val="1"/>
  </w:num>
  <w:num w:numId="237">
    <w:abstractNumId w:val="1"/>
  </w:num>
  <w:num w:numId="238">
    <w:abstractNumId w:val="1"/>
  </w:num>
  <w:num w:numId="239">
    <w:abstractNumId w:val="1"/>
  </w:num>
  <w:num w:numId="240">
    <w:abstractNumId w:val="1"/>
  </w:num>
  <w:num w:numId="241">
    <w:abstractNumId w:val="1"/>
  </w:num>
  <w:num w:numId="242">
    <w:abstractNumId w:val="1"/>
  </w:num>
  <w:num w:numId="243">
    <w:abstractNumId w:val="1"/>
  </w:num>
  <w:num w:numId="244">
    <w:abstractNumId w:val="1"/>
  </w:num>
  <w:num w:numId="245">
    <w:abstractNumId w:val="1"/>
  </w:num>
  <w:num w:numId="246">
    <w:abstractNumId w:val="1"/>
  </w:num>
  <w:num w:numId="247">
    <w:abstractNumId w:val="1"/>
  </w:num>
  <w:num w:numId="248">
    <w:abstractNumId w:val="1"/>
  </w:num>
  <w:num w:numId="249">
    <w:abstractNumId w:val="1"/>
  </w:num>
  <w:num w:numId="250">
    <w:abstractNumId w:val="1"/>
  </w:num>
  <w:num w:numId="251">
    <w:abstractNumId w:val="1"/>
  </w:num>
  <w:num w:numId="252">
    <w:abstractNumId w:val="1"/>
  </w:num>
  <w:num w:numId="253">
    <w:abstractNumId w:val="1"/>
  </w:num>
  <w:num w:numId="254">
    <w:abstractNumId w:val="1"/>
  </w:num>
  <w:num w:numId="255">
    <w:abstractNumId w:val="1"/>
  </w:num>
  <w:num w:numId="256">
    <w:abstractNumId w:val="1"/>
  </w:num>
  <w:num w:numId="257">
    <w:abstractNumId w:val="1"/>
  </w:num>
  <w:num w:numId="258">
    <w:abstractNumId w:val="1"/>
  </w:num>
  <w:num w:numId="259">
    <w:abstractNumId w:val="1"/>
  </w:num>
  <w:num w:numId="260">
    <w:abstractNumId w:val="1"/>
  </w:num>
  <w:num w:numId="261">
    <w:abstractNumId w:val="1"/>
  </w:num>
  <w:num w:numId="262">
    <w:abstractNumId w:val="1"/>
  </w:num>
  <w:num w:numId="263">
    <w:abstractNumId w:val="1"/>
  </w:num>
  <w:num w:numId="264">
    <w:abstractNumId w:val="1"/>
  </w:num>
  <w:num w:numId="265">
    <w:abstractNumId w:val="1"/>
  </w:num>
  <w:num w:numId="266">
    <w:abstractNumId w:val="1"/>
  </w:num>
</w:numbering>
</file>

<file path=word/settings.xml><?xml version="1.0" encoding="utf-8"?>
<w:settings xmlns:w="http://schemas.openxmlformats.org/wordprocessingml/2006/main">
  <w:zoom w:percent="80"/>
  <w:mirrorMargins/>
  <w:defaultTabStop w:val="708"/>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uiPriority="9"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uiPriority="22" w:semiHidden="0" w:unhideWhenUsed="0"/>
    <w:lsdException w:name="Emphasis" w:uiPriority="20" w:semiHidden="0" w:unhideWhenUsed="0"/>
    <w:lsdException w:name="Normal (Web)" w:uiPriority="99"/>
    <w:lsdException w:name="annotation subject" w:uiPriority="99"/>
    <w:lsdException w:name="No List" w:uiPriority="99"/>
    <w:lsdException w:name="Balloon Text" w:uiPriority="99"/>
    <w:lsdException w:name="Table Grid" w:uiPriority="39"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uiPriority="34" w:semiHidden="0" w:unhideWhenUsed="0"/>
    <w:lsdException w:name="Quote" w:semiHidden="0" w:unhideWhenUsed="0"/>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qFormat="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customStyle="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customStyle="1">
    <w:name w:val="Heading 2"/>
    <w:basedOn w:val="Normal"/>
    <w:next w:val="Normal"/>
    <w:link w:val="Ttulo2Char"/>
    <w:qFormat/>
    <w:rsid w:val="004b460a"/>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3" w:customStyle="1">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customStyle="1">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customStyle="1">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1" w:customStyle="1">
    <w:name w:val="Hyperlink1"/>
    <w:qFormat/>
    <w:rsid w:val="00404e3e"/>
    <w:rPr>
      <w:color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881f44"/>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365F91"/>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HiperlinkVisitado1" w:customStyle="1">
    <w:name w:val="HiperlinkVisitado1"/>
    <w:qFormat/>
    <w:rsid w:val="00404e3e"/>
    <w:rPr>
      <w:color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8424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da3ef1"/>
    <w:rPr>
      <w:rFonts w:ascii="Arial" w:hAnsi="Arial" w:eastAsia="Arial" w:cs="Arial"/>
      <w:i/>
      <w:iCs/>
      <w:color w:val="FF0000"/>
      <w:lang w:eastAsia="pt-BR"/>
    </w:rPr>
  </w:style>
  <w:style w:type="character" w:styleId="Nivel3Char" w:customStyle="1">
    <w:name w:val="Nivel 3 Char"/>
    <w:basedOn w:val="DefaultParagraphFont"/>
    <w:link w:val="Nivel3"/>
    <w:qFormat/>
    <w:rsid w:val="005d30b6"/>
    <w:rPr>
      <w:rFonts w:ascii="Arial" w:hAnsi="Arial" w:cs="Arial"/>
      <w:color w:val="000000"/>
      <w:lang w:eastAsia="pt-BR"/>
    </w:rPr>
  </w:style>
  <w:style w:type="character" w:styleId="Nvel3-RChar" w:customStyle="1">
    <w:name w:val="Nível 3-R Char"/>
    <w:basedOn w:val="Nivel3Char"/>
    <w:qFormat/>
    <w:rsid w:val="00775cfb"/>
    <w:rPr>
      <w:rFonts w:ascii="Arial" w:hAnsi="Arial" w:cs="Arial"/>
      <w:i/>
      <w:iCs/>
      <w:color w:val="FF0000"/>
      <w:lang w:eastAsia="pt-BR"/>
    </w:rPr>
  </w:style>
  <w:style w:type="character" w:styleId="Nvel4-RChar" w:customStyle="1">
    <w:name w:val="Nível 4-R Char"/>
    <w:basedOn w:val="Nivel4Char"/>
    <w:qFormat/>
    <w:rsid w:val="00da3ef1"/>
    <w:rPr>
      <w:rFonts w:ascii="Arial" w:hAnsi="Arial" w:cs="Arial"/>
      <w:i/>
      <w:iCs/>
      <w:color w:val="FF0000"/>
      <w:lang w:eastAsia="pt-BR"/>
    </w:rPr>
  </w:style>
  <w:style w:type="character" w:styleId="Nvel1-SemNumChar" w:customStyle="1">
    <w:name w:val="Nível 1-Sem Num Char"/>
    <w:basedOn w:val="Nivel01Char"/>
    <w:qFormat/>
    <w:rsid w:val="00881f44"/>
    <w:rPr>
      <w:rFonts w:ascii="Arial" w:hAnsi="Arial" w:eastAsia="" w:cs="Arial" w:eastAsiaTheme="majorEastAsia"/>
      <w:b/>
      <w:bCs/>
      <w:color w:themeColor="text2" w:themeShade="bf" w:val="17365D"/>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qFormat/>
    <w:rsid w:val="005b0afb"/>
    <w:rPr>
      <w:rFonts w:ascii="Arial" w:hAnsi="Arial" w:cs="Tahoma"/>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tion" w:customStyle="1">
    <w:name w:val="Mention"/>
    <w:basedOn w:val="DefaultParagraphFont"/>
    <w:uiPriority w:val="99"/>
    <w:unhideWhenUsed/>
    <w:qFormat/>
    <w:rsid w:val="002804a7"/>
    <w:rPr>
      <w:color w:val="2B579A"/>
      <w:shd w:fill="E6E6E6" w:val="clear"/>
    </w:rPr>
  </w:style>
  <w:style w:type="character" w:styleId="UnresolvedMention" w:customStyle="1">
    <w:name w:val="Unresolved Mention"/>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qFormat/>
    <w:rsid w:val="00036ad7"/>
    <w:rPr>
      <w:rFonts w:ascii="Arial" w:hAnsi="Arial" w:eastAsia="" w:cs="Arial" w:eastAsiaTheme="majorEastAsia"/>
      <w:b/>
      <w:bCs/>
      <w:color w:themeColor="text2" w:themeShade="bf" w:val="17365D"/>
      <w:spacing w:val="5"/>
      <w:kern w:val="2"/>
      <w:sz w:val="52"/>
      <w:szCs w:val="52"/>
      <w:lang w:eastAsia="zh-CN" w:bidi="hi-IN"/>
    </w:rPr>
  </w:style>
  <w:style w:type="character" w:styleId="Hyperlink2" w:customStyle="1">
    <w:name w:val="Hyperlink2"/>
    <w:qFormat/>
    <w:rsid w:val="00404e3e"/>
    <w:rPr>
      <w:color w:val="000080"/>
      <w:u w:val="single"/>
    </w:rPr>
  </w:style>
  <w:style w:type="character" w:styleId="MenoPendente5" w:customStyle="1">
    <w:name w:val="Menção Pendente5"/>
    <w:qFormat/>
    <w:rsid w:val="00404e3e"/>
    <w:rPr>
      <w:color w:val="605E5C"/>
      <w:shd w:fill="E1DFDD" w:val="clear"/>
    </w:rPr>
  </w:style>
  <w:style w:type="character" w:styleId="Hyperlink">
    <w:name w:val="Hyperlink"/>
    <w:rsid w:val="00404e3e"/>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rsid w:val="00404e3e"/>
    <w:pPr/>
    <w:rPr>
      <w:rFonts w:cs="Arial"/>
    </w:rPr>
  </w:style>
  <w:style w:type="paragraph" w:styleId="Caption" w:customStyle="1">
    <w:name w:val="Caption"/>
    <w:basedOn w:val="Normal"/>
    <w:qFormat/>
    <w:rsid w:val="00404e3e"/>
    <w:pPr>
      <w:suppressLineNumbers/>
      <w:spacing w:before="120" w:after="120"/>
    </w:pPr>
    <w:rPr>
      <w:rFonts w:cs="Arial"/>
      <w:i/>
      <w:iCs/>
    </w:rPr>
  </w:style>
  <w:style w:type="paragraph" w:styleId="Ndice" w:customStyle="1">
    <w:name w:val="Índice"/>
    <w:basedOn w:val="Normal"/>
    <w:qFormat/>
    <w:rsid w:val="00404e3e"/>
    <w:pPr>
      <w:suppressLineNumbers/>
    </w:pPr>
    <w:rPr>
      <w:rFonts w:cs="Arial"/>
    </w:rPr>
  </w:style>
  <w:style w:type="paragraph" w:styleId="Title">
    <w:name w:val="Title"/>
    <w:basedOn w:val="Normal"/>
    <w:next w:val="BodyText"/>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Caption1">
    <w:name w:val="caption1"/>
    <w:basedOn w:val="Normal"/>
    <w:qFormat/>
    <w:rsid w:val="00404e3e"/>
    <w:pPr>
      <w:suppressLineNumbers/>
      <w:spacing w:before="120" w:after="120"/>
    </w:pPr>
    <w:rPr>
      <w:rFonts w:cs="Arial"/>
      <w:i/>
      <w:iCs/>
    </w:rPr>
  </w:style>
  <w:style w:type="paragraph" w:styleId="Caption11" w:customStyle="1">
    <w:name w:val="caption11"/>
    <w:basedOn w:val="Normal"/>
    <w:qFormat/>
    <w:rsid w:val="00404e3e"/>
    <w:pPr>
      <w:spacing w:before="120" w:after="120"/>
    </w:pPr>
    <w:rPr>
      <w:rFonts w:eastAsia="Arial"/>
      <w:i/>
      <w:iCs/>
    </w:rPr>
  </w:style>
  <w:style w:type="paragraph" w:styleId="ListParagraph">
    <w:name w:val="List Paragraph"/>
    <w:basedOn w:val="Normal"/>
    <w:link w:val="PargrafodaListaChar"/>
    <w:uiPriority w:val="34"/>
    <w:qFormat/>
    <w:rsid w:val="004773fc"/>
    <w:pPr>
      <w:spacing w:before="0" w:after="0"/>
      <w:ind w:hanging="0"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customStyle="1">
    <w:name w:val="Cabeçalho e Rodapé"/>
    <w:basedOn w:val="Normal"/>
    <w:qFormat/>
    <w:rsid w:val="00404e3e"/>
    <w:pPr/>
    <w:rPr/>
  </w:style>
  <w:style w:type="paragraph" w:styleId="Header" w:customStyle="1">
    <w:name w:val="Header"/>
    <w:basedOn w:val="Normal"/>
    <w:link w:val="CabealhoChar"/>
    <w:uiPriority w:val="99"/>
    <w:rsid w:val="00ca24fb"/>
    <w:pPr>
      <w:tabs>
        <w:tab w:val="clear" w:pos="708"/>
        <w:tab w:val="center" w:pos="4252" w:leader="none"/>
        <w:tab w:val="right" w:pos="8504" w:leader="none"/>
      </w:tabs>
    </w:pPr>
    <w:rPr/>
  </w:style>
  <w:style w:type="paragraph" w:styleId="Footer" w:customStyle="1">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881f44"/>
    <w:pPr>
      <w:tabs>
        <w:tab w:val="clear" w:pos="708"/>
        <w:tab w:val="left" w:pos="567" w:leader="none"/>
      </w:tabs>
      <w:spacing w:lineRule="auto" w:line="276" w:before="240" w:after="120"/>
      <w:jc w:val="both"/>
    </w:pPr>
    <w:rPr>
      <w:rFonts w:ascii="Arial" w:hAnsi="Arial" w:cs="Arial"/>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rPr>
  </w:style>
  <w:style w:type="paragraph" w:styleId="PargrafodaLista1" w:customStyle="1">
    <w:name w:val="Parágrafo da Lista1"/>
    <w:basedOn w:val="Normal"/>
    <w:qFormat/>
    <w:rsid w:val="00d30a43"/>
    <w:pPr>
      <w:ind w:hanging="0" w:left="720"/>
    </w:pPr>
    <w:rPr>
      <w:rFonts w:eastAsia="Times New Roman" w:cs="Ecofont_Spranq_eco_Sans"/>
    </w:rPr>
  </w:style>
  <w:style w:type="paragraph" w:styleId="Nivel2" w:customStyle="1">
    <w:name w:val="Nivel 2"/>
    <w:basedOn w:val="Normal"/>
    <w:link w:val="Nivel2Char"/>
    <w:autoRedefine/>
    <w:qFormat/>
    <w:rsid w:val="0084242c"/>
    <w:pPr>
      <w:spacing w:lineRule="auto" w:line="276" w:before="120" w:after="120"/>
      <w:jc w:val="both"/>
    </w:pPr>
    <w:rPr>
      <w:rFonts w:ascii="Arial" w:hAnsi="Arial" w:eastAsia="Arial" w:cs="Arial"/>
      <w:color w:val="000000"/>
      <w:sz w:val="20"/>
      <w:szCs w:val="20"/>
    </w:rPr>
  </w:style>
  <w:style w:type="paragraph" w:styleId="Nivel11" w:customStyle="1">
    <w:name w:val="Nivel 1"/>
    <w:basedOn w:val="Nivel2"/>
    <w:next w:val="Nivel2"/>
    <w:qFormat/>
    <w:rsid w:val="003629e4"/>
    <w:pPr>
      <w:ind w:hanging="360" w:left="360"/>
    </w:pPr>
    <w:rPr>
      <w:b/>
    </w:rPr>
  </w:style>
  <w:style w:type="paragraph" w:styleId="Nivel3" w:customStyle="1">
    <w:name w:val="Nivel 3"/>
    <w:basedOn w:val="Normal"/>
    <w:link w:val="Nivel3Char"/>
    <w:autoRedefine/>
    <w:qFormat/>
    <w:rsid w:val="005d30b6"/>
    <w:p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autoRedefine/>
    <w:qFormat/>
    <w:rsid w:val="00da3ef1"/>
    <w:pPr>
      <w:ind w:hanging="0" w:left="567"/>
    </w:pPr>
    <w:rPr>
      <w:color w:val="auto"/>
    </w:rPr>
  </w:style>
  <w:style w:type="paragraph" w:styleId="Nivel5" w:customStyle="1">
    <w:name w:val="Nivel 5"/>
    <w:basedOn w:val="Nivel4"/>
    <w:autoRedefine/>
    <w:qFormat/>
    <w:rsid w:val="00da3ef1"/>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hanging="0"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hanging="432" w:left="432"/>
    </w:pPr>
    <w:rPr>
      <w:rFonts w:eastAsia="Times New Roman"/>
      <w:i/>
      <w:color w:val="FF0000"/>
    </w:rPr>
  </w:style>
  <w:style w:type="paragraph" w:styleId="Nvel3Opcional" w:customStyle="1">
    <w:name w:val="Nível 3 Opcional"/>
    <w:basedOn w:val="Nivel3"/>
    <w:link w:val="Nvel3OpcionalChar"/>
    <w:qFormat/>
    <w:rsid w:val="00a831d9"/>
    <w:p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link w:val="CorpodetextoChar"/>
    <w:qFormat/>
    <w:rsid w:val="00cb3192"/>
    <w:pPr>
      <w:spacing w:lineRule="auto" w:line="276" w:before="0" w:after="140"/>
    </w:pPr>
    <w:rPr/>
  </w:style>
  <w:style w:type="paragraph" w:styleId="Ou" w:customStyle="1">
    <w:name w:val="ou"/>
    <w:basedOn w:val="ListParagraph"/>
    <w:link w:val="OuChar"/>
    <w:qFormat/>
    <w:rsid w:val="00f93d80"/>
    <w:pPr>
      <w:spacing w:lineRule="auto" w:line="259" w:before="60" w:after="60"/>
      <w:ind w:hanging="0" w:left="0"/>
      <w:contextualSpacing/>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da3ef1"/>
    <w:pPr/>
    <w:rPr>
      <w:i/>
      <w:iCs/>
      <w:color w:val="FF0000"/>
    </w:rPr>
  </w:style>
  <w:style w:type="paragraph" w:styleId="Nvel3-R" w:customStyle="1">
    <w:name w:val="Nível 3-R"/>
    <w:basedOn w:val="Nivel3"/>
    <w:autoRedefine/>
    <w:qFormat/>
    <w:rsid w:val="00027167"/>
    <w:pPr>
      <w:tabs>
        <w:tab w:val="clear" w:pos="708"/>
        <w:tab w:val="left" w:pos="0" w:leader="none"/>
      </w:tabs>
      <w:ind w:hanging="504" w:left="1781"/>
    </w:pPr>
    <w:rPr>
      <w:i/>
      <w:iCs/>
      <w:color w:themeColor="text1" w:val="000000"/>
      <w:lang w:eastAsia="en-US"/>
    </w:rPr>
  </w:style>
  <w:style w:type="paragraph" w:styleId="Nvel4-R" w:customStyle="1">
    <w:name w:val="Nível 4-R"/>
    <w:basedOn w:val="Nivel4"/>
    <w:autoRedefine/>
    <w:qFormat/>
    <w:rsid w:val="00da3ef1"/>
    <w:pPr/>
    <w:rPr>
      <w:i/>
      <w:iCs/>
      <w:color w:val="FF0000"/>
    </w:rPr>
  </w:style>
  <w:style w:type="paragraph" w:styleId="Nvel1-SemNum" w:customStyle="1">
    <w:name w:val="Nível 1-Sem Num"/>
    <w:basedOn w:val="Nivel01"/>
    <w:autoRedefine/>
    <w:qFormat/>
    <w:rsid w:val="00881f44"/>
    <w:pPr>
      <w:outlineLvl w:val="1"/>
    </w:pPr>
    <w:rPr/>
  </w:style>
  <w:style w:type="paragraph" w:styleId="Citao2" w:customStyle="1">
    <w:name w:val="citação 2"/>
    <w:basedOn w:val="Quote"/>
    <w:qFormat/>
    <w:rsid w:val="00dc41dd"/>
    <w:pPr/>
    <w:rPr>
      <w:szCs w:val="20"/>
    </w:rPr>
  </w:style>
  <w:style w:type="paragraph" w:styleId="Prembulo" w:customStyle="1">
    <w:name w:val="Preâmbulo"/>
    <w:basedOn w:val="Normal"/>
    <w:link w:val="PrembuloChar"/>
    <w:qFormat/>
    <w:rsid w:val="00bb19e4"/>
    <w:pPr>
      <w:spacing w:lineRule="auto" w:line="360" w:before="480" w:after="120"/>
      <w:ind w:hanging="0" w:left="4253" w:right="-17"/>
      <w:jc w:val="both"/>
    </w:pPr>
    <w:rPr>
      <w:rFonts w:ascii="Arial" w:hAnsi="Arial" w:eastAsia="Arial" w:cs="Arial"/>
      <w:bCs/>
      <w:sz w:val="20"/>
      <w:szCs w:val="20"/>
    </w:rPr>
  </w:style>
  <w:style w:type="paragraph" w:styleId="Nivel3-erro" w:customStyle="1">
    <w:name w:val="Nivel 3-erro"/>
    <w:basedOn w:val="Nivel3"/>
    <w:qFormat/>
    <w:rsid w:val="005b0afb"/>
    <w:pPr>
      <w:spacing w:lineRule="auto" w:line="240"/>
      <w:ind w:hanging="0" w:left="425"/>
    </w:pPr>
    <w:rPr>
      <w:rFonts w:cs="Tahoma"/>
      <w:color w:val="auto"/>
      <w:szCs w:val="24"/>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qFormat/>
    <w:rsid w:val="00036ad7"/>
    <w:pPr/>
    <w:rPr>
      <w:lang w:eastAsia="zh-CN" w:bidi="hi-IN"/>
    </w:rPr>
  </w:style>
  <w:style w:type="paragraph" w:styleId="Contedodatabela" w:customStyle="1">
    <w:name w:val="Conteúdo da tabela"/>
    <w:basedOn w:val="Normal"/>
    <w:qFormat/>
    <w:rsid w:val="00404e3e"/>
    <w:pPr>
      <w:suppressLineNumbers/>
    </w:pPr>
    <w:rPr/>
  </w:style>
  <w:style w:type="paragraph" w:styleId="Ttulodetabela" w:customStyle="1">
    <w:name w:val="Título de tabela"/>
    <w:basedOn w:val="Contedodatabela"/>
    <w:qFormat/>
    <w:rsid w:val="00404e3e"/>
    <w:pPr>
      <w:jc w:val="center"/>
    </w:pPr>
    <w:rPr>
      <w:b/>
      <w:bCs/>
    </w:rPr>
  </w:style>
  <w:style w:type="paragraph" w:styleId="Normal11" w:customStyle="1">
    <w:name w:val="Normal1"/>
    <w:qFormat/>
    <w:rsid w:val="00404e3e"/>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ar-SA" w:bidi="ar-SA"/>
    </w:rPr>
  </w:style>
  <w:style w:type="paragraph" w:styleId="LO-Normal" w:customStyle="1">
    <w:name w:val="LO-Normal"/>
    <w:qFormat/>
    <w:rsid w:val="00404e3e"/>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ar-SA" w:bidi="ar-SA"/>
    </w:rPr>
  </w:style>
  <w:style w:type="paragraph" w:styleId="Caption111" w:customStyle="1">
    <w:name w:val="caption111"/>
    <w:basedOn w:val="Normal"/>
    <w:qFormat/>
    <w:rsid w:val="00404e3e"/>
    <w:pPr>
      <w:spacing w:before="120" w:after="120"/>
    </w:pPr>
    <w:rPr>
      <w:rFonts w:eastAsia="Arial"/>
      <w:i/>
      <w:i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omments.xml.rels><?xml version="1.0" encoding="UTF-8"?>
<Relationships xmlns="http://schemas.openxmlformats.org/package/2006/relationships"><Relationship Id="rId1" Type="http://schemas.openxmlformats.org/officeDocument/2006/relationships/hyperlink" Target="https://www.gov.br/pncp/pt-br/catalogo-eletronico-de-padronizacao" TargetMode="External"/><Relationship Id="rId2" Type="http://schemas.openxmlformats.org/officeDocument/2006/relationships/hyperlink" Target="https://www.gov.br/agu/pt-br/composicao/cgu/cgu/guias/gncs_082022.pdf" TargetMode="External"/><Relationship Id="rId3" Type="http://schemas.openxmlformats.org/officeDocument/2006/relationships/hyperlink" Target="https://www.gov.br/compras/pt-br/acesso-a-informacao/legislacao/portarias/portaria-seges-me-no-8-678-de-19-de-julho-de-2021" TargetMode="External"/><Relationship Id="rId4" Type="http://schemas.openxmlformats.org/officeDocument/2006/relationships/hyperlink" Target="https://www.gov.br/compras/pt-br/acesso-a-informacao/legislacao/portarias/portaria-seges-me-no-8-678-de-19-de-julho-de-2021" TargetMode="External"/><Relationship Id="rId5" Type="http://schemas.openxmlformats.org/officeDocument/2006/relationships/hyperlink" Target="https://sapiens.agu.gov.br/valida_publico?id=627431320" TargetMode="External"/><Relationship Id="rId6" Type="http://schemas.openxmlformats.org/officeDocument/2006/relationships/hyperlink" Target="https://www.gov.br/agu/pt-br/composicao/cgu/cgu/guias/gncs_082022.pdf" TargetMode="External"/><Relationship Id="rId7" Type="http://schemas.openxmlformats.org/officeDocument/2006/relationships/hyperlink" Target="https://www.gov.br/agu/pt-br/composicao/cgu/cgu/guias/gncs_082022.pdf" TargetMode="External"/><Relationship Id="rId8" Type="http://schemas.openxmlformats.org/officeDocument/2006/relationships/hyperlink" Target="https://www.in.gov.br/en/web/dou/-/instrucao-normativa-seges-n-58-de-8-de-agosto-de-2022-421221597%23" TargetMode="External"/><Relationship Id="rId9" Type="http://schemas.openxmlformats.org/officeDocument/2006/relationships/hyperlink" Target="https://www.planalto.gov.br/ccivil_03/_ato2007-2010/2010/lei/l12305.htm" TargetMode="External"/><Relationship Id="rId10" Type="http://schemas.openxmlformats.org/officeDocument/2006/relationships/hyperlink" Target="https://doacoes.gov.br/" TargetMode="External"/><Relationship Id="rId11" Type="http://schemas.openxmlformats.org/officeDocument/2006/relationships/hyperlink" Target="https://www.gov.br/compras/pt-br/acesso-a-informacao/legislacao/instrucoes-normativas/instrucao-normativa-seges-me-no-81-de-25-de-novembro-de-2022"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acesso-a-informacao/legislacao/instrucoes-normativas/instrucao-normativa-seges-me-no-81-de-25-de-novembro-de-2022" TargetMode="External"/><Relationship Id="rId15" Type="http://schemas.openxmlformats.org/officeDocument/2006/relationships/hyperlink" Target="https://www.gov.br/compras/pt-br/acesso-a-informacao/legislacao/instrucoes-normativas/instrucao-normativa-seges-me-no-81-de-25-de-novembro-de-2022" TargetMode="External"/><Relationship Id="rId16" Type="http://schemas.openxmlformats.org/officeDocument/2006/relationships/hyperlink" Target="https://www.gov.br/compras/pt-br/acesso-a-informacao/legislacao/instrucoes-normativas/instrucao-normativa-seges-me-no-81-de-25-de-novembro-de-2022"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s://www.in.gov.br/en/web/dou/-/instrucao-normativa-seges-n-58-de-8-de-agosto-de-2022-421221597%23"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2/Decreto/D11246.htm" TargetMode="External"/><Relationship Id="rId21" Type="http://schemas.openxmlformats.org/officeDocument/2006/relationships/hyperlink" Target="https://www.gov.br/compras/pt-br/acesso-a-informacao/legislacao/instrucoes-normativas/instrucao-normativa-seges-me-no-77-de-4-de-novembro-de-2022"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seges-me-no-77-de-4-de-novembro-de-2022" TargetMode="External"/><Relationship Id="rId24" Type="http://schemas.openxmlformats.org/officeDocument/2006/relationships/hyperlink" Target="https://www.gov.br/compras/pt-br/acesso-a-informacao/legislacao/instrucoes-normativas/instrucao-normativa-seges-me-no-77-de-4-de-novembro-de-2022"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s://www.gov.br/compras/pt-br/acesso-a-informacao/legislacao/instrucoes-normativas/instrucao-normativa-no-53-de-8-de-julho-de-2020" TargetMode="External"/><Relationship Id="rId27" Type="http://schemas.openxmlformats.org/officeDocument/2006/relationships/hyperlink" Target="https://www.planalto.gov.br/ccivil_03/constituicao/constituicao.htm"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116-de-21-de-dezembro-de-2021" TargetMode="External"/><Relationship Id="rId32" Type="http://schemas.openxmlformats.org/officeDocument/2006/relationships/hyperlink" Target="https://www.planalto.gov.br/ccivil_03/_ato2019-2022/2022/decreto/d10977.htm" TargetMode="External"/><Relationship Id="rId33" Type="http://schemas.openxmlformats.org/officeDocument/2006/relationships/hyperlink" Target="https://www.in.gov.br/en/web/dou/-/lei-n-14.195-de-26-de-agosto-de-2021-341049135" TargetMode="External"/><Relationship Id="rId34" Type="http://schemas.openxmlformats.org/officeDocument/2006/relationships/hyperlink" Target="http://www.planalto.gov.br/ccivil_03/_ato2019-2022/2022/lei/L14382.htm" TargetMode="External"/><Relationship Id="rId35" Type="http://schemas.openxmlformats.org/officeDocument/2006/relationships/hyperlink" Target="https://legislacao.presidencia.gov.br/atos/?tipo=LEI&amp;numero=10406&amp;ano=2002&amp;ato=ac5gXVE5ENNpWT07a" TargetMode="External"/><Relationship Id="rId36"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5172compilado.htm"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constituicao/constituicao.htm" TargetMode="External"/><Relationship Id="rId4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constituicao/constituicao.htm" TargetMode="External"/><Relationship Id="rId44"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leis/l6360.htm" TargetMode="External"/><Relationship Id="rId46" Type="http://schemas.openxmlformats.org/officeDocument/2006/relationships/hyperlink" Target="http://antigo.anvisa.gov.br/documents/10181/2718376/RDC_16_2014_COMP.pdf/542cc137-b331-4596-9c87-7426c0ae77b7" TargetMode="External"/><Relationship Id="rId47"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65-de-7-de-julho-de-2021" TargetMode="External"/><Relationship Id="rId49" Type="http://schemas.openxmlformats.org/officeDocument/2006/relationships/hyperlink" Target="https://www.gov.br/compras/pt-br/acesso-a-informacao/legislacao/instrucoes-normativas/instrucao-normativa-seges-me-no-81-de-25-de-novembro-de-2022" TargetMode="External"/><Relationship Id="rId50"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s://www.gov.br/empresas-e-negocios/pt-br/empreendedor" TargetMode="External"/><Relationship Id="rId8" Type="http://schemas.openxmlformats.org/officeDocument/2006/relationships/hyperlink" Target="https://www.gov.br/economia/pt-br/assuntos/drei/legislacao/arquivos/legislacoes-federais/indrei772020.pdf" TargetMode="External"/><Relationship Id="rId9"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comments" Target="comment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Relationship Id="rId20"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2.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customXml/itemProps4.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823</TotalTime>
  <Application>LibreOffice/7.6.7.2$Windows_X86_64 LibreOffice_project/dd47e4b30cb7dab30588d6c79c651f218165e3c5</Application>
  <AppVersion>15.0000</AppVersion>
  <Pages>57</Pages>
  <Words>12828</Words>
  <Characters>72286</Characters>
  <CharactersWithSpaces>82787</CharactersWithSpaces>
  <Paragraphs>2256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2023-12-21T22:05:00Z</dcterms:created>
  <dc:creator/>
  <dc:description/>
  <dc:language>pt-BR</dc:language>
  <cp:lastModifiedBy/>
  <cp:lastPrinted>2024-06-17T11:04:00Z</cp:lastPrinted>
  <dcterms:modified xsi:type="dcterms:W3CDTF">2024-12-12T11:18:01Z</dcterms:modified>
  <cp:revision>43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HyperlinksChanged">
    <vt:bool>0</vt:bool>
  </property>
  <property fmtid="{D5CDD505-2E9C-101B-9397-08002B2CF9AE}" pid="4" name="LinksUpToDate">
    <vt:bool>0</vt:bool>
  </property>
  <property fmtid="{D5CDD505-2E9C-101B-9397-08002B2CF9AE}" pid="5" name="MediaServiceImageTags">
    <vt:lpwstr/>
  </property>
  <property fmtid="{D5CDD505-2E9C-101B-9397-08002B2CF9AE}" pid="6" name="ScaleCrop">
    <vt:bool>0</vt:bool>
  </property>
  <property fmtid="{D5CDD505-2E9C-101B-9397-08002B2CF9AE}" pid="7" name="ShareDoc">
    <vt:bool>0</vt:bool>
  </property>
</Properties>
</file>