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rFonts w:ascii="Arial" w:eastAsia="Times New Roman" w:hAnsi="Arial" w:cs="Arial"/>
          <w:b/>
          <w:sz w:val="20"/>
          <w:szCs w:val="20"/>
        </w:rPr>
      </w:pPr>
      <w:bookmarkStart w:id="0" w:name="_Hlk82471863"/>
      <w:r>
        <w:rPr>
          <w:rFonts w:ascii="Arial" w:hAnsi="Arial" w:cs="Arial"/>
          <w:b/>
          <w:bCs/>
          <w:iCs/>
          <w:sz w:val="20"/>
          <w:szCs w:val="20"/>
        </w:rPr>
        <w:t>53° BATALHÃO DE INFANTARIA DE SELVA</w:t>
      </w:r>
    </w:p>
    <w:p>
      <w:pPr>
        <w:spacing w:before="120" w:afterLines="120" w:after="288" w:line="312" w:lineRule="auto"/>
        <w:jc w:val="center"/>
        <w:rPr>
          <w:rFonts w:ascii="Arial" w:hAnsi="Arial" w:cs="Arial"/>
          <w:bCs/>
          <w:color w:val="000000"/>
          <w:sz w:val="20"/>
          <w:szCs w:val="20"/>
        </w:rPr>
      </w:pPr>
      <w:r>
        <w:rPr>
          <w:rFonts w:ascii="Arial" w:hAnsi="Arial" w:cs="Arial"/>
          <w:color w:val="000000" w:themeColor="text1"/>
          <w:sz w:val="20"/>
          <w:szCs w:val="20"/>
        </w:rPr>
        <w:t>(Processo Administrativo n° 64121.002491/2024-15)</w:t>
      </w:r>
    </w:p>
    <w:p>
      <w:pPr>
        <w:pStyle w:val="Nivel01"/>
        <w:rPr>
          <w:rFonts w:eastAsia="Arial"/>
        </w:rPr>
      </w:pPr>
      <w:r>
        <w:t>CONDIÇÕES GERAIS DA CONTRATAÇÃO</w:t>
      </w:r>
    </w:p>
    <w:p>
      <w:pPr>
        <w:pStyle w:val="Nivel2"/>
        <w:rPr>
          <w:b/>
          <w:bCs/>
        </w:rPr>
      </w:pPr>
      <w:r>
        <w:t>Aquisição de</w:t>
      </w:r>
      <w:r>
        <w:rPr>
          <w:color w:val="FF0000"/>
        </w:rPr>
        <w:t xml:space="preserve"> </w:t>
      </w:r>
      <w:r>
        <w:t>óleo lubrificante automotivo</w:t>
      </w:r>
      <w:r>
        <w:rPr>
          <w:b/>
          <w:bCs/>
        </w:rPr>
        <w:t>,</w:t>
      </w:r>
      <w:r>
        <w:t xml:space="preserve"> nos termos da tabela abaixo, conforme condições e exigências estabelecidas neste instrumento.</w:t>
      </w:r>
    </w:p>
    <w:tbl>
      <w:tblPr>
        <w:tblW w:w="101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74"/>
        <w:gridCol w:w="2637"/>
        <w:gridCol w:w="1134"/>
        <w:gridCol w:w="1418"/>
        <w:gridCol w:w="708"/>
        <w:gridCol w:w="1276"/>
        <w:gridCol w:w="1501"/>
      </w:tblGrid>
      <w:tr>
        <w:trPr>
          <w:trHeight w:val="20"/>
        </w:trPr>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pPr>
              <w:widowControl w:val="0"/>
              <w:suppressAutoHyphens/>
              <w:spacing w:before="120" w:afterLines="120" w:after="288" w:line="312" w:lineRule="auto"/>
              <w:jc w:val="center"/>
              <w:rPr>
                <w:rFonts w:ascii="Arial" w:eastAsia="Arial" w:hAnsi="Arial" w:cs="Arial"/>
                <w:b/>
                <w:bCs/>
                <w:color w:val="000000"/>
                <w:sz w:val="20"/>
                <w:szCs w:val="20"/>
              </w:rPr>
            </w:pPr>
            <w:r>
              <w:rPr>
                <w:rFonts w:ascii="Arial" w:eastAsia="Arial" w:hAnsi="Arial" w:cs="Arial"/>
                <w:b/>
                <w:bCs/>
                <w:color w:val="000000" w:themeColor="text1"/>
                <w:sz w:val="20"/>
                <w:szCs w:val="20"/>
              </w:rPr>
              <w:t>ITEM</w:t>
            </w:r>
          </w:p>
        </w:tc>
        <w:tc>
          <w:tcPr>
            <w:tcW w:w="26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pPr>
              <w:widowControl w:val="0"/>
              <w:suppressAutoHyphens/>
              <w:spacing w:before="120" w:afterLines="120" w:after="288" w:line="312"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pPr>
              <w:widowControl w:val="0"/>
              <w:suppressAutoHyphens/>
              <w:spacing w:before="120" w:afterLines="120" w:after="288" w:line="312"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CATMAT</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pPr>
              <w:widowControl w:val="0"/>
              <w:suppressAutoHyphens/>
              <w:spacing w:before="120" w:afterLines="120" w:after="288" w:line="312"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UNIDADE DE MEDIDA</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pPr>
              <w:widowControl w:val="0"/>
              <w:suppressAutoHyphens/>
              <w:spacing w:before="120" w:afterLines="120" w:after="288" w:line="312" w:lineRule="auto"/>
              <w:jc w:val="center"/>
              <w:rPr>
                <w:rFonts w:ascii="Arial" w:eastAsia="Arial" w:hAnsi="Arial" w:cs="Arial"/>
                <w:b/>
                <w:bCs/>
                <w:sz w:val="20"/>
                <w:szCs w:val="20"/>
              </w:rPr>
            </w:pPr>
            <w:r>
              <w:rPr>
                <w:rFonts w:ascii="Arial" w:eastAsia="Arial" w:hAnsi="Arial" w:cs="Arial"/>
                <w:b/>
                <w:bCs/>
                <w:sz w:val="20"/>
                <w:szCs w:val="20"/>
              </w:rPr>
              <w:t>QNT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pPr>
              <w:widowControl w:val="0"/>
              <w:suppressAutoHyphens/>
              <w:spacing w:before="120" w:afterLines="120" w:after="288" w:line="312" w:lineRule="auto"/>
              <w:jc w:val="center"/>
              <w:rPr>
                <w:rFonts w:ascii="Arial" w:eastAsia="Arial" w:hAnsi="Arial" w:cs="Arial"/>
                <w:b/>
                <w:bCs/>
                <w:sz w:val="20"/>
                <w:szCs w:val="20"/>
              </w:rPr>
            </w:pPr>
            <w:r>
              <w:rPr>
                <w:rFonts w:ascii="Arial" w:eastAsia="Arial" w:hAnsi="Arial" w:cs="Arial"/>
                <w:b/>
                <w:bCs/>
                <w:sz w:val="20"/>
                <w:szCs w:val="20"/>
              </w:rPr>
              <w:t>VALOR UNITÁRIO</w:t>
            </w:r>
          </w:p>
        </w:tc>
        <w:tc>
          <w:tcPr>
            <w:tcW w:w="15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pPr>
              <w:widowControl w:val="0"/>
              <w:suppressAutoHyphens/>
              <w:spacing w:before="120" w:afterLines="120" w:after="288" w:line="312" w:lineRule="auto"/>
              <w:jc w:val="center"/>
              <w:rPr>
                <w:rFonts w:ascii="Arial" w:eastAsia="Arial" w:hAnsi="Arial" w:cs="Arial"/>
                <w:b/>
                <w:bCs/>
                <w:sz w:val="20"/>
                <w:szCs w:val="20"/>
              </w:rPr>
            </w:pPr>
            <w:r>
              <w:rPr>
                <w:rFonts w:ascii="Arial" w:eastAsia="Arial" w:hAnsi="Arial" w:cs="Arial"/>
                <w:b/>
                <w:bCs/>
                <w:sz w:val="20"/>
                <w:szCs w:val="20"/>
              </w:rPr>
              <w:t>VALOR TOTAL</w:t>
            </w:r>
          </w:p>
        </w:tc>
      </w:tr>
      <w:tr>
        <w:trPr>
          <w:trHeight w:val="1006"/>
        </w:trPr>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pPr>
              <w:widowControl w:val="0"/>
              <w:suppressAutoHyphens/>
              <w:spacing w:before="120" w:afterLines="120" w:after="288" w:line="312" w:lineRule="auto"/>
              <w:jc w:val="center"/>
              <w:rPr>
                <w:rFonts w:ascii="Arial" w:eastAsia="Arial" w:hAnsi="Arial" w:cs="Arial"/>
                <w:b/>
                <w:bCs/>
                <w:color w:val="000000"/>
                <w:sz w:val="20"/>
                <w:szCs w:val="20"/>
              </w:rPr>
            </w:pPr>
            <w:r>
              <w:rPr>
                <w:rFonts w:ascii="Arial" w:eastAsia="Arial" w:hAnsi="Arial" w:cs="Arial"/>
                <w:b/>
                <w:bCs/>
                <w:color w:val="000000" w:themeColor="text1"/>
                <w:sz w:val="20"/>
                <w:szCs w:val="20"/>
              </w:rPr>
              <w:t>1</w:t>
            </w:r>
          </w:p>
        </w:tc>
        <w:tc>
          <w:tcPr>
            <w:tcW w:w="26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pPr>
              <w:widowControl w:val="0"/>
              <w:suppressAutoHyphens/>
              <w:spacing w:before="120" w:afterLines="120" w:after="288" w:line="312" w:lineRule="auto"/>
              <w:jc w:val="both"/>
              <w:rPr>
                <w:rFonts w:ascii="Arial" w:eastAsia="Arial" w:hAnsi="Arial" w:cs="Arial"/>
                <w:color w:val="000000"/>
                <w:sz w:val="20"/>
                <w:szCs w:val="20"/>
              </w:rPr>
            </w:pPr>
            <w:r>
              <w:rPr>
                <w:rFonts w:ascii="Arial" w:eastAsia="Arial" w:hAnsi="Arial" w:cs="Arial"/>
                <w:color w:val="000000"/>
                <w:sz w:val="20"/>
                <w:szCs w:val="20"/>
              </w:rPr>
              <w:t>Óleo lubrificante automotivo, motor a diesel, sintético, SW-30, 1L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pPr>
              <w:widowControl w:val="0"/>
              <w:suppressAutoHyphens/>
              <w:spacing w:before="120" w:afterLines="120" w:after="288" w:line="312" w:lineRule="auto"/>
              <w:jc w:val="center"/>
              <w:rPr>
                <w:rFonts w:ascii="Arial" w:eastAsia="Arial" w:hAnsi="Arial" w:cs="Arial"/>
                <w:color w:val="000000"/>
                <w:sz w:val="20"/>
                <w:szCs w:val="20"/>
              </w:rPr>
            </w:pPr>
            <w:r>
              <w:rPr>
                <w:rFonts w:ascii="Arial" w:eastAsia="Arial" w:hAnsi="Arial" w:cs="Arial"/>
                <w:color w:val="000000"/>
                <w:sz w:val="20"/>
                <w:szCs w:val="20"/>
              </w:rPr>
              <w:t>472932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pPr>
              <w:widowControl w:val="0"/>
              <w:suppressAutoHyphens/>
              <w:spacing w:before="120" w:afterLines="120" w:after="288" w:line="312" w:lineRule="auto"/>
              <w:jc w:val="center"/>
              <w:rPr>
                <w:rFonts w:ascii="Arial" w:eastAsia="Arial" w:hAnsi="Arial" w:cs="Arial"/>
                <w:color w:val="000000"/>
                <w:sz w:val="20"/>
                <w:szCs w:val="20"/>
              </w:rPr>
            </w:pPr>
            <w:r>
              <w:rPr>
                <w:rFonts w:ascii="Arial" w:eastAsia="Arial" w:hAnsi="Arial" w:cs="Arial"/>
                <w:color w:val="000000"/>
                <w:sz w:val="20"/>
                <w:szCs w:val="20"/>
              </w:rPr>
              <w:t>Unidade</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pPr>
              <w:widowControl w:val="0"/>
              <w:suppressAutoHyphens/>
              <w:spacing w:before="120" w:afterLines="120" w:after="288" w:line="312" w:lineRule="auto"/>
              <w:jc w:val="center"/>
              <w:rPr>
                <w:rFonts w:ascii="Arial" w:eastAsia="Arial" w:hAnsi="Arial" w:cs="Arial"/>
                <w:color w:val="000000"/>
                <w:sz w:val="20"/>
                <w:szCs w:val="20"/>
              </w:rPr>
            </w:pPr>
            <w:r>
              <w:rPr>
                <w:rFonts w:ascii="Arial" w:eastAsia="Arial" w:hAnsi="Arial" w:cs="Arial"/>
                <w:color w:val="000000"/>
                <w:sz w:val="20"/>
                <w:szCs w:val="20"/>
              </w:rPr>
              <w:t>150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pPr>
              <w:suppressAutoHyphens/>
              <w:jc w:val="center"/>
              <w:rPr>
                <w:rFonts w:ascii="Arial" w:eastAsia="DejaVu Sans" w:hAnsi="Arial" w:cs="Arial"/>
                <w:color w:val="000000"/>
                <w:sz w:val="20"/>
                <w:szCs w:val="20"/>
              </w:rPr>
            </w:pPr>
            <w:r>
              <w:rPr>
                <w:rFonts w:ascii="Arial" w:eastAsia="DejaVu Sans" w:hAnsi="Arial" w:cs="Arial"/>
                <w:color w:val="000000"/>
                <w:sz w:val="20"/>
                <w:szCs w:val="20"/>
              </w:rPr>
              <w:t>R$ 44,00</w:t>
            </w:r>
          </w:p>
        </w:tc>
        <w:tc>
          <w:tcPr>
            <w:tcW w:w="15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pPr>
              <w:suppressAutoHyphens/>
              <w:jc w:val="center"/>
              <w:rPr>
                <w:rFonts w:ascii="Arial" w:eastAsia="DejaVu Sans" w:hAnsi="Arial" w:cs="Arial"/>
                <w:color w:val="000000"/>
                <w:sz w:val="20"/>
                <w:szCs w:val="20"/>
              </w:rPr>
            </w:pPr>
            <w:r>
              <w:rPr>
                <w:rFonts w:ascii="Arial" w:eastAsia="DejaVu Sans" w:hAnsi="Arial" w:cs="Arial"/>
                <w:color w:val="000000"/>
                <w:sz w:val="20"/>
                <w:szCs w:val="20"/>
              </w:rPr>
              <w:t>R$ 6600,00</w:t>
            </w:r>
          </w:p>
          <w:p>
            <w:pPr>
              <w:rPr>
                <w:rFonts w:ascii="Arial" w:eastAsia="DejaVu Sans" w:hAnsi="Arial" w:cs="Arial"/>
                <w:sz w:val="20"/>
                <w:szCs w:val="20"/>
              </w:rPr>
            </w:pPr>
          </w:p>
        </w:tc>
      </w:tr>
    </w:tbl>
    <w:p>
      <w:pPr>
        <w:pStyle w:val="Nivel2"/>
      </w:pPr>
      <w:r>
        <w:t>O objeto desta contratação não se enquadra como sendo de bem de luxo, conforme Decreto nº 10.818, de 27 de setembro de 2021.</w:t>
      </w:r>
    </w:p>
    <w:p>
      <w:pPr>
        <w:pStyle w:val="Nvel2-Red"/>
        <w:rPr>
          <w:i w:val="0"/>
          <w:color w:val="auto"/>
        </w:rPr>
      </w:pPr>
      <w:r>
        <w:rPr>
          <w:i w:val="0"/>
          <w:color w:val="auto"/>
        </w:rPr>
        <w:t>O prazo de vigência da contratação é de 12 meses contados da data de assinatura da ata, na forma do artigo 105 da Lei n° 14.133, de 2021.</w:t>
      </w:r>
    </w:p>
    <w:p>
      <w:pPr>
        <w:pStyle w:val="Nivel2"/>
      </w:pPr>
      <w:r>
        <w:t>O contrato ou outro instrumento hábil que o substitua oferece maior detalhamento das regras que serão aplicadas em relação à vigência da contratação.</w:t>
      </w:r>
    </w:p>
    <w:p>
      <w:pPr>
        <w:pStyle w:val="Nivel2"/>
        <w:numPr>
          <w:ilvl w:val="0"/>
          <w:numId w:val="0"/>
        </w:numPr>
      </w:pPr>
    </w:p>
    <w:p>
      <w:pPr>
        <w:pStyle w:val="Nivel01"/>
      </w:pPr>
      <w:r>
        <w:t>FUNDAMENTAÇÃO E DESCRIÇÃO DA NECESSIDADE DA CONTRATAÇÃO</w:t>
      </w:r>
    </w:p>
    <w:p>
      <w:pPr>
        <w:pStyle w:val="Nivel2"/>
      </w:pPr>
      <w:r>
        <w:t>A Fundamentação da Contratação e de seus quantitativos encontra-se pormenorizada em Tópico específico dos Estudos Técnicos Preliminares, apêndice deste Termo de Referência.</w:t>
      </w:r>
    </w:p>
    <w:p>
      <w:pPr>
        <w:pStyle w:val="Nivel01"/>
      </w:pPr>
      <w:r>
        <w:t>DESCRIÇÃO DA SOLUÇÃO COMO UM TODO CONSIDERADO O CICLO DE VIDA DO OBJETO E ESPECIFICAÇÃO DO PRODUTO</w:t>
      </w:r>
    </w:p>
    <w:p>
      <w:pPr>
        <w:pStyle w:val="Nvel2-Red"/>
        <w:rPr>
          <w:i w:val="0"/>
          <w:color w:val="auto"/>
        </w:rPr>
      </w:pPr>
      <w:r>
        <w:rPr>
          <w:i w:val="0"/>
          <w:color w:val="auto"/>
        </w:rPr>
        <w:t>A descrição da solução como um todo encontra-se pormenorizada em tópico específico dos Estudos Técnicos Preliminares, apêndice deste Termo de Referência.</w:t>
      </w:r>
    </w:p>
    <w:p>
      <w:pPr>
        <w:pStyle w:val="Nivel01"/>
      </w:pPr>
      <w:r>
        <w:t>REQUISITOS DA CONTRATAÇÃO</w:t>
      </w:r>
    </w:p>
    <w:p>
      <w:pPr>
        <w:pStyle w:val="Nvel1-SemNumPreto"/>
      </w:pPr>
      <w:r>
        <w:t>Sustentabilidade:</w:t>
      </w:r>
    </w:p>
    <w:p>
      <w:pPr>
        <w:pStyle w:val="Nivel2"/>
        <w:rPr>
          <w:shd w:val="clear" w:color="auto" w:fill="FFFFFF"/>
        </w:rPr>
      </w:pPr>
      <w:r>
        <w:t xml:space="preserve">Os critérios de sustentabilidade encontram – se descritas em tópico especifico no estudo técnico preliminar, apêndice deste Termo de Referência. </w:t>
      </w:r>
    </w:p>
    <w:p>
      <w:pPr>
        <w:pStyle w:val="Nvel1-SemNumPreto"/>
      </w:pPr>
      <w:r>
        <w:t>Subcontratação</w:t>
      </w:r>
    </w:p>
    <w:p>
      <w:pPr>
        <w:pStyle w:val="Nivel2"/>
      </w:pPr>
      <w:r>
        <w:t>Não é admitida a subcontratação do objeto contratual.</w:t>
      </w:r>
    </w:p>
    <w:p>
      <w:pPr>
        <w:pStyle w:val="Nvel1-SemNumPreto"/>
      </w:pPr>
      <w:r>
        <w:t>Garantia da contratação</w:t>
      </w:r>
    </w:p>
    <w:p>
      <w:pPr>
        <w:pStyle w:val="Nvel2-Red"/>
        <w:rPr>
          <w:i w:val="0"/>
          <w:color w:val="auto"/>
        </w:rPr>
      </w:pPr>
      <w:r>
        <w:rPr>
          <w:i w:val="0"/>
          <w:color w:val="auto"/>
        </w:rPr>
        <w:t xml:space="preserve">Não haverá exigência da garantia da contratação dos </w:t>
      </w:r>
      <w:hyperlink r:id="rId11" w:anchor="art96">
        <w:r>
          <w:rPr>
            <w:rStyle w:val="Hyperlink"/>
            <w:i w:val="0"/>
            <w:color w:val="auto"/>
          </w:rPr>
          <w:t>artigos 96 e seguintes da Lei nº 14.133, de 2021</w:t>
        </w:r>
      </w:hyperlink>
      <w:r>
        <w:rPr>
          <w:i w:val="0"/>
          <w:color w:val="auto"/>
        </w:rPr>
        <w:t>, pelas razões constantes do Estudo Técnico Preliminar.</w:t>
      </w:r>
    </w:p>
    <w:p>
      <w:pPr>
        <w:pStyle w:val="Nivel2"/>
      </w:pPr>
      <w:r>
        <w:lastRenderedPageBreak/>
        <w:t>O contrato ou outro instrumento hábil que o substitua oferece maior detalhamento das regras que serão aplicadas em relação à garantia da contratação.</w:t>
      </w:r>
    </w:p>
    <w:p>
      <w:pPr>
        <w:pStyle w:val="Nivel01"/>
      </w:pPr>
      <w:r>
        <w:t>MODELO DE EXECUÇÃO DO OBJETO</w:t>
      </w:r>
    </w:p>
    <w:p>
      <w:pPr>
        <w:pStyle w:val="Nvel1-SemNum"/>
      </w:pPr>
      <w:r>
        <w:t>Condições de Entrega</w:t>
      </w:r>
    </w:p>
    <w:p>
      <w:pPr>
        <w:pStyle w:val="Nvel2-Red"/>
        <w:rPr>
          <w:i w:val="0"/>
          <w:color w:val="auto"/>
        </w:rPr>
      </w:pPr>
      <w:r>
        <w:rPr>
          <w:i w:val="0"/>
          <w:color w:val="auto"/>
        </w:rPr>
        <w:t xml:space="preserve">O prazo de entrega dos bens é de 30 (trinta) dias, contados do envio da nota de empenho ao fornecedor, em remessa única. </w:t>
      </w:r>
    </w:p>
    <w:p>
      <w:pPr>
        <w:pStyle w:val="Nvel2-Red"/>
        <w:rPr>
          <w:i w:val="0"/>
          <w:color w:val="auto"/>
        </w:rPr>
      </w:pPr>
      <w:r>
        <w:rPr>
          <w:i w:val="0"/>
          <w:color w:val="auto"/>
        </w:rPr>
        <w:t>Caso não seja possível a entrega na data assinalada, a empresa deverá comunicar as razões respectivas com pelo menos 20 (vinte) dias de antecedência para que qualquer pleito de prorrogação de prazo seja analisado, ressalvadas situações de caso fortuito e força maior.</w:t>
      </w:r>
    </w:p>
    <w:p>
      <w:pPr>
        <w:pStyle w:val="Nivel2"/>
        <w:rPr>
          <w:b/>
        </w:rPr>
      </w:pPr>
      <w:r>
        <w:t xml:space="preserve">Os bens deverão ser entregues no </w:t>
      </w:r>
      <w:r>
        <w:rPr>
          <w:b/>
        </w:rPr>
        <w:t>53° Batalhão de Infantaria de Selva, localizado na Estrada do Quinquagésimo terceiro BIS, S/N, Bom jardim, Itaituba – PA (CEP: 68.181-470) entre segunda e quinta – feira das 8:00 às 11:30 e 13:00 às 16:00 e na sexta – feira apenas no horário da manhã.</w:t>
      </w:r>
    </w:p>
    <w:p>
      <w:pPr>
        <w:pStyle w:val="Nvel1-SemNumPreto"/>
      </w:pPr>
      <w:r>
        <w:t>Garantia, manutenção e assistência técnica</w:t>
      </w:r>
    </w:p>
    <w:p>
      <w:pPr>
        <w:pStyle w:val="Nvel2-Red"/>
        <w:rPr>
          <w:i w:val="0"/>
          <w:color w:val="auto"/>
        </w:rPr>
      </w:pPr>
      <w:r>
        <w:rPr>
          <w:i w:val="0"/>
          <w:color w:val="auto"/>
        </w:rPr>
        <w:t xml:space="preserve">O prazo de garantia contratual dos bens, complementar à garantia legal, será de, no mínimo, 12 (doze) meses, contado a partir do primeiro dia útil subsequente à data do recebimento definitivo do objeto. </w:t>
      </w:r>
    </w:p>
    <w:p>
      <w:pPr>
        <w:pStyle w:val="Nvel2-Red"/>
        <w:rPr>
          <w:i w:val="0"/>
          <w:color w:val="auto"/>
        </w:rPr>
      </w:pPr>
      <w:r>
        <w:rPr>
          <w:i w:val="0"/>
          <w:color w:val="auto"/>
        </w:rPr>
        <w:t xml:space="preserve">Caso o prazo da garantia oferecida pelo fabricante seja inferior ao estabelecido nesta cláusula, o fornecedor deverá complementar a garantia do bem ofertado pelo período restante. </w:t>
      </w:r>
    </w:p>
    <w:p>
      <w:pPr>
        <w:pStyle w:val="Nvel2-Red"/>
        <w:rPr>
          <w:i w:val="0"/>
          <w:color w:val="auto"/>
        </w:rPr>
      </w:pPr>
      <w:r>
        <w:rPr>
          <w:i w:val="0"/>
          <w:color w:val="auto"/>
        </w:rPr>
        <w:t xml:space="preserve">A garantia será prestada com vistas a manter os equipamentos fornecidos em perfeitas condições de uso, sem qualquer ônus ou custo adicional para o Contratante. </w:t>
      </w:r>
    </w:p>
    <w:p>
      <w:pPr>
        <w:pStyle w:val="Nvel2-Red"/>
        <w:rPr>
          <w:i w:val="0"/>
          <w:color w:val="auto"/>
        </w:rPr>
      </w:pPr>
      <w:r>
        <w:rPr>
          <w:i w:val="0"/>
          <w:color w:val="auto"/>
        </w:rPr>
        <w:t xml:space="preserve">A garantia abrange a realização da manutenção corretiva dos bens pelo próprio Contratado, ou, se for o caso, por meio de assistência técnica autorizada, de acordo com as normas técnicas específicas. </w:t>
      </w:r>
    </w:p>
    <w:p>
      <w:pPr>
        <w:pStyle w:val="Nvel2-Red"/>
        <w:rPr>
          <w:i w:val="0"/>
          <w:color w:val="auto"/>
        </w:rPr>
      </w:pPr>
      <w:r>
        <w:rPr>
          <w:i w:val="0"/>
          <w:color w:val="auto"/>
        </w:rPr>
        <w:t xml:space="preserve">Entende-se por manutenção corretiva aquela destinada a corrigir os defeitos apresentados pelos bens, compreendendo a substituição de peças, a realização de ajustes, reparos e correções necessárias. </w:t>
      </w:r>
    </w:p>
    <w:p>
      <w:pPr>
        <w:pStyle w:val="Nvel2-Red"/>
        <w:rPr>
          <w:i w:val="0"/>
          <w:color w:val="auto"/>
        </w:rPr>
      </w:pPr>
      <w:r>
        <w:rPr>
          <w:i w:val="0"/>
          <w:color w:val="auto"/>
        </w:rPr>
        <w:t xml:space="preserve">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pPr>
        <w:pStyle w:val="Nvel2-Red"/>
        <w:rPr>
          <w:i w:val="0"/>
          <w:color w:val="auto"/>
        </w:rPr>
      </w:pPr>
      <w:r>
        <w:rPr>
          <w:i w:val="0"/>
          <w:color w:val="auto"/>
        </w:rPr>
        <w:t xml:space="preserve">Uma vez notificado, o Contratado realizará a reparação ou substituição dos bens que apresentarem vício ou defeito no prazo de até 30 (trinta) dias úteis, contados a partir da data de retirada do equipamento das dependências da Administração pelo Contratado ou pela assistência técnica autorizada. </w:t>
      </w:r>
    </w:p>
    <w:p>
      <w:pPr>
        <w:pStyle w:val="Nvel2-Red"/>
        <w:rPr>
          <w:i w:val="0"/>
          <w:color w:val="auto"/>
        </w:rPr>
      </w:pPr>
      <w:r>
        <w:rPr>
          <w:i w:val="0"/>
          <w:color w:val="auto"/>
        </w:rPr>
        <w:t xml:space="preserve">O prazo indicado no subitem anterior, durante seu transcurso, poderá ser prorrogado uma única vez, por igual período, mediante solicitação escrita e justificada do Contratado, aceita pelo Contratante. </w:t>
      </w:r>
    </w:p>
    <w:p>
      <w:pPr>
        <w:pStyle w:val="Nvel2-Red"/>
        <w:rPr>
          <w:i w:val="0"/>
          <w:color w:val="auto"/>
        </w:rPr>
      </w:pPr>
      <w:r>
        <w:rPr>
          <w:i w:val="0"/>
          <w:color w:val="auto"/>
        </w:rPr>
        <w:t xml:space="preserve">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pPr>
        <w:pStyle w:val="Nvel2-Red"/>
        <w:rPr>
          <w:i w:val="0"/>
          <w:color w:val="auto"/>
        </w:rPr>
      </w:pPr>
      <w:r>
        <w:rPr>
          <w:i w:val="0"/>
          <w:color w:val="auto"/>
        </w:rPr>
        <w:t xml:space="preserve">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pPr>
        <w:pStyle w:val="Nvel2-Red"/>
        <w:rPr>
          <w:i w:val="0"/>
          <w:color w:val="auto"/>
        </w:rPr>
      </w:pPr>
      <w:r>
        <w:rPr>
          <w:i w:val="0"/>
          <w:color w:val="auto"/>
        </w:rPr>
        <w:t xml:space="preserve">O custo referente ao transporte dos equipamentos cobertos pela garantia será de responsabilidade do Contratado. </w:t>
      </w:r>
    </w:p>
    <w:p>
      <w:pPr>
        <w:pStyle w:val="Nvel2-Red"/>
        <w:rPr>
          <w:i w:val="0"/>
          <w:color w:val="auto"/>
        </w:rPr>
      </w:pPr>
      <w:r>
        <w:rPr>
          <w:i w:val="0"/>
          <w:color w:val="auto"/>
        </w:rPr>
        <w:lastRenderedPageBreak/>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pPr>
        <w:pStyle w:val="Nivel01"/>
      </w:pPr>
      <w:r>
        <w:t>MODELO DE GESTÃO DO CONTRATO</w:t>
      </w:r>
    </w:p>
    <w:p>
      <w:pPr>
        <w:pStyle w:val="Nivel2"/>
      </w:pPr>
      <w:r>
        <w:t>O contrato deverá ser executado fielmente pelas partes, de acordo com as cláusulas avençadas e as normas da Lei nº 14.133, de 2021, e cada parte responderá pelas consequências de sua inexecução total ou parcial.</w:t>
      </w:r>
    </w:p>
    <w:p>
      <w:pPr>
        <w:pStyle w:val="Nivel2"/>
      </w:pPr>
      <w:r>
        <w:t>Em caso de impedimento, ordem de paralisação ou suspensão do contrato, o cronograma de execução será prorrogado automaticamente pelo tempo correspondente, anotadas tais circunstâncias mediante simples apostila.</w:t>
      </w:r>
    </w:p>
    <w:p>
      <w:pPr>
        <w:pStyle w:val="Nivel2"/>
      </w:pPr>
      <w:r>
        <w:t>As comunicações entre o órgão ou entidade e a contratada devem ser realizadas por escrito sempre que o ato exigir tal formalidade, admitindo-se o uso de mensagem eletrônica para esse fim.</w:t>
      </w:r>
    </w:p>
    <w:p>
      <w:pPr>
        <w:pStyle w:val="Nivel2"/>
      </w:pPr>
      <w:r>
        <w:t>O órgão ou entidade poderá convocar representante da empresa para adoção de providências que devam ser cumpridas de imediato.</w:t>
      </w:r>
    </w:p>
    <w:p>
      <w:pPr>
        <w:pStyle w:val="Nivel2"/>
      </w:pPr>
      <w:r>
        <w:t xml:space="preserve"> Após a assinatura do contrato ou instrumento equivalente</w:t>
      </w:r>
      <w:r>
        <w:rPr>
          <w:strike/>
        </w:rPr>
        <w:t>,</w:t>
      </w:r>
      <w: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pPr>
        <w:pStyle w:val="Nivel2"/>
        <w:numPr>
          <w:ilvl w:val="0"/>
          <w:numId w:val="0"/>
        </w:numPr>
      </w:pPr>
      <w:r>
        <w:t>Fiscalização</w:t>
      </w:r>
    </w:p>
    <w:p>
      <w:pPr>
        <w:pStyle w:val="Nivel2"/>
      </w:pPr>
      <w:r>
        <w:t xml:space="preserve">A execução do contrato deverá ser acompanhada e fiscalizada </w:t>
      </w:r>
      <w:proofErr w:type="gramStart"/>
      <w:r>
        <w:t>pelo(</w:t>
      </w:r>
      <w:proofErr w:type="gramEnd"/>
      <w:r>
        <w:t>s) fiscal(</w:t>
      </w:r>
      <w:proofErr w:type="spellStart"/>
      <w:r>
        <w:t>is</w:t>
      </w:r>
      <w:proofErr w:type="spellEnd"/>
      <w:r>
        <w:t>) do contrato, ou pelos respectivos substitutos (</w:t>
      </w:r>
      <w:hyperlink r:id="rId12" w:anchor="art117">
        <w:r>
          <w:rPr>
            <w:rStyle w:val="Hyperlink"/>
          </w:rPr>
          <w:t>Lei nº 14.133, de 2021, art. 117, caput</w:t>
        </w:r>
      </w:hyperlink>
      <w:r>
        <w:t>).</w:t>
      </w:r>
    </w:p>
    <w:p>
      <w:pPr>
        <w:pStyle w:val="Nvel1-SemNumPreto"/>
      </w:pPr>
      <w:r>
        <w:t>Fiscalização Técnica</w:t>
      </w:r>
    </w:p>
    <w:p>
      <w:pPr>
        <w:pStyle w:val="Nivel2"/>
      </w:pPr>
      <w:r>
        <w:t>O fiscal técnico do contrato acompanhará a execução do contrato, para que sejam cumpridas todas as condições estabelecidas no contrato, de modo a assegurar os melhores resultados para a Administração. (Decreto nº 11.246, de 2022, art. 22, VI);</w:t>
      </w:r>
    </w:p>
    <w:p>
      <w:pPr>
        <w:pStyle w:val="Nivel3"/>
      </w:pPr>
      <w:r>
        <w:t>O fiscal técnico do contrato anotará no histórico de gerenciamento do contrato todas as ocorrências relacionadas à execução do contrato, com a descrição do que for necessário para a regularização das faltas ou dos defeitos observados. (</w:t>
      </w:r>
      <w:hyperlink r:id="rId13" w:anchor="art117§1">
        <w:r>
          <w:rPr>
            <w:rStyle w:val="Hyperlink"/>
          </w:rPr>
          <w:t>Lei nº 14.133, de 2021, art. 117, §1º</w:t>
        </w:r>
      </w:hyperlink>
      <w:r>
        <w:t xml:space="preserve">, e </w:t>
      </w:r>
      <w:hyperlink r:id="rId14" w:anchor="art22">
        <w:r>
          <w:rPr>
            <w:rStyle w:val="Hyperlink"/>
          </w:rPr>
          <w:t>Decreto nº 11.246, de 2022, art. 22, II);</w:t>
        </w:r>
      </w:hyperlink>
    </w:p>
    <w:p>
      <w:pPr>
        <w:pStyle w:val="Nivel3"/>
      </w:pPr>
      <w:r>
        <w:t>Identificada qualquer inexatidão ou irregularidade, o fiscal técnico do contrato emitirá notificações para a correção da execução do contrato, determinando prazo para a correção. (</w:t>
      </w:r>
      <w:hyperlink r:id="rId15" w:anchor="art22">
        <w:r>
          <w:rPr>
            <w:rStyle w:val="Hyperlink"/>
          </w:rPr>
          <w:t>Decreto nº 11.246, de 2022, art. 22, III</w:t>
        </w:r>
      </w:hyperlink>
      <w:r>
        <w:t xml:space="preserve">); </w:t>
      </w:r>
    </w:p>
    <w:p>
      <w:pPr>
        <w:pStyle w:val="Nivel3"/>
      </w:pPr>
      <w:r>
        <w:t>O fiscal técnico do contrato informará ao gestor do contato, em tempo hábil, a situação que demandar decisão ou adoção de medidas que ultrapassem sua competência, para que adote as medidas necessárias e saneadoras, se for o caso. (</w:t>
      </w:r>
      <w:hyperlink r:id="rId16" w:anchor="art22">
        <w:r>
          <w:rPr>
            <w:rStyle w:val="Hyperlink"/>
          </w:rPr>
          <w:t>Decreto nº 11.246, de 2022, art. 22, IV</w:t>
        </w:r>
      </w:hyperlink>
      <w:r>
        <w:t>).</w:t>
      </w:r>
    </w:p>
    <w:p>
      <w:pPr>
        <w:pStyle w:val="Nivel3"/>
      </w:pPr>
      <w:r>
        <w:t>No caso de ocorrências que possam inviabilizar a execução do contrato nas datas aprazadas, o fiscal técnico do contrato comunicará o fato imediatamente ao gestor do contrato. (</w:t>
      </w:r>
      <w:hyperlink r:id="rId17" w:anchor="art22">
        <w:r>
          <w:rPr>
            <w:rStyle w:val="Hyperlink"/>
          </w:rPr>
          <w:t>Decreto nº 11.246, de 2022, art. 22, V</w:t>
        </w:r>
      </w:hyperlink>
      <w:r>
        <w:t>).</w:t>
      </w:r>
    </w:p>
    <w:p>
      <w:pPr>
        <w:pStyle w:val="Nivel3"/>
      </w:pPr>
      <w:r>
        <w:t xml:space="preserve">O fiscal técnico do contrato comunicará ao gestor do contrato, em tempo hábil, o término do contrato sob sua responsabilidade, com vistas à renovação tempestiva ou à prorrogação contratual </w:t>
      </w:r>
      <w:hyperlink r:id="rId18" w:anchor="art22">
        <w:r>
          <w:rPr>
            <w:rStyle w:val="Hyperlink"/>
          </w:rPr>
          <w:t>(Decreto nº 11.246, de 2022, art. 22, VII</w:t>
        </w:r>
      </w:hyperlink>
      <w:r>
        <w:t>).</w:t>
      </w:r>
    </w:p>
    <w:p>
      <w:pPr>
        <w:pStyle w:val="Nivel3"/>
        <w:numPr>
          <w:ilvl w:val="0"/>
          <w:numId w:val="0"/>
        </w:numPr>
      </w:pPr>
      <w:r>
        <w:lastRenderedPageBreak/>
        <w:t>Fiscalização Administrativa</w:t>
      </w:r>
    </w:p>
    <w:p>
      <w:pPr>
        <w:pStyle w:val="Nivel2"/>
      </w:pPr>
      <w:r>
        <w:t xml:space="preserve">O fiscal administrativo do contrato verificará a manutenção das condições de habilitação da contratada, acompanhará o empenho, o pagamento, as garantias, as glosas e a formalização de </w:t>
      </w:r>
      <w:proofErr w:type="spellStart"/>
      <w:r>
        <w:t>apostilamento</w:t>
      </w:r>
      <w:proofErr w:type="spellEnd"/>
      <w:r>
        <w:t xml:space="preserve"> e termos aditivos, solicitando quaisquer documentos comprobatórios pertinentes, caso necessário (</w:t>
      </w:r>
      <w:hyperlink r:id="rId19" w:anchor="art23">
        <w:r>
          <w:rPr>
            <w:rStyle w:val="Hyperlink"/>
          </w:rPr>
          <w:t>Art. 23, I e II, do Decreto nº 11.246, de 2022</w:t>
        </w:r>
      </w:hyperlink>
      <w:r>
        <w:t>).</w:t>
      </w:r>
    </w:p>
    <w:p>
      <w:pPr>
        <w:pStyle w:val="Nivel3"/>
      </w:pPr>
      <w: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20" w:anchor="art23">
        <w:r>
          <w:rPr>
            <w:rStyle w:val="Hyperlink"/>
          </w:rPr>
          <w:t>Decreto nº 11.246, de 2022, art. 23, IV</w:t>
        </w:r>
      </w:hyperlink>
      <w:r>
        <w:t>).</w:t>
      </w:r>
    </w:p>
    <w:p>
      <w:pPr>
        <w:pStyle w:val="Nvel3-R"/>
        <w:numPr>
          <w:ilvl w:val="0"/>
          <w:numId w:val="0"/>
        </w:numPr>
        <w:ind w:left="284"/>
      </w:pPr>
    </w:p>
    <w:p>
      <w:pPr>
        <w:pStyle w:val="Nvel1-SemNumPreto"/>
        <w:rPr>
          <w:i/>
          <w:iCs/>
        </w:rPr>
      </w:pPr>
      <w:r>
        <w:t>Gestor do Contrato</w:t>
      </w:r>
    </w:p>
    <w:p>
      <w:pPr>
        <w:pStyle w:val="Nivel2"/>
      </w:pPr>
      <w: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pPr>
        <w:pStyle w:val="Nivel2"/>
      </w:pPr>
      <w: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pPr>
        <w:pStyle w:val="Nivel2"/>
      </w:pPr>
      <w: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pPr>
        <w:pStyle w:val="Nivel2"/>
      </w:pPr>
      <w: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pPr>
        <w:pStyle w:val="Nivel2"/>
      </w:pPr>
      <w: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pPr>
        <w:pStyle w:val="Nivel2"/>
      </w:pPr>
      <w: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pPr>
        <w:pStyle w:val="Nivel2"/>
      </w:pPr>
      <w:r>
        <w:t>O gestor do contrato deverá enviar a documentação pertinente ao setor de contratos para a formalização dos procedimentos de liquidação e pagamento, no valor dimensionado pela fiscalização e gestão nos termos do contrato.</w:t>
      </w:r>
    </w:p>
    <w:p>
      <w:pPr>
        <w:pStyle w:val="Nivel01"/>
      </w:pPr>
      <w:r>
        <w:t>CRITÉRIOS DE MEDIÇÃO E DE PAGAMENTO</w:t>
      </w:r>
    </w:p>
    <w:p>
      <w:pPr>
        <w:pStyle w:val="Nvel1-SemNumPreto"/>
      </w:pPr>
      <w:r>
        <w:t>Recebimento</w:t>
      </w:r>
    </w:p>
    <w:p>
      <w:pPr>
        <w:pStyle w:val="Nivel2"/>
        <w:rPr>
          <w:lang w:eastAsia="en-US"/>
        </w:rPr>
      </w:pPr>
      <w:r>
        <w:rPr>
          <w:lang w:eastAsia="en-US"/>
        </w:rPr>
        <w:t xml:space="preserve">Os bens serão recebidos provisoriamente, de forma sumária, no ato da entrega, juntamente com a </w:t>
      </w:r>
      <w:r>
        <w:rPr>
          <w:rFonts w:eastAsia="Calibri"/>
          <w:lang w:eastAsia="en-US"/>
        </w:rPr>
        <w:t>nota</w:t>
      </w:r>
      <w:r>
        <w:rPr>
          <w:lang w:eastAsia="en-US"/>
        </w:rPr>
        <w:t xml:space="preserve"> fiscal ou instrumento de cobrança equivalente, </w:t>
      </w:r>
      <w:proofErr w:type="gramStart"/>
      <w:r>
        <w:rPr>
          <w:lang w:eastAsia="en-US"/>
        </w:rPr>
        <w:t>pelo(</w:t>
      </w:r>
      <w:proofErr w:type="gramEnd"/>
      <w:r>
        <w:rPr>
          <w:lang w:eastAsia="en-US"/>
        </w:rPr>
        <w:t>a) responsável pelo acompanhamento e fiscalização do contrato, para efeito de posterior verificação de sua conformidade com as especificações constantes no Termo de Referência</w:t>
      </w:r>
      <w:r>
        <w:rPr>
          <w:color w:val="FF0000"/>
          <w:lang w:eastAsia="en-US"/>
        </w:rPr>
        <w:t xml:space="preserve"> </w:t>
      </w:r>
      <w:r>
        <w:rPr>
          <w:lang w:eastAsia="en-US"/>
        </w:rPr>
        <w:t>e na proposta.</w:t>
      </w:r>
    </w:p>
    <w:p>
      <w:pPr>
        <w:pStyle w:val="Nivel2"/>
        <w:rPr>
          <w:lang w:eastAsia="en-US"/>
        </w:rPr>
      </w:pPr>
      <w:r>
        <w:rPr>
          <w:lang w:eastAsia="en-US"/>
        </w:rPr>
        <w:lastRenderedPageBreak/>
        <w:t>Os bens poderão ser rejeitados, no todo ou em parte, inclusive antes do recebimento provisório, quando em desacordo com as especificações constantes no Termo de Referência</w:t>
      </w:r>
      <w:r>
        <w:rPr>
          <w:color w:val="FF0000"/>
          <w:lang w:eastAsia="en-US"/>
        </w:rPr>
        <w:t xml:space="preserve"> </w:t>
      </w:r>
      <w:r>
        <w:rPr>
          <w:lang w:eastAsia="en-US"/>
        </w:rPr>
        <w:t>e na proposta, devendo ser substituídos no prazo de 30 (trinta) dias, a contar da notificação da contratada, às suas custas, sem prejuízo da aplicação das penalidades.</w:t>
      </w:r>
    </w:p>
    <w:p>
      <w:pPr>
        <w:pStyle w:val="Nivel2"/>
        <w:rPr>
          <w:lang w:eastAsia="en-US"/>
        </w:rPr>
      </w:pPr>
      <w:r>
        <w:rPr>
          <w:lang w:eastAsia="en-US"/>
        </w:rPr>
        <w:t>O recebimento definitivo ocorrerá no prazo de 20 (vinte) dias úteis, a contar do recebimento da nota fiscal ou instrumento de cobrança equivalente pela Administração, após a verificação da qualidade e quantidade do material e consequente aceitação mediante termo detalhado.</w:t>
      </w:r>
    </w:p>
    <w:p>
      <w:pPr>
        <w:pStyle w:val="Nivel2"/>
        <w:rPr>
          <w:lang w:eastAsia="en-US"/>
        </w:rPr>
      </w:pPr>
      <w:r>
        <w:rPr>
          <w:lang w:eastAsia="en-US"/>
        </w:rPr>
        <w:t xml:space="preserve">Para as contratações decorrentes de despesas cujos valores não ultrapassem o limite de que trata o </w:t>
      </w:r>
      <w:hyperlink r:id="rId21" w:anchor="art75">
        <w:r>
          <w:rPr>
            <w:rStyle w:val="Hyperlink"/>
            <w:lang w:eastAsia="en-US"/>
          </w:rPr>
          <w:t>inciso II do art. 75 da Lei nº 14.133, de 2021</w:t>
        </w:r>
      </w:hyperlink>
      <w:r>
        <w:rPr>
          <w:lang w:eastAsia="en-US"/>
        </w:rPr>
        <w:t>, o prazo máximo para o recebimento definitivo será de até 20 (vinte) dias úteis.</w:t>
      </w:r>
    </w:p>
    <w:p>
      <w:pPr>
        <w:pStyle w:val="Nivel2"/>
        <w:rPr>
          <w:lang w:eastAsia="en-US"/>
        </w:rPr>
      </w:pPr>
      <w:r>
        <w:rPr>
          <w:lang w:eastAsia="en-US"/>
        </w:rPr>
        <w:t>O prazo para recebimento definitivo poderá ser excepcionalmente prorrogado, de forma justificada, por igual período, quando houver necessidade de diligências para a aferição do atendimento das exigências contratuais.</w:t>
      </w:r>
    </w:p>
    <w:p>
      <w:pPr>
        <w:pStyle w:val="Nivel2"/>
        <w:rPr>
          <w:lang w:eastAsia="en-US"/>
        </w:rPr>
      </w:pPr>
      <w:r>
        <w:rPr>
          <w:lang w:eastAsia="en-US"/>
        </w:rPr>
        <w:t xml:space="preserve">No caso de controvérsia sobre a execução do objeto, quanto à dimensão, qualidade e quantidade, deverá ser observado o teor do </w:t>
      </w:r>
      <w:hyperlink r:id="rId22" w:anchor="art143">
        <w:r>
          <w:rPr>
            <w:rStyle w:val="Hyperlink"/>
            <w:lang w:eastAsia="en-US"/>
          </w:rPr>
          <w:t>art. 143 da Lei nº 14.133, de 2021</w:t>
        </w:r>
      </w:hyperlink>
      <w:r>
        <w:rPr>
          <w:lang w:eastAsia="en-US"/>
        </w:rPr>
        <w:t>, comunicando-se à empresa para emissão de Nota Fiscal no que pertence à parcela incontroversa da execução do objeto, para efeito de liquidação e pagamento.</w:t>
      </w:r>
    </w:p>
    <w:p>
      <w:pPr>
        <w:pStyle w:val="Nivel2"/>
        <w:rPr>
          <w:lang w:eastAsia="en-US"/>
        </w:rPr>
      </w:pPr>
      <w:r>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pPr>
        <w:pStyle w:val="Nivel2"/>
        <w:rPr>
          <w:lang w:eastAsia="en-US"/>
        </w:rPr>
      </w:pPr>
      <w:r>
        <w:rPr>
          <w:lang w:eastAsia="en-US"/>
        </w:rPr>
        <w:t>O recebimento provisório ou definitivo não excluirá a responsabilidade civil pela solidez e pela segurança dos bens nem a responsabilidade ético-profissional pela perfeita execução do contrato.</w:t>
      </w:r>
    </w:p>
    <w:p>
      <w:pPr>
        <w:pStyle w:val="Nvel1-SemNumPreto"/>
      </w:pPr>
      <w:r>
        <w:t>Liquidação</w:t>
      </w:r>
    </w:p>
    <w:p>
      <w:pPr>
        <w:pStyle w:val="Nivel2"/>
        <w:rPr>
          <w:lang w:eastAsia="en-US"/>
        </w:rPr>
      </w:pPr>
      <w:r>
        <w:rPr>
          <w:lang w:eastAsia="en-US"/>
        </w:rPr>
        <w:t>Recebida a Nota Fiscal ou documento de cobrança equivalente, correrá o prazo de dez dias úteis para fins de liquidação, na forma desta seção, prorrogáveis por igual período, nos termos do art. 7º, §3</w:t>
      </w:r>
      <w:r>
        <w:rPr>
          <w:rStyle w:val="Hyperlink"/>
          <w:lang w:eastAsia="en-US"/>
        </w:rPr>
        <w:t>º da Instrução Normativa SEGES/ME nº 77/2022</w:t>
      </w:r>
      <w:r>
        <w:rPr>
          <w:lang w:eastAsia="en-US"/>
        </w:rPr>
        <w:t>.</w:t>
      </w:r>
    </w:p>
    <w:p>
      <w:pPr>
        <w:pStyle w:val="Nivel3"/>
      </w:pPr>
      <w:r>
        <w:t xml:space="preserve">O prazo de que trata o item anterior será reduzido à metade, mantendo-se a possibilidade de prorrogação, no caso de contratações decorrentes de despesas cujos valores não ultrapassem o limite de que trata o </w:t>
      </w:r>
      <w:hyperlink r:id="rId23" w:anchor="art75">
        <w:r>
          <w:rPr>
            <w:rStyle w:val="Hyperlink"/>
          </w:rPr>
          <w:t>inciso II do art. 75 da Lei nº 14.133, de 2021</w:t>
        </w:r>
      </w:hyperlink>
      <w:r>
        <w:t>.</w:t>
      </w:r>
    </w:p>
    <w:p>
      <w:pPr>
        <w:pStyle w:val="Nivel2"/>
        <w:rPr>
          <w:lang w:eastAsia="en-US"/>
        </w:rPr>
      </w:pPr>
      <w:r>
        <w:rPr>
          <w:lang w:eastAsia="en-US"/>
        </w:rPr>
        <w:t xml:space="preserve">Para fins de liquidação, o setor competente deverá verificar se a nota fiscal ou instrumento de cobrança equivalente apresentado expressa os elementos necessários e essenciais do documento, tais como: </w:t>
      </w:r>
    </w:p>
    <w:p>
      <w:pPr>
        <w:pStyle w:val="Nivel3"/>
        <w:rPr>
          <w:lang w:eastAsia="en-US"/>
        </w:rPr>
      </w:pPr>
      <w:proofErr w:type="gramStart"/>
      <w:r>
        <w:rPr>
          <w:lang w:eastAsia="en-US"/>
        </w:rPr>
        <w:t>o</w:t>
      </w:r>
      <w:proofErr w:type="gramEnd"/>
      <w:r>
        <w:rPr>
          <w:lang w:eastAsia="en-US"/>
        </w:rPr>
        <w:t xml:space="preserve"> prazo de validade;</w:t>
      </w:r>
    </w:p>
    <w:p>
      <w:pPr>
        <w:pStyle w:val="Nivel3"/>
        <w:rPr>
          <w:lang w:eastAsia="en-US"/>
        </w:rPr>
      </w:pPr>
      <w:proofErr w:type="gramStart"/>
      <w:r>
        <w:rPr>
          <w:lang w:eastAsia="en-US"/>
        </w:rPr>
        <w:t>a</w:t>
      </w:r>
      <w:proofErr w:type="gramEnd"/>
      <w:r>
        <w:rPr>
          <w:lang w:eastAsia="en-US"/>
        </w:rPr>
        <w:t xml:space="preserve"> data da emissão; </w:t>
      </w:r>
    </w:p>
    <w:p>
      <w:pPr>
        <w:pStyle w:val="Nivel3"/>
        <w:rPr>
          <w:lang w:eastAsia="en-US"/>
        </w:rPr>
      </w:pPr>
      <w:proofErr w:type="gramStart"/>
      <w:r>
        <w:rPr>
          <w:lang w:eastAsia="en-US"/>
        </w:rPr>
        <w:t>os</w:t>
      </w:r>
      <w:proofErr w:type="gramEnd"/>
      <w:r>
        <w:rPr>
          <w:lang w:eastAsia="en-US"/>
        </w:rPr>
        <w:t xml:space="preserve"> dados do contrato e do órgão contratante; </w:t>
      </w:r>
    </w:p>
    <w:p>
      <w:pPr>
        <w:pStyle w:val="Nivel3"/>
        <w:rPr>
          <w:lang w:eastAsia="en-US"/>
        </w:rPr>
      </w:pPr>
      <w:proofErr w:type="gramStart"/>
      <w:r>
        <w:rPr>
          <w:lang w:eastAsia="en-US"/>
        </w:rPr>
        <w:t>o</w:t>
      </w:r>
      <w:proofErr w:type="gramEnd"/>
      <w:r>
        <w:rPr>
          <w:lang w:eastAsia="en-US"/>
        </w:rPr>
        <w:t xml:space="preserve"> período respectivo de execução do contrato; </w:t>
      </w:r>
    </w:p>
    <w:p>
      <w:pPr>
        <w:pStyle w:val="Nivel3"/>
        <w:rPr>
          <w:lang w:eastAsia="en-US"/>
        </w:rPr>
      </w:pPr>
      <w:proofErr w:type="gramStart"/>
      <w:r>
        <w:rPr>
          <w:lang w:eastAsia="en-US"/>
        </w:rPr>
        <w:t>o</w:t>
      </w:r>
      <w:proofErr w:type="gramEnd"/>
      <w:r>
        <w:rPr>
          <w:lang w:eastAsia="en-US"/>
        </w:rPr>
        <w:t xml:space="preserve"> valor a pagar; e </w:t>
      </w:r>
    </w:p>
    <w:p>
      <w:pPr>
        <w:pStyle w:val="Nivel3"/>
        <w:rPr>
          <w:lang w:eastAsia="en-US"/>
        </w:rPr>
      </w:pPr>
      <w:proofErr w:type="gramStart"/>
      <w:r>
        <w:rPr>
          <w:lang w:eastAsia="en-US"/>
        </w:rPr>
        <w:t>eventual</w:t>
      </w:r>
      <w:proofErr w:type="gramEnd"/>
      <w:r>
        <w:rPr>
          <w:lang w:eastAsia="en-US"/>
        </w:rPr>
        <w:t xml:space="preserve"> destaque do valor de retenções tributárias cabíveis.</w:t>
      </w:r>
    </w:p>
    <w:p>
      <w:pPr>
        <w:pStyle w:val="Nivel2"/>
        <w:rPr>
          <w:lang w:eastAsia="en-US"/>
        </w:rPr>
      </w:pPr>
      <w:r>
        <w:rPr>
          <w:rFonts w:eastAsia="Calibri"/>
          <w:lang w:eastAsia="en-US"/>
        </w:rPr>
        <w:t xml:space="preserve"> Havendo erro na apresentação da nota fiscal ou instrumento de cobrança equivalente, ou circunstância que impeça a </w:t>
      </w:r>
      <w:r>
        <w:rPr>
          <w:lang w:eastAsia="en-US"/>
        </w:rPr>
        <w:t xml:space="preserve">liquidação da despesa, esta ficará sobrestada até que o contratado providencie </w:t>
      </w:r>
      <w:r>
        <w:rPr>
          <w:lang w:eastAsia="en-US"/>
        </w:rPr>
        <w:lastRenderedPageBreak/>
        <w:t>as medidas saneadoras, reiniciando-se o prazo após a comprovação da regularização da situação, sem ônus ao contratante;</w:t>
      </w:r>
    </w:p>
    <w:p>
      <w:pPr>
        <w:pStyle w:val="Nivel2"/>
        <w:rPr>
          <w:lang w:eastAsia="en-US"/>
        </w:rPr>
      </w:pPr>
      <w:r>
        <w:rPr>
          <w:lang w:eastAsia="en-US"/>
        </w:rPr>
        <w:t xml:space="preserve"> A nota fiscal ou instrumento de cobrança equivalente deverá ser obrigatoriamente acompanhado da comprovação da regularidade fiscal, constatada por meio de consulta </w:t>
      </w:r>
      <w:r>
        <w:rPr>
          <w:i/>
          <w:lang w:eastAsia="en-US"/>
        </w:rPr>
        <w:t>on-line</w:t>
      </w:r>
      <w:r>
        <w:rPr>
          <w:lang w:eastAsia="en-US"/>
        </w:rPr>
        <w:t xml:space="preserve"> ao SICAF ou, na impossibilidade de acesso ao referido Sistema, mediante consulta aos sítios eletrônicos oficiais ou à documentação mencionada no </w:t>
      </w:r>
      <w:hyperlink r:id="rId24" w:anchor="art68">
        <w:r>
          <w:rPr>
            <w:rStyle w:val="Hyperlink"/>
            <w:lang w:eastAsia="en-US"/>
          </w:rPr>
          <w:t xml:space="preserve">art. 68 da Lei nº 14.133, de 2021.  </w:t>
        </w:r>
      </w:hyperlink>
      <w:r>
        <w:rPr>
          <w:lang w:eastAsia="en-US"/>
        </w:rPr>
        <w:t xml:space="preserve"> </w:t>
      </w:r>
    </w:p>
    <w:p>
      <w:pPr>
        <w:pStyle w:val="Nivel2"/>
      </w:pPr>
      <w:r>
        <w:t>A Administração deverá realizar consulta ao SICAF para: a) verificar a manutenção das condições de habilitação exigidas; b) identificar possível razão que impeça a contratação no âmbito do órgão ou entidade, tais como a proibição de contratar com a Administração ou com o Poder Público, bem como ocorrências impeditivas indiretas (INSTRUÇÃO NORMATIVA Nº 3, DE 26 DE ABRIL DE 2018).</w:t>
      </w:r>
    </w:p>
    <w:p>
      <w:pPr>
        <w:pStyle w:val="Nivel2"/>
        <w:rPr>
          <w:lang w:eastAsia="en-US"/>
        </w:rPr>
      </w:pPr>
      <w:r>
        <w:rPr>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pPr>
        <w:pStyle w:val="Nivel2"/>
        <w:rPr>
          <w:lang w:eastAsia="en-US"/>
        </w:rPr>
      </w:pPr>
      <w:r>
        <w:rPr>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pPr>
        <w:pStyle w:val="Nivel2"/>
        <w:rPr>
          <w:lang w:eastAsia="en-US"/>
        </w:rPr>
      </w:pPr>
      <w:r>
        <w:rPr>
          <w:lang w:eastAsia="en-US"/>
        </w:rPr>
        <w:t xml:space="preserve">Persistindo a irregularidade, o contratante deverá adotar as medidas necessárias à rescisão contratual nos autos do processo administrativo correspondente, assegurada ao contratado a ampla defesa. </w:t>
      </w:r>
    </w:p>
    <w:p>
      <w:pPr>
        <w:pStyle w:val="Nivel2"/>
        <w:rPr>
          <w:lang w:eastAsia="en-US"/>
        </w:rPr>
      </w:pPr>
      <w:r>
        <w:rPr>
          <w:lang w:eastAsia="en-US"/>
        </w:rPr>
        <w:t xml:space="preserve">Havendo a efetiva execução do objeto, os pagamentos serão realizados normalmente, até que se decida pela rescisão do contrato, caso o contratado não regularize sua situação junto ao SICAF.  </w:t>
      </w:r>
    </w:p>
    <w:p>
      <w:pPr>
        <w:pStyle w:val="Nvel1-SemNumPreto"/>
      </w:pPr>
      <w:r>
        <w:t>Prazo de pagamento</w:t>
      </w:r>
    </w:p>
    <w:p>
      <w:pPr>
        <w:pStyle w:val="Nivel2"/>
      </w:pPr>
      <w:r>
        <w:t xml:space="preserve">O pagamento será efetuado no prazo de até 10 (dez) dias úteis contados da finalização da liquidação da despesa, conforme seção anterior, nos termos da </w:t>
      </w:r>
      <w:hyperlink r:id="rId25">
        <w:r>
          <w:rPr>
            <w:rStyle w:val="Hyperlink"/>
          </w:rPr>
          <w:t>Instrução Normativa SEGES/ME nº 77, de 2022</w:t>
        </w:r>
      </w:hyperlink>
      <w:r>
        <w:t>.</w:t>
      </w:r>
    </w:p>
    <w:p>
      <w:pPr>
        <w:pStyle w:val="Nivel2"/>
        <w:rPr>
          <w:lang w:eastAsia="en-US"/>
        </w:rPr>
      </w:pPr>
      <w:r>
        <w:rPr>
          <w:lang w:eastAsia="en-US"/>
        </w:rPr>
        <w:t>No caso de atraso pelo Contratante, os valores devidos ao contratado serão atualizados monetariamente entre o termo final do prazo de pagamento até a data de sua efetiva realização, mediante aplicação do índice IPCA de correção monetária.</w:t>
      </w:r>
    </w:p>
    <w:p>
      <w:pPr>
        <w:pStyle w:val="Nvel1-SemNumPreto"/>
      </w:pPr>
      <w:r>
        <w:t>Forma de pagamento</w:t>
      </w:r>
    </w:p>
    <w:p>
      <w:pPr>
        <w:pStyle w:val="Nivel2"/>
        <w:rPr>
          <w:lang w:eastAsia="en-US"/>
        </w:rPr>
      </w:pPr>
      <w:r>
        <w:rPr>
          <w:lang w:eastAsia="en-US"/>
        </w:rPr>
        <w:t>O pagamento será realizado por meio de ordem bancária, para crédito em banco, agência e conta corrente indicados pelo contratado.</w:t>
      </w:r>
    </w:p>
    <w:p>
      <w:pPr>
        <w:pStyle w:val="Nivel2"/>
        <w:rPr>
          <w:lang w:eastAsia="en-US"/>
        </w:rPr>
      </w:pPr>
      <w:r>
        <w:rPr>
          <w:lang w:eastAsia="en-US"/>
        </w:rPr>
        <w:t>Será considerada data do pagamento o dia em que constar como emitida a ordem bancária para pagamento.</w:t>
      </w:r>
    </w:p>
    <w:p>
      <w:pPr>
        <w:pStyle w:val="Nivel2"/>
        <w:rPr>
          <w:lang w:eastAsia="en-US"/>
        </w:rPr>
      </w:pPr>
      <w:r>
        <w:rPr>
          <w:lang w:eastAsia="en-US"/>
        </w:rPr>
        <w:t>Quando do pagamento, será efetuada a retenção tributária prevista na legislação aplicável.</w:t>
      </w:r>
    </w:p>
    <w:p>
      <w:pPr>
        <w:pStyle w:val="Nivel3"/>
        <w:rPr>
          <w:lang w:eastAsia="en-US"/>
        </w:rPr>
      </w:pPr>
      <w:r>
        <w:rPr>
          <w:lang w:eastAsia="en-US"/>
        </w:rPr>
        <w:t>Independentemente do percentual de tributo inserido na planilha, quando houver, serão retidos na fonte, quando da realização do pagamento, os percentuais estabelecidos na legislação vigente.</w:t>
      </w:r>
    </w:p>
    <w:p>
      <w:pPr>
        <w:pStyle w:val="Nivel2"/>
        <w:rPr>
          <w:lang w:eastAsia="en-US"/>
        </w:rPr>
      </w:pPr>
      <w:r>
        <w:rPr>
          <w:lang w:eastAsia="en-US"/>
        </w:rPr>
        <w:t xml:space="preserve">O contratado regularmente optante pelo Simples Nacional, nos termos da </w:t>
      </w:r>
      <w:hyperlink r:id="rId26">
        <w:r>
          <w:rPr>
            <w:rStyle w:val="Hyperlink"/>
            <w:lang w:eastAsia="en-US"/>
          </w:rPr>
          <w:t>Lei Complementar nº 123, de 2006</w:t>
        </w:r>
      </w:hyperlink>
      <w:r>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vel1-SemNumPreto"/>
      </w:pPr>
      <w:r>
        <w:lastRenderedPageBreak/>
        <w:t>Cessão de crédito</w:t>
      </w:r>
    </w:p>
    <w:p>
      <w:pPr>
        <w:pStyle w:val="Nivel2"/>
        <w:rPr>
          <w:lang w:eastAsia="en-US"/>
        </w:rPr>
      </w:pPr>
      <w:bookmarkStart w:id="1" w:name="_Ref154079397"/>
      <w:r>
        <w:rPr>
          <w:lang w:eastAsia="en-US"/>
        </w:rPr>
        <w:t xml:space="preserve">É admitida a cessão fiduciária de direitos creditícios com instituição financeira, nos termos e de acordo com os procedimentos previstos na </w:t>
      </w:r>
      <w:hyperlink r:id="rId27">
        <w:r>
          <w:rPr>
            <w:rStyle w:val="Hyperlink"/>
            <w:lang w:eastAsia="en-US"/>
          </w:rPr>
          <w:t xml:space="preserve">Instrução Normativa SEGES/ME nº 53, de 8 de </w:t>
        </w:r>
        <w:proofErr w:type="gramStart"/>
        <w:r>
          <w:rPr>
            <w:rStyle w:val="Hyperlink"/>
            <w:lang w:eastAsia="en-US"/>
          </w:rPr>
          <w:t>Julho</w:t>
        </w:r>
        <w:proofErr w:type="gramEnd"/>
        <w:r>
          <w:rPr>
            <w:rStyle w:val="Hyperlink"/>
            <w:lang w:eastAsia="en-US"/>
          </w:rPr>
          <w:t xml:space="preserve"> de 2020</w:t>
        </w:r>
      </w:hyperlink>
      <w:r>
        <w:rPr>
          <w:lang w:eastAsia="en-US"/>
        </w:rPr>
        <w:t>, conforme as regras deste presente tópico.</w:t>
      </w:r>
      <w:bookmarkEnd w:id="1"/>
    </w:p>
    <w:p>
      <w:pPr>
        <w:pStyle w:val="Nvel3-R"/>
      </w:pPr>
      <w:bookmarkStart w:id="2" w:name="_Ref118216946"/>
      <w:r>
        <w:t xml:space="preserve">As cessões de crédito </w:t>
      </w:r>
      <w:r>
        <w:rPr>
          <w:rStyle w:val="normaltextrun"/>
          <w:iCs w:val="0"/>
        </w:rPr>
        <w:t>não abrangidas pela Instrução Normativa SEGES/ME nº 53, de 8 de julho de 2020,</w:t>
      </w:r>
      <w:r>
        <w:rPr>
          <w:rStyle w:val="normaltextrun"/>
          <w:i/>
          <w:iCs w:val="0"/>
        </w:rPr>
        <w:t xml:space="preserve"> </w:t>
      </w:r>
      <w:r>
        <w:t>dependerão de prévia aprovação do contratante.</w:t>
      </w:r>
      <w:bookmarkEnd w:id="2"/>
    </w:p>
    <w:p>
      <w:pPr>
        <w:pStyle w:val="Nivel2"/>
        <w:rPr>
          <w:lang w:eastAsia="en-US"/>
        </w:rPr>
      </w:pPr>
      <w:r>
        <w:rPr>
          <w:lang w:eastAsia="en-US"/>
        </w:rPr>
        <w:t>A eficácia da cessão de crédito</w:t>
      </w:r>
      <w:r>
        <w:rPr>
          <w:rStyle w:val="Ttulo2Char"/>
          <w:iCs w:val="0"/>
          <w:color w:val="auto"/>
        </w:rPr>
        <w:t xml:space="preserve"> </w:t>
      </w:r>
      <w:r>
        <w:rPr>
          <w:rStyle w:val="normaltextrun"/>
          <w:iCs w:val="0"/>
        </w:rPr>
        <w:t>não abrangida pela Instrução Normativa SEGES/ME nº 53, de 8 de julho de 2020,</w:t>
      </w:r>
      <w:r>
        <w:rPr>
          <w:lang w:eastAsia="en-US"/>
        </w:rPr>
        <w:t xml:space="preserve"> em relação à Administração, está condicionada à celebração de termo aditivo ao contrato administrativo.</w:t>
      </w:r>
    </w:p>
    <w:p>
      <w:pPr>
        <w:pStyle w:val="Nivel2"/>
        <w:rPr>
          <w:lang w:eastAsia="en-US"/>
        </w:rPr>
      </w:pPr>
      <w:r>
        <w:rPr>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hyperlink r:id="rId28" w:anchor=":~:text=LEI%20N%C2%BA%208.429%2C%20DE%202%20DE%20JUNHO%20DE%201992&amp;text=Disp%C3%B5e%20sobre%20as%20san%C3%A7%C3%B5es%20aplic%C3%A1veis,fundacional%20e%20d%C3%A1%20outras%20provid%C3%AAncias.">
        <w:r>
          <w:rPr>
            <w:rStyle w:val="Hyperlink"/>
            <w:lang w:eastAsia="en-US"/>
          </w:rPr>
          <w:t>o art. 12 da Lei nº 8.429, de 1992</w:t>
        </w:r>
      </w:hyperlink>
      <w:r>
        <w:rPr>
          <w:lang w:eastAsia="en-US"/>
        </w:rPr>
        <w:t xml:space="preserve">, nos termos do </w:t>
      </w:r>
      <w:hyperlink r:id="rId29">
        <w:r>
          <w:rPr>
            <w:rStyle w:val="Hyperlink"/>
            <w:lang w:eastAsia="en-US"/>
          </w:rPr>
          <w:t>Parecer JL-01, de 18 de maio de 2020.</w:t>
        </w:r>
      </w:hyperlink>
      <w:bookmarkStart w:id="3" w:name="_Hlk114498447"/>
      <w:bookmarkEnd w:id="3"/>
    </w:p>
    <w:p>
      <w:pPr>
        <w:pStyle w:val="Nivel2"/>
      </w:pPr>
      <w: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r>
        <w:rPr>
          <w:sz w:val="19"/>
          <w:szCs w:val="19"/>
        </w:rPr>
        <w:t xml:space="preserve"> (INSTRUÇÃO NORMATIVA Nº 53, DE 8 DE JULHO DE 2020 e Anexos)</w:t>
      </w:r>
    </w:p>
    <w:p>
      <w:pPr>
        <w:pStyle w:val="Nivel2"/>
        <w:rPr>
          <w:lang w:eastAsia="en-US"/>
        </w:rPr>
      </w:pPr>
      <w:r>
        <w:rPr>
          <w:lang w:eastAsia="en-US"/>
        </w:rPr>
        <w:t>A cessão de crédito não afetará a execução do objeto contratado, que continuará sob a integral responsabilidade do contratado.</w:t>
      </w:r>
    </w:p>
    <w:p>
      <w:pPr>
        <w:pStyle w:val="Nivel2"/>
        <w:numPr>
          <w:ilvl w:val="0"/>
          <w:numId w:val="0"/>
        </w:numPr>
        <w:rPr>
          <w:lang w:eastAsia="en-US"/>
        </w:rPr>
      </w:pPr>
    </w:p>
    <w:p>
      <w:pPr>
        <w:pStyle w:val="Nivel01"/>
      </w:pPr>
      <w:r>
        <w:t>FORMA E CRITÉRIOS DE SELEÇÃO DO FORNECEDOR E FORMA DE FORNECIMENTO</w:t>
      </w:r>
    </w:p>
    <w:p>
      <w:pPr>
        <w:pStyle w:val="Nivel2"/>
      </w:pPr>
      <w:r>
        <w:t>O fornecedor será selecionado por meio da realização de procedimento de dispensa de licitação, na forma eletrônica, com fundamento na hipótese do art. 75, inciso II da Lei n.º 14.133/2021 (indicar um dos incisos do art. 75, da Lei n.º 14.133/2021, conforme o caso concreto), que culminará com a seleção da proposta de menor preço por item.</w:t>
      </w:r>
    </w:p>
    <w:p>
      <w:pPr>
        <w:pStyle w:val="Nvel1-SemNumPreto"/>
      </w:pPr>
      <w:r>
        <w:t>Forma de fornecimento</w:t>
      </w:r>
    </w:p>
    <w:p>
      <w:pPr>
        <w:pStyle w:val="Nivel2"/>
      </w:pPr>
      <w:r>
        <w:rPr>
          <w:rStyle w:val="normaltextrun"/>
          <w:shd w:val="clear" w:color="auto" w:fill="FFFFFF"/>
        </w:rPr>
        <w:t xml:space="preserve">O </w:t>
      </w:r>
      <w:r>
        <w:rPr>
          <w:rStyle w:val="findhit"/>
          <w:shd w:val="clear" w:color="auto" w:fill="FFFFFF"/>
        </w:rPr>
        <w:t xml:space="preserve">fornecimento do objeto será </w:t>
      </w:r>
      <w:r>
        <w:t>conforme empenhos realizados no decorrer do prazo da ata</w:t>
      </w:r>
      <w:r>
        <w:rPr>
          <w:shd w:val="clear" w:color="auto" w:fill="FFFFFF"/>
        </w:rPr>
        <w:t>.</w:t>
      </w:r>
    </w:p>
    <w:p>
      <w:pPr>
        <w:pStyle w:val="Nvel1-SemNumPreto"/>
      </w:pPr>
      <w:r>
        <w:t>Exigências de habilitação</w:t>
      </w:r>
    </w:p>
    <w:p>
      <w:pPr>
        <w:pStyle w:val="Nivel2"/>
        <w:rPr>
          <w:color w:val="000000" w:themeColor="text1"/>
        </w:rPr>
      </w:pPr>
      <w:r>
        <w:t xml:space="preserve">Previamente à celebração do contrato, a Administração verificará o eventual descumprimento das condições para contratação, especialmente quanto à existência de sanção que a impeça, mediante a consulta a cadastros informativos oficiais, tais como:  </w:t>
      </w:r>
    </w:p>
    <w:p>
      <w:pPr>
        <w:spacing w:before="120" w:after="120" w:line="276" w:lineRule="auto"/>
        <w:ind w:left="810"/>
        <w:jc w:val="both"/>
      </w:pPr>
      <w:r>
        <w:rPr>
          <w:rFonts w:ascii="Arial" w:eastAsia="Arial" w:hAnsi="Arial" w:cs="Arial"/>
          <w:iCs/>
          <w:sz w:val="20"/>
          <w:szCs w:val="20"/>
        </w:rPr>
        <w:t xml:space="preserve">a) SICAF;  </w:t>
      </w:r>
    </w:p>
    <w:p>
      <w:pPr>
        <w:spacing w:before="120" w:after="120" w:line="276" w:lineRule="auto"/>
        <w:ind w:left="810"/>
        <w:jc w:val="both"/>
        <w:rPr>
          <w:rFonts w:ascii="Arial" w:eastAsia="Arial" w:hAnsi="Arial" w:cs="Arial"/>
          <w:iCs/>
          <w:sz w:val="20"/>
          <w:szCs w:val="20"/>
        </w:rPr>
      </w:pPr>
      <w:r>
        <w:rPr>
          <w:rFonts w:ascii="Arial" w:eastAsia="Arial" w:hAnsi="Arial" w:cs="Arial"/>
          <w:iCs/>
          <w:sz w:val="20"/>
          <w:szCs w:val="20"/>
        </w:rPr>
        <w:t>b) Cadastro Nacional de Empresas Inidôneas e Suspensas - CEIS, mantido pela Controladoria-Geral da União (</w:t>
      </w:r>
      <w:hyperlink r:id="rId30">
        <w:r>
          <w:rPr>
            <w:rStyle w:val="Hyperlink"/>
            <w:rFonts w:ascii="Arial" w:eastAsia="Arial" w:hAnsi="Arial" w:cs="Arial"/>
            <w:iCs/>
            <w:color w:val="auto"/>
            <w:sz w:val="20"/>
            <w:szCs w:val="20"/>
          </w:rPr>
          <w:t>www.portaldatransparencia.gov.br/ceis</w:t>
        </w:r>
      </w:hyperlink>
      <w:r>
        <w:rPr>
          <w:rFonts w:ascii="Arial" w:eastAsia="Arial" w:hAnsi="Arial" w:cs="Arial"/>
          <w:iCs/>
          <w:sz w:val="20"/>
          <w:szCs w:val="20"/>
        </w:rPr>
        <w:t xml:space="preserve">);  </w:t>
      </w:r>
    </w:p>
    <w:p>
      <w:pPr>
        <w:spacing w:before="120" w:after="120" w:line="276" w:lineRule="auto"/>
        <w:ind w:left="810"/>
        <w:jc w:val="both"/>
        <w:rPr>
          <w:rFonts w:ascii="Arial" w:eastAsia="Arial" w:hAnsi="Arial" w:cs="Arial"/>
          <w:iCs/>
          <w:sz w:val="20"/>
          <w:szCs w:val="20"/>
        </w:rPr>
      </w:pPr>
      <w:r>
        <w:rPr>
          <w:rFonts w:ascii="Arial" w:eastAsia="Arial" w:hAnsi="Arial" w:cs="Arial"/>
          <w:iCs/>
          <w:sz w:val="20"/>
          <w:szCs w:val="20"/>
        </w:rPr>
        <w:lastRenderedPageBreak/>
        <w:t>c) Cadastro Nacional de Empresas Punidas – CNEP, mantido pela Controladoria-Geral da União (</w:t>
      </w:r>
      <w:hyperlink r:id="rId31">
        <w:r>
          <w:rPr>
            <w:rStyle w:val="Hyperlink"/>
            <w:rFonts w:ascii="Arial" w:eastAsia="Arial" w:hAnsi="Arial" w:cs="Arial"/>
            <w:iCs/>
            <w:color w:val="auto"/>
            <w:sz w:val="20"/>
            <w:szCs w:val="20"/>
          </w:rPr>
          <w:t>https://www.portaltransparencia.gov.br/sancoes/cnep</w:t>
        </w:r>
      </w:hyperlink>
      <w:r>
        <w:rPr>
          <w:rFonts w:ascii="Arial" w:eastAsia="Arial" w:hAnsi="Arial" w:cs="Arial"/>
          <w:iCs/>
          <w:sz w:val="20"/>
          <w:szCs w:val="20"/>
        </w:rPr>
        <w:t>)</w:t>
      </w:r>
    </w:p>
    <w:p>
      <w:pPr>
        <w:pStyle w:val="Nivel2"/>
      </w:pPr>
      <w:r>
        <w:t>A consulta aos cadastros será realizada em nome da empresa interessada 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ivel2"/>
      </w:pPr>
      <w:r>
        <w:t>Caso conste na Consulta de Situação do interessado a existência de Ocorrências Impeditivas Indiretas, o gestor diligenciará para verificar se houve fraude por parte das empresas apontadas no Relatório de Ocorrências Impeditivas Indiretas.</w:t>
      </w:r>
    </w:p>
    <w:p>
      <w:pPr>
        <w:pStyle w:val="Nivel2"/>
      </w:pPr>
      <w:r>
        <w:t>A tentativa de burla será verificada por meio dos vínculos societários, linhas de fornecimento similares, dentre outros.</w:t>
      </w:r>
    </w:p>
    <w:p>
      <w:pPr>
        <w:pStyle w:val="Nivel2"/>
      </w:pPr>
      <w:r>
        <w:t>O interessado será convocado para manifestação previamente a uma eventual negativa de contratação.</w:t>
      </w:r>
    </w:p>
    <w:p>
      <w:pPr>
        <w:pStyle w:val="Nivel2"/>
      </w:pPr>
      <w:r>
        <w:t>Caso atendidas as condições para contratação, a habilitação do interessado será verificada por meio do SICAF, nos documentos por ele abrangidos.</w:t>
      </w:r>
    </w:p>
    <w:p>
      <w:pPr>
        <w:pStyle w:val="Nivel2"/>
      </w:pPr>
      <w:r>
        <w:t>É dever do interessado manter atualizada a respectiva documentação constante do SICAF, ou encaminhar, quando solicitado pela Administração, a respectiva documentação atualizada.</w:t>
      </w:r>
    </w:p>
    <w:p>
      <w:pPr>
        <w:pStyle w:val="Nivel2"/>
      </w:pPr>
      <w:r>
        <w:t>Não serão aceitos documentos de habilitação com indicação de CNPJ/CPF diferentes, salvo aqueles legalmente permitidos.</w:t>
      </w:r>
    </w:p>
    <w:p>
      <w:pPr>
        <w:pStyle w:val="Nivel2"/>
      </w:pPr>
      <w:r>
        <w:t>Se o interessado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pPr>
        <w:pStyle w:val="Nivel2"/>
      </w:pPr>
      <w:r>
        <w:t>Serão aceitos registros de CNPJ de fornecedor matriz e filial com diferenças de números de documentos pertinentes ao CND e ao CRF/FGTS, quando for comprovada a centralização do recolhimento dessas contribuições.</w:t>
      </w:r>
    </w:p>
    <w:p>
      <w:pPr>
        <w:pStyle w:val="Nivel2"/>
      </w:pPr>
      <w:r>
        <w:t>Para fins de habilitação, deverá o interessado comprovar os seguintes requisitos, que serão exigidos conforme sua natureza jurídica:</w:t>
      </w:r>
    </w:p>
    <w:p>
      <w:pPr>
        <w:pStyle w:val="Nvel1-SemNumPreto"/>
      </w:pPr>
      <w:r>
        <w:t>Habilitação jurídica</w:t>
      </w:r>
    </w:p>
    <w:p>
      <w:pPr>
        <w:pStyle w:val="Nivel2"/>
      </w:pPr>
      <w:bookmarkStart w:id="4" w:name="_Ref115800561"/>
      <w:r>
        <w:rPr>
          <w:b/>
          <w:bCs/>
        </w:rPr>
        <w:t>Pessoa física:</w:t>
      </w:r>
      <w:r>
        <w:t xml:space="preserve"> cédula de identidade (RG) ou documento equivalente que, por força de lei, tenha validade para fins de identificação em todo o território nacional;</w:t>
      </w:r>
      <w:bookmarkEnd w:id="4"/>
    </w:p>
    <w:p>
      <w:pPr>
        <w:pStyle w:val="Nivel2"/>
      </w:pPr>
      <w:r>
        <w:rPr>
          <w:b/>
          <w:bCs/>
        </w:rPr>
        <w:t>Empresário individual:</w:t>
      </w:r>
      <w:r>
        <w:t xml:space="preserve"> inscrição no Registro Público de Empresas Mercantis, a cargo da Junta Comercial da respectiva sede; </w:t>
      </w:r>
    </w:p>
    <w:p>
      <w:pPr>
        <w:pStyle w:val="Nivel2"/>
      </w:pPr>
      <w:r>
        <w:rPr>
          <w:b/>
          <w:bCs/>
        </w:rPr>
        <w:t>Microempreendedor Individual - MEI:</w:t>
      </w:r>
      <w:r>
        <w:t xml:space="preserve"> Certificado da Condição de Microempreendedor Individual - CCMEI, cuja aceitação ficará condicionada à verificação da autenticidade no sítio </w:t>
      </w:r>
      <w:hyperlink r:id="rId32">
        <w:r>
          <w:rPr>
            <w:rStyle w:val="Hyperlink"/>
          </w:rPr>
          <w:t>https://www.gov.br/empresas-e-negocios/pt-br/empreendedor</w:t>
        </w:r>
      </w:hyperlink>
      <w:r>
        <w:t xml:space="preserve">; </w:t>
      </w:r>
    </w:p>
    <w:p>
      <w:pPr>
        <w:pStyle w:val="Nivel2"/>
      </w:pPr>
      <w: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pPr>
        <w:pStyle w:val="Nivel2"/>
      </w:pPr>
      <w:r>
        <w:rPr>
          <w:b/>
          <w:bCs/>
        </w:rPr>
        <w:t>Sociedade empresária estrangeira:</w:t>
      </w:r>
      <w:r>
        <w:t xml:space="preserve"> portaria de autorização de funcionamento no Brasil, publicada no Diário Oficial da União e arquivada na Junta Comercial da unidade federativa onde se localizar a filial, </w:t>
      </w:r>
      <w:r>
        <w:lastRenderedPageBreak/>
        <w:t xml:space="preserve">agência, sucursal ou estabelecimento, a qual será considerada como sua sede, conforme Instrução </w:t>
      </w:r>
      <w:hyperlink r:id="rId33">
        <w:r>
          <w:rPr>
            <w:rStyle w:val="Hyperlink"/>
          </w:rPr>
          <w:t>Normativa DREI/ME n.º 77, de 18 de março de 2020</w:t>
        </w:r>
      </w:hyperlink>
      <w:r>
        <w:t>.</w:t>
      </w:r>
    </w:p>
    <w:p>
      <w:pPr>
        <w:pStyle w:val="Nivel2"/>
      </w:pPr>
      <w:r>
        <w:rPr>
          <w:b/>
          <w:bCs/>
        </w:rPr>
        <w:t xml:space="preserve">Sociedade simples: </w:t>
      </w:r>
      <w:r>
        <w:t>inscrição do ato constitutivo no Registro Civil de Pessoas Jurídicas do local de sua sede, acompanhada de documento comprobatório de seus administradores;</w:t>
      </w:r>
    </w:p>
    <w:p>
      <w:pPr>
        <w:pStyle w:val="Nivel2"/>
      </w:pPr>
      <w:r>
        <w:rPr>
          <w:b/>
          <w:bCs/>
        </w:rPr>
        <w:t>Filial, sucursal ou agência de sociedade simples ou empresária:</w:t>
      </w:r>
      <w:r>
        <w:t xml:space="preserve"> inscrição do ato constitutivo da filial, sucursal ou agência da sociedade simples ou empresária, respectivamente, no Registro Civil das Pessoas Jurídicas ou no Registro Público de Empresas </w:t>
      </w:r>
      <w:bookmarkStart w:id="5" w:name="_Int_ySfCXwr4"/>
      <w:r>
        <w:t>Mercantis onde</w:t>
      </w:r>
      <w:bookmarkEnd w:id="5"/>
      <w:r>
        <w:t xml:space="preserve"> opera, com averbação no Registro onde tem sede a matriz</w:t>
      </w:r>
    </w:p>
    <w:p>
      <w:pPr>
        <w:pStyle w:val="Nivel2"/>
      </w:pPr>
      <w:r>
        <w:rPr>
          <w:b/>
          <w:bCs/>
        </w:rPr>
        <w:t>Sociedade cooperativa:</w:t>
      </w:r>
      <w:r>
        <w:t xml:space="preserve"> ata de fundação e estatuto social, com a ata da assembleia que o aprovou, devidamente arquivado na Junta Comercial ou inscrito no Registro Civil das Pessoas Jurídicas da respectiva </w:t>
      </w:r>
      <w:proofErr w:type="spellStart"/>
      <w:r>
        <w:t>ede</w:t>
      </w:r>
      <w:proofErr w:type="spellEnd"/>
      <w:r>
        <w:t xml:space="preserve">, além do registro de que trata o </w:t>
      </w:r>
      <w:hyperlink r:id="rId34" w:anchor="art107">
        <w:r>
          <w:rPr>
            <w:rStyle w:val="Hyperlink"/>
          </w:rPr>
          <w:t>art. 107 da Lei nº 5.764, de 16 de dezembro 1971</w:t>
        </w:r>
      </w:hyperlink>
      <w:r>
        <w:t>.</w:t>
      </w:r>
    </w:p>
    <w:p>
      <w:pPr>
        <w:pStyle w:val="Nivel2"/>
      </w:pPr>
      <w:r>
        <w:rPr>
          <w:b/>
          <w:bCs/>
        </w:rPr>
        <w:t>Agricultor familiar:</w:t>
      </w:r>
      <w:r>
        <w:t xml:space="preserve"> Declaração de Aptidão ao Pronaf – DAP ou DAP-P válida, ou, ainda, outros documentos definidos pela Secretaria Especial de Agricultura Familiar e do Desenvolvimento Agrário, nos termos do</w:t>
      </w:r>
      <w:hyperlink r:id="rId35" w:anchor="art4§2">
        <w:r>
          <w:rPr>
            <w:rStyle w:val="Hyperlink"/>
          </w:rPr>
          <w:t xml:space="preserve"> art. 4º, §2º do Decreto nº 10.880, de 2 de dezembro de 2021</w:t>
        </w:r>
      </w:hyperlink>
      <w:r>
        <w:t>.</w:t>
      </w:r>
    </w:p>
    <w:p>
      <w:pPr>
        <w:pStyle w:val="Nivel2"/>
      </w:pPr>
      <w:r>
        <w:rPr>
          <w:b/>
          <w:bCs/>
        </w:rPr>
        <w:t>Produtor Rural:</w:t>
      </w:r>
      <w:r>
        <w:t xml:space="preserve"> matrícula no Cadastro Específico do INSS – CEI, que comprove a qualificação como produtor rural pessoa física, nos termos da </w:t>
      </w:r>
      <w:hyperlink r:id="rId36">
        <w:r>
          <w:rPr>
            <w:rStyle w:val="Hyperlink"/>
          </w:rPr>
          <w:t>Instrução Normativa RFB n. 971, de 13 de novembro de 2009</w:t>
        </w:r>
      </w:hyperlink>
      <w:r>
        <w:t xml:space="preserve"> (</w:t>
      </w:r>
      <w:proofErr w:type="spellStart"/>
      <w:r>
        <w:t>arts</w:t>
      </w:r>
      <w:proofErr w:type="spellEnd"/>
      <w:r>
        <w:t>. 17 a 19 e 165).</w:t>
      </w:r>
    </w:p>
    <w:p>
      <w:pPr>
        <w:pStyle w:val="Nivel2"/>
      </w:pPr>
      <w:r>
        <w:t>Os documentos apresentados deverão estar acompanhados de todas as alterações ou da consolidação respectiva.</w:t>
      </w:r>
    </w:p>
    <w:p>
      <w:pPr>
        <w:pStyle w:val="Nvel1-SemNumPreto"/>
      </w:pPr>
      <w:r>
        <w:t>Habilitação fiscal, social e trabalhista</w:t>
      </w:r>
    </w:p>
    <w:p>
      <w:pPr>
        <w:pStyle w:val="Nivel2"/>
      </w:pPr>
      <w:r>
        <w:t>Prova de inscrição no Cadastro Nacional de Pessoas Jurídicas ou no Cadastro de Pessoas Físicas, conforme o caso;</w:t>
      </w:r>
    </w:p>
    <w:p>
      <w:pPr>
        <w:pStyle w:val="Nivel2"/>
      </w:pPr>
      <w: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pPr>
        <w:pStyle w:val="Nivel2"/>
      </w:pPr>
      <w:r>
        <w:t>Prova de regularidade com o Fundo de Garantia do Tempo de Serviço (FGTS);</w:t>
      </w:r>
    </w:p>
    <w:p>
      <w:pPr>
        <w:pStyle w:val="Nivel2"/>
        <w:rPr>
          <w:color w:val="000000" w:themeColor="text1"/>
        </w:rPr>
      </w:pPr>
      <w:proofErr w:type="gramStart"/>
      <w:r>
        <w:t>declaração</w:t>
      </w:r>
      <w:proofErr w:type="gramEnd"/>
      <w:r>
        <w:t xml:space="preserve"> de que não emprega menor de 18 anos em trabalho noturno, perigoso ou insalubre e não emprega menor de 16 anos, salvo menor, a partir de 14 anos, na condição de aprendiz, nos termos do artigo 7°, XXXIII, da Constituição;</w:t>
      </w:r>
    </w:p>
    <w:p>
      <w:pPr>
        <w:pStyle w:val="Nivel2"/>
      </w:pPr>
      <w: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ivel2"/>
      </w:pPr>
      <w:r>
        <w:t>Prova de inscrição no cadastro de contribuintes Municipal/Distrital</w:t>
      </w:r>
      <w:r>
        <w:rPr>
          <w:i/>
        </w:rPr>
        <w:t xml:space="preserve"> </w:t>
      </w:r>
      <w:r>
        <w:t xml:space="preserve">relativo ao domicílio ou sede do fornecedor, pertinente ao seu ramo de atividade e compatível com o objeto contratual; </w:t>
      </w:r>
    </w:p>
    <w:p>
      <w:pPr>
        <w:pStyle w:val="Nivel2"/>
      </w:pPr>
      <w:r>
        <w:t>Prova de regularidade com a Fazenda Municipal/Distrital do domicílio ou sede do fornecedor, relativa à atividade em cujo exercício contrata ou concorre;</w:t>
      </w:r>
    </w:p>
    <w:p>
      <w:pPr>
        <w:pStyle w:val="Nivel2"/>
      </w:pPr>
      <w:r>
        <w:t>Caso o fornecedor seja considerado isento dos tributos Municipal/Distrital relacionados ao objeto contratual, deverá comprovar tal condição mediante a apresentação de declaração da Fazenda respectiva do seu domicílio ou sede, ou outra equivalente, na forma da lei.</w:t>
      </w:r>
    </w:p>
    <w:p>
      <w:pPr>
        <w:pStyle w:val="Nivel2"/>
      </w:pPr>
      <w:r>
        <w:lastRenderedPageBreak/>
        <w:t>O fornecedor enquadrado como microempreendedor individual que pretenda auferir os benefícios do tratamento diferenciado previstos na Lei Complementar n. 123, de 2006, estará dispensado da prova de inscrição nos cadastros de contribuintes estadual e municipal.</w:t>
      </w:r>
    </w:p>
    <w:p>
      <w:pPr>
        <w:pStyle w:val="Nvel1-SemNumPreto"/>
      </w:pPr>
      <w:r>
        <w:t>Qualificação Econômico-Financeira</w:t>
      </w:r>
    </w:p>
    <w:p>
      <w:pPr>
        <w:pStyle w:val="Nivel2"/>
      </w:pPr>
      <w:r>
        <w:t>Certidão negativa de insolvência civil expedida pelo distribuidor do domicílio ou sede do interessado, caso se trate de pessoa física, desde que admitida a sua contratação (</w:t>
      </w:r>
      <w:hyperlink r:id="rId37" w:anchor="art5">
        <w:r>
          <w:rPr>
            <w:rStyle w:val="Hyperlink"/>
            <w:color w:val="auto"/>
          </w:rPr>
          <w:t>art. 5º, inciso II, alínea “c”, da Instrução Normativa Seges/ME nº 116, de 2021</w:t>
        </w:r>
      </w:hyperlink>
      <w:r>
        <w:t xml:space="preserve">), ou de sociedade simples; </w:t>
      </w:r>
    </w:p>
    <w:p>
      <w:pPr>
        <w:pStyle w:val="Nivel2"/>
      </w:pPr>
      <w:r>
        <w:t xml:space="preserve">Certidão negativa de falência expedida pelo distribuidor da sede do fornecedor - </w:t>
      </w:r>
      <w:hyperlink r:id="rId38" w:anchor="art69">
        <w:r>
          <w:rPr>
            <w:rStyle w:val="Hyperlink"/>
            <w:color w:val="auto"/>
          </w:rPr>
          <w:t>Lei nº 14.133, de 2021, art. 69, caput, inciso II</w:t>
        </w:r>
      </w:hyperlink>
      <w:r>
        <w:t>);</w:t>
      </w:r>
    </w:p>
    <w:p>
      <w:pPr>
        <w:pStyle w:val="Nivel2"/>
      </w:pPr>
      <w:r>
        <w:t>Balanço patrimonial, demonstração de resultado de exercício e demais demonstrações contábeis dos 2 (dois) últimos exercícios sociais, comprovando;</w:t>
      </w:r>
    </w:p>
    <w:p>
      <w:pPr>
        <w:pStyle w:val="Nivel3"/>
        <w:rPr>
          <w:color w:val="auto"/>
        </w:rPr>
      </w:pPr>
      <w:proofErr w:type="gramStart"/>
      <w:r>
        <w:rPr>
          <w:color w:val="auto"/>
        </w:rPr>
        <w:t>índices</w:t>
      </w:r>
      <w:proofErr w:type="gramEnd"/>
      <w:r>
        <w:rPr>
          <w:color w:val="auto"/>
        </w:rPr>
        <w:t xml:space="preserve"> de Liquidez Geral (LG), Liquidez Corrente (LC), e Solvência Geral (SG) superiores a 1 (um);</w:t>
      </w:r>
    </w:p>
    <w:p>
      <w:pPr>
        <w:pStyle w:val="Nivel3"/>
        <w:rPr>
          <w:color w:val="auto"/>
        </w:rPr>
      </w:pPr>
      <w:r>
        <w:rPr>
          <w:color w:val="auto"/>
        </w:rPr>
        <w:t>As empresas criadas no exercício financeiro da contratação direta deverão atender a todas as exigências da habilitação e poderão substituir os demonstrativos contábeis pelo balanço de abertura.</w:t>
      </w:r>
    </w:p>
    <w:p>
      <w:pPr>
        <w:pStyle w:val="Nivel3"/>
        <w:rPr>
          <w:color w:val="auto"/>
        </w:rPr>
      </w:pPr>
      <w:r>
        <w:rPr>
          <w:color w:val="auto"/>
        </w:rPr>
        <w:t>Os documentos referidos acima limitar-se-ão ao último exercício no caso de a pessoa jurídica ter sido constituída há menos de 2 (dois) anos;</w:t>
      </w:r>
    </w:p>
    <w:p>
      <w:pPr>
        <w:pStyle w:val="Nivel3"/>
        <w:rPr>
          <w:color w:val="auto"/>
        </w:rPr>
      </w:pPr>
      <w:r>
        <w:rPr>
          <w:color w:val="auto"/>
        </w:rPr>
        <w:t xml:space="preserve">Os documentos referidos acima deverão ser exigidos com base no limite definido pela Receita Federal do Brasil para transmissão da Escrituração Contábil Digital - ECD ao </w:t>
      </w:r>
      <w:proofErr w:type="spellStart"/>
      <w:r>
        <w:rPr>
          <w:color w:val="auto"/>
        </w:rPr>
        <w:t>Sped</w:t>
      </w:r>
      <w:proofErr w:type="spellEnd"/>
      <w:r>
        <w:rPr>
          <w:color w:val="auto"/>
        </w:rPr>
        <w:t>.</w:t>
      </w:r>
    </w:p>
    <w:p>
      <w:pPr>
        <w:pStyle w:val="Nivel2"/>
      </w:pPr>
      <w:r>
        <w:t xml:space="preserve">Caso a empresa interessada apresente resultado inferior ou igual a 1 (um) em qualquer dos índices de Liquidez Geral (LG), Solvência Geral (SG) e Liquidez Corrente (LC), será exigido para fins de habilitação [capital mínimo] </w:t>
      </w:r>
      <w:r>
        <w:rPr>
          <w:u w:val="single"/>
        </w:rPr>
        <w:t>OU</w:t>
      </w:r>
      <w:r>
        <w:t xml:space="preserve"> [patrimônio líquido mínimo] de ......% [até 10%] do [valor total estimado da contratação] </w:t>
      </w:r>
      <w:r>
        <w:rPr>
          <w:u w:val="single"/>
        </w:rPr>
        <w:t>OU</w:t>
      </w:r>
      <w:r>
        <w:t xml:space="preserve"> [valor total estimado da parcela pertinente].</w:t>
      </w:r>
    </w:p>
    <w:p>
      <w:pPr>
        <w:pStyle w:val="Nivel2"/>
      </w:pPr>
      <w:r>
        <w:t>As empresas criadas no exercício financeiro da contratação direta deverão atender a todas as exigências da habilitação e poderão substituir os demonstrativos contábeis pelo balanço de abertura. (Lei nº 14.133, de 2021, art. 65, §1º).</w:t>
      </w:r>
    </w:p>
    <w:p>
      <w:pPr>
        <w:pStyle w:val="Nvel2-Red"/>
        <w:rPr>
          <w:i w:val="0"/>
          <w:color w:val="auto"/>
        </w:rPr>
      </w:pPr>
      <w:r>
        <w:rPr>
          <w:i w:val="0"/>
          <w:color w:val="auto"/>
        </w:rPr>
        <w:t>O atendimento dos índices econômicos previstos neste item deverá ser atestado mediante declaração assinada por profissional habilitado da área contábil, apresentada pelo fornecedor.</w:t>
      </w:r>
    </w:p>
    <w:p>
      <w:pPr>
        <w:pStyle w:val="Nvel2-Red"/>
        <w:numPr>
          <w:ilvl w:val="0"/>
          <w:numId w:val="0"/>
        </w:numPr>
      </w:pPr>
    </w:p>
    <w:p>
      <w:pPr>
        <w:pStyle w:val="Nivel01"/>
      </w:pPr>
      <w:r>
        <w:t>ESTIMATIVAS DO VALOR DA CONTRATAÇÃO</w:t>
      </w:r>
    </w:p>
    <w:p>
      <w:pPr>
        <w:pStyle w:val="Nvel2-Red"/>
        <w:rPr>
          <w:b/>
          <w:bCs/>
          <w:i w:val="0"/>
          <w:color w:val="auto"/>
        </w:rPr>
      </w:pPr>
      <w:r>
        <w:rPr>
          <w:i w:val="0"/>
          <w:color w:val="auto"/>
        </w:rPr>
        <w:t xml:space="preserve">O custo estimado total da contratação é de </w:t>
      </w:r>
      <w:r>
        <w:rPr>
          <w:i w:val="0"/>
          <w:color w:val="000000" w:themeColor="text1"/>
        </w:rPr>
        <w:t xml:space="preserve">R$ 3813,28 (três mil oitocentos e treze e vinte e oito centavos), </w:t>
      </w:r>
      <w:r>
        <w:rPr>
          <w:i w:val="0"/>
          <w:color w:val="auto"/>
        </w:rPr>
        <w:t>conforme custos unitários apostos na tabela do item 1.1.</w:t>
      </w:r>
    </w:p>
    <w:p>
      <w:pPr>
        <w:pStyle w:val="Nvel2-Red"/>
        <w:rPr>
          <w:i w:val="0"/>
          <w:color w:val="auto"/>
        </w:rPr>
      </w:pPr>
      <w:r>
        <w:rPr>
          <w:rFonts w:eastAsia="MS Mincho"/>
          <w:i w:val="0"/>
          <w:color w:val="auto"/>
        </w:rPr>
        <w:t xml:space="preserve">Em caso de Registro de Preços, os preços </w:t>
      </w:r>
      <w:r>
        <w:rPr>
          <w:i w:val="0"/>
          <w:color w:val="auto"/>
        </w:rPr>
        <w:t>registrados poderão ser alterados ou atualizados em decorrência de eventual redução dos preços praticados no mercado ou de fato que eleve o custo dos bens, das obras ou dos serviços registrados, nas seguintes situações (art. 25 do Decreto nº 11.462/2023):</w:t>
      </w:r>
    </w:p>
    <w:p>
      <w:pPr>
        <w:pStyle w:val="Nvel3-R"/>
        <w:rPr>
          <w:rStyle w:val="Hyperlink"/>
          <w:rFonts w:ascii="Ecofont_Spranq_eco_Sans" w:eastAsia="MS Mincho" w:hAnsi="Ecofont_Spranq_eco_Sans" w:cs="Tahoma"/>
          <w:iCs w:val="0"/>
          <w:color w:val="auto"/>
          <w:sz w:val="24"/>
          <w:szCs w:val="24"/>
          <w:u w:val="none"/>
        </w:rPr>
      </w:pPr>
      <w:proofErr w:type="gramStart"/>
      <w:r>
        <w:t>em</w:t>
      </w:r>
      <w:proofErr w:type="gramEnd"/>
      <w:r>
        <w:t xml:space="preserve"> caso de força maior, caso fortuito ou fato do príncipe ou em decorrência de fatos imprevisíveis ou previsíveis de consequências incalculáveis, que inviabilizem a execução da ata tal como pactuada, nos termos do disposto na a</w:t>
      </w:r>
      <w:hyperlink r:id="rId39" w:anchor="art124iid">
        <w:r>
          <w:rPr>
            <w:rStyle w:val="Hyperlink"/>
            <w:rFonts w:eastAsia="Arial"/>
            <w:color w:val="auto"/>
          </w:rPr>
          <w:t>línea “d” do inciso II do capu</w:t>
        </w:r>
        <w:r>
          <w:rPr>
            <w:rStyle w:val="Hyperlink"/>
            <w:rFonts w:eastAsia="Arial"/>
            <w:b/>
            <w:bCs/>
            <w:color w:val="auto"/>
          </w:rPr>
          <w:t>t</w:t>
        </w:r>
        <w:r>
          <w:rPr>
            <w:rStyle w:val="Hyperlink"/>
            <w:rFonts w:eastAsia="Arial"/>
            <w:color w:val="auto"/>
          </w:rPr>
          <w:t xml:space="preserve"> do art. 124 da Lei nº 14.133, de 2021;</w:t>
        </w:r>
      </w:hyperlink>
    </w:p>
    <w:p>
      <w:pPr>
        <w:pStyle w:val="Nvel3-R"/>
        <w:rPr>
          <w:rFonts w:ascii="Ecofont_Spranq_eco_Sans" w:eastAsia="MS Mincho" w:hAnsi="Ecofont_Spranq_eco_Sans" w:cs="Tahoma"/>
          <w:sz w:val="24"/>
          <w:szCs w:val="24"/>
        </w:rPr>
      </w:pPr>
      <w:proofErr w:type="gramStart"/>
      <w:r>
        <w:t>em</w:t>
      </w:r>
      <w:proofErr w:type="gramEnd"/>
      <w:r>
        <w:t xml:space="preserve"> caso de criação, alteração ou extinção de quaisquer tributos ou encargos legais ou superveniência de disposições legais, com comprovada repercussão sobre os preços registrados;</w:t>
      </w:r>
    </w:p>
    <w:p>
      <w:pPr>
        <w:pStyle w:val="Nvel3-R"/>
        <w:rPr>
          <w:rFonts w:ascii="Ecofont_Spranq_eco_Sans" w:eastAsia="MS Mincho" w:hAnsi="Ecofont_Spranq_eco_Sans" w:cs="Tahoma"/>
          <w:sz w:val="24"/>
          <w:szCs w:val="24"/>
        </w:rPr>
      </w:pPr>
      <w:proofErr w:type="gramStart"/>
      <w:r>
        <w:lastRenderedPageBreak/>
        <w:t>serão</w:t>
      </w:r>
      <w:proofErr w:type="gramEnd"/>
      <w:r>
        <w:t xml:space="preserve"> reajustados os preços registrados, respeitada a contagem da anualidade e o índice previsto para a contratação; ou</w:t>
      </w:r>
    </w:p>
    <w:p>
      <w:pPr>
        <w:pStyle w:val="Nvel3-R"/>
        <w:rPr>
          <w:rFonts w:ascii="Ecofont_Spranq_eco_Sans" w:eastAsia="MS Mincho" w:hAnsi="Ecofont_Spranq_eco_Sans" w:cs="Tahoma"/>
          <w:sz w:val="24"/>
          <w:szCs w:val="24"/>
        </w:rPr>
      </w:pPr>
      <w:proofErr w:type="gramStart"/>
      <w:r>
        <w:t>poderão</w:t>
      </w:r>
      <w:proofErr w:type="gramEnd"/>
      <w:r>
        <w:t xml:space="preserve"> ser repactuados, a pedido do interessado, conforme critérios definidos para a contratação.</w:t>
      </w:r>
    </w:p>
    <w:p>
      <w:pPr>
        <w:pStyle w:val="Nivel01"/>
      </w:pPr>
      <w:r>
        <w:t>ADEQUAÇÃO ORÇAMENTÁRIA</w:t>
      </w:r>
    </w:p>
    <w:p>
      <w:pPr>
        <w:pStyle w:val="Nivel2"/>
      </w:pPr>
      <w:r>
        <w:t>As despesas decorrentes da presente contratação correrão à conta de recursos específicos consignados no Orçamento Geral da União.</w:t>
      </w:r>
    </w:p>
    <w:p>
      <w:pPr>
        <w:pStyle w:val="Nvel2-Red"/>
        <w:rPr>
          <w:i w:val="0"/>
          <w:color w:val="auto"/>
        </w:rPr>
      </w:pPr>
      <w:r>
        <w:rPr>
          <w:i w:val="0"/>
          <w:color w:val="auto"/>
        </w:rPr>
        <w:t xml:space="preserve">A dotação relativa aos exercícios financeiros subsequentes será indicada após aprovação da Lei Orçamentária respectiva e liberação dos créditos correspondentes, mediante </w:t>
      </w:r>
      <w:proofErr w:type="spellStart"/>
      <w:r>
        <w:rPr>
          <w:i w:val="0"/>
          <w:color w:val="auto"/>
        </w:rPr>
        <w:t>apostilamento</w:t>
      </w:r>
      <w:proofErr w:type="spellEnd"/>
      <w:r>
        <w:rPr>
          <w:i w:val="0"/>
          <w:color w:val="auto"/>
        </w:rPr>
        <w:t>.</w:t>
      </w:r>
    </w:p>
    <w:p>
      <w:pPr>
        <w:pStyle w:val="Nvel2-Red"/>
        <w:numPr>
          <w:ilvl w:val="0"/>
          <w:numId w:val="0"/>
        </w:numPr>
        <w:rPr>
          <w:i w:val="0"/>
          <w:color w:val="auto"/>
        </w:rPr>
      </w:pPr>
    </w:p>
    <w:p>
      <w:pPr>
        <w:jc w:val="center"/>
        <w:rPr>
          <w:rFonts w:ascii="Arial" w:hAnsi="Arial" w:cs="Arial"/>
          <w:sz w:val="20"/>
          <w:szCs w:val="20"/>
        </w:rPr>
      </w:pPr>
      <w:r>
        <w:rPr>
          <w:rFonts w:ascii="Arial" w:hAnsi="Arial" w:cs="Arial"/>
          <w:sz w:val="20"/>
          <w:szCs w:val="20"/>
        </w:rPr>
        <w:t>Itaituba – PA, 5</w:t>
      </w:r>
      <w:bookmarkStart w:id="6" w:name="_GoBack"/>
      <w:bookmarkEnd w:id="6"/>
      <w:r>
        <w:rPr>
          <w:rFonts w:ascii="Arial" w:hAnsi="Arial" w:cs="Arial"/>
          <w:sz w:val="20"/>
          <w:szCs w:val="20"/>
        </w:rPr>
        <w:t xml:space="preserve"> de abril de 2024</w:t>
      </w:r>
    </w:p>
    <w:p>
      <w:pPr>
        <w:jc w:val="center"/>
        <w:rPr>
          <w:rFonts w:ascii="Arial" w:hAnsi="Arial" w:cs="Arial"/>
          <w:sz w:val="20"/>
          <w:szCs w:val="20"/>
        </w:rPr>
      </w:pPr>
    </w:p>
    <w:p>
      <w:pPr>
        <w:jc w:val="center"/>
        <w:rPr>
          <w:rFonts w:ascii="Arial" w:hAnsi="Arial" w:cs="Arial"/>
          <w:sz w:val="20"/>
          <w:szCs w:val="20"/>
        </w:rPr>
      </w:pPr>
    </w:p>
    <w:p>
      <w:pPr>
        <w:jc w:val="center"/>
        <w:rPr>
          <w:rFonts w:ascii="Arial" w:hAnsi="Arial" w:cs="Arial"/>
          <w:sz w:val="20"/>
          <w:szCs w:val="20"/>
        </w:rPr>
      </w:pPr>
    </w:p>
    <w:p>
      <w:pPr>
        <w:jc w:val="center"/>
        <w:rPr>
          <w:rFonts w:ascii="Arial" w:hAnsi="Arial" w:cs="Arial"/>
          <w:b/>
          <w:sz w:val="20"/>
          <w:szCs w:val="20"/>
        </w:rPr>
      </w:pPr>
      <w:r>
        <w:rPr>
          <w:rFonts w:ascii="Arial" w:hAnsi="Arial" w:cs="Arial"/>
          <w:b/>
          <w:sz w:val="20"/>
          <w:szCs w:val="20"/>
        </w:rPr>
        <w:t>HUMBERTO IVAR R. DE ALBUQUERQUE JR. – TC</w:t>
      </w:r>
    </w:p>
    <w:p>
      <w:pPr>
        <w:jc w:val="center"/>
        <w:rPr>
          <w:rFonts w:ascii="Arial" w:hAnsi="Arial" w:cs="Arial"/>
          <w:sz w:val="20"/>
          <w:szCs w:val="20"/>
        </w:rPr>
      </w:pPr>
      <w:r>
        <w:rPr>
          <w:rFonts w:ascii="Arial" w:hAnsi="Arial" w:cs="Arial"/>
          <w:sz w:val="20"/>
          <w:szCs w:val="20"/>
        </w:rPr>
        <w:t>Ordenador de Despesas do 53° Batalhão de Infantaria de Selva</w:t>
      </w:r>
      <w:bookmarkEnd w:id="0"/>
    </w:p>
    <w:sectPr>
      <w:headerReference w:type="default" r:id="rId40"/>
      <w:footerReference w:type="default" r:id="rId41"/>
      <w:pgSz w:w="11906" w:h="16838" w:code="9"/>
      <w:pgMar w:top="1418" w:right="1134" w:bottom="1418"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8EFB4F" w16cid:durableId="7280AC97"/>
  <w16cid:commentId w16cid:paraId="6F518A73" w16cid:durableId="274CA40B"/>
  <w16cid:commentId w16cid:paraId="47CAB683" w16cid:durableId="274B3C45"/>
  <w16cid:commentId w16cid:paraId="67996905" w16cid:durableId="274B3E5C"/>
  <w16cid:commentId w16cid:paraId="127A4C39" w16cid:durableId="274B3EB0"/>
  <w16cid:commentId w16cid:paraId="760F5483" w16cid:durableId="274B4116"/>
  <w16cid:commentId w16cid:paraId="54330E4C" w16cid:durableId="274B45FE"/>
  <w16cid:commentId w16cid:paraId="4C44CEAD" w16cid:durableId="274B4BA5"/>
  <w16cid:commentId w16cid:paraId="6FCBDFB8" w16cid:durableId="274B4DA8"/>
  <w16cid:commentId w16cid:paraId="2C17EE25" w16cid:durableId="274B4E66"/>
  <w16cid:commentId w16cid:paraId="2A82F33A" w16cid:durableId="274B4EF2"/>
  <w16cid:commentId w16cid:paraId="5E3C0765" w16cid:durableId="274B4F0B"/>
  <w16cid:commentId w16cid:paraId="54FAF1F7" w16cid:durableId="274B4F45"/>
  <w16cid:commentId w16cid:paraId="331557D2" w16cid:durableId="274B4F93"/>
  <w16cid:commentId w16cid:paraId="393F557F" w16cid:durableId="2810CEA5"/>
  <w16cid:commentId w16cid:paraId="555AE616" w16cid:durableId="0641096A"/>
  <w16cid:commentId w16cid:paraId="360E872C" w16cid:durableId="274B56A7"/>
  <w16cid:commentId w16cid:paraId="0E95F0E9" w16cid:durableId="274B57A7"/>
  <w16cid:commentId w16cid:paraId="68F91D16" w16cid:durableId="62BE0F90"/>
  <w16cid:commentId w16cid:paraId="319158C7" w16cid:durableId="03246A98"/>
  <w16cid:commentId w16cid:paraId="1FE55ED1" w16cid:durableId="274B585F"/>
  <w16cid:commentId w16cid:paraId="2195F75E" w16cid:durableId="1EA4F660"/>
  <w16cid:commentId w16cid:paraId="483B7682" w16cid:durableId="274B590C"/>
  <w16cid:commentId w16cid:paraId="085D2610" w16cid:durableId="274B597A"/>
  <w16cid:commentId w16cid:paraId="05C09471" w16cid:durableId="274B59F5"/>
  <w16cid:commentId w16cid:paraId="6D169FF4" w16cid:durableId="5EF0CEE5"/>
  <w16cid:commentId w16cid:paraId="304C5436" w16cid:durableId="2810BBB1"/>
  <w16cid:commentId w16cid:paraId="54D2DD8B" w16cid:durableId="274B5C84"/>
  <w16cid:commentId w16cid:paraId="39EA27C5" w16cid:durableId="274B5CE1"/>
  <w16cid:commentId w16cid:paraId="05D9AF48" w16cid:durableId="274B60FC"/>
  <w16cid:commentId w16cid:paraId="02977081" w16cid:durableId="274B6137"/>
  <w16cid:commentId w16cid:paraId="0ED175E3" w16cid:durableId="274B61A4"/>
  <w16cid:commentId w16cid:paraId="19FBF25F" w16cid:durableId="274B6224"/>
  <w16cid:commentId w16cid:paraId="7D25EDBB" w16cid:durableId="274B6259"/>
  <w16cid:commentId w16cid:paraId="1DC45987" w16cid:durableId="274B6325"/>
  <w16cid:commentId w16cid:paraId="565FE778" w16cid:durableId="274B6348"/>
  <w16cid:commentId w16cid:paraId="436E6079" w16cid:durableId="274B635D"/>
  <w16cid:commentId w16cid:paraId="1B0F3320" w16cid:durableId="274B6458"/>
  <w16cid:commentId w16cid:paraId="795C1825" w16cid:durableId="274C1CEC"/>
  <w16cid:commentId w16cid:paraId="03993DC3" w16cid:durableId="292F10BE"/>
  <w16cid:commentId w16cid:paraId="08BC6D9C" w16cid:durableId="36431F64"/>
  <w16cid:commentId w16cid:paraId="5BB3F92A" w16cid:durableId="274C9FE2"/>
  <w16cid:commentId w16cid:paraId="25E59438" w16cid:durableId="274B685E"/>
  <w16cid:commentId w16cid:paraId="4B32DEEA" w16cid:durableId="249CE6B4"/>
  <w16cid:commentId w16cid:paraId="0F0638CA" w16cid:durableId="01CD7A77"/>
  <w16cid:commentId w16cid:paraId="78DD8023" w16cid:durableId="274B694B"/>
  <w16cid:commentId w16cid:paraId="3D76960C" w16cid:durableId="274B6A55"/>
  <w16cid:commentId w16cid:paraId="1323A6DB" w16cid:durableId="274B6BE8"/>
  <w16cid:commentId w16cid:paraId="79BAD22B" w16cid:durableId="274B6CCD"/>
  <w16cid:commentId w16cid:paraId="38B0A5E8" w16cid:durableId="274B6CEC"/>
  <w16cid:commentId w16cid:paraId="51031AD9" w16cid:durableId="274B6D4B"/>
  <w16cid:commentId w16cid:paraId="2F5C156D" w16cid:durableId="3DA9133A"/>
  <w16cid:commentId w16cid:paraId="5C5073B9" w16cid:durableId="274B6E0C"/>
  <w16cid:commentId w16cid:paraId="6AF8767A" w16cid:durableId="274B6E4B"/>
  <w16cid:commentId w16cid:paraId="31B1A53B" w16cid:durableId="274B6EC3"/>
  <w16cid:commentId w16cid:paraId="663D5E1C" w16cid:durableId="274B6EF0"/>
  <w16cid:commentId w16cid:paraId="2786075A" w16cid:durableId="274B6FCB"/>
  <w16cid:commentId w16cid:paraId="55A09423" w16cid:durableId="274B6FE7"/>
  <w16cid:commentId w16cid:paraId="3E9FDEB2" w16cid:durableId="274B7103"/>
  <w16cid:commentId w16cid:paraId="03D42536" w16cid:durableId="274B7561"/>
  <w16cid:commentId w16cid:paraId="7A0547D3" w16cid:durableId="274B757E"/>
  <w16cid:commentId w16cid:paraId="36D6A7AA" w16cid:durableId="274B75D4"/>
  <w16cid:commentId w16cid:paraId="4FB63D43" w16cid:durableId="274B75F4"/>
  <w16cid:commentId w16cid:paraId="25983226" w16cid:durableId="274B762E"/>
  <w16cid:commentId w16cid:paraId="78F41A63" w16cid:durableId="274B775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 w:type="continuationNotice"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jaVu Sans">
    <w:charset w:val="00"/>
    <w:family w:val="swiss"/>
    <w:pitch w:val="variable"/>
    <w:sig w:usb0="E7002EFF" w:usb1="D200FDFF" w:usb2="0A246029" w:usb3="00000000" w:csb0="000001F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6111550"/>
      <w:docPartObj>
        <w:docPartGallery w:val="Page Numbers (Bottom of Page)"/>
        <w:docPartUnique/>
      </w:docPartObj>
    </w:sdtPr>
    <w:sdtEndPr>
      <w:rPr>
        <w:rFonts w:ascii="Rawline" w:hAnsi="Rawline"/>
      </w:rPr>
    </w:sdtEndPr>
    <w:sdtContent>
      <w:p>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pPr>
          <w:pStyle w:val="Rodap"/>
          <w:rPr>
            <w:rFonts w:ascii="Arial" w:hAnsi="Arial" w:cs="Arial"/>
            <w:color w:val="7F7F7F" w:themeColor="text1" w:themeTint="80"/>
            <w:sz w:val="12"/>
          </w:rPr>
        </w:pPr>
        <w:r>
          <w:rPr>
            <w:color w:val="7F7F7F" w:themeColor="text1" w:themeTint="80"/>
            <w:spacing w:val="60"/>
            <w:sz w:val="22"/>
            <w:szCs w:val="22"/>
          </w:rPr>
          <w:tab/>
        </w:r>
        <w:r>
          <w:rPr>
            <w:color w:val="7F7F7F" w:themeColor="text1" w:themeTint="80"/>
            <w:spacing w:val="60"/>
            <w:sz w:val="22"/>
            <w:szCs w:val="22"/>
          </w:rPr>
          <w:tab/>
        </w:r>
        <w:r>
          <w:rPr>
            <w:color w:val="595959" w:themeColor="text1" w:themeTint="A6"/>
            <w:spacing w:val="60"/>
            <w:sz w:val="22"/>
            <w:szCs w:val="22"/>
          </w:rPr>
          <w:t>Página</w:t>
        </w:r>
        <w:r>
          <w:rPr>
            <w:color w:val="595959" w:themeColor="text1" w:themeTint="A6"/>
            <w:sz w:val="22"/>
            <w:szCs w:val="22"/>
          </w:rPr>
          <w:t xml:space="preserve"> </w:t>
        </w:r>
        <w:r>
          <w:rPr>
            <w:color w:val="595959" w:themeColor="text1" w:themeTint="A6"/>
            <w:sz w:val="22"/>
            <w:szCs w:val="22"/>
            <w:shd w:val="clear" w:color="auto" w:fill="E6E6E6"/>
          </w:rPr>
          <w:fldChar w:fldCharType="begin"/>
        </w:r>
        <w:r>
          <w:rPr>
            <w:color w:val="595959" w:themeColor="text1" w:themeTint="A6"/>
            <w:sz w:val="22"/>
            <w:szCs w:val="22"/>
          </w:rPr>
          <w:instrText>PAGE   \* MERGEFORMAT</w:instrText>
        </w:r>
        <w:r>
          <w:rPr>
            <w:color w:val="595959" w:themeColor="text1" w:themeTint="A6"/>
            <w:sz w:val="22"/>
            <w:szCs w:val="22"/>
            <w:shd w:val="clear" w:color="auto" w:fill="E6E6E6"/>
          </w:rPr>
          <w:fldChar w:fldCharType="separate"/>
        </w:r>
        <w:r>
          <w:rPr>
            <w:noProof/>
            <w:color w:val="595959" w:themeColor="text1" w:themeTint="A6"/>
            <w:sz w:val="22"/>
            <w:szCs w:val="22"/>
          </w:rPr>
          <w:t>11</w:t>
        </w:r>
        <w:r>
          <w:rPr>
            <w:color w:val="595959" w:themeColor="text1" w:themeTint="A6"/>
            <w:sz w:val="22"/>
            <w:szCs w:val="22"/>
            <w:shd w:val="clear" w:color="auto" w:fill="E6E6E6"/>
          </w:rPr>
          <w:fldChar w:fldCharType="end"/>
        </w:r>
        <w:r>
          <w:rPr>
            <w:color w:val="595959" w:themeColor="text1" w:themeTint="A6"/>
            <w:sz w:val="22"/>
            <w:szCs w:val="22"/>
          </w:rPr>
          <w:t xml:space="preserve"> | </w:t>
        </w:r>
        <w:r>
          <w:rPr>
            <w:color w:val="595959" w:themeColor="text1" w:themeTint="A6"/>
            <w:sz w:val="22"/>
            <w:szCs w:val="22"/>
            <w:shd w:val="clear" w:color="auto" w:fill="E6E6E6"/>
          </w:rPr>
          <w:fldChar w:fldCharType="begin"/>
        </w:r>
        <w:r>
          <w:rPr>
            <w:color w:val="595959" w:themeColor="text1" w:themeTint="A6"/>
            <w:sz w:val="22"/>
            <w:szCs w:val="22"/>
          </w:rPr>
          <w:instrText>NUMPAGES  \* Arabic  \* MERGEFORMAT</w:instrText>
        </w:r>
        <w:r>
          <w:rPr>
            <w:color w:val="595959" w:themeColor="text1" w:themeTint="A6"/>
            <w:sz w:val="22"/>
            <w:szCs w:val="22"/>
            <w:shd w:val="clear" w:color="auto" w:fill="E6E6E6"/>
          </w:rPr>
          <w:fldChar w:fldCharType="separate"/>
        </w:r>
        <w:r>
          <w:rPr>
            <w:noProof/>
            <w:color w:val="595959" w:themeColor="text1" w:themeTint="A6"/>
            <w:sz w:val="22"/>
            <w:szCs w:val="22"/>
          </w:rPr>
          <w:t>11</w:t>
        </w:r>
        <w:r>
          <w:rPr>
            <w:color w:val="595959" w:themeColor="text1" w:themeTint="A6"/>
            <w:sz w:val="22"/>
            <w:szCs w:val="22"/>
            <w:shd w:val="clear" w:color="auto" w:fill="E6E6E6"/>
          </w:rPr>
          <w:fldChar w:fldCharType="end"/>
        </w:r>
      </w:p>
      <w:p>
        <w:pPr>
          <w:pStyle w:val="Rodap"/>
          <w:rPr>
            <w:rFonts w:ascii="Rawline" w:hAnsi="Rawline" w:cs="Arial"/>
            <w:sz w:val="12"/>
          </w:rPr>
        </w:pPr>
        <w:r>
          <w:rPr>
            <w:rFonts w:ascii="Rawline" w:hAnsi="Rawline" w:cs="Arial"/>
            <w:sz w:val="12"/>
          </w:rPr>
          <w:t>Câmara Nacional de Modelos de Licitações e Contratos da Consultoria-Geral da União</w:t>
        </w:r>
      </w:p>
      <w:p>
        <w:pPr>
          <w:pStyle w:val="Rodap"/>
          <w:rPr>
            <w:rFonts w:ascii="Rawline" w:hAnsi="Rawline" w:cs="Arial"/>
            <w:sz w:val="12"/>
          </w:rPr>
        </w:pPr>
        <w:r>
          <w:rPr>
            <w:rFonts w:ascii="Rawline" w:hAnsi="Rawline" w:cs="Arial"/>
            <w:sz w:val="12"/>
          </w:rPr>
          <w:t>Atualização: Dezembro/2023</w:t>
        </w:r>
      </w:p>
      <w:p>
        <w:pPr>
          <w:pStyle w:val="Rodap"/>
          <w:rPr>
            <w:rFonts w:ascii="Rawline" w:hAnsi="Rawline"/>
            <w:color w:val="0F243E" w:themeColor="text2" w:themeShade="80"/>
            <w:sz w:val="22"/>
            <w:szCs w:val="22"/>
          </w:rPr>
        </w:pPr>
        <w:r>
          <w:rPr>
            <w:rFonts w:ascii="Rawline" w:hAnsi="Rawline" w:cs="Arial"/>
            <w:sz w:val="12"/>
            <w:szCs w:val="12"/>
          </w:rPr>
          <w:t>Termo de Referência Aquisições – Contratação Direta</w:t>
        </w:r>
        <w:r>
          <w:rPr>
            <w:rFonts w:ascii="Rawline" w:hAnsi="Rawline" w:cs="Arial"/>
            <w:sz w:val="12"/>
            <w:szCs w:val="12"/>
          </w:rPr>
          <w:tab/>
        </w:r>
        <w:r>
          <w:rPr>
            <w:rFonts w:ascii="Rawline" w:hAnsi="Rawline" w:cs="Arial"/>
            <w:sz w:val="12"/>
            <w:szCs w:val="12"/>
          </w:rPr>
          <w:tab/>
        </w:r>
      </w:p>
      <w:p>
        <w:pPr>
          <w:pStyle w:val="Rodap"/>
          <w:rPr>
            <w:rFonts w:ascii="Rawline" w:hAnsi="Rawline"/>
            <w:sz w:val="12"/>
            <w:szCs w:val="12"/>
          </w:rPr>
        </w:pPr>
        <w:r>
          <w:rPr>
            <w:rFonts w:ascii="Rawline" w:hAnsi="Rawline"/>
            <w:sz w:val="12"/>
            <w:szCs w:val="12"/>
          </w:rPr>
          <w:t>Aprovado pela Secretaria de Gestão.</w:t>
        </w:r>
      </w:p>
      <w:p>
        <w:pPr>
          <w:pStyle w:val="Rodap"/>
          <w:rPr>
            <w:rFonts w:ascii="Rawline" w:hAnsi="Rawline"/>
          </w:rPr>
        </w:pPr>
        <w:r>
          <w:rPr>
            <w:rFonts w:ascii="Rawline" w:hAnsi="Rawline"/>
            <w:sz w:val="12"/>
            <w:szCs w:val="12"/>
          </w:rPr>
          <w:t>Identidade visual pela Secretaria de Gestão</w:t>
        </w:r>
      </w:p>
    </w:sdtContent>
  </w:sdt>
  <w:p>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type="continuationNotice" w:id="1">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Cabealho"/>
      <w:jc w:val="right"/>
      <w:rPr>
        <w:rFonts w:ascii="Arial" w:hAnsi="Arial" w:cs="Arial"/>
        <w:sz w:val="20"/>
        <w:szCs w:val="20"/>
      </w:rPr>
    </w:pPr>
    <w:r>
      <w:rPr>
        <w:rFonts w:ascii="Arial" w:hAnsi="Arial" w:cs="Arial"/>
        <w:sz w:val="20"/>
        <w:szCs w:val="20"/>
      </w:rPr>
      <w:t>TERMO DE REFERÊNCIA - AQUISIÇÕES – CONTRATAÇÃO DIRETA</w:t>
    </w:r>
  </w:p>
  <w:p>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85D27D"/>
    <w:multiLevelType w:val="hybridMultilevel"/>
    <w:tmpl w:val="BF52535C"/>
    <w:lvl w:ilvl="0" w:tplc="84961350">
      <w:start w:val="1"/>
      <w:numFmt w:val="decimal"/>
      <w:lvlText w:val="%1."/>
      <w:lvlJc w:val="left"/>
      <w:pPr>
        <w:ind w:left="720" w:hanging="360"/>
      </w:pPr>
    </w:lvl>
    <w:lvl w:ilvl="1" w:tplc="4B26669A">
      <w:start w:val="1"/>
      <w:numFmt w:val="lowerLetter"/>
      <w:lvlText w:val="%2."/>
      <w:lvlJc w:val="left"/>
      <w:pPr>
        <w:ind w:left="1440" w:hanging="360"/>
      </w:pPr>
    </w:lvl>
    <w:lvl w:ilvl="2" w:tplc="79C025C6">
      <w:start w:val="1"/>
      <w:numFmt w:val="decimal"/>
      <w:lvlText w:val="%3."/>
      <w:lvlJc w:val="left"/>
      <w:pPr>
        <w:ind w:left="2160" w:hanging="180"/>
      </w:pPr>
    </w:lvl>
    <w:lvl w:ilvl="3" w:tplc="77BE11FE">
      <w:start w:val="1"/>
      <w:numFmt w:val="decimal"/>
      <w:lvlText w:val="%4."/>
      <w:lvlJc w:val="left"/>
      <w:pPr>
        <w:ind w:left="2880" w:hanging="360"/>
      </w:pPr>
    </w:lvl>
    <w:lvl w:ilvl="4" w:tplc="C128C378">
      <w:start w:val="1"/>
      <w:numFmt w:val="lowerLetter"/>
      <w:lvlText w:val="%5."/>
      <w:lvlJc w:val="left"/>
      <w:pPr>
        <w:ind w:left="3600" w:hanging="360"/>
      </w:pPr>
    </w:lvl>
    <w:lvl w:ilvl="5" w:tplc="7F0A069A">
      <w:start w:val="1"/>
      <w:numFmt w:val="lowerRoman"/>
      <w:lvlText w:val="%6."/>
      <w:lvlJc w:val="right"/>
      <w:pPr>
        <w:ind w:left="4320" w:hanging="180"/>
      </w:pPr>
    </w:lvl>
    <w:lvl w:ilvl="6" w:tplc="9ADED712">
      <w:start w:val="1"/>
      <w:numFmt w:val="decimal"/>
      <w:lvlText w:val="%7."/>
      <w:lvlJc w:val="left"/>
      <w:pPr>
        <w:ind w:left="5040" w:hanging="360"/>
      </w:pPr>
    </w:lvl>
    <w:lvl w:ilvl="7" w:tplc="73A4C94A">
      <w:start w:val="1"/>
      <w:numFmt w:val="lowerLetter"/>
      <w:lvlText w:val="%8."/>
      <w:lvlJc w:val="left"/>
      <w:pPr>
        <w:ind w:left="5760" w:hanging="360"/>
      </w:pPr>
    </w:lvl>
    <w:lvl w:ilvl="8" w:tplc="92D8F250">
      <w:start w:val="1"/>
      <w:numFmt w:val="lowerRoman"/>
      <w:lvlText w:val="%9."/>
      <w:lvlJc w:val="right"/>
      <w:pPr>
        <w:ind w:left="6480" w:hanging="180"/>
      </w:pPr>
    </w:lvl>
  </w:abstractNum>
  <w:abstractNum w:abstractNumId="2" w15:restartNumberingAfterBreak="0">
    <w:nsid w:val="049646A0"/>
    <w:multiLevelType w:val="hybridMultilevel"/>
    <w:tmpl w:val="EB2222FA"/>
    <w:lvl w:ilvl="0" w:tplc="59207FDC">
      <w:start w:val="1"/>
      <w:numFmt w:val="decimal"/>
      <w:lvlText w:val="%1."/>
      <w:lvlJc w:val="left"/>
      <w:pPr>
        <w:ind w:left="720" w:hanging="360"/>
      </w:pPr>
    </w:lvl>
    <w:lvl w:ilvl="1" w:tplc="7884CE5E">
      <w:start w:val="1"/>
      <w:numFmt w:val="decimal"/>
      <w:lvlText w:val="%2."/>
      <w:lvlJc w:val="left"/>
      <w:pPr>
        <w:ind w:left="1440" w:hanging="360"/>
      </w:pPr>
    </w:lvl>
    <w:lvl w:ilvl="2" w:tplc="6A56F2F2">
      <w:start w:val="1"/>
      <w:numFmt w:val="lowerRoman"/>
      <w:lvlText w:val="%3."/>
      <w:lvlJc w:val="right"/>
      <w:pPr>
        <w:ind w:left="2160" w:hanging="180"/>
      </w:pPr>
    </w:lvl>
    <w:lvl w:ilvl="3" w:tplc="BAF6EE12">
      <w:start w:val="1"/>
      <w:numFmt w:val="decimal"/>
      <w:lvlText w:val="%4."/>
      <w:lvlJc w:val="left"/>
      <w:pPr>
        <w:ind w:left="2880" w:hanging="360"/>
      </w:pPr>
    </w:lvl>
    <w:lvl w:ilvl="4" w:tplc="C85AAC22">
      <w:start w:val="1"/>
      <w:numFmt w:val="lowerLetter"/>
      <w:lvlText w:val="%5."/>
      <w:lvlJc w:val="left"/>
      <w:pPr>
        <w:ind w:left="3600" w:hanging="360"/>
      </w:pPr>
    </w:lvl>
    <w:lvl w:ilvl="5" w:tplc="3AECDF06">
      <w:start w:val="1"/>
      <w:numFmt w:val="lowerRoman"/>
      <w:lvlText w:val="%6."/>
      <w:lvlJc w:val="right"/>
      <w:pPr>
        <w:ind w:left="4320" w:hanging="180"/>
      </w:pPr>
    </w:lvl>
    <w:lvl w:ilvl="6" w:tplc="94180202">
      <w:start w:val="1"/>
      <w:numFmt w:val="decimal"/>
      <w:lvlText w:val="%7."/>
      <w:lvlJc w:val="left"/>
      <w:pPr>
        <w:ind w:left="5040" w:hanging="360"/>
      </w:pPr>
    </w:lvl>
    <w:lvl w:ilvl="7" w:tplc="5BDEDA3C">
      <w:start w:val="1"/>
      <w:numFmt w:val="lowerLetter"/>
      <w:lvlText w:val="%8."/>
      <w:lvlJc w:val="left"/>
      <w:pPr>
        <w:ind w:left="5760" w:hanging="360"/>
      </w:pPr>
    </w:lvl>
    <w:lvl w:ilvl="8" w:tplc="DCA404EA">
      <w:start w:val="1"/>
      <w:numFmt w:val="lowerRoman"/>
      <w:lvlText w:val="%9."/>
      <w:lvlJc w:val="right"/>
      <w:pPr>
        <w:ind w:left="6480" w:hanging="180"/>
      </w:pPr>
    </w:lvl>
  </w:abstractNum>
  <w:abstractNum w:abstractNumId="3" w15:restartNumberingAfterBreak="0">
    <w:nsid w:val="0A36DCD7"/>
    <w:multiLevelType w:val="hybridMultilevel"/>
    <w:tmpl w:val="7B0878F2"/>
    <w:lvl w:ilvl="0" w:tplc="3BAEF3D0">
      <w:start w:val="1"/>
      <w:numFmt w:val="decimal"/>
      <w:lvlText w:val="%1."/>
      <w:lvlJc w:val="left"/>
      <w:pPr>
        <w:ind w:left="720" w:hanging="360"/>
      </w:pPr>
    </w:lvl>
    <w:lvl w:ilvl="1" w:tplc="15501FFC">
      <w:start w:val="1"/>
      <w:numFmt w:val="decimal"/>
      <w:lvlText w:val="%2."/>
      <w:lvlJc w:val="left"/>
      <w:pPr>
        <w:ind w:left="1440" w:hanging="360"/>
      </w:pPr>
    </w:lvl>
    <w:lvl w:ilvl="2" w:tplc="924042F4">
      <w:start w:val="1"/>
      <w:numFmt w:val="lowerRoman"/>
      <w:lvlText w:val="%3."/>
      <w:lvlJc w:val="right"/>
      <w:pPr>
        <w:ind w:left="2160" w:hanging="180"/>
      </w:pPr>
    </w:lvl>
    <w:lvl w:ilvl="3" w:tplc="EDBCFF20">
      <w:start w:val="1"/>
      <w:numFmt w:val="decimal"/>
      <w:lvlText w:val="%4."/>
      <w:lvlJc w:val="left"/>
      <w:pPr>
        <w:ind w:left="2880" w:hanging="360"/>
      </w:pPr>
    </w:lvl>
    <w:lvl w:ilvl="4" w:tplc="1924FBEA">
      <w:start w:val="1"/>
      <w:numFmt w:val="lowerLetter"/>
      <w:lvlText w:val="%5."/>
      <w:lvlJc w:val="left"/>
      <w:pPr>
        <w:ind w:left="3600" w:hanging="360"/>
      </w:pPr>
    </w:lvl>
    <w:lvl w:ilvl="5" w:tplc="DDEA0194">
      <w:start w:val="1"/>
      <w:numFmt w:val="lowerRoman"/>
      <w:lvlText w:val="%6."/>
      <w:lvlJc w:val="right"/>
      <w:pPr>
        <w:ind w:left="4320" w:hanging="180"/>
      </w:pPr>
    </w:lvl>
    <w:lvl w:ilvl="6" w:tplc="DE7CC4D4">
      <w:start w:val="1"/>
      <w:numFmt w:val="decimal"/>
      <w:lvlText w:val="%7."/>
      <w:lvlJc w:val="left"/>
      <w:pPr>
        <w:ind w:left="5040" w:hanging="360"/>
      </w:pPr>
    </w:lvl>
    <w:lvl w:ilvl="7" w:tplc="A0D0FB96">
      <w:start w:val="1"/>
      <w:numFmt w:val="lowerLetter"/>
      <w:lvlText w:val="%8."/>
      <w:lvlJc w:val="left"/>
      <w:pPr>
        <w:ind w:left="5760" w:hanging="360"/>
      </w:pPr>
    </w:lvl>
    <w:lvl w:ilvl="8" w:tplc="75FA5222">
      <w:start w:val="1"/>
      <w:numFmt w:val="lowerRoman"/>
      <w:lvlText w:val="%9."/>
      <w:lvlJc w:val="right"/>
      <w:pPr>
        <w:ind w:left="6480" w:hanging="180"/>
      </w:pPr>
    </w:lvl>
  </w:abstractNum>
  <w:abstractNum w:abstractNumId="4" w15:restartNumberingAfterBreak="0">
    <w:nsid w:val="0F0EB378"/>
    <w:multiLevelType w:val="hybridMultilevel"/>
    <w:tmpl w:val="EA4E35AE"/>
    <w:lvl w:ilvl="0" w:tplc="E1924354">
      <w:start w:val="1"/>
      <w:numFmt w:val="decimal"/>
      <w:lvlText w:val="%1."/>
      <w:lvlJc w:val="left"/>
      <w:pPr>
        <w:ind w:left="720" w:hanging="360"/>
      </w:pPr>
    </w:lvl>
    <w:lvl w:ilvl="1" w:tplc="5AD88A16">
      <w:start w:val="1"/>
      <w:numFmt w:val="decimal"/>
      <w:lvlText w:val="%2."/>
      <w:lvlJc w:val="left"/>
      <w:pPr>
        <w:ind w:left="1440" w:hanging="360"/>
      </w:pPr>
    </w:lvl>
    <w:lvl w:ilvl="2" w:tplc="F35818BE">
      <w:start w:val="1"/>
      <w:numFmt w:val="lowerRoman"/>
      <w:lvlText w:val="%3."/>
      <w:lvlJc w:val="right"/>
      <w:pPr>
        <w:ind w:left="2160" w:hanging="180"/>
      </w:pPr>
    </w:lvl>
    <w:lvl w:ilvl="3" w:tplc="8934F078">
      <w:start w:val="1"/>
      <w:numFmt w:val="decimal"/>
      <w:lvlText w:val="%4."/>
      <w:lvlJc w:val="left"/>
      <w:pPr>
        <w:ind w:left="2880" w:hanging="360"/>
      </w:pPr>
    </w:lvl>
    <w:lvl w:ilvl="4" w:tplc="CA769EC4">
      <w:start w:val="1"/>
      <w:numFmt w:val="lowerLetter"/>
      <w:lvlText w:val="%5."/>
      <w:lvlJc w:val="left"/>
      <w:pPr>
        <w:ind w:left="3600" w:hanging="360"/>
      </w:pPr>
    </w:lvl>
    <w:lvl w:ilvl="5" w:tplc="5E565E02">
      <w:start w:val="1"/>
      <w:numFmt w:val="lowerRoman"/>
      <w:lvlText w:val="%6."/>
      <w:lvlJc w:val="right"/>
      <w:pPr>
        <w:ind w:left="4320" w:hanging="180"/>
      </w:pPr>
    </w:lvl>
    <w:lvl w:ilvl="6" w:tplc="D56C3F64">
      <w:start w:val="1"/>
      <w:numFmt w:val="decimal"/>
      <w:lvlText w:val="%7."/>
      <w:lvlJc w:val="left"/>
      <w:pPr>
        <w:ind w:left="5040" w:hanging="360"/>
      </w:pPr>
    </w:lvl>
    <w:lvl w:ilvl="7" w:tplc="64B4BF7C">
      <w:start w:val="1"/>
      <w:numFmt w:val="lowerLetter"/>
      <w:lvlText w:val="%8."/>
      <w:lvlJc w:val="left"/>
      <w:pPr>
        <w:ind w:left="5760" w:hanging="360"/>
      </w:pPr>
    </w:lvl>
    <w:lvl w:ilvl="8" w:tplc="9E70BE72">
      <w:start w:val="1"/>
      <w:numFmt w:val="lowerRoman"/>
      <w:lvlText w:val="%9."/>
      <w:lvlJc w:val="right"/>
      <w:pPr>
        <w:ind w:left="6480" w:hanging="180"/>
      </w:pPr>
    </w:lvl>
  </w:abstractNum>
  <w:abstractNum w:abstractNumId="5" w15:restartNumberingAfterBreak="0">
    <w:nsid w:val="0F990135"/>
    <w:multiLevelType w:val="multilevel"/>
    <w:tmpl w:val="B86EFF5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D5C100D"/>
    <w:multiLevelType w:val="multilevel"/>
    <w:tmpl w:val="CCE288D2"/>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1781"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9A11E2"/>
    <w:multiLevelType w:val="multilevel"/>
    <w:tmpl w:val="17A2EDB6"/>
    <w:lvl w:ilvl="0">
      <w:start w:val="1"/>
      <w:numFmt w:val="decimal"/>
      <w:lvlText w:val="%1."/>
      <w:lvlJc w:val="left"/>
      <w:pPr>
        <w:ind w:left="720" w:hanging="360"/>
      </w:pPr>
    </w:lvl>
    <w:lvl w:ilvl="1">
      <w:start w:val="4"/>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81B1AF6"/>
    <w:multiLevelType w:val="hybridMultilevel"/>
    <w:tmpl w:val="1898ED04"/>
    <w:lvl w:ilvl="0" w:tplc="4A1EE75A">
      <w:start w:val="1"/>
      <w:numFmt w:val="decimal"/>
      <w:lvlText w:val="%1."/>
      <w:lvlJc w:val="left"/>
      <w:pPr>
        <w:ind w:left="720" w:hanging="360"/>
      </w:pPr>
    </w:lvl>
    <w:lvl w:ilvl="1" w:tplc="0D189ACA">
      <w:start w:val="1"/>
      <w:numFmt w:val="decimal"/>
      <w:lvlText w:val="%2."/>
      <w:lvlJc w:val="left"/>
      <w:pPr>
        <w:ind w:left="1440" w:hanging="360"/>
      </w:pPr>
    </w:lvl>
    <w:lvl w:ilvl="2" w:tplc="CFDCBBCA">
      <w:start w:val="1"/>
      <w:numFmt w:val="lowerRoman"/>
      <w:lvlText w:val="%3."/>
      <w:lvlJc w:val="right"/>
      <w:pPr>
        <w:ind w:left="2160" w:hanging="180"/>
      </w:pPr>
    </w:lvl>
    <w:lvl w:ilvl="3" w:tplc="B45A9094">
      <w:start w:val="1"/>
      <w:numFmt w:val="decimal"/>
      <w:lvlText w:val="%4."/>
      <w:lvlJc w:val="left"/>
      <w:pPr>
        <w:ind w:left="2880" w:hanging="360"/>
      </w:pPr>
    </w:lvl>
    <w:lvl w:ilvl="4" w:tplc="241211A4">
      <w:start w:val="1"/>
      <w:numFmt w:val="lowerLetter"/>
      <w:lvlText w:val="%5."/>
      <w:lvlJc w:val="left"/>
      <w:pPr>
        <w:ind w:left="3600" w:hanging="360"/>
      </w:pPr>
    </w:lvl>
    <w:lvl w:ilvl="5" w:tplc="44FAB74E">
      <w:start w:val="1"/>
      <w:numFmt w:val="lowerRoman"/>
      <w:lvlText w:val="%6."/>
      <w:lvlJc w:val="right"/>
      <w:pPr>
        <w:ind w:left="4320" w:hanging="180"/>
      </w:pPr>
    </w:lvl>
    <w:lvl w:ilvl="6" w:tplc="B7523C26">
      <w:start w:val="1"/>
      <w:numFmt w:val="decimal"/>
      <w:lvlText w:val="%7."/>
      <w:lvlJc w:val="left"/>
      <w:pPr>
        <w:ind w:left="5040" w:hanging="360"/>
      </w:pPr>
    </w:lvl>
    <w:lvl w:ilvl="7" w:tplc="D2D825C2">
      <w:start w:val="1"/>
      <w:numFmt w:val="lowerLetter"/>
      <w:lvlText w:val="%8."/>
      <w:lvlJc w:val="left"/>
      <w:pPr>
        <w:ind w:left="5760" w:hanging="360"/>
      </w:pPr>
    </w:lvl>
    <w:lvl w:ilvl="8" w:tplc="0212D950">
      <w:start w:val="1"/>
      <w:numFmt w:val="lowerRoman"/>
      <w:lvlText w:val="%9."/>
      <w:lvlJc w:val="right"/>
      <w:pPr>
        <w:ind w:left="6480" w:hanging="180"/>
      </w:pPr>
    </w:lvl>
  </w:abstractNum>
  <w:abstractNum w:abstractNumId="9" w15:restartNumberingAfterBreak="0">
    <w:nsid w:val="2A163361"/>
    <w:multiLevelType w:val="hybridMultilevel"/>
    <w:tmpl w:val="612C5588"/>
    <w:lvl w:ilvl="0" w:tplc="95F68FD2">
      <w:start w:val="1"/>
      <w:numFmt w:val="decimal"/>
      <w:lvlText w:val="%1."/>
      <w:lvlJc w:val="left"/>
      <w:pPr>
        <w:ind w:left="720" w:hanging="360"/>
      </w:pPr>
    </w:lvl>
    <w:lvl w:ilvl="1" w:tplc="0F22C7A8">
      <w:start w:val="1"/>
      <w:numFmt w:val="decimal"/>
      <w:lvlText w:val="%2."/>
      <w:lvlJc w:val="left"/>
      <w:pPr>
        <w:ind w:left="1440" w:hanging="360"/>
      </w:pPr>
    </w:lvl>
    <w:lvl w:ilvl="2" w:tplc="FE1284E4">
      <w:start w:val="1"/>
      <w:numFmt w:val="lowerRoman"/>
      <w:lvlText w:val="%3."/>
      <w:lvlJc w:val="right"/>
      <w:pPr>
        <w:ind w:left="2160" w:hanging="180"/>
      </w:pPr>
    </w:lvl>
    <w:lvl w:ilvl="3" w:tplc="87D45148">
      <w:start w:val="1"/>
      <w:numFmt w:val="decimal"/>
      <w:lvlText w:val="%4."/>
      <w:lvlJc w:val="left"/>
      <w:pPr>
        <w:ind w:left="2880" w:hanging="360"/>
      </w:pPr>
    </w:lvl>
    <w:lvl w:ilvl="4" w:tplc="BEC2C996">
      <w:start w:val="1"/>
      <w:numFmt w:val="lowerLetter"/>
      <w:lvlText w:val="%5."/>
      <w:lvlJc w:val="left"/>
      <w:pPr>
        <w:ind w:left="3600" w:hanging="360"/>
      </w:pPr>
    </w:lvl>
    <w:lvl w:ilvl="5" w:tplc="0346EC98">
      <w:start w:val="1"/>
      <w:numFmt w:val="lowerRoman"/>
      <w:lvlText w:val="%6."/>
      <w:lvlJc w:val="right"/>
      <w:pPr>
        <w:ind w:left="4320" w:hanging="180"/>
      </w:pPr>
    </w:lvl>
    <w:lvl w:ilvl="6" w:tplc="41801B4A">
      <w:start w:val="1"/>
      <w:numFmt w:val="decimal"/>
      <w:lvlText w:val="%7."/>
      <w:lvlJc w:val="left"/>
      <w:pPr>
        <w:ind w:left="5040" w:hanging="360"/>
      </w:pPr>
    </w:lvl>
    <w:lvl w:ilvl="7" w:tplc="42CC1BBE">
      <w:start w:val="1"/>
      <w:numFmt w:val="lowerLetter"/>
      <w:lvlText w:val="%8."/>
      <w:lvlJc w:val="left"/>
      <w:pPr>
        <w:ind w:left="5760" w:hanging="360"/>
      </w:pPr>
    </w:lvl>
    <w:lvl w:ilvl="8" w:tplc="C93A4D60">
      <w:start w:val="1"/>
      <w:numFmt w:val="lowerRoman"/>
      <w:lvlText w:val="%9."/>
      <w:lvlJc w:val="right"/>
      <w:pPr>
        <w:ind w:left="6480" w:hanging="180"/>
      </w:pPr>
    </w:lvl>
  </w:abstractNum>
  <w:abstractNum w:abstractNumId="10" w15:restartNumberingAfterBreak="0">
    <w:nsid w:val="30372B33"/>
    <w:multiLevelType w:val="multilevel"/>
    <w:tmpl w:val="FFFFFFFF"/>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 w15:restartNumberingAfterBreak="0">
    <w:nsid w:val="30784B04"/>
    <w:multiLevelType w:val="hybridMultilevel"/>
    <w:tmpl w:val="4D58A360"/>
    <w:lvl w:ilvl="0" w:tplc="26468E88">
      <w:start w:val="1"/>
      <w:numFmt w:val="decimal"/>
      <w:lvlText w:val="%1."/>
      <w:lvlJc w:val="left"/>
      <w:pPr>
        <w:ind w:left="720" w:hanging="360"/>
      </w:pPr>
    </w:lvl>
    <w:lvl w:ilvl="1" w:tplc="7864F08E">
      <w:start w:val="1"/>
      <w:numFmt w:val="lowerLetter"/>
      <w:lvlText w:val="%2."/>
      <w:lvlJc w:val="left"/>
      <w:pPr>
        <w:ind w:left="1440" w:hanging="360"/>
      </w:pPr>
    </w:lvl>
    <w:lvl w:ilvl="2" w:tplc="3AD8EFDA">
      <w:start w:val="1"/>
      <w:numFmt w:val="decimal"/>
      <w:lvlText w:val="%3."/>
      <w:lvlJc w:val="left"/>
      <w:pPr>
        <w:ind w:left="2160" w:hanging="180"/>
      </w:pPr>
    </w:lvl>
    <w:lvl w:ilvl="3" w:tplc="0EEA95BE">
      <w:start w:val="1"/>
      <w:numFmt w:val="decimal"/>
      <w:lvlText w:val="%4."/>
      <w:lvlJc w:val="left"/>
      <w:pPr>
        <w:ind w:left="2880" w:hanging="360"/>
      </w:pPr>
    </w:lvl>
    <w:lvl w:ilvl="4" w:tplc="27F2C37C">
      <w:start w:val="1"/>
      <w:numFmt w:val="lowerLetter"/>
      <w:lvlText w:val="%5."/>
      <w:lvlJc w:val="left"/>
      <w:pPr>
        <w:ind w:left="3600" w:hanging="360"/>
      </w:pPr>
    </w:lvl>
    <w:lvl w:ilvl="5" w:tplc="F986340C">
      <w:start w:val="1"/>
      <w:numFmt w:val="lowerRoman"/>
      <w:lvlText w:val="%6."/>
      <w:lvlJc w:val="right"/>
      <w:pPr>
        <w:ind w:left="4320" w:hanging="180"/>
      </w:pPr>
    </w:lvl>
    <w:lvl w:ilvl="6" w:tplc="009A8490">
      <w:start w:val="1"/>
      <w:numFmt w:val="decimal"/>
      <w:lvlText w:val="%7."/>
      <w:lvlJc w:val="left"/>
      <w:pPr>
        <w:ind w:left="5040" w:hanging="360"/>
      </w:pPr>
    </w:lvl>
    <w:lvl w:ilvl="7" w:tplc="EDAEACB2">
      <w:start w:val="1"/>
      <w:numFmt w:val="lowerLetter"/>
      <w:lvlText w:val="%8."/>
      <w:lvlJc w:val="left"/>
      <w:pPr>
        <w:ind w:left="5760" w:hanging="360"/>
      </w:pPr>
    </w:lvl>
    <w:lvl w:ilvl="8" w:tplc="A97CAB50">
      <w:start w:val="1"/>
      <w:numFmt w:val="lowerRoman"/>
      <w:lvlText w:val="%9."/>
      <w:lvlJc w:val="right"/>
      <w:pPr>
        <w:ind w:left="6480" w:hanging="180"/>
      </w:pPr>
    </w:lvl>
  </w:abstractNum>
  <w:abstractNum w:abstractNumId="12" w15:restartNumberingAfterBreak="0">
    <w:nsid w:val="326C5B77"/>
    <w:multiLevelType w:val="hybridMultilevel"/>
    <w:tmpl w:val="346ECF3A"/>
    <w:lvl w:ilvl="0" w:tplc="60306888">
      <w:start w:val="1"/>
      <w:numFmt w:val="decimal"/>
      <w:lvlText w:val="%1."/>
      <w:lvlJc w:val="left"/>
      <w:pPr>
        <w:ind w:left="720" w:hanging="360"/>
      </w:pPr>
    </w:lvl>
    <w:lvl w:ilvl="1" w:tplc="8F809D06">
      <w:start w:val="1"/>
      <w:numFmt w:val="decimal"/>
      <w:lvlText w:val="%2."/>
      <w:lvlJc w:val="left"/>
      <w:pPr>
        <w:ind w:left="1440" w:hanging="360"/>
      </w:pPr>
    </w:lvl>
    <w:lvl w:ilvl="2" w:tplc="7C7E939C">
      <w:start w:val="1"/>
      <w:numFmt w:val="lowerRoman"/>
      <w:lvlText w:val="%3."/>
      <w:lvlJc w:val="right"/>
      <w:pPr>
        <w:ind w:left="2160" w:hanging="180"/>
      </w:pPr>
    </w:lvl>
    <w:lvl w:ilvl="3" w:tplc="6C22BFC8">
      <w:start w:val="1"/>
      <w:numFmt w:val="decimal"/>
      <w:lvlText w:val="%4."/>
      <w:lvlJc w:val="left"/>
      <w:pPr>
        <w:ind w:left="2880" w:hanging="360"/>
      </w:pPr>
    </w:lvl>
    <w:lvl w:ilvl="4" w:tplc="FB7E9A82">
      <w:start w:val="1"/>
      <w:numFmt w:val="lowerLetter"/>
      <w:lvlText w:val="%5."/>
      <w:lvlJc w:val="left"/>
      <w:pPr>
        <w:ind w:left="3600" w:hanging="360"/>
      </w:pPr>
    </w:lvl>
    <w:lvl w:ilvl="5" w:tplc="02225160">
      <w:start w:val="1"/>
      <w:numFmt w:val="lowerRoman"/>
      <w:lvlText w:val="%6."/>
      <w:lvlJc w:val="right"/>
      <w:pPr>
        <w:ind w:left="4320" w:hanging="180"/>
      </w:pPr>
    </w:lvl>
    <w:lvl w:ilvl="6" w:tplc="40FC9740">
      <w:start w:val="1"/>
      <w:numFmt w:val="decimal"/>
      <w:lvlText w:val="%7."/>
      <w:lvlJc w:val="left"/>
      <w:pPr>
        <w:ind w:left="5040" w:hanging="360"/>
      </w:pPr>
    </w:lvl>
    <w:lvl w:ilvl="7" w:tplc="D71CC45E">
      <w:start w:val="1"/>
      <w:numFmt w:val="lowerLetter"/>
      <w:lvlText w:val="%8."/>
      <w:lvlJc w:val="left"/>
      <w:pPr>
        <w:ind w:left="5760" w:hanging="360"/>
      </w:pPr>
    </w:lvl>
    <w:lvl w:ilvl="8" w:tplc="EA0C6D36">
      <w:start w:val="1"/>
      <w:numFmt w:val="lowerRoman"/>
      <w:lvlText w:val="%9."/>
      <w:lvlJc w:val="right"/>
      <w:pPr>
        <w:ind w:left="6480" w:hanging="180"/>
      </w:p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5" w15:restartNumberingAfterBreak="0">
    <w:nsid w:val="34E6F348"/>
    <w:multiLevelType w:val="multilevel"/>
    <w:tmpl w:val="8604ADAE"/>
    <w:lvl w:ilvl="0">
      <w:start w:val="1"/>
      <w:numFmt w:val="decimal"/>
      <w:lvlText w:val="%1."/>
      <w:lvlJc w:val="left"/>
      <w:pPr>
        <w:ind w:left="720" w:hanging="360"/>
      </w:pPr>
    </w:lvl>
    <w:lvl w:ilvl="1">
      <w:start w:val="3"/>
      <w:numFmt w:val="decimal"/>
      <w:lvlText w:val="%1.%2."/>
      <w:lvlJc w:val="left"/>
      <w:pPr>
        <w:ind w:left="999" w:hanging="432"/>
      </w:pPr>
      <w:rPr>
        <w:rFonts w:ascii="Calibri" w:hAnsi="Calibri" w:hint="default"/>
      </w:rPr>
    </w:lvl>
    <w:lvl w:ilvl="2">
      <w:start w:val="1"/>
      <w:numFmt w:val="decimal"/>
      <w:lvlText w:val="%1.%2."/>
      <w:lvlJc w:val="left"/>
      <w:pPr>
        <w:ind w:left="1213" w:hanging="504"/>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9AD5865"/>
    <w:multiLevelType w:val="hybridMultilevel"/>
    <w:tmpl w:val="9B0A5828"/>
    <w:lvl w:ilvl="0" w:tplc="49605A72">
      <w:start w:val="1"/>
      <w:numFmt w:val="decimal"/>
      <w:lvlText w:val="%1."/>
      <w:lvlJc w:val="left"/>
      <w:pPr>
        <w:ind w:left="720" w:hanging="360"/>
      </w:pPr>
    </w:lvl>
    <w:lvl w:ilvl="1" w:tplc="45B0D01E">
      <w:start w:val="1"/>
      <w:numFmt w:val="lowerLetter"/>
      <w:lvlText w:val="%2."/>
      <w:lvlJc w:val="left"/>
      <w:pPr>
        <w:ind w:left="1440" w:hanging="360"/>
      </w:pPr>
    </w:lvl>
    <w:lvl w:ilvl="2" w:tplc="AA2E53FA">
      <w:start w:val="1"/>
      <w:numFmt w:val="decimal"/>
      <w:lvlText w:val="%3."/>
      <w:lvlJc w:val="left"/>
      <w:pPr>
        <w:ind w:left="2160" w:hanging="180"/>
      </w:pPr>
    </w:lvl>
    <w:lvl w:ilvl="3" w:tplc="09007FE0">
      <w:start w:val="1"/>
      <w:numFmt w:val="decimal"/>
      <w:lvlText w:val="%4."/>
      <w:lvlJc w:val="left"/>
      <w:pPr>
        <w:ind w:left="2880" w:hanging="360"/>
      </w:pPr>
    </w:lvl>
    <w:lvl w:ilvl="4" w:tplc="34C24818">
      <w:start w:val="1"/>
      <w:numFmt w:val="lowerLetter"/>
      <w:lvlText w:val="%5."/>
      <w:lvlJc w:val="left"/>
      <w:pPr>
        <w:ind w:left="3600" w:hanging="360"/>
      </w:pPr>
    </w:lvl>
    <w:lvl w:ilvl="5" w:tplc="38709E3A">
      <w:start w:val="1"/>
      <w:numFmt w:val="lowerRoman"/>
      <w:lvlText w:val="%6."/>
      <w:lvlJc w:val="right"/>
      <w:pPr>
        <w:ind w:left="4320" w:hanging="180"/>
      </w:pPr>
    </w:lvl>
    <w:lvl w:ilvl="6" w:tplc="8668DF74">
      <w:start w:val="1"/>
      <w:numFmt w:val="decimal"/>
      <w:lvlText w:val="%7."/>
      <w:lvlJc w:val="left"/>
      <w:pPr>
        <w:ind w:left="5040" w:hanging="360"/>
      </w:pPr>
    </w:lvl>
    <w:lvl w:ilvl="7" w:tplc="263087C8">
      <w:start w:val="1"/>
      <w:numFmt w:val="lowerLetter"/>
      <w:lvlText w:val="%8."/>
      <w:lvlJc w:val="left"/>
      <w:pPr>
        <w:ind w:left="5760" w:hanging="360"/>
      </w:pPr>
    </w:lvl>
    <w:lvl w:ilvl="8" w:tplc="77FA1A98">
      <w:start w:val="1"/>
      <w:numFmt w:val="lowerRoman"/>
      <w:lvlText w:val="%9."/>
      <w:lvlJc w:val="right"/>
      <w:pPr>
        <w:ind w:left="6480" w:hanging="180"/>
      </w:pPr>
    </w:lvl>
  </w:abstractNum>
  <w:abstractNum w:abstractNumId="17" w15:restartNumberingAfterBreak="0">
    <w:nsid w:val="3B40A660"/>
    <w:multiLevelType w:val="hybridMultilevel"/>
    <w:tmpl w:val="45F07392"/>
    <w:lvl w:ilvl="0" w:tplc="231C3DD4">
      <w:start w:val="1"/>
      <w:numFmt w:val="decimal"/>
      <w:lvlText w:val="%1."/>
      <w:lvlJc w:val="left"/>
      <w:pPr>
        <w:ind w:left="720" w:hanging="360"/>
      </w:pPr>
    </w:lvl>
    <w:lvl w:ilvl="1" w:tplc="514AE850">
      <w:start w:val="1"/>
      <w:numFmt w:val="decimal"/>
      <w:lvlText w:val="%2."/>
      <w:lvlJc w:val="left"/>
      <w:pPr>
        <w:ind w:left="1440" w:hanging="360"/>
      </w:pPr>
    </w:lvl>
    <w:lvl w:ilvl="2" w:tplc="E3EEB5D4">
      <w:start w:val="1"/>
      <w:numFmt w:val="lowerRoman"/>
      <w:lvlText w:val="%3."/>
      <w:lvlJc w:val="right"/>
      <w:pPr>
        <w:ind w:left="2160" w:hanging="180"/>
      </w:pPr>
    </w:lvl>
    <w:lvl w:ilvl="3" w:tplc="13FC0914">
      <w:start w:val="1"/>
      <w:numFmt w:val="decimal"/>
      <w:lvlText w:val="%4."/>
      <w:lvlJc w:val="left"/>
      <w:pPr>
        <w:ind w:left="2880" w:hanging="360"/>
      </w:pPr>
    </w:lvl>
    <w:lvl w:ilvl="4" w:tplc="AED6E02A">
      <w:start w:val="1"/>
      <w:numFmt w:val="lowerLetter"/>
      <w:lvlText w:val="%5."/>
      <w:lvlJc w:val="left"/>
      <w:pPr>
        <w:ind w:left="3600" w:hanging="360"/>
      </w:pPr>
    </w:lvl>
    <w:lvl w:ilvl="5" w:tplc="5D5E5266">
      <w:start w:val="1"/>
      <w:numFmt w:val="lowerRoman"/>
      <w:lvlText w:val="%6."/>
      <w:lvlJc w:val="right"/>
      <w:pPr>
        <w:ind w:left="4320" w:hanging="180"/>
      </w:pPr>
    </w:lvl>
    <w:lvl w:ilvl="6" w:tplc="AA1C8F44">
      <w:start w:val="1"/>
      <w:numFmt w:val="decimal"/>
      <w:lvlText w:val="%7."/>
      <w:lvlJc w:val="left"/>
      <w:pPr>
        <w:ind w:left="5040" w:hanging="360"/>
      </w:pPr>
    </w:lvl>
    <w:lvl w:ilvl="7" w:tplc="88EADE06">
      <w:start w:val="1"/>
      <w:numFmt w:val="lowerLetter"/>
      <w:lvlText w:val="%8."/>
      <w:lvlJc w:val="left"/>
      <w:pPr>
        <w:ind w:left="5760" w:hanging="360"/>
      </w:pPr>
    </w:lvl>
    <w:lvl w:ilvl="8" w:tplc="300A3C20">
      <w:start w:val="1"/>
      <w:numFmt w:val="lowerRoman"/>
      <w:lvlText w:val="%9."/>
      <w:lvlJc w:val="right"/>
      <w:pPr>
        <w:ind w:left="6480" w:hanging="180"/>
      </w:pPr>
    </w:lvl>
  </w:abstractNum>
  <w:abstractNum w:abstractNumId="1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20"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1" w15:restartNumberingAfterBreak="0">
    <w:nsid w:val="4887675C"/>
    <w:multiLevelType w:val="hybridMultilevel"/>
    <w:tmpl w:val="84204948"/>
    <w:lvl w:ilvl="0" w:tplc="C14C1604">
      <w:start w:val="1"/>
      <w:numFmt w:val="decimal"/>
      <w:lvlText w:val="%1."/>
      <w:lvlJc w:val="left"/>
      <w:pPr>
        <w:ind w:left="720" w:hanging="360"/>
      </w:pPr>
    </w:lvl>
    <w:lvl w:ilvl="1" w:tplc="E616A164">
      <w:start w:val="1"/>
      <w:numFmt w:val="lowerLetter"/>
      <w:lvlText w:val="%2."/>
      <w:lvlJc w:val="left"/>
      <w:pPr>
        <w:ind w:left="1440" w:hanging="360"/>
      </w:pPr>
    </w:lvl>
    <w:lvl w:ilvl="2" w:tplc="29B69EB2">
      <w:start w:val="1"/>
      <w:numFmt w:val="decimal"/>
      <w:lvlText w:val="%3."/>
      <w:lvlJc w:val="left"/>
      <w:pPr>
        <w:ind w:left="2160" w:hanging="180"/>
      </w:pPr>
    </w:lvl>
    <w:lvl w:ilvl="3" w:tplc="B816C3B0">
      <w:start w:val="1"/>
      <w:numFmt w:val="decimal"/>
      <w:lvlText w:val="%4."/>
      <w:lvlJc w:val="left"/>
      <w:pPr>
        <w:ind w:left="2880" w:hanging="360"/>
      </w:pPr>
    </w:lvl>
    <w:lvl w:ilvl="4" w:tplc="A8E29618">
      <w:start w:val="1"/>
      <w:numFmt w:val="lowerLetter"/>
      <w:lvlText w:val="%5."/>
      <w:lvlJc w:val="left"/>
      <w:pPr>
        <w:ind w:left="3600" w:hanging="360"/>
      </w:pPr>
    </w:lvl>
    <w:lvl w:ilvl="5" w:tplc="861A13FC">
      <w:start w:val="1"/>
      <w:numFmt w:val="lowerRoman"/>
      <w:lvlText w:val="%6."/>
      <w:lvlJc w:val="right"/>
      <w:pPr>
        <w:ind w:left="4320" w:hanging="180"/>
      </w:pPr>
    </w:lvl>
    <w:lvl w:ilvl="6" w:tplc="15A24546">
      <w:start w:val="1"/>
      <w:numFmt w:val="decimal"/>
      <w:lvlText w:val="%7."/>
      <w:lvlJc w:val="left"/>
      <w:pPr>
        <w:ind w:left="5040" w:hanging="360"/>
      </w:pPr>
    </w:lvl>
    <w:lvl w:ilvl="7" w:tplc="ED08132C">
      <w:start w:val="1"/>
      <w:numFmt w:val="lowerLetter"/>
      <w:lvlText w:val="%8."/>
      <w:lvlJc w:val="left"/>
      <w:pPr>
        <w:ind w:left="5760" w:hanging="360"/>
      </w:pPr>
    </w:lvl>
    <w:lvl w:ilvl="8" w:tplc="04AE085E">
      <w:start w:val="1"/>
      <w:numFmt w:val="lowerRoman"/>
      <w:lvlText w:val="%9."/>
      <w:lvlJc w:val="right"/>
      <w:pPr>
        <w:ind w:left="6480" w:hanging="180"/>
      </w:pPr>
    </w:lvl>
  </w:abstractNum>
  <w:abstractNum w:abstractNumId="22"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E704EBD"/>
    <w:multiLevelType w:val="hybridMultilevel"/>
    <w:tmpl w:val="1696BACA"/>
    <w:lvl w:ilvl="0" w:tplc="73167CC4">
      <w:start w:val="1"/>
      <w:numFmt w:val="decimal"/>
      <w:lvlText w:val="%1."/>
      <w:lvlJc w:val="left"/>
      <w:pPr>
        <w:ind w:left="720" w:hanging="360"/>
      </w:pPr>
    </w:lvl>
    <w:lvl w:ilvl="1" w:tplc="D1BCA8CA">
      <w:start w:val="1"/>
      <w:numFmt w:val="decimal"/>
      <w:lvlText w:val="%2."/>
      <w:lvlJc w:val="left"/>
      <w:pPr>
        <w:ind w:left="1440" w:hanging="360"/>
      </w:pPr>
    </w:lvl>
    <w:lvl w:ilvl="2" w:tplc="029A071C">
      <w:start w:val="1"/>
      <w:numFmt w:val="lowerRoman"/>
      <w:lvlText w:val="%3."/>
      <w:lvlJc w:val="right"/>
      <w:pPr>
        <w:ind w:left="2160" w:hanging="180"/>
      </w:pPr>
    </w:lvl>
    <w:lvl w:ilvl="3" w:tplc="FCCA88A2">
      <w:start w:val="1"/>
      <w:numFmt w:val="decimal"/>
      <w:lvlText w:val="%4."/>
      <w:lvlJc w:val="left"/>
      <w:pPr>
        <w:ind w:left="2880" w:hanging="360"/>
      </w:pPr>
    </w:lvl>
    <w:lvl w:ilvl="4" w:tplc="57466AF4">
      <w:start w:val="1"/>
      <w:numFmt w:val="lowerLetter"/>
      <w:lvlText w:val="%5."/>
      <w:lvlJc w:val="left"/>
      <w:pPr>
        <w:ind w:left="3600" w:hanging="360"/>
      </w:pPr>
    </w:lvl>
    <w:lvl w:ilvl="5" w:tplc="6DDE723C">
      <w:start w:val="1"/>
      <w:numFmt w:val="lowerRoman"/>
      <w:lvlText w:val="%6."/>
      <w:lvlJc w:val="right"/>
      <w:pPr>
        <w:ind w:left="4320" w:hanging="180"/>
      </w:pPr>
    </w:lvl>
    <w:lvl w:ilvl="6" w:tplc="02363172">
      <w:start w:val="1"/>
      <w:numFmt w:val="decimal"/>
      <w:lvlText w:val="%7."/>
      <w:lvlJc w:val="left"/>
      <w:pPr>
        <w:ind w:left="5040" w:hanging="360"/>
      </w:pPr>
    </w:lvl>
    <w:lvl w:ilvl="7" w:tplc="36C45AEA">
      <w:start w:val="1"/>
      <w:numFmt w:val="lowerLetter"/>
      <w:lvlText w:val="%8."/>
      <w:lvlJc w:val="left"/>
      <w:pPr>
        <w:ind w:left="5760" w:hanging="360"/>
      </w:pPr>
    </w:lvl>
    <w:lvl w:ilvl="8" w:tplc="42FAC130">
      <w:start w:val="1"/>
      <w:numFmt w:val="lowerRoman"/>
      <w:lvlText w:val="%9."/>
      <w:lvlJc w:val="right"/>
      <w:pPr>
        <w:ind w:left="6480" w:hanging="180"/>
      </w:pPr>
    </w:lvl>
  </w:abstractNum>
  <w:abstractNum w:abstractNumId="25" w15:restartNumberingAfterBreak="0">
    <w:nsid w:val="5330CB30"/>
    <w:multiLevelType w:val="multilevel"/>
    <w:tmpl w:val="FFFFFFFF"/>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6" w15:restartNumberingAfterBreak="0">
    <w:nsid w:val="58DE36C7"/>
    <w:multiLevelType w:val="hybridMultilevel"/>
    <w:tmpl w:val="5280608C"/>
    <w:lvl w:ilvl="0" w:tplc="582E53D6">
      <w:start w:val="1"/>
      <w:numFmt w:val="decimal"/>
      <w:lvlText w:val="%1."/>
      <w:lvlJc w:val="left"/>
      <w:pPr>
        <w:ind w:left="720" w:hanging="360"/>
      </w:pPr>
    </w:lvl>
    <w:lvl w:ilvl="1" w:tplc="CCF428B0">
      <w:start w:val="1"/>
      <w:numFmt w:val="decimal"/>
      <w:lvlText w:val="%2."/>
      <w:lvlJc w:val="left"/>
      <w:pPr>
        <w:ind w:left="1440" w:hanging="360"/>
      </w:pPr>
    </w:lvl>
    <w:lvl w:ilvl="2" w:tplc="53B84B8E">
      <w:start w:val="1"/>
      <w:numFmt w:val="decimal"/>
      <w:lvlText w:val="%3."/>
      <w:lvlJc w:val="left"/>
      <w:pPr>
        <w:ind w:left="2160" w:hanging="180"/>
      </w:pPr>
    </w:lvl>
    <w:lvl w:ilvl="3" w:tplc="088060A6">
      <w:start w:val="1"/>
      <w:numFmt w:val="decimal"/>
      <w:lvlText w:val="%4."/>
      <w:lvlJc w:val="left"/>
      <w:pPr>
        <w:ind w:left="2880" w:hanging="360"/>
      </w:pPr>
    </w:lvl>
    <w:lvl w:ilvl="4" w:tplc="24B0E6D8">
      <w:start w:val="1"/>
      <w:numFmt w:val="lowerLetter"/>
      <w:lvlText w:val="%5."/>
      <w:lvlJc w:val="left"/>
      <w:pPr>
        <w:ind w:left="3600" w:hanging="360"/>
      </w:pPr>
    </w:lvl>
    <w:lvl w:ilvl="5" w:tplc="A4E2FF42">
      <w:start w:val="1"/>
      <w:numFmt w:val="lowerRoman"/>
      <w:lvlText w:val="%6."/>
      <w:lvlJc w:val="right"/>
      <w:pPr>
        <w:ind w:left="4320" w:hanging="180"/>
      </w:pPr>
    </w:lvl>
    <w:lvl w:ilvl="6" w:tplc="0DDAC2F2">
      <w:start w:val="1"/>
      <w:numFmt w:val="decimal"/>
      <w:lvlText w:val="%7."/>
      <w:lvlJc w:val="left"/>
      <w:pPr>
        <w:ind w:left="5040" w:hanging="360"/>
      </w:pPr>
    </w:lvl>
    <w:lvl w:ilvl="7" w:tplc="7AE8AA56">
      <w:start w:val="1"/>
      <w:numFmt w:val="lowerLetter"/>
      <w:lvlText w:val="%8."/>
      <w:lvlJc w:val="left"/>
      <w:pPr>
        <w:ind w:left="5760" w:hanging="360"/>
      </w:pPr>
    </w:lvl>
    <w:lvl w:ilvl="8" w:tplc="2EE6968E">
      <w:start w:val="1"/>
      <w:numFmt w:val="lowerRoman"/>
      <w:lvlText w:val="%9."/>
      <w:lvlJc w:val="right"/>
      <w:pPr>
        <w:ind w:left="6480" w:hanging="180"/>
      </w:pPr>
    </w:lvl>
  </w:abstractNum>
  <w:abstractNum w:abstractNumId="27" w15:restartNumberingAfterBreak="0">
    <w:nsid w:val="5975A86F"/>
    <w:multiLevelType w:val="hybridMultilevel"/>
    <w:tmpl w:val="5964C222"/>
    <w:lvl w:ilvl="0" w:tplc="4EBAC05E">
      <w:start w:val="1"/>
      <w:numFmt w:val="decimal"/>
      <w:lvlText w:val="%1."/>
      <w:lvlJc w:val="left"/>
      <w:pPr>
        <w:ind w:left="720" w:hanging="360"/>
      </w:pPr>
    </w:lvl>
    <w:lvl w:ilvl="1" w:tplc="8620E7CC">
      <w:start w:val="1"/>
      <w:numFmt w:val="lowerLetter"/>
      <w:lvlText w:val="%2."/>
      <w:lvlJc w:val="left"/>
      <w:pPr>
        <w:ind w:left="1440" w:hanging="360"/>
      </w:pPr>
    </w:lvl>
    <w:lvl w:ilvl="2" w:tplc="18D2B1DA">
      <w:start w:val="1"/>
      <w:numFmt w:val="decimal"/>
      <w:lvlText w:val="%3."/>
      <w:lvlJc w:val="left"/>
      <w:pPr>
        <w:ind w:left="2160" w:hanging="180"/>
      </w:pPr>
    </w:lvl>
    <w:lvl w:ilvl="3" w:tplc="7114668E">
      <w:start w:val="1"/>
      <w:numFmt w:val="decimal"/>
      <w:lvlText w:val="%4."/>
      <w:lvlJc w:val="left"/>
      <w:pPr>
        <w:ind w:left="2880" w:hanging="360"/>
      </w:pPr>
    </w:lvl>
    <w:lvl w:ilvl="4" w:tplc="F474D180">
      <w:start w:val="1"/>
      <w:numFmt w:val="lowerLetter"/>
      <w:lvlText w:val="%5."/>
      <w:lvlJc w:val="left"/>
      <w:pPr>
        <w:ind w:left="3600" w:hanging="360"/>
      </w:pPr>
    </w:lvl>
    <w:lvl w:ilvl="5" w:tplc="DA60493C">
      <w:start w:val="1"/>
      <w:numFmt w:val="lowerRoman"/>
      <w:lvlText w:val="%6."/>
      <w:lvlJc w:val="right"/>
      <w:pPr>
        <w:ind w:left="4320" w:hanging="180"/>
      </w:pPr>
    </w:lvl>
    <w:lvl w:ilvl="6" w:tplc="E0FCBB84">
      <w:start w:val="1"/>
      <w:numFmt w:val="decimal"/>
      <w:lvlText w:val="%7."/>
      <w:lvlJc w:val="left"/>
      <w:pPr>
        <w:ind w:left="5040" w:hanging="360"/>
      </w:pPr>
    </w:lvl>
    <w:lvl w:ilvl="7" w:tplc="2CAC3332">
      <w:start w:val="1"/>
      <w:numFmt w:val="lowerLetter"/>
      <w:lvlText w:val="%8."/>
      <w:lvlJc w:val="left"/>
      <w:pPr>
        <w:ind w:left="5760" w:hanging="360"/>
      </w:pPr>
    </w:lvl>
    <w:lvl w:ilvl="8" w:tplc="62BC43FA">
      <w:start w:val="1"/>
      <w:numFmt w:val="lowerRoman"/>
      <w:lvlText w:val="%9."/>
      <w:lvlJc w:val="right"/>
      <w:pPr>
        <w:ind w:left="6480" w:hanging="180"/>
      </w:pPr>
    </w:lvl>
  </w:abstractNum>
  <w:abstractNum w:abstractNumId="28" w15:restartNumberingAfterBreak="0">
    <w:nsid w:val="59DFC238"/>
    <w:multiLevelType w:val="multilevel"/>
    <w:tmpl w:val="FFFFFFFF"/>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9" w15:restartNumberingAfterBreak="0">
    <w:nsid w:val="5DA31DD3"/>
    <w:multiLevelType w:val="hybridMultilevel"/>
    <w:tmpl w:val="19E26AA8"/>
    <w:lvl w:ilvl="0" w:tplc="246CA858">
      <w:start w:val="1"/>
      <w:numFmt w:val="decimal"/>
      <w:lvlText w:val="%1."/>
      <w:lvlJc w:val="left"/>
      <w:pPr>
        <w:ind w:left="720" w:hanging="360"/>
      </w:pPr>
    </w:lvl>
    <w:lvl w:ilvl="1" w:tplc="DDAA86DE">
      <w:start w:val="1"/>
      <w:numFmt w:val="decimal"/>
      <w:lvlText w:val="%2."/>
      <w:lvlJc w:val="left"/>
      <w:pPr>
        <w:ind w:left="1440" w:hanging="360"/>
      </w:pPr>
    </w:lvl>
    <w:lvl w:ilvl="2" w:tplc="616845FC">
      <w:start w:val="1"/>
      <w:numFmt w:val="lowerRoman"/>
      <w:lvlText w:val="%3."/>
      <w:lvlJc w:val="right"/>
      <w:pPr>
        <w:ind w:left="2160" w:hanging="180"/>
      </w:pPr>
    </w:lvl>
    <w:lvl w:ilvl="3" w:tplc="23388548">
      <w:start w:val="1"/>
      <w:numFmt w:val="decimal"/>
      <w:lvlText w:val="%4."/>
      <w:lvlJc w:val="left"/>
      <w:pPr>
        <w:ind w:left="2880" w:hanging="360"/>
      </w:pPr>
    </w:lvl>
    <w:lvl w:ilvl="4" w:tplc="997A7D9E">
      <w:start w:val="1"/>
      <w:numFmt w:val="lowerLetter"/>
      <w:lvlText w:val="%5."/>
      <w:lvlJc w:val="left"/>
      <w:pPr>
        <w:ind w:left="3600" w:hanging="360"/>
      </w:pPr>
    </w:lvl>
    <w:lvl w:ilvl="5" w:tplc="7C4E4F1E">
      <w:start w:val="1"/>
      <w:numFmt w:val="lowerRoman"/>
      <w:lvlText w:val="%6."/>
      <w:lvlJc w:val="right"/>
      <w:pPr>
        <w:ind w:left="4320" w:hanging="180"/>
      </w:pPr>
    </w:lvl>
    <w:lvl w:ilvl="6" w:tplc="87A684A0">
      <w:start w:val="1"/>
      <w:numFmt w:val="decimal"/>
      <w:lvlText w:val="%7."/>
      <w:lvlJc w:val="left"/>
      <w:pPr>
        <w:ind w:left="5040" w:hanging="360"/>
      </w:pPr>
    </w:lvl>
    <w:lvl w:ilvl="7" w:tplc="8D9E543C">
      <w:start w:val="1"/>
      <w:numFmt w:val="lowerLetter"/>
      <w:lvlText w:val="%8."/>
      <w:lvlJc w:val="left"/>
      <w:pPr>
        <w:ind w:left="5760" w:hanging="360"/>
      </w:pPr>
    </w:lvl>
    <w:lvl w:ilvl="8" w:tplc="D90E703C">
      <w:start w:val="1"/>
      <w:numFmt w:val="lowerRoman"/>
      <w:lvlText w:val="%9."/>
      <w:lvlJc w:val="right"/>
      <w:pPr>
        <w:ind w:left="6480" w:hanging="180"/>
      </w:pPr>
    </w:lvl>
  </w:abstractNum>
  <w:abstractNum w:abstractNumId="30" w15:restartNumberingAfterBreak="0">
    <w:nsid w:val="628D197D"/>
    <w:multiLevelType w:val="multilevel"/>
    <w:tmpl w:val="2B247502"/>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2970C8C"/>
    <w:multiLevelType w:val="multilevel"/>
    <w:tmpl w:val="329283CA"/>
    <w:lvl w:ilvl="0">
      <w:start w:val="7"/>
      <w:numFmt w:val="decimal"/>
      <w:lvlText w:val="%1"/>
      <w:lvlJc w:val="left"/>
      <w:pPr>
        <w:ind w:left="540" w:hanging="540"/>
      </w:pPr>
      <w:rPr>
        <w:rFonts w:hint="default"/>
        <w:color w:val="000000" w:themeColor="text1"/>
      </w:rPr>
    </w:lvl>
    <w:lvl w:ilvl="1">
      <w:start w:val="10"/>
      <w:numFmt w:val="decimal"/>
      <w:lvlText w:val="%1.%2"/>
      <w:lvlJc w:val="left"/>
      <w:pPr>
        <w:ind w:left="965" w:hanging="540"/>
      </w:pPr>
      <w:rPr>
        <w:rFonts w:hint="default"/>
        <w:color w:val="000000" w:themeColor="text1"/>
      </w:rPr>
    </w:lvl>
    <w:lvl w:ilvl="2">
      <w:start w:val="1"/>
      <w:numFmt w:val="decimal"/>
      <w:lvlText w:val="%1.%2.%3"/>
      <w:lvlJc w:val="left"/>
      <w:pPr>
        <w:ind w:left="1570" w:hanging="720"/>
      </w:pPr>
      <w:rPr>
        <w:rFonts w:hint="default"/>
        <w:color w:val="000000" w:themeColor="text1"/>
      </w:rPr>
    </w:lvl>
    <w:lvl w:ilvl="3">
      <w:start w:val="1"/>
      <w:numFmt w:val="decimal"/>
      <w:lvlText w:val="%1.%2.%3.%4"/>
      <w:lvlJc w:val="left"/>
      <w:pPr>
        <w:ind w:left="1995" w:hanging="720"/>
      </w:pPr>
      <w:rPr>
        <w:rFonts w:hint="default"/>
        <w:color w:val="000000" w:themeColor="text1"/>
      </w:rPr>
    </w:lvl>
    <w:lvl w:ilvl="4">
      <w:start w:val="1"/>
      <w:numFmt w:val="decimal"/>
      <w:lvlText w:val="%1.%2.%3.%4.%5"/>
      <w:lvlJc w:val="left"/>
      <w:pPr>
        <w:ind w:left="2780" w:hanging="1080"/>
      </w:pPr>
      <w:rPr>
        <w:rFonts w:hint="default"/>
        <w:color w:val="000000" w:themeColor="text1"/>
      </w:rPr>
    </w:lvl>
    <w:lvl w:ilvl="5">
      <w:start w:val="1"/>
      <w:numFmt w:val="decimal"/>
      <w:lvlText w:val="%1.%2.%3.%4.%5.%6"/>
      <w:lvlJc w:val="left"/>
      <w:pPr>
        <w:ind w:left="3205" w:hanging="1080"/>
      </w:pPr>
      <w:rPr>
        <w:rFonts w:hint="default"/>
        <w:color w:val="000000" w:themeColor="text1"/>
      </w:rPr>
    </w:lvl>
    <w:lvl w:ilvl="6">
      <w:start w:val="1"/>
      <w:numFmt w:val="decimal"/>
      <w:lvlText w:val="%1.%2.%3.%4.%5.%6.%7"/>
      <w:lvlJc w:val="left"/>
      <w:pPr>
        <w:ind w:left="3990" w:hanging="1440"/>
      </w:pPr>
      <w:rPr>
        <w:rFonts w:hint="default"/>
        <w:color w:val="000000" w:themeColor="text1"/>
      </w:rPr>
    </w:lvl>
    <w:lvl w:ilvl="7">
      <w:start w:val="1"/>
      <w:numFmt w:val="decimal"/>
      <w:lvlText w:val="%1.%2.%3.%4.%5.%6.%7.%8"/>
      <w:lvlJc w:val="left"/>
      <w:pPr>
        <w:ind w:left="4415" w:hanging="1440"/>
      </w:pPr>
      <w:rPr>
        <w:rFonts w:hint="default"/>
        <w:color w:val="000000" w:themeColor="text1"/>
      </w:rPr>
    </w:lvl>
    <w:lvl w:ilvl="8">
      <w:start w:val="1"/>
      <w:numFmt w:val="decimal"/>
      <w:lvlText w:val="%1.%2.%3.%4.%5.%6.%7.%8.%9"/>
      <w:lvlJc w:val="left"/>
      <w:pPr>
        <w:ind w:left="5200" w:hanging="1800"/>
      </w:pPr>
      <w:rPr>
        <w:rFonts w:hint="default"/>
        <w:color w:val="000000" w:themeColor="text1"/>
      </w:rPr>
    </w:lvl>
  </w:abstractNum>
  <w:abstractNum w:abstractNumId="32" w15:restartNumberingAfterBreak="0">
    <w:nsid w:val="63C9C29A"/>
    <w:multiLevelType w:val="hybridMultilevel"/>
    <w:tmpl w:val="139CC0B2"/>
    <w:lvl w:ilvl="0" w:tplc="EAB6D404">
      <w:start w:val="1"/>
      <w:numFmt w:val="decimal"/>
      <w:lvlText w:val="%1."/>
      <w:lvlJc w:val="left"/>
      <w:pPr>
        <w:ind w:left="720" w:hanging="360"/>
      </w:pPr>
    </w:lvl>
    <w:lvl w:ilvl="1" w:tplc="4F98E56C">
      <w:start w:val="1"/>
      <w:numFmt w:val="decimal"/>
      <w:lvlText w:val="%2."/>
      <w:lvlJc w:val="left"/>
      <w:pPr>
        <w:ind w:left="1440" w:hanging="360"/>
      </w:pPr>
    </w:lvl>
    <w:lvl w:ilvl="2" w:tplc="E62A63E4">
      <w:start w:val="1"/>
      <w:numFmt w:val="lowerRoman"/>
      <w:lvlText w:val="%3."/>
      <w:lvlJc w:val="right"/>
      <w:pPr>
        <w:ind w:left="2160" w:hanging="180"/>
      </w:pPr>
    </w:lvl>
    <w:lvl w:ilvl="3" w:tplc="7DA0E59E">
      <w:start w:val="1"/>
      <w:numFmt w:val="decimal"/>
      <w:lvlText w:val="%4."/>
      <w:lvlJc w:val="left"/>
      <w:pPr>
        <w:ind w:left="2880" w:hanging="360"/>
      </w:pPr>
    </w:lvl>
    <w:lvl w:ilvl="4" w:tplc="5EAEABAE">
      <w:start w:val="1"/>
      <w:numFmt w:val="lowerLetter"/>
      <w:lvlText w:val="%5."/>
      <w:lvlJc w:val="left"/>
      <w:pPr>
        <w:ind w:left="3600" w:hanging="360"/>
      </w:pPr>
    </w:lvl>
    <w:lvl w:ilvl="5" w:tplc="9C723E6C">
      <w:start w:val="1"/>
      <w:numFmt w:val="lowerRoman"/>
      <w:lvlText w:val="%6."/>
      <w:lvlJc w:val="right"/>
      <w:pPr>
        <w:ind w:left="4320" w:hanging="180"/>
      </w:pPr>
    </w:lvl>
    <w:lvl w:ilvl="6" w:tplc="04582066">
      <w:start w:val="1"/>
      <w:numFmt w:val="decimal"/>
      <w:lvlText w:val="%7."/>
      <w:lvlJc w:val="left"/>
      <w:pPr>
        <w:ind w:left="5040" w:hanging="360"/>
      </w:pPr>
    </w:lvl>
    <w:lvl w:ilvl="7" w:tplc="584A7836">
      <w:start w:val="1"/>
      <w:numFmt w:val="lowerLetter"/>
      <w:lvlText w:val="%8."/>
      <w:lvlJc w:val="left"/>
      <w:pPr>
        <w:ind w:left="5760" w:hanging="360"/>
      </w:pPr>
    </w:lvl>
    <w:lvl w:ilvl="8" w:tplc="1D14C932">
      <w:start w:val="1"/>
      <w:numFmt w:val="lowerRoman"/>
      <w:lvlText w:val="%9."/>
      <w:lvlJc w:val="right"/>
      <w:pPr>
        <w:ind w:left="6480" w:hanging="180"/>
      </w:pPr>
    </w:lvl>
  </w:abstractNum>
  <w:abstractNum w:abstractNumId="33" w15:restartNumberingAfterBreak="0">
    <w:nsid w:val="66669531"/>
    <w:multiLevelType w:val="hybridMultilevel"/>
    <w:tmpl w:val="C1D0C1D6"/>
    <w:lvl w:ilvl="0" w:tplc="D2C8D182">
      <w:start w:val="1"/>
      <w:numFmt w:val="decimal"/>
      <w:lvlText w:val="%1."/>
      <w:lvlJc w:val="left"/>
      <w:pPr>
        <w:ind w:left="720" w:hanging="360"/>
      </w:pPr>
    </w:lvl>
    <w:lvl w:ilvl="1" w:tplc="1DB283FE">
      <w:start w:val="1"/>
      <w:numFmt w:val="decimal"/>
      <w:lvlText w:val="%2."/>
      <w:lvlJc w:val="left"/>
      <w:pPr>
        <w:ind w:left="1440" w:hanging="360"/>
      </w:pPr>
    </w:lvl>
    <w:lvl w:ilvl="2" w:tplc="36D62BF4">
      <w:start w:val="1"/>
      <w:numFmt w:val="lowerRoman"/>
      <w:lvlText w:val="%3."/>
      <w:lvlJc w:val="right"/>
      <w:pPr>
        <w:ind w:left="2160" w:hanging="180"/>
      </w:pPr>
    </w:lvl>
    <w:lvl w:ilvl="3" w:tplc="8572F800">
      <w:start w:val="1"/>
      <w:numFmt w:val="decimal"/>
      <w:lvlText w:val="%4."/>
      <w:lvlJc w:val="left"/>
      <w:pPr>
        <w:ind w:left="2880" w:hanging="360"/>
      </w:pPr>
    </w:lvl>
    <w:lvl w:ilvl="4" w:tplc="E4E81684">
      <w:start w:val="1"/>
      <w:numFmt w:val="lowerLetter"/>
      <w:lvlText w:val="%5."/>
      <w:lvlJc w:val="left"/>
      <w:pPr>
        <w:ind w:left="3600" w:hanging="360"/>
      </w:pPr>
    </w:lvl>
    <w:lvl w:ilvl="5" w:tplc="17208DC6">
      <w:start w:val="1"/>
      <w:numFmt w:val="lowerRoman"/>
      <w:lvlText w:val="%6."/>
      <w:lvlJc w:val="right"/>
      <w:pPr>
        <w:ind w:left="4320" w:hanging="180"/>
      </w:pPr>
    </w:lvl>
    <w:lvl w:ilvl="6" w:tplc="75FEF8B2">
      <w:start w:val="1"/>
      <w:numFmt w:val="decimal"/>
      <w:lvlText w:val="%7."/>
      <w:lvlJc w:val="left"/>
      <w:pPr>
        <w:ind w:left="5040" w:hanging="360"/>
      </w:pPr>
    </w:lvl>
    <w:lvl w:ilvl="7" w:tplc="803C02AE">
      <w:start w:val="1"/>
      <w:numFmt w:val="lowerLetter"/>
      <w:lvlText w:val="%8."/>
      <w:lvlJc w:val="left"/>
      <w:pPr>
        <w:ind w:left="5760" w:hanging="360"/>
      </w:pPr>
    </w:lvl>
    <w:lvl w:ilvl="8" w:tplc="380213A6">
      <w:start w:val="1"/>
      <w:numFmt w:val="lowerRoman"/>
      <w:lvlText w:val="%9."/>
      <w:lvlJc w:val="right"/>
      <w:pPr>
        <w:ind w:left="6480" w:hanging="180"/>
      </w:pPr>
    </w:lvl>
  </w:abstractNum>
  <w:abstractNum w:abstractNumId="34" w15:restartNumberingAfterBreak="0">
    <w:nsid w:val="67882202"/>
    <w:multiLevelType w:val="multilevel"/>
    <w:tmpl w:val="D6BA3740"/>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443689"/>
    <w:multiLevelType w:val="multilevel"/>
    <w:tmpl w:val="B2C0F23C"/>
    <w:lvl w:ilvl="0">
      <w:start w:val="8"/>
      <w:numFmt w:val="decimal"/>
      <w:lvlText w:val="%1."/>
      <w:lvlJc w:val="left"/>
      <w:pPr>
        <w:ind w:left="435" w:hanging="435"/>
      </w:pPr>
      <w:rPr>
        <w:rFonts w:hint="default"/>
      </w:rPr>
    </w:lvl>
    <w:lvl w:ilvl="1">
      <w:start w:val="2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C072BEE"/>
    <w:multiLevelType w:val="hybridMultilevel"/>
    <w:tmpl w:val="29DC6398"/>
    <w:lvl w:ilvl="0" w:tplc="4F5CFF3E">
      <w:start w:val="1"/>
      <w:numFmt w:val="decimal"/>
      <w:lvlText w:val="%1."/>
      <w:lvlJc w:val="left"/>
      <w:pPr>
        <w:ind w:left="720" w:hanging="360"/>
      </w:pPr>
    </w:lvl>
    <w:lvl w:ilvl="1" w:tplc="9F68D62C">
      <w:start w:val="1"/>
      <w:numFmt w:val="decimal"/>
      <w:lvlText w:val="%2."/>
      <w:lvlJc w:val="left"/>
      <w:pPr>
        <w:ind w:left="1440" w:hanging="360"/>
      </w:pPr>
    </w:lvl>
    <w:lvl w:ilvl="2" w:tplc="CC7EA39E">
      <w:start w:val="1"/>
      <w:numFmt w:val="lowerRoman"/>
      <w:lvlText w:val="%3."/>
      <w:lvlJc w:val="right"/>
      <w:pPr>
        <w:ind w:left="2160" w:hanging="180"/>
      </w:pPr>
    </w:lvl>
    <w:lvl w:ilvl="3" w:tplc="96B8B2EA">
      <w:start w:val="1"/>
      <w:numFmt w:val="decimal"/>
      <w:lvlText w:val="%4."/>
      <w:lvlJc w:val="left"/>
      <w:pPr>
        <w:ind w:left="2880" w:hanging="360"/>
      </w:pPr>
    </w:lvl>
    <w:lvl w:ilvl="4" w:tplc="3C8E8F86">
      <w:start w:val="1"/>
      <w:numFmt w:val="lowerLetter"/>
      <w:lvlText w:val="%5."/>
      <w:lvlJc w:val="left"/>
      <w:pPr>
        <w:ind w:left="3600" w:hanging="360"/>
      </w:pPr>
    </w:lvl>
    <w:lvl w:ilvl="5" w:tplc="88F6DB50">
      <w:start w:val="1"/>
      <w:numFmt w:val="lowerRoman"/>
      <w:lvlText w:val="%6."/>
      <w:lvlJc w:val="right"/>
      <w:pPr>
        <w:ind w:left="4320" w:hanging="180"/>
      </w:pPr>
    </w:lvl>
    <w:lvl w:ilvl="6" w:tplc="4E767060">
      <w:start w:val="1"/>
      <w:numFmt w:val="decimal"/>
      <w:lvlText w:val="%7."/>
      <w:lvlJc w:val="left"/>
      <w:pPr>
        <w:ind w:left="5040" w:hanging="360"/>
      </w:pPr>
    </w:lvl>
    <w:lvl w:ilvl="7" w:tplc="B180F362">
      <w:start w:val="1"/>
      <w:numFmt w:val="lowerLetter"/>
      <w:lvlText w:val="%8."/>
      <w:lvlJc w:val="left"/>
      <w:pPr>
        <w:ind w:left="5760" w:hanging="360"/>
      </w:pPr>
    </w:lvl>
    <w:lvl w:ilvl="8" w:tplc="8634F950">
      <w:start w:val="1"/>
      <w:numFmt w:val="lowerRoman"/>
      <w:lvlText w:val="%9."/>
      <w:lvlJc w:val="right"/>
      <w:pPr>
        <w:ind w:left="6480" w:hanging="180"/>
      </w:pPr>
    </w:lvl>
  </w:abstractNum>
  <w:abstractNum w:abstractNumId="38" w15:restartNumberingAfterBreak="0">
    <w:nsid w:val="71861D6C"/>
    <w:multiLevelType w:val="hybridMultilevel"/>
    <w:tmpl w:val="263AE826"/>
    <w:lvl w:ilvl="0" w:tplc="977ABC44">
      <w:start w:val="1"/>
      <w:numFmt w:val="decimal"/>
      <w:lvlText w:val="%1."/>
      <w:lvlJc w:val="left"/>
      <w:pPr>
        <w:ind w:left="720" w:hanging="360"/>
      </w:pPr>
    </w:lvl>
    <w:lvl w:ilvl="1" w:tplc="08B42210">
      <w:start w:val="1"/>
      <w:numFmt w:val="decimal"/>
      <w:lvlText w:val="%2."/>
      <w:lvlJc w:val="left"/>
      <w:pPr>
        <w:ind w:left="1440" w:hanging="360"/>
      </w:pPr>
    </w:lvl>
    <w:lvl w:ilvl="2" w:tplc="17067EAC">
      <w:start w:val="1"/>
      <w:numFmt w:val="lowerRoman"/>
      <w:lvlText w:val="%3."/>
      <w:lvlJc w:val="right"/>
      <w:pPr>
        <w:ind w:left="2160" w:hanging="180"/>
      </w:pPr>
    </w:lvl>
    <w:lvl w:ilvl="3" w:tplc="0038CEFA">
      <w:start w:val="1"/>
      <w:numFmt w:val="decimal"/>
      <w:lvlText w:val="%4."/>
      <w:lvlJc w:val="left"/>
      <w:pPr>
        <w:ind w:left="2880" w:hanging="360"/>
      </w:pPr>
    </w:lvl>
    <w:lvl w:ilvl="4" w:tplc="CA303642">
      <w:start w:val="1"/>
      <w:numFmt w:val="lowerLetter"/>
      <w:lvlText w:val="%5."/>
      <w:lvlJc w:val="left"/>
      <w:pPr>
        <w:ind w:left="3600" w:hanging="360"/>
      </w:pPr>
    </w:lvl>
    <w:lvl w:ilvl="5" w:tplc="D08E4FC4">
      <w:start w:val="1"/>
      <w:numFmt w:val="lowerRoman"/>
      <w:lvlText w:val="%6."/>
      <w:lvlJc w:val="right"/>
      <w:pPr>
        <w:ind w:left="4320" w:hanging="180"/>
      </w:pPr>
    </w:lvl>
    <w:lvl w:ilvl="6" w:tplc="91CCC13E">
      <w:start w:val="1"/>
      <w:numFmt w:val="decimal"/>
      <w:lvlText w:val="%7."/>
      <w:lvlJc w:val="left"/>
      <w:pPr>
        <w:ind w:left="5040" w:hanging="360"/>
      </w:pPr>
    </w:lvl>
    <w:lvl w:ilvl="7" w:tplc="17905DAC">
      <w:start w:val="1"/>
      <w:numFmt w:val="lowerLetter"/>
      <w:lvlText w:val="%8."/>
      <w:lvlJc w:val="left"/>
      <w:pPr>
        <w:ind w:left="5760" w:hanging="360"/>
      </w:pPr>
    </w:lvl>
    <w:lvl w:ilvl="8" w:tplc="09AA035E">
      <w:start w:val="1"/>
      <w:numFmt w:val="lowerRoman"/>
      <w:lvlText w:val="%9."/>
      <w:lvlJc w:val="right"/>
      <w:pPr>
        <w:ind w:left="6480" w:hanging="180"/>
      </w:pPr>
    </w:lvl>
  </w:abstractNum>
  <w:abstractNum w:abstractNumId="39" w15:restartNumberingAfterBreak="0">
    <w:nsid w:val="7400C13D"/>
    <w:multiLevelType w:val="hybridMultilevel"/>
    <w:tmpl w:val="A99EA82E"/>
    <w:lvl w:ilvl="0" w:tplc="80AE1500">
      <w:start w:val="1"/>
      <w:numFmt w:val="decimal"/>
      <w:lvlText w:val="%1."/>
      <w:lvlJc w:val="left"/>
      <w:pPr>
        <w:ind w:left="720" w:hanging="360"/>
      </w:pPr>
    </w:lvl>
    <w:lvl w:ilvl="1" w:tplc="F9BA1BC2">
      <w:start w:val="1"/>
      <w:numFmt w:val="decimal"/>
      <w:lvlText w:val="%2."/>
      <w:lvlJc w:val="left"/>
      <w:pPr>
        <w:ind w:left="1440" w:hanging="360"/>
      </w:pPr>
    </w:lvl>
    <w:lvl w:ilvl="2" w:tplc="59C43082">
      <w:start w:val="1"/>
      <w:numFmt w:val="lowerRoman"/>
      <w:lvlText w:val="%3."/>
      <w:lvlJc w:val="right"/>
      <w:pPr>
        <w:ind w:left="2160" w:hanging="180"/>
      </w:pPr>
    </w:lvl>
    <w:lvl w:ilvl="3" w:tplc="79A41B4C">
      <w:start w:val="1"/>
      <w:numFmt w:val="decimal"/>
      <w:lvlText w:val="%4."/>
      <w:lvlJc w:val="left"/>
      <w:pPr>
        <w:ind w:left="2880" w:hanging="360"/>
      </w:pPr>
    </w:lvl>
    <w:lvl w:ilvl="4" w:tplc="85BAD2E2">
      <w:start w:val="1"/>
      <w:numFmt w:val="lowerLetter"/>
      <w:lvlText w:val="%5."/>
      <w:lvlJc w:val="left"/>
      <w:pPr>
        <w:ind w:left="3600" w:hanging="360"/>
      </w:pPr>
    </w:lvl>
    <w:lvl w:ilvl="5" w:tplc="B1348FEE">
      <w:start w:val="1"/>
      <w:numFmt w:val="lowerRoman"/>
      <w:lvlText w:val="%6."/>
      <w:lvlJc w:val="right"/>
      <w:pPr>
        <w:ind w:left="4320" w:hanging="180"/>
      </w:pPr>
    </w:lvl>
    <w:lvl w:ilvl="6" w:tplc="2C30A442">
      <w:start w:val="1"/>
      <w:numFmt w:val="decimal"/>
      <w:lvlText w:val="%7."/>
      <w:lvlJc w:val="left"/>
      <w:pPr>
        <w:ind w:left="5040" w:hanging="360"/>
      </w:pPr>
    </w:lvl>
    <w:lvl w:ilvl="7" w:tplc="0B5E8454">
      <w:start w:val="1"/>
      <w:numFmt w:val="lowerLetter"/>
      <w:lvlText w:val="%8."/>
      <w:lvlJc w:val="left"/>
      <w:pPr>
        <w:ind w:left="5760" w:hanging="360"/>
      </w:pPr>
    </w:lvl>
    <w:lvl w:ilvl="8" w:tplc="F7C02066">
      <w:start w:val="1"/>
      <w:numFmt w:val="lowerRoman"/>
      <w:lvlText w:val="%9."/>
      <w:lvlJc w:val="right"/>
      <w:pPr>
        <w:ind w:left="6480" w:hanging="180"/>
      </w:pPr>
    </w:lvl>
  </w:abstractNum>
  <w:abstractNum w:abstractNumId="4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1" w15:restartNumberingAfterBreak="0">
    <w:nsid w:val="7B147159"/>
    <w:multiLevelType w:val="hybridMultilevel"/>
    <w:tmpl w:val="90604312"/>
    <w:lvl w:ilvl="0" w:tplc="6E9A8A54">
      <w:start w:val="1"/>
      <w:numFmt w:val="decimal"/>
      <w:lvlText w:val="%1."/>
      <w:lvlJc w:val="left"/>
      <w:pPr>
        <w:ind w:left="720" w:hanging="360"/>
      </w:pPr>
    </w:lvl>
    <w:lvl w:ilvl="1" w:tplc="26ECAB4E">
      <w:start w:val="1"/>
      <w:numFmt w:val="decimal"/>
      <w:lvlText w:val="%2."/>
      <w:lvlJc w:val="left"/>
      <w:pPr>
        <w:ind w:left="1440" w:hanging="360"/>
      </w:pPr>
    </w:lvl>
    <w:lvl w:ilvl="2" w:tplc="62688388">
      <w:start w:val="1"/>
      <w:numFmt w:val="lowerRoman"/>
      <w:lvlText w:val="%3."/>
      <w:lvlJc w:val="right"/>
      <w:pPr>
        <w:ind w:left="2160" w:hanging="180"/>
      </w:pPr>
    </w:lvl>
    <w:lvl w:ilvl="3" w:tplc="6FD6DD46">
      <w:start w:val="1"/>
      <w:numFmt w:val="decimal"/>
      <w:lvlText w:val="%4."/>
      <w:lvlJc w:val="left"/>
      <w:pPr>
        <w:ind w:left="2880" w:hanging="360"/>
      </w:pPr>
    </w:lvl>
    <w:lvl w:ilvl="4" w:tplc="63C27B38">
      <w:start w:val="1"/>
      <w:numFmt w:val="lowerLetter"/>
      <w:lvlText w:val="%5."/>
      <w:lvlJc w:val="left"/>
      <w:pPr>
        <w:ind w:left="3600" w:hanging="360"/>
      </w:pPr>
    </w:lvl>
    <w:lvl w:ilvl="5" w:tplc="B852ADD6">
      <w:start w:val="1"/>
      <w:numFmt w:val="lowerRoman"/>
      <w:lvlText w:val="%6."/>
      <w:lvlJc w:val="right"/>
      <w:pPr>
        <w:ind w:left="4320" w:hanging="180"/>
      </w:pPr>
    </w:lvl>
    <w:lvl w:ilvl="6" w:tplc="7F1E16BA">
      <w:start w:val="1"/>
      <w:numFmt w:val="decimal"/>
      <w:lvlText w:val="%7."/>
      <w:lvlJc w:val="left"/>
      <w:pPr>
        <w:ind w:left="5040" w:hanging="360"/>
      </w:pPr>
    </w:lvl>
    <w:lvl w:ilvl="7" w:tplc="262E302A">
      <w:start w:val="1"/>
      <w:numFmt w:val="lowerLetter"/>
      <w:lvlText w:val="%8."/>
      <w:lvlJc w:val="left"/>
      <w:pPr>
        <w:ind w:left="5760" w:hanging="360"/>
      </w:pPr>
    </w:lvl>
    <w:lvl w:ilvl="8" w:tplc="17B4C2E0">
      <w:start w:val="1"/>
      <w:numFmt w:val="lowerRoman"/>
      <w:lvlText w:val="%9."/>
      <w:lvlJc w:val="right"/>
      <w:pPr>
        <w:ind w:left="6480" w:hanging="180"/>
      </w:pPr>
    </w:lvl>
  </w:abstractNum>
  <w:abstractNum w:abstractNumId="42" w15:restartNumberingAfterBreak="0">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BC18823"/>
    <w:multiLevelType w:val="hybridMultilevel"/>
    <w:tmpl w:val="A4026E22"/>
    <w:lvl w:ilvl="0" w:tplc="A5F2D81A">
      <w:start w:val="1"/>
      <w:numFmt w:val="decimal"/>
      <w:lvlText w:val="%1."/>
      <w:lvlJc w:val="left"/>
      <w:pPr>
        <w:ind w:left="720" w:hanging="360"/>
      </w:pPr>
    </w:lvl>
    <w:lvl w:ilvl="1" w:tplc="E708C056">
      <w:start w:val="1"/>
      <w:numFmt w:val="decimal"/>
      <w:lvlText w:val="%2."/>
      <w:lvlJc w:val="left"/>
      <w:pPr>
        <w:ind w:left="1440" w:hanging="360"/>
      </w:pPr>
    </w:lvl>
    <w:lvl w:ilvl="2" w:tplc="51662690">
      <w:start w:val="1"/>
      <w:numFmt w:val="lowerRoman"/>
      <w:lvlText w:val="%3."/>
      <w:lvlJc w:val="right"/>
      <w:pPr>
        <w:ind w:left="2160" w:hanging="180"/>
      </w:pPr>
    </w:lvl>
    <w:lvl w:ilvl="3" w:tplc="DFAC5380">
      <w:start w:val="1"/>
      <w:numFmt w:val="decimal"/>
      <w:lvlText w:val="%4."/>
      <w:lvlJc w:val="left"/>
      <w:pPr>
        <w:ind w:left="2880" w:hanging="360"/>
      </w:pPr>
    </w:lvl>
    <w:lvl w:ilvl="4" w:tplc="BF244432">
      <w:start w:val="1"/>
      <w:numFmt w:val="lowerLetter"/>
      <w:lvlText w:val="%5."/>
      <w:lvlJc w:val="left"/>
      <w:pPr>
        <w:ind w:left="3600" w:hanging="360"/>
      </w:pPr>
    </w:lvl>
    <w:lvl w:ilvl="5" w:tplc="C03A11BC">
      <w:start w:val="1"/>
      <w:numFmt w:val="lowerRoman"/>
      <w:lvlText w:val="%6."/>
      <w:lvlJc w:val="right"/>
      <w:pPr>
        <w:ind w:left="4320" w:hanging="180"/>
      </w:pPr>
    </w:lvl>
    <w:lvl w:ilvl="6" w:tplc="B48E3438">
      <w:start w:val="1"/>
      <w:numFmt w:val="decimal"/>
      <w:lvlText w:val="%7."/>
      <w:lvlJc w:val="left"/>
      <w:pPr>
        <w:ind w:left="5040" w:hanging="360"/>
      </w:pPr>
    </w:lvl>
    <w:lvl w:ilvl="7" w:tplc="C5363D2E">
      <w:start w:val="1"/>
      <w:numFmt w:val="lowerLetter"/>
      <w:lvlText w:val="%8."/>
      <w:lvlJc w:val="left"/>
      <w:pPr>
        <w:ind w:left="5760" w:hanging="360"/>
      </w:pPr>
    </w:lvl>
    <w:lvl w:ilvl="8" w:tplc="9DBE016C">
      <w:start w:val="1"/>
      <w:numFmt w:val="lowerRoman"/>
      <w:lvlText w:val="%9."/>
      <w:lvlJc w:val="right"/>
      <w:pPr>
        <w:ind w:left="6480" w:hanging="180"/>
      </w:pPr>
    </w:lvl>
  </w:abstractNum>
  <w:abstractNum w:abstractNumId="4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2"/>
  </w:num>
  <w:num w:numId="2">
    <w:abstractNumId w:val="24"/>
  </w:num>
  <w:num w:numId="3">
    <w:abstractNumId w:val="33"/>
  </w:num>
  <w:num w:numId="4">
    <w:abstractNumId w:val="29"/>
  </w:num>
  <w:num w:numId="5">
    <w:abstractNumId w:val="17"/>
  </w:num>
  <w:num w:numId="6">
    <w:abstractNumId w:val="8"/>
  </w:num>
  <w:num w:numId="7">
    <w:abstractNumId w:val="3"/>
  </w:num>
  <w:num w:numId="8">
    <w:abstractNumId w:val="12"/>
  </w:num>
  <w:num w:numId="9">
    <w:abstractNumId w:val="38"/>
  </w:num>
  <w:num w:numId="10">
    <w:abstractNumId w:val="41"/>
  </w:num>
  <w:num w:numId="11">
    <w:abstractNumId w:val="43"/>
  </w:num>
  <w:num w:numId="12">
    <w:abstractNumId w:val="2"/>
  </w:num>
  <w:num w:numId="13">
    <w:abstractNumId w:val="4"/>
  </w:num>
  <w:num w:numId="14">
    <w:abstractNumId w:val="11"/>
  </w:num>
  <w:num w:numId="15">
    <w:abstractNumId w:val="1"/>
  </w:num>
  <w:num w:numId="16">
    <w:abstractNumId w:val="16"/>
  </w:num>
  <w:num w:numId="17">
    <w:abstractNumId w:val="21"/>
  </w:num>
  <w:num w:numId="18">
    <w:abstractNumId w:val="27"/>
  </w:num>
  <w:num w:numId="19">
    <w:abstractNumId w:val="26"/>
  </w:num>
  <w:num w:numId="20">
    <w:abstractNumId w:val="9"/>
  </w:num>
  <w:num w:numId="21">
    <w:abstractNumId w:val="39"/>
  </w:num>
  <w:num w:numId="22">
    <w:abstractNumId w:val="37"/>
  </w:num>
  <w:num w:numId="23">
    <w:abstractNumId w:val="10"/>
  </w:num>
  <w:num w:numId="24">
    <w:abstractNumId w:val="28"/>
  </w:num>
  <w:num w:numId="25">
    <w:abstractNumId w:val="25"/>
  </w:num>
  <w:num w:numId="26">
    <w:abstractNumId w:val="42"/>
  </w:num>
  <w:num w:numId="27">
    <w:abstractNumId w:val="5"/>
  </w:num>
  <w:num w:numId="28">
    <w:abstractNumId w:val="7"/>
  </w:num>
  <w:num w:numId="29">
    <w:abstractNumId w:val="15"/>
  </w:num>
  <w:num w:numId="30">
    <w:abstractNumId w:val="19"/>
  </w:num>
  <w:num w:numId="31">
    <w:abstractNumId w:val="6"/>
  </w:num>
  <w:num w:numId="32">
    <w:abstractNumId w:val="0"/>
  </w:num>
  <w:num w:numId="33">
    <w:abstractNumId w:val="40"/>
  </w:num>
  <w:num w:numId="34">
    <w:abstractNumId w:val="44"/>
  </w:num>
  <w:num w:numId="35">
    <w:abstractNumId w:val="18"/>
  </w:num>
  <w:num w:numId="36">
    <w:abstractNumId w:val="13"/>
  </w:num>
  <w:num w:numId="37">
    <w:abstractNumId w:val="23"/>
  </w:num>
  <w:num w:numId="38">
    <w:abstractNumId w:val="35"/>
  </w:num>
  <w:num w:numId="39">
    <w:abstractNumId w:val="6"/>
  </w:num>
  <w:num w:numId="40">
    <w:abstractNumId w:val="22"/>
  </w:num>
  <w:num w:numId="41">
    <w:abstractNumId w:val="20"/>
  </w:num>
  <w:num w:numId="42">
    <w:abstractNumId w:val="31"/>
  </w:num>
  <w:num w:numId="43">
    <w:abstractNumId w:val="36"/>
  </w:num>
  <w:num w:numId="44">
    <w:abstractNumId w:val="34"/>
  </w:num>
  <w:num w:numId="45">
    <w:abstractNumId w:val="30"/>
  </w:num>
  <w:num w:numId="46">
    <w:abstractNumId w:val="6"/>
    <w:lvlOverride w:ilvl="0">
      <w:startOverride w:val="2"/>
    </w:lvlOverride>
    <w:lvlOverride w:ilvl="1">
      <w:startOverride w:val="2"/>
    </w:lvlOverride>
  </w:num>
  <w:num w:numId="47">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activeWritingStyle w:appName="MSWord" w:lang="pt-BR" w:vendorID="64" w:dllVersion="6" w:nlCheck="1" w:checkStyle="0"/>
  <w:activeWritingStyle w:appName="MSWord" w:lang="pt-BR" w:vendorID="64" w:dllVersion="4096" w:nlCheck="1" w:checkStyle="0"/>
  <w:activeWritingStyle w:appName="MSWord" w:lang="pt-BR" w:vendorID="64" w:dllVersion="0" w:nlCheck="1" w:checkStyle="0"/>
  <w:activeWritingStyle w:appName="MSWord" w:lang="pt-BR" w:vendorID="64" w:dllVersion="131078" w:nlCheck="1" w:checkStyle="0"/>
  <w:activeWritingStyle w:appName="MSWord" w:lang="es-419" w:vendorID="64" w:dllVersion="131078"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rFonts w:ascii="Ecofont_Spranq_eco_Sans" w:hAnsi="Ecofont_Spranq_eco_Sans" w:cs="Tahoma"/>
      <w:sz w:val="24"/>
      <w:szCs w:val="24"/>
      <w:lang w:eastAsia="pt-BR"/>
    </w:rPr>
  </w:style>
  <w:style w:type="paragraph" w:styleId="Ttulo1">
    <w:name w:val="heading 1"/>
    <w:basedOn w:val="Normal"/>
    <w:next w:val="Normal"/>
    <w:link w:val="Ttulo1Char"/>
    <w:uiPriority w:val="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pPr>
      <w:ind w:left="720"/>
      <w:contextualSpacing/>
    </w:pPr>
  </w:style>
  <w:style w:type="paragraph" w:styleId="NormalWeb">
    <w:name w:val="Normal (Web)"/>
    <w:basedOn w:val="Normal"/>
    <w:uiPriority w:val="99"/>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Pr>
      <w:rFonts w:ascii="Tahoma" w:hAnsi="Tahoma"/>
      <w:sz w:val="16"/>
      <w:szCs w:val="16"/>
    </w:rPr>
  </w:style>
  <w:style w:type="character" w:customStyle="1" w:styleId="TextodebaloChar">
    <w:name w:val="Texto de balão Char"/>
    <w:link w:val="Textodebalo"/>
    <w:uiPriority w:val="99"/>
    <w:rPr>
      <w:rFonts w:ascii="Tahoma" w:hAnsi="Tahoma" w:cs="Tahoma"/>
      <w:sz w:val="16"/>
      <w:szCs w:val="16"/>
    </w:rPr>
  </w:style>
  <w:style w:type="character" w:customStyle="1" w:styleId="Ttulo2Char">
    <w:name w:val="Título 2 Char"/>
    <w:link w:val="Ttulo2"/>
    <w:rPr>
      <w:b/>
      <w:color w:val="000000"/>
      <w:sz w:val="24"/>
    </w:rPr>
  </w:style>
  <w:style w:type="paragraph" w:customStyle="1" w:styleId="Nvel2">
    <w:name w:val="Nível 2"/>
    <w:basedOn w:val="Normal"/>
    <w:next w:val="Normal"/>
    <w:pPr>
      <w:spacing w:after="120"/>
      <w:jc w:val="both"/>
    </w:pPr>
    <w:rPr>
      <w:rFonts w:ascii="Arial" w:hAnsi="Arial" w:cs="Times New Roman"/>
      <w:b/>
      <w:szCs w:val="20"/>
    </w:rPr>
  </w:style>
  <w:style w:type="character" w:customStyle="1" w:styleId="normalchar1">
    <w:name w:val="normal__char1"/>
    <w:rPr>
      <w:rFonts w:ascii="Arial" w:hAnsi="Arial" w:cs="Arial" w:hint="default"/>
      <w:strike w:val="0"/>
      <w:dstrike w:val="0"/>
      <w:sz w:val="24"/>
      <w:szCs w:val="24"/>
      <w:u w:val="none"/>
      <w:effect w:val="none"/>
    </w:rPr>
  </w:style>
  <w:style w:type="character" w:customStyle="1" w:styleId="apple-style-span">
    <w:name w:val="apple-style-span"/>
    <w:basedOn w:val="Fontepargpadro"/>
  </w:style>
  <w:style w:type="character" w:styleId="Hyperlink">
    <w:name w:val="Hyperlink"/>
    <w:rPr>
      <w:color w:val="000080"/>
      <w:u w:val="single"/>
    </w:rPr>
  </w:style>
  <w:style w:type="paragraph" w:styleId="Citao">
    <w:name w:val="Quote"/>
    <w:aliases w:val="TCU,Citação AGU,NotaExplicativa"/>
    <w:basedOn w:val="Normal"/>
    <w:next w:val="Normal"/>
    <w:link w:val="CitaoChar"/>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Pr>
      <w:rFonts w:ascii="Arial" w:eastAsia="Calibri" w:hAnsi="Arial" w:cs="Tahoma"/>
      <w:i/>
      <w:iCs/>
      <w:color w:val="000000"/>
      <w:szCs w:val="24"/>
      <w:shd w:val="clear" w:color="auto" w:fill="FFFFCC"/>
    </w:rPr>
  </w:style>
  <w:style w:type="paragraph" w:styleId="Commarcadores5">
    <w:name w:val="List Bullet 5"/>
    <w:basedOn w:val="Normal"/>
    <w:pPr>
      <w:numPr>
        <w:numId w:val="32"/>
      </w:numPr>
      <w:contextualSpacing/>
    </w:pPr>
  </w:style>
  <w:style w:type="paragraph" w:customStyle="1" w:styleId="Notaexplicativa">
    <w:name w:val="Nota explicativa"/>
    <w:basedOn w:val="Citao"/>
    <w:link w:val="NotaexplicativaChar"/>
    <w:rPr>
      <w:szCs w:val="20"/>
    </w:rPr>
  </w:style>
  <w:style w:type="character" w:customStyle="1" w:styleId="NotaexplicativaChar">
    <w:name w:val="Nota explicativa Char"/>
    <w:basedOn w:val="CitaoChar"/>
    <w:link w:val="Notaexplicativa"/>
    <w:rPr>
      <w:rFonts w:ascii="Arial" w:eastAsia="Calibri" w:hAnsi="Arial" w:cs="Tahoma"/>
      <w:i/>
      <w:iCs/>
      <w:color w:val="000000"/>
      <w:szCs w:val="24"/>
      <w:shd w:val="clear" w:color="auto" w:fill="FFFFCC"/>
    </w:rPr>
  </w:style>
  <w:style w:type="paragraph" w:styleId="Cabealho">
    <w:name w:val="header"/>
    <w:basedOn w:val="Normal"/>
    <w:link w:val="CabealhoChar"/>
    <w:uiPriority w:val="99"/>
    <w:pPr>
      <w:tabs>
        <w:tab w:val="center" w:pos="4252"/>
        <w:tab w:val="right" w:pos="8504"/>
      </w:tabs>
    </w:pPr>
  </w:style>
  <w:style w:type="character" w:customStyle="1" w:styleId="CabealhoChar">
    <w:name w:val="Cabeçalho Char"/>
    <w:link w:val="Cabealho"/>
    <w:uiPriority w:val="99"/>
    <w:rPr>
      <w:rFonts w:ascii="Ecofont_Spranq_eco_Sans" w:hAnsi="Ecofont_Spranq_eco_Sans" w:cs="Tahoma"/>
      <w:sz w:val="24"/>
      <w:szCs w:val="24"/>
    </w:rPr>
  </w:style>
  <w:style w:type="paragraph" w:styleId="Rodap">
    <w:name w:val="footer"/>
    <w:basedOn w:val="Normal"/>
    <w:link w:val="RodapChar"/>
    <w:uiPriority w:val="99"/>
    <w:pPr>
      <w:tabs>
        <w:tab w:val="center" w:pos="4252"/>
        <w:tab w:val="right" w:pos="8504"/>
      </w:tabs>
    </w:pPr>
  </w:style>
  <w:style w:type="character" w:customStyle="1" w:styleId="RodapChar">
    <w:name w:val="Rodapé Char"/>
    <w:link w:val="Rodap"/>
    <w:uiPriority w:val="99"/>
    <w:qFormat/>
    <w:rPr>
      <w:rFonts w:ascii="Ecofont_Spranq_eco_Sans" w:hAnsi="Ecofont_Spranq_eco_Sans" w:cs="Tahoma"/>
      <w:sz w:val="24"/>
      <w:szCs w:val="24"/>
    </w:rPr>
  </w:style>
  <w:style w:type="numbering" w:customStyle="1" w:styleId="Estilo1">
    <w:name w:val="Estilo1"/>
    <w:uiPriority w:val="99"/>
    <w:pPr>
      <w:numPr>
        <w:numId w:val="33"/>
      </w:numPr>
    </w:pPr>
  </w:style>
  <w:style w:type="numbering" w:customStyle="1" w:styleId="Estilo2">
    <w:name w:val="Estilo2"/>
    <w:uiPriority w:val="99"/>
    <w:pPr>
      <w:numPr>
        <w:numId w:val="34"/>
      </w:numPr>
    </w:pPr>
  </w:style>
  <w:style w:type="numbering" w:customStyle="1" w:styleId="Estilo3">
    <w:name w:val="Estilo3"/>
    <w:uiPriority w:val="99"/>
    <w:pPr>
      <w:numPr>
        <w:numId w:val="35"/>
      </w:numPr>
    </w:pPr>
  </w:style>
  <w:style w:type="numbering" w:customStyle="1" w:styleId="Estilo4">
    <w:name w:val="Estilo4"/>
    <w:uiPriority w:val="99"/>
    <w:pPr>
      <w:numPr>
        <w:numId w:val="36"/>
      </w:numPr>
    </w:pPr>
  </w:style>
  <w:style w:type="numbering" w:customStyle="1" w:styleId="Estilo5">
    <w:name w:val="Estilo5"/>
    <w:uiPriority w:val="99"/>
    <w:pPr>
      <w:numPr>
        <w:numId w:val="37"/>
      </w:numPr>
    </w:pPr>
  </w:style>
  <w:style w:type="numbering" w:customStyle="1" w:styleId="Estilo6">
    <w:name w:val="Estilo6"/>
    <w:uiPriority w:val="99"/>
    <w:pPr>
      <w:numPr>
        <w:numId w:val="38"/>
      </w:numPr>
    </w:pPr>
  </w:style>
  <w:style w:type="character" w:styleId="Refdecomentrio">
    <w:name w:val="annotation reference"/>
    <w:basedOn w:val="Fontepargpadro"/>
    <w:unhideWhenUsed/>
    <w:rPr>
      <w:sz w:val="16"/>
      <w:szCs w:val="16"/>
    </w:rPr>
  </w:style>
  <w:style w:type="paragraph" w:styleId="Textodecomentrio">
    <w:name w:val="annotation text"/>
    <w:basedOn w:val="Normal"/>
    <w:link w:val="TextodecomentrioChar"/>
    <w:uiPriority w:val="99"/>
    <w:unhideWhenUsed/>
    <w:rPr>
      <w:sz w:val="20"/>
      <w:szCs w:val="20"/>
    </w:rPr>
  </w:style>
  <w:style w:type="character" w:customStyle="1" w:styleId="TextodecomentrioChar">
    <w:name w:val="Texto de comentário Char"/>
    <w:basedOn w:val="Fontepargpadro"/>
    <w:link w:val="Textodecomentrio"/>
    <w:uiPriority w:val="99"/>
    <w:qFormat/>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Pr>
      <w:b/>
      <w:bCs/>
    </w:rPr>
  </w:style>
  <w:style w:type="character" w:customStyle="1" w:styleId="AssuntodocomentrioChar">
    <w:name w:val="Assunto do comentário Char"/>
    <w:basedOn w:val="TextodecomentrioChar"/>
    <w:link w:val="Assuntodocomentrio"/>
    <w:uiPriority w:val="99"/>
    <w:semiHidden/>
    <w:rPr>
      <w:rFonts w:ascii="Ecofont_Spranq_eco_Sans" w:hAnsi="Ecofont_Spranq_eco_Sans" w:cs="Tahoma"/>
      <w:b/>
      <w:bCs/>
      <w:lang w:eastAsia="pt-BR"/>
    </w:rPr>
  </w:style>
  <w:style w:type="character" w:customStyle="1" w:styleId="Ttulo4Char">
    <w:name w:val="Título 4 Char"/>
    <w:basedOn w:val="Fontepargpadro"/>
    <w:link w:val="Ttulo4"/>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pPr>
      <w:numPr>
        <w:numId w:val="39"/>
      </w:numPr>
      <w:tabs>
        <w:tab w:val="left" w:pos="567"/>
      </w:tabs>
      <w:spacing w:before="240" w:after="120" w:line="276" w:lineRule="auto"/>
      <w:ind w:left="0" w:firstLine="0"/>
      <w:jc w:val="both"/>
    </w:pPr>
    <w:rPr>
      <w:rFonts w:ascii="Arial" w:hAnsi="Arial" w:cs="Arial"/>
      <w:color w:val="auto"/>
      <w:sz w:val="20"/>
      <w:szCs w:val="20"/>
    </w:rPr>
  </w:style>
  <w:style w:type="paragraph" w:customStyle="1" w:styleId="Nivel01Titulo">
    <w:name w:val="Nivel_01_Titulo"/>
    <w:basedOn w:val="Nivel01"/>
    <w:link w:val="Nivel01TituloChar"/>
    <w:pPr>
      <w:jc w:val="left"/>
    </w:pPr>
    <w:rPr>
      <w:rFonts w:cstheme="majorBidi"/>
      <w:color w:val="000000" w:themeColor="text1"/>
      <w:spacing w:val="5"/>
      <w:kern w:val="28"/>
      <w:sz w:val="52"/>
      <w:szCs w:val="52"/>
    </w:rPr>
  </w:style>
  <w:style w:type="paragraph" w:styleId="Ttulo">
    <w:name w:val="Title"/>
    <w:basedOn w:val="Normal"/>
    <w:next w:val="Normal"/>
    <w:link w:val="TtuloChar"/>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style>
  <w:style w:type="character" w:customStyle="1" w:styleId="eop">
    <w:name w:val="eop"/>
    <w:basedOn w:val="Fontepargpadro"/>
  </w:style>
  <w:style w:type="character" w:customStyle="1" w:styleId="spellingerror">
    <w:name w:val="spellingerror"/>
    <w:basedOn w:val="Fontepargpadro"/>
  </w:style>
  <w:style w:type="paragraph" w:styleId="Corpodetexto">
    <w:name w:val="Body Text"/>
    <w:basedOn w:val="Normal"/>
    <w:link w:val="CorpodetextoChar"/>
    <w:uiPriority w:val="99"/>
    <w:unhideWhenUsed/>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Pr>
      <w:rFonts w:eastAsia="Times New Roman"/>
      <w:sz w:val="24"/>
      <w:szCs w:val="24"/>
      <w:lang w:eastAsia="pt-BR"/>
    </w:rPr>
  </w:style>
  <w:style w:type="paragraph" w:customStyle="1" w:styleId="Nivel1">
    <w:name w:val="Nivel1"/>
    <w:basedOn w:val="Ttulo1"/>
    <w:link w:val="Nivel1Char"/>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Pr>
      <w:rFonts w:ascii="Arial" w:eastAsiaTheme="majorEastAsia" w:hAnsi="Arial" w:cs="Arial"/>
      <w:b/>
      <w:bCs w:val="0"/>
      <w:color w:val="000000"/>
      <w:sz w:val="28"/>
      <w:szCs w:val="28"/>
      <w:lang w:eastAsia="pt-BR"/>
    </w:rPr>
  </w:style>
  <w:style w:type="paragraph" w:customStyle="1" w:styleId="PargrafodaLista1">
    <w:name w:val="Parágrafo da Lista1"/>
    <w:basedOn w:val="Normal"/>
    <w:pPr>
      <w:ind w:left="720"/>
    </w:pPr>
    <w:rPr>
      <w:rFonts w:eastAsia="Times New Roman" w:cs="Ecofont_Spranq_eco_Sans"/>
    </w:rPr>
  </w:style>
  <w:style w:type="paragraph" w:customStyle="1" w:styleId="Nivel2">
    <w:name w:val="Nivel 2"/>
    <w:basedOn w:val="Normal"/>
    <w:link w:val="Nivel2Char"/>
    <w:autoRedefine/>
    <w:qFormat/>
    <w:pPr>
      <w:numPr>
        <w:ilvl w:val="1"/>
        <w:numId w:val="31"/>
      </w:numPr>
      <w:spacing w:before="120" w:after="120" w:line="276" w:lineRule="auto"/>
      <w:ind w:left="0" w:firstLine="0"/>
      <w:jc w:val="both"/>
    </w:pPr>
    <w:rPr>
      <w:rFonts w:ascii="Arial" w:eastAsia="Arial" w:hAnsi="Arial" w:cs="Arial"/>
      <w:iCs/>
      <w:sz w:val="20"/>
      <w:szCs w:val="20"/>
    </w:rPr>
  </w:style>
  <w:style w:type="paragraph" w:customStyle="1" w:styleId="Nivel10">
    <w:name w:val="Nivel 1"/>
    <w:basedOn w:val="Nivel2"/>
    <w:next w:val="Nivel2"/>
    <w:pPr>
      <w:numPr>
        <w:ilvl w:val="0"/>
        <w:numId w:val="0"/>
      </w:numPr>
      <w:ind w:left="360" w:hanging="360"/>
    </w:pPr>
    <w:rPr>
      <w:b/>
    </w:rPr>
  </w:style>
  <w:style w:type="paragraph" w:customStyle="1" w:styleId="Nivel3">
    <w:name w:val="Nivel 3"/>
    <w:basedOn w:val="Normal"/>
    <w:link w:val="Nivel3Char"/>
    <w:autoRedefine/>
    <w:qFormat/>
    <w:pPr>
      <w:numPr>
        <w:ilvl w:val="2"/>
        <w:numId w:val="3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autoRedefine/>
    <w:qFormat/>
    <w:pPr>
      <w:numPr>
        <w:ilvl w:val="3"/>
      </w:numPr>
      <w:ind w:left="567" w:firstLine="0"/>
    </w:pPr>
    <w:rPr>
      <w:color w:val="auto"/>
    </w:rPr>
  </w:style>
  <w:style w:type="paragraph" w:customStyle="1" w:styleId="Nivel5">
    <w:name w:val="Nivel 5"/>
    <w:basedOn w:val="Nivel4"/>
    <w:autoRedefine/>
    <w:qFormat/>
    <w:pPr>
      <w:numPr>
        <w:ilvl w:val="4"/>
      </w:numPr>
      <w:ind w:left="851" w:firstLine="0"/>
    </w:pPr>
  </w:style>
  <w:style w:type="character" w:customStyle="1" w:styleId="Nivel4Char">
    <w:name w:val="Nivel 4 Char"/>
    <w:basedOn w:val="Fontepargpadro"/>
    <w:link w:val="Nivel4"/>
    <w:rPr>
      <w:rFonts w:ascii="Arial" w:hAnsi="Arial" w:cs="Arial"/>
      <w:lang w:eastAsia="pt-BR"/>
    </w:rPr>
  </w:style>
  <w:style w:type="paragraph" w:customStyle="1" w:styleId="textbody">
    <w:name w:val="textbody"/>
    <w:basedOn w:val="Normal"/>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Pr>
      <w:rFonts w:ascii="Times New Roman" w:hAnsi="Times New Roman" w:cs="Times New Roman" w:hint="default"/>
      <w:strike w:val="0"/>
      <w:dstrike w:val="0"/>
      <w:sz w:val="26"/>
      <w:szCs w:val="26"/>
      <w:u w:val="none"/>
      <w:effect w:val="none"/>
    </w:rPr>
  </w:style>
  <w:style w:type="character" w:customStyle="1" w:styleId="em0020ementachar1">
    <w:name w:val="em_0020ementa__char1"/>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Pr>
      <w:rFonts w:ascii="Ecofont_Spranq_eco_Sans" w:eastAsia="Times New Roman" w:hAnsi="Ecofont_Spranq_eco_Sans" w:cs="Tahoma"/>
      <w:sz w:val="24"/>
      <w:szCs w:val="24"/>
      <w:lang w:eastAsia="pt-BR"/>
    </w:rPr>
  </w:style>
  <w:style w:type="character" w:styleId="Forte">
    <w:name w:val="Strong"/>
    <w:basedOn w:val="Fontepargpadro"/>
    <w:uiPriority w:val="22"/>
    <w:rPr>
      <w:b/>
      <w:bCs/>
    </w:rPr>
  </w:style>
  <w:style w:type="character" w:styleId="nfase">
    <w:name w:val="Emphasis"/>
    <w:basedOn w:val="Fontepargpadro"/>
    <w:uiPriority w:val="20"/>
    <w:rPr>
      <w:i/>
      <w:iCs/>
    </w:rPr>
  </w:style>
  <w:style w:type="character" w:customStyle="1" w:styleId="Manoel">
    <w:name w:val="Manoel"/>
    <w:rPr>
      <w:rFonts w:ascii="Arial" w:hAnsi="Arial" w:cs="Arial"/>
      <w:color w:val="7030A0"/>
      <w:sz w:val="20"/>
    </w:rPr>
  </w:style>
  <w:style w:type="character" w:customStyle="1" w:styleId="ListLabel12">
    <w:name w:val="ListLabel 12"/>
    <w:rPr>
      <w:b/>
    </w:rPr>
  </w:style>
  <w:style w:type="paragraph" w:customStyle="1" w:styleId="texto1">
    <w:name w:val="texto1"/>
    <w:basedOn w:val="Normal"/>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Pr>
      <w:rFonts w:ascii="Arial" w:eastAsia="Calibri" w:hAnsi="Arial"/>
      <w:i/>
      <w:iCs/>
      <w:color w:val="000000"/>
      <w:szCs w:val="24"/>
      <w:shd w:val="clear" w:color="auto" w:fill="FFFFCC"/>
    </w:rPr>
  </w:style>
  <w:style w:type="paragraph" w:customStyle="1" w:styleId="xwestern">
    <w:name w:val="x_western"/>
    <w:basedOn w:val="Normal"/>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pPr>
      <w:ind w:firstLine="1134"/>
      <w:jc w:val="both"/>
    </w:pPr>
    <w:rPr>
      <w:rFonts w:ascii="Times New Roman" w:eastAsia="Times New Roman" w:hAnsi="Times New Roman" w:cs="Times New Roman"/>
      <w:szCs w:val="22"/>
      <w:lang w:eastAsia="en-US"/>
    </w:rPr>
  </w:style>
  <w:style w:type="paragraph" w:customStyle="1" w:styleId="Normal1">
    <w:name w:val="Normal_1"/>
    <w:rPr>
      <w:rFonts w:eastAsia="Times New Roman"/>
      <w:sz w:val="24"/>
      <w:szCs w:val="22"/>
    </w:rPr>
  </w:style>
  <w:style w:type="paragraph" w:customStyle="1" w:styleId="tcu-ac-item9-1linha">
    <w:name w:val="tcu_-__ac_-_item_9_-_1ª_linha"/>
    <w:basedOn w:val="Normal"/>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style>
  <w:style w:type="paragraph" w:customStyle="1" w:styleId="textojustificado">
    <w:name w:val="texto_justificado"/>
    <w:basedOn w:val="Normal"/>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Pr>
      <w:color w:val="800080" w:themeColor="followedHyperlink"/>
      <w:u w:val="single"/>
    </w:rPr>
  </w:style>
  <w:style w:type="character" w:customStyle="1" w:styleId="MenoPendente1">
    <w:name w:val="Menção Pendente1"/>
    <w:basedOn w:val="Fontepargpadro"/>
    <w:uiPriority w:val="99"/>
    <w:semiHidden/>
    <w:unhideWhenUsed/>
    <w:rPr>
      <w:color w:val="605E5C"/>
      <w:shd w:val="clear" w:color="auto" w:fill="E1DFDD"/>
    </w:rPr>
  </w:style>
  <w:style w:type="character" w:customStyle="1" w:styleId="MenoPendente2">
    <w:name w:val="Menção Pendente2"/>
    <w:basedOn w:val="Fontepargpadro"/>
    <w:uiPriority w:val="99"/>
    <w:semiHidden/>
    <w:unhideWhenUsed/>
    <w:rPr>
      <w:color w:val="605E5C"/>
      <w:shd w:val="clear" w:color="auto" w:fill="E1DFDD"/>
    </w:rPr>
  </w:style>
  <w:style w:type="character" w:customStyle="1" w:styleId="Nivel2Char">
    <w:name w:val="Nivel 2 Char"/>
    <w:basedOn w:val="Fontepargpadro"/>
    <w:link w:val="Nivel2"/>
    <w:locked/>
    <w:rPr>
      <w:rFonts w:ascii="Arial" w:eastAsia="Arial" w:hAnsi="Arial" w:cs="Arial"/>
      <w:iCs/>
      <w:lang w:eastAsia="pt-BR"/>
    </w:rPr>
  </w:style>
  <w:style w:type="paragraph" w:customStyle="1" w:styleId="Nvel2Opcional">
    <w:name w:val="Nível 2 Opcional"/>
    <w:basedOn w:val="Nivel2"/>
    <w:link w:val="Nvel2OpcionalChar"/>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Pr>
      <w:rFonts w:ascii="Arial" w:eastAsia="Times New Roman" w:hAnsi="Arial" w:cs="Arial"/>
      <w:i/>
      <w:iCs/>
      <w:noProof/>
      <w:color w:val="FF0000"/>
      <w:lang w:eastAsia="pt-BR"/>
    </w:rPr>
  </w:style>
  <w:style w:type="character" w:styleId="TextodoEspaoReservado">
    <w:name w:val="Placeholder Text"/>
    <w:basedOn w:val="Fontepargpadro"/>
    <w:uiPriority w:val="67"/>
    <w:semiHidden/>
    <w:rPr>
      <w:color w:val="808080"/>
    </w:rPr>
  </w:style>
  <w:style w:type="character" w:customStyle="1" w:styleId="PargrafodaListaChar">
    <w:name w:val="Parágrafo da Lista Char"/>
    <w:basedOn w:val="Fontepargpadro"/>
    <w:link w:val="PargrafodaLista"/>
    <w:uiPriority w:val="34"/>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style>
  <w:style w:type="paragraph" w:customStyle="1" w:styleId="Standard">
    <w:name w:val="Standard"/>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pPr>
      <w:spacing w:after="140" w:line="276" w:lineRule="auto"/>
    </w:pPr>
  </w:style>
  <w:style w:type="character" w:customStyle="1" w:styleId="MenoPendente3">
    <w:name w:val="Menção Pendente3"/>
    <w:basedOn w:val="Fontepargpadro"/>
    <w:uiPriority w:val="99"/>
    <w:semiHidden/>
    <w:unhideWhenUsed/>
    <w:rPr>
      <w:color w:val="605E5C"/>
      <w:shd w:val="clear" w:color="auto" w:fill="E1DFDD"/>
    </w:rPr>
  </w:style>
  <w:style w:type="character" w:customStyle="1" w:styleId="MenoPendente4">
    <w:name w:val="Menção Pendente4"/>
    <w:basedOn w:val="Fontepargpadro"/>
    <w:uiPriority w:val="99"/>
    <w:semiHidden/>
    <w:unhideWhenUsed/>
    <w:rPr>
      <w:color w:val="605E5C"/>
      <w:shd w:val="clear" w:color="auto" w:fill="E1DFDD"/>
    </w:rPr>
  </w:style>
  <w:style w:type="paragraph" w:customStyle="1" w:styleId="ou">
    <w:name w:val="ou"/>
    <w:basedOn w:val="PargrafodaLista"/>
    <w:link w:val="ouChar"/>
    <w:qFormat/>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Pr>
      <w:rFonts w:ascii="Arial" w:eastAsiaTheme="minorHAnsi" w:hAnsi="Arial" w:cs="Arial"/>
      <w:b/>
      <w:bCs/>
      <w:i/>
      <w:iCs/>
      <w:color w:val="FF0000"/>
      <w:sz w:val="24"/>
      <w:szCs w:val="24"/>
      <w:u w:val="single"/>
      <w:lang w:eastAsia="pt-BR"/>
    </w:rPr>
  </w:style>
  <w:style w:type="paragraph" w:customStyle="1" w:styleId="dou-paragraph">
    <w:name w:val="dou-paragraph"/>
    <w:basedOn w:val="Normal"/>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Pr>
      <w:i/>
      <w:iCs w:val="0"/>
      <w:color w:val="FF0000"/>
    </w:rPr>
  </w:style>
  <w:style w:type="paragraph" w:customStyle="1" w:styleId="Nvel3-R">
    <w:name w:val="Nível 3-R"/>
    <w:basedOn w:val="Nivel3"/>
    <w:link w:val="Nvel3-RChar"/>
    <w:autoRedefine/>
    <w:qFormat/>
    <w:rPr>
      <w:iCs/>
      <w:color w:val="auto"/>
      <w:lang w:eastAsia="en-US"/>
    </w:rPr>
  </w:style>
  <w:style w:type="character" w:customStyle="1" w:styleId="Nvel2-RedChar">
    <w:name w:val="Nível 2 -Red Char"/>
    <w:basedOn w:val="Nivel2Char"/>
    <w:link w:val="Nvel2-Red"/>
    <w:rPr>
      <w:rFonts w:ascii="Arial" w:eastAsia="Arial" w:hAnsi="Arial" w:cs="Arial"/>
      <w:i/>
      <w:iCs w:val="0"/>
      <w:color w:val="FF0000"/>
      <w:lang w:eastAsia="pt-BR"/>
    </w:rPr>
  </w:style>
  <w:style w:type="paragraph" w:customStyle="1" w:styleId="Nvel4-R">
    <w:name w:val="Nível 4-R"/>
    <w:basedOn w:val="Nivel4"/>
    <w:link w:val="Nvel4-RChar"/>
    <w:autoRedefine/>
    <w:qFormat/>
    <w:rPr>
      <w:i/>
      <w:iCs/>
      <w:color w:val="FF0000"/>
    </w:rPr>
  </w:style>
  <w:style w:type="character" w:customStyle="1" w:styleId="Nivel3Char">
    <w:name w:val="Nivel 3 Char"/>
    <w:basedOn w:val="Fontepargpadro"/>
    <w:link w:val="Nivel3"/>
    <w:rPr>
      <w:rFonts w:ascii="Arial" w:hAnsi="Arial" w:cs="Arial"/>
      <w:color w:val="000000"/>
      <w:lang w:eastAsia="pt-BR"/>
    </w:rPr>
  </w:style>
  <w:style w:type="character" w:customStyle="1" w:styleId="Nvel3-RChar">
    <w:name w:val="Nível 3-R Char"/>
    <w:basedOn w:val="Nivel3Char"/>
    <w:link w:val="Nvel3-R"/>
    <w:rPr>
      <w:rFonts w:ascii="Arial" w:hAnsi="Arial" w:cs="Arial"/>
      <w:iCs/>
      <w:color w:val="000000"/>
      <w:lang w:eastAsia="pt-BR"/>
    </w:rPr>
  </w:style>
  <w:style w:type="paragraph" w:customStyle="1" w:styleId="Nvel1-SemNum">
    <w:name w:val="Nível 1-Sem Num"/>
    <w:basedOn w:val="Nivel01"/>
    <w:link w:val="Nvel1-SemNumChar"/>
    <w:autoRedefine/>
    <w:qFormat/>
    <w:pPr>
      <w:numPr>
        <w:numId w:val="0"/>
      </w:numPr>
      <w:outlineLvl w:val="1"/>
    </w:pPr>
  </w:style>
  <w:style w:type="character" w:customStyle="1" w:styleId="Nvel4-RChar">
    <w:name w:val="Nível 4-R Char"/>
    <w:basedOn w:val="Nivel4Char"/>
    <w:link w:val="Nvel4-R"/>
    <w:rPr>
      <w:rFonts w:ascii="Arial" w:hAnsi="Arial" w:cs="Arial"/>
      <w:i/>
      <w:iCs/>
      <w:color w:val="FF0000"/>
      <w:lang w:eastAsia="pt-BR"/>
    </w:rPr>
  </w:style>
  <w:style w:type="character" w:customStyle="1" w:styleId="LinkdaInternet">
    <w:name w:val="Link da Internet"/>
    <w:basedOn w:val="Fontepargpadro"/>
    <w:uiPriority w:val="99"/>
    <w:unhideWhenUsed/>
    <w:rPr>
      <w:color w:val="0000FF" w:themeColor="hyperlink"/>
      <w:u w:val="single"/>
    </w:rPr>
  </w:style>
  <w:style w:type="character" w:customStyle="1" w:styleId="Nvel1-SemNumChar">
    <w:name w:val="Nível 1-Sem Num Char"/>
    <w:basedOn w:val="Nivel01Char"/>
    <w:link w:val="Nvel1-SemNum"/>
    <w:rPr>
      <w:rFonts w:ascii="Arial" w:eastAsiaTheme="majorEastAsia" w:hAnsi="Arial" w:cs="Arial"/>
      <w:b/>
      <w:bCs/>
      <w:color w:val="17365D" w:themeColor="text2" w:themeShade="BF"/>
      <w:spacing w:val="5"/>
      <w:kern w:val="28"/>
      <w:sz w:val="52"/>
      <w:szCs w:val="52"/>
      <w:lang w:eastAsia="pt-BR"/>
    </w:rPr>
  </w:style>
  <w:style w:type="paragraph" w:customStyle="1" w:styleId="citao2">
    <w:name w:val="citação 2"/>
    <w:basedOn w:val="Citao"/>
    <w:pPr>
      <w:overflowPunct w:val="0"/>
    </w:pPr>
    <w:rPr>
      <w:szCs w:val="20"/>
    </w:rPr>
  </w:style>
  <w:style w:type="paragraph" w:customStyle="1" w:styleId="Prembulo">
    <w:name w:val="Preâmbulo"/>
    <w:basedOn w:val="Normal"/>
    <w:link w:val="PrembuloChar"/>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Pr>
      <w:rFonts w:ascii="Arial" w:eastAsia="Arial" w:hAnsi="Arial" w:cs="Arial"/>
      <w:bCs/>
      <w:lang w:eastAsia="pt-BR"/>
    </w:rPr>
  </w:style>
  <w:style w:type="character" w:customStyle="1" w:styleId="Mentionnonrsolue1">
    <w:name w:val="Mention non résolue1"/>
    <w:basedOn w:val="Fontepargpadro"/>
    <w:uiPriority w:val="99"/>
    <w:semiHidden/>
    <w:unhideWhenUsed/>
    <w:rPr>
      <w:color w:val="605E5C"/>
      <w:shd w:val="clear" w:color="auto" w:fill="E1DFDD"/>
    </w:rPr>
  </w:style>
  <w:style w:type="character" w:customStyle="1" w:styleId="findhit">
    <w:name w:val="findhit"/>
    <w:basedOn w:val="Fontepargpadro"/>
  </w:style>
  <w:style w:type="paragraph" w:customStyle="1" w:styleId="Nivel3-erro">
    <w:name w:val="Nivel 3-erro"/>
    <w:basedOn w:val="Nivel3"/>
    <w:link w:val="Nivel3-erroChar"/>
    <w:pPr>
      <w:numPr>
        <w:numId w:val="30"/>
      </w:numPr>
      <w:spacing w:line="240" w:lineRule="auto"/>
      <w:ind w:left="425" w:firstLine="0"/>
    </w:pPr>
    <w:rPr>
      <w:rFonts w:cs="Tahoma"/>
      <w:color w:val="auto"/>
      <w:szCs w:val="24"/>
    </w:rPr>
  </w:style>
  <w:style w:type="character" w:customStyle="1" w:styleId="Nivel3-erroChar">
    <w:name w:val="Nivel 3-erro Char"/>
    <w:basedOn w:val="Fontepargpadro"/>
    <w:link w:val="Nivel3-erro"/>
    <w:rPr>
      <w:rFonts w:ascii="Arial" w:hAnsi="Arial" w:cs="Tahoma"/>
      <w:szCs w:val="24"/>
      <w:lang w:eastAsia="pt-BR"/>
    </w:rPr>
  </w:style>
  <w:style w:type="paragraph" w:customStyle="1" w:styleId="Alteraes">
    <w:name w:val="Alterações"/>
    <w:basedOn w:val="Normal"/>
    <w:link w:val="AlteraesChar"/>
    <w:uiPriority w:val="1"/>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Pr>
      <w:rFonts w:ascii="Arial" w:hAnsi="Arial" w:cs="Arial"/>
      <w:i/>
      <w:iCs/>
      <w:color w:val="0000FF"/>
      <w:lang w:eastAsia="pt-BR"/>
    </w:rPr>
  </w:style>
  <w:style w:type="character" w:customStyle="1" w:styleId="Meno1">
    <w:name w:val="Menção1"/>
    <w:basedOn w:val="Fontepargpadro"/>
    <w:uiPriority w:val="99"/>
    <w:unhideWhenUsed/>
    <w:rPr>
      <w:color w:val="2B579A"/>
      <w:shd w:val="clear" w:color="auto" w:fill="E6E6E6"/>
    </w:rPr>
  </w:style>
  <w:style w:type="character" w:customStyle="1" w:styleId="MenoPendente5">
    <w:name w:val="Menção Pendente5"/>
    <w:basedOn w:val="Fontepargpadro"/>
    <w:uiPriority w:val="99"/>
    <w:semiHidden/>
    <w:unhideWhenUsed/>
    <w:rPr>
      <w:color w:val="605E5C"/>
      <w:shd w:val="clear" w:color="auto" w:fill="E1DFDD"/>
    </w:rPr>
  </w:style>
  <w:style w:type="paragraph" w:customStyle="1" w:styleId="Nvel1-SemNumPreto">
    <w:name w:val="Nível 1-Sem Num Preto"/>
    <w:basedOn w:val="Nvel1-SemNum"/>
    <w:link w:val="Nvel1-SemNumPretoChar"/>
    <w:qFormat/>
    <w:rPr>
      <w:lang w:eastAsia="zh-CN" w:bidi="hi-IN"/>
    </w:rPr>
  </w:style>
  <w:style w:type="character" w:customStyle="1" w:styleId="Nvel1-SemNumPretoChar">
    <w:name w:val="Nível 1-Sem Num Preto Char"/>
    <w:basedOn w:val="Nvel1-SemNumChar"/>
    <w:link w:val="Nvel1-SemNumPreto"/>
    <w:rPr>
      <w:rFonts w:ascii="Arial" w:eastAsiaTheme="majorEastAsia" w:hAnsi="Arial" w:cs="Arial"/>
      <w:b/>
      <w:bCs/>
      <w:color w:val="FF0000"/>
      <w:spacing w:val="5"/>
      <w:kern w:val="28"/>
      <w:sz w:val="52"/>
      <w:szCs w:val="5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19-2022/2022/Decreto/D11246.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5764.htm"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planalto.gov.br/ccivil_03/_ato2019-2022/2022/Decreto/D11246.htm" TargetMode="External"/><Relationship Id="rId20" Type="http://schemas.openxmlformats.org/officeDocument/2006/relationships/hyperlink" Target="https://www.planalto.gov.br/ccivil_03/_ato2019-2022/2022/Decreto/D11246.htm" TargetMode="External"/><Relationship Id="rId29" Type="http://schemas.openxmlformats.org/officeDocument/2006/relationships/hyperlink" Target="http://www.planalto.gov.br/ccivil_03/AGU/Pareceres/2019-2022/PRC-JL-01-2020.htm" TargetMode="External"/><Relationship Id="rId41" Type="http://schemas.openxmlformats.org/officeDocument/2006/relationships/footer" Target="footer1.xml"/><Relationship Id="rId54"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empresas-e-negocios/pt-br/empreendedor" TargetMode="External"/><Relationship Id="rId37" Type="http://schemas.openxmlformats.org/officeDocument/2006/relationships/hyperlink" Target="https://www.gov.br/compras/pt-br/acesso-a-informacao/legislacao/instrucoes-normativas/instrucao-normativa-seges-me-no-116-de-21-de-dezembro-de-2021" TargetMode="External"/><Relationship Id="rId40"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planalto.gov.br/ccivil_03/_ato2019-2022/2022/Decreto/D11246.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8429.htm" TargetMode="External"/><Relationship Id="rId36" Type="http://schemas.openxmlformats.org/officeDocument/2006/relationships/hyperlink" Target="https://www.gov.br/trabalho-e-previdencia/pt-br/servicos/empregador/programa-de-alimentacao-do-trabalhador-pat/arquivos-legislacao/instrucoes-normativas/pat_in_971_2009.pdf" TargetMode="External"/><Relationship Id="rId10" Type="http://schemas.openxmlformats.org/officeDocument/2006/relationships/endnotes" Target="endnotes.xml"/><Relationship Id="rId19" Type="http://schemas.openxmlformats.org/officeDocument/2006/relationships/hyperlink" Target="https://www.planalto.gov.br/ccivil_03/_ato2019-2022/2022/Decreto/D11246.htm" TargetMode="External"/><Relationship Id="rId31" Type="http://schemas.openxmlformats.org/officeDocument/2006/relationships/hyperlink" Target="https://www.portaltransparencia.gov.br/sancoes/cne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19-2022/2022/Decreto/D11246.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compras/pt-br/acesso-a-informacao/legislacao/instrucoes-normativas/instrucao-normativa-no-53-de-8-de-julho-de-2020" TargetMode="External"/><Relationship Id="rId30" Type="http://schemas.openxmlformats.org/officeDocument/2006/relationships/hyperlink" Target="http://www.portaldatransparencia.gov.br/ceis" TargetMode="External"/><Relationship Id="rId35" Type="http://schemas.openxmlformats.org/officeDocument/2006/relationships/hyperlink" Target="https://www.planalto.gov.br/ccivil_03/_ato2019-2022/2021/decreto/d10880.htm"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s://in.gov.br/en/web/dou/-/instrucao-normativa-seges/me-n-77-de-4-de-novembro-de-2022-441681061" TargetMode="External"/><Relationship Id="rId33" Type="http://schemas.openxmlformats.org/officeDocument/2006/relationships/hyperlink" Target="https://www.gov.br/economia/pt-br/assuntos/drei/legislacao/arquivos/legislacoes-federais/indrei772020.pdf" TargetMode="External"/><Relationship Id="rId38"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D7D2D-37BA-482C-A228-E77C41190B88}">
  <ds:schemaRefs>
    <ds:schemaRef ds:uri="http://schemas.microsoft.com/office/2006/metadata/properties"/>
    <ds:schemaRef ds:uri="http://schemas.microsoft.com/office/infopath/2007/PartnerControls"/>
    <ds:schemaRef ds:uri="5099eeed-182b-4607-ad39-2b3e131c9b2e"/>
  </ds:schemaRefs>
</ds:datastoreItem>
</file>

<file path=customXml/itemProps2.xml><?xml version="1.0" encoding="utf-8"?>
<ds:datastoreItem xmlns:ds="http://schemas.openxmlformats.org/officeDocument/2006/customXml" ds:itemID="{B460B4EA-29C1-4B17-9782-58617EF9A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D91C4F-6E30-4B53-AA1B-A13F843D4610}">
  <ds:schemaRefs>
    <ds:schemaRef ds:uri="http://schemas.microsoft.com/sharepoint/v3/contenttype/forms"/>
  </ds:schemaRefs>
</ds:datastoreItem>
</file>

<file path=customXml/itemProps4.xml><?xml version="1.0" encoding="utf-8"?>
<ds:datastoreItem xmlns:ds="http://schemas.openxmlformats.org/officeDocument/2006/customXml" ds:itemID="{601256F3-EC17-4C07-89CD-DEC5099C8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5474</Words>
  <Characters>29561</Characters>
  <Application>Microsoft Office Word</Application>
  <DocSecurity>0</DocSecurity>
  <Lines>246</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34966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2023-12-21T22:48:00Z</dcterms:created>
  <dcterms:modified xsi:type="dcterms:W3CDTF">2024-04-04T19:47:00Z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