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gif" ContentType="image/gif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Onormal"/>
        <w:spacing w:lineRule="auto" w:line="240" w:before="0" w:after="0"/>
        <w:jc w:val="center"/>
        <w:rPr>
          <w:rFonts w:ascii="Arial" w:hAnsi="Arial" w:eastAsia="Arial" w:cs="Arial"/>
          <w:b/>
          <w:b/>
          <w:sz w:val="20"/>
          <w:szCs w:val="20"/>
        </w:rPr>
      </w:pPr>
      <w:r>
        <w:rPr>
          <w:rFonts w:eastAsia="Arial" w:cs="Arial" w:ascii="Arial" w:hAnsi="Arial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/>
      </w:pPr>
      <w:r>
        <w:rPr/>
        <w:drawing>
          <wp:inline distT="0" distB="0" distL="0" distR="0">
            <wp:extent cx="828675" cy="790575"/>
            <wp:effectExtent l="0" t="0" r="0" b="0"/>
            <wp:docPr id="1" name="Imagem 1" descr="http://10.24.145.3/sped/design/eb/imagens/armas_naciona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http://10.24.145.3/sped/design/eb/imagens/armas_nacionais.gif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/>
          <w:b/>
          <w:bCs/>
          <w:color w:val="000000"/>
          <w:sz w:val="20"/>
          <w:szCs w:val="20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>MINISTÉRIO DA DEFESA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/>
          <w:b/>
          <w:bCs/>
          <w:color w:val="000000"/>
          <w:sz w:val="20"/>
          <w:szCs w:val="20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>EXÉRCITO BRASILEIRO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/>
          <w:b/>
          <w:bCs/>
          <w:color w:val="000000"/>
          <w:sz w:val="20"/>
          <w:szCs w:val="20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>25º GRUPO DE ARTILHARIA DE CAMPANHA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/>
          <w:b/>
          <w:bCs/>
          <w:color w:val="000000"/>
          <w:sz w:val="20"/>
          <w:szCs w:val="20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>(Corpo de Artilharia a Cavalo/1831)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/>
          <w:b/>
          <w:bCs/>
          <w:color w:val="000000"/>
          <w:sz w:val="20"/>
          <w:szCs w:val="20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>GRUPO LEITE DE CASTRO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/>
          <w:b/>
          <w:bCs/>
          <w:color w:val="000000"/>
          <w:sz w:val="20"/>
          <w:szCs w:val="20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/>
          <w:b/>
          <w:bCs/>
          <w:color w:val="000000"/>
          <w:sz w:val="20"/>
          <w:szCs w:val="20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Arial" w:hAnsi="Arial" w:eastAsia="Times New Roman"/>
          <w:b/>
          <w:b/>
          <w:bCs/>
          <w:color w:val="000000"/>
          <w:sz w:val="20"/>
          <w:szCs w:val="20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>DIEx nº 1</w:t>
      </w:r>
      <w:r>
        <w:rPr>
          <w:rFonts w:eastAsia="Times New Roman" w:ascii="Arial" w:hAnsi="Arial"/>
          <w:b/>
          <w:bCs/>
          <w:color w:val="000000"/>
          <w:sz w:val="20"/>
          <w:szCs w:val="20"/>
        </w:rPr>
        <w:t>21</w:t>
      </w:r>
      <w:r>
        <w:rPr>
          <w:rFonts w:eastAsia="Times New Roman" w:ascii="Arial" w:hAnsi="Arial"/>
          <w:b/>
          <w:bCs/>
          <w:color w:val="000000"/>
          <w:sz w:val="20"/>
          <w:szCs w:val="20"/>
        </w:rPr>
        <w:t xml:space="preserve"> – Almox/25ºGAC</w:t>
      </w:r>
    </w:p>
    <w:p>
      <w:pPr>
        <w:pStyle w:val="Normal"/>
        <w:spacing w:lineRule="auto" w:line="240" w:before="0" w:after="0"/>
        <w:rPr/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 xml:space="preserve">EB: </w:t>
      </w:r>
      <w:r>
        <w:rPr>
          <w:rFonts w:eastAsia="Times New Roman" w:ascii="Arial" w:hAnsi="Arial"/>
          <w:b/>
          <w:bCs/>
          <w:i w:val="false"/>
          <w:caps w:val="false"/>
          <w:smallCaps w:val="false"/>
          <w:color w:val="212121"/>
          <w:spacing w:val="0"/>
          <w:sz w:val="20"/>
          <w:szCs w:val="20"/>
        </w:rPr>
        <w:t>64556.002365/2024-51</w:t>
      </w:r>
      <w:r>
        <w:rPr>
          <w:rFonts w:eastAsia="Times New Roman"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jc w:val="right"/>
        <w:rPr>
          <w:rFonts w:ascii="Arial" w:hAnsi="Arial" w:eastAsia="Times New Roman"/>
          <w:b/>
          <w:b/>
          <w:bCs/>
          <w:color w:val="000000"/>
          <w:sz w:val="20"/>
          <w:szCs w:val="20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>Bagé, RS, 2</w:t>
      </w:r>
      <w:r>
        <w:rPr>
          <w:rFonts w:eastAsia="Times New Roman" w:cs="Calibri" w:ascii="Arial" w:hAnsi="Arial"/>
          <w:b/>
          <w:bCs/>
          <w:color w:val="000000"/>
          <w:kern w:val="0"/>
          <w:sz w:val="20"/>
          <w:szCs w:val="20"/>
          <w:lang w:val="pt-BR" w:eastAsia="zh-CN" w:bidi="ar-SA"/>
        </w:rPr>
        <w:t>7 de Maio</w:t>
      </w:r>
      <w:r>
        <w:rPr>
          <w:rFonts w:eastAsia="Times New Roman" w:ascii="Arial" w:hAnsi="Arial"/>
          <w:b/>
          <w:bCs/>
          <w:color w:val="000000"/>
          <w:sz w:val="20"/>
          <w:szCs w:val="20"/>
        </w:rPr>
        <w:t xml:space="preserve"> de 2024.</w:t>
      </w:r>
    </w:p>
    <w:p>
      <w:pPr>
        <w:pStyle w:val="Normal"/>
        <w:tabs>
          <w:tab w:val="clear" w:pos="708"/>
          <w:tab w:val="left" w:pos="1620" w:leader="none"/>
        </w:tabs>
        <w:spacing w:lineRule="auto" w:line="240" w:before="0" w:after="0"/>
        <w:ind w:left="-567" w:right="0" w:hanging="0"/>
        <w:rPr>
          <w:rFonts w:ascii="Arial" w:hAnsi="Arial" w:eastAsia="Times New Roman"/>
          <w:b/>
          <w:b/>
          <w:bCs/>
          <w:color w:val="000000"/>
          <w:sz w:val="20"/>
          <w:szCs w:val="20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ab/>
      </w:r>
    </w:p>
    <w:p>
      <w:pPr>
        <w:pStyle w:val="Normal"/>
        <w:spacing w:lineRule="auto" w:line="240" w:before="0" w:after="0"/>
        <w:ind w:left="-567" w:right="0" w:hanging="0"/>
        <w:rPr/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 xml:space="preserve">Do </w:t>
      </w:r>
      <w:r>
        <w:rPr>
          <w:rFonts w:eastAsia="Times New Roman" w:ascii="Arial" w:hAnsi="Arial"/>
          <w:bCs/>
          <w:color w:val="000000"/>
          <w:sz w:val="20"/>
          <w:szCs w:val="20"/>
        </w:rPr>
        <w:t>Encarregado do Setor de Material</w:t>
      </w:r>
    </w:p>
    <w:p>
      <w:pPr>
        <w:pStyle w:val="Normal"/>
        <w:spacing w:lineRule="auto" w:line="240" w:before="0" w:after="0"/>
        <w:ind w:left="-567" w:right="0" w:hanging="0"/>
        <w:rPr/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 xml:space="preserve">Ao </w:t>
      </w:r>
      <w:r>
        <w:rPr>
          <w:rFonts w:eastAsia="Times New Roman" w:ascii="Arial" w:hAnsi="Arial"/>
          <w:bCs/>
          <w:color w:val="000000"/>
          <w:sz w:val="20"/>
          <w:szCs w:val="20"/>
        </w:rPr>
        <w:t>Sr Fiscal Administrativo</w:t>
      </w:r>
    </w:p>
    <w:p>
      <w:pPr>
        <w:pStyle w:val="Normal"/>
        <w:spacing w:lineRule="auto" w:line="240" w:before="0" w:after="0"/>
        <w:ind w:left="-567" w:right="0" w:hanging="0"/>
        <w:rPr/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>Assunto:</w:t>
      </w:r>
      <w:r>
        <w:rPr>
          <w:rFonts w:eastAsia="Times New Roman" w:ascii="Arial" w:hAnsi="Arial"/>
          <w:bCs/>
          <w:color w:val="000000"/>
          <w:sz w:val="20"/>
          <w:szCs w:val="20"/>
        </w:rPr>
        <w:t xml:space="preserve"> aquisição de material</w:t>
      </w:r>
    </w:p>
    <w:p>
      <w:pPr>
        <w:pStyle w:val="Normal"/>
        <w:spacing w:lineRule="auto" w:line="240" w:before="0" w:after="0"/>
        <w:ind w:left="-567" w:right="0" w:hanging="0"/>
        <w:rPr/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 xml:space="preserve">Referência: </w:t>
      </w:r>
      <w:r>
        <w:rPr>
          <w:rFonts w:eastAsia="Times New Roman" w:ascii="Arial" w:hAnsi="Arial"/>
          <w:bCs/>
          <w:color w:val="000000"/>
          <w:sz w:val="20"/>
          <w:szCs w:val="20"/>
        </w:rPr>
        <w:t>Art 13º da Port Min 305/95 (IG 12-02)</w:t>
      </w:r>
    </w:p>
    <w:p>
      <w:pPr>
        <w:pStyle w:val="Normal"/>
        <w:spacing w:lineRule="auto" w:line="240" w:before="0" w:after="0"/>
        <w:ind w:left="-567" w:right="0" w:hanging="0"/>
        <w:rPr/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 xml:space="preserve">Anexo: </w:t>
      </w:r>
      <w:r>
        <w:rPr>
          <w:rFonts w:eastAsia="Times New Roman" w:ascii="Arial" w:hAnsi="Arial"/>
          <w:bCs/>
          <w:color w:val="000000"/>
          <w:sz w:val="20"/>
          <w:szCs w:val="20"/>
        </w:rPr>
        <w:t xml:space="preserve">Relação dos itens nº </w:t>
      </w:r>
      <w:r>
        <w:rPr>
          <w:rFonts w:eastAsia="Times New Roman" w:cs="Calibri" w:ascii="Arial" w:hAnsi="Arial"/>
          <w:bCs/>
          <w:color w:val="000000"/>
          <w:sz w:val="20"/>
          <w:szCs w:val="20"/>
          <w:lang w:eastAsia="zh-CN"/>
        </w:rPr>
        <w:t>121</w:t>
      </w:r>
      <w:r>
        <w:rPr>
          <w:rFonts w:eastAsia="Times New Roman" w:ascii="Arial" w:hAnsi="Arial"/>
          <w:bCs/>
          <w:color w:val="000000"/>
          <w:sz w:val="20"/>
          <w:szCs w:val="20"/>
        </w:rPr>
        <w:t>/202</w:t>
      </w:r>
      <w:r>
        <w:rPr>
          <w:rFonts w:eastAsia="Times New Roman" w:ascii="Arial" w:hAnsi="Arial"/>
          <w:bCs/>
          <w:color w:val="000000"/>
          <w:sz w:val="20"/>
          <w:szCs w:val="20"/>
        </w:rPr>
        <w:t>4</w:t>
      </w:r>
      <w:r>
        <w:rPr>
          <w:rFonts w:eastAsia="Times New Roman" w:ascii="Arial" w:hAnsi="Arial"/>
          <w:bCs/>
          <w:color w:val="000000"/>
          <w:sz w:val="20"/>
          <w:szCs w:val="20"/>
        </w:rPr>
        <w:t xml:space="preserve"> – Almox</w:t>
      </w:r>
    </w:p>
    <w:p>
      <w:pPr>
        <w:pStyle w:val="Normal"/>
        <w:rPr>
          <w:rFonts w:ascii="Arial" w:hAnsi="Arial" w:eastAsia="Times New Roman"/>
          <w:sz w:val="20"/>
          <w:szCs w:val="20"/>
        </w:rPr>
      </w:pPr>
      <w:r>
        <w:rPr>
          <w:rFonts w:eastAsia="Times New Roman" w:ascii="Arial" w:hAnsi="Arial"/>
          <w:sz w:val="20"/>
          <w:szCs w:val="20"/>
        </w:rPr>
        <w:t xml:space="preserve"> </w:t>
      </w:r>
    </w:p>
    <w:p>
      <w:pPr>
        <w:pStyle w:val="Normal"/>
        <w:ind w:left="-567" w:right="0" w:firstLine="708"/>
        <w:rPr>
          <w:rFonts w:ascii="Arial" w:hAnsi="Arial" w:eastAsia="Times New Roman"/>
          <w:b w:val="false"/>
          <w:b w:val="false"/>
          <w:bCs w:val="false"/>
          <w:color w:val="000000"/>
          <w:sz w:val="20"/>
          <w:szCs w:val="20"/>
        </w:rPr>
      </w:pP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>Nos termos do contido no Art 13 das IG 12-02 aprovadas pela Portaria Ministerial nº 305, de 24 Mai 1995, solicito-vos providências junto ao Ordenador de Despesas no sentido de aprovar a aquisição abaixo especificada:</w:t>
      </w:r>
    </w:p>
    <w:p>
      <w:pPr>
        <w:pStyle w:val="Normal"/>
        <w:ind w:left="-567" w:right="0" w:firstLine="708"/>
        <w:rPr/>
      </w:pP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  <w:u w:val="single"/>
        </w:rPr>
        <w:t>a) Finalidade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: aquisição de material para atender as necessidades do 25º GAC. Empresa: </w:t>
      </w:r>
      <w:r>
        <w:rPr>
          <w:rFonts w:eastAsia="Times New Roman"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Heckler, Catto &amp; Heckler LTDA</w:t>
      </w:r>
      <w:r>
        <w:rPr>
          <w:rFonts w:eastAsia="Times New Roman" w:ascii="Arial" w:hAnsi="Arial"/>
          <w:b w:val="false"/>
          <w:bCs w:val="false"/>
          <w:i w:val="false"/>
          <w:caps/>
          <w:color w:val="000000"/>
          <w:spacing w:val="0"/>
          <w:sz w:val="20"/>
          <w:szCs w:val="20"/>
        </w:rPr>
        <w:t xml:space="preserve"> , cnpj: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 </w:t>
      </w:r>
      <w:r>
        <w:rPr>
          <w:rFonts w:eastAsia="Times New Roman"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19.570.484/0001-32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>, Dispensa licitação tradicional nº 5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>9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>/2024, U</w:t>
      </w:r>
      <w:r>
        <w:rPr>
          <w:rFonts w:eastAsia="Times New Roman" w:ascii="Arial" w:hAnsi="Arial"/>
          <w:b w:val="false"/>
          <w:bCs w:val="false"/>
          <w:i w:val="false"/>
          <w:iCs w:val="false"/>
          <w:color w:val="000000"/>
          <w:sz w:val="20"/>
          <w:szCs w:val="20"/>
        </w:rPr>
        <w:t>G Favorecida 160361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>.</w:t>
      </w:r>
    </w:p>
    <w:p>
      <w:pPr>
        <w:pStyle w:val="Normal"/>
        <w:spacing w:lineRule="auto" w:line="240" w:before="0" w:after="0"/>
        <w:rPr/>
      </w:pP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b) 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  <w:u w:val="single"/>
        </w:rPr>
        <w:t>Justificativa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>: Esta aquisição está alinhada as diretrizes internas de planejamento, de acordo com os objetivos estratégicos de operar eficazmente nos espectros de guerra e não-guerra e otimizar a logística da OM, de acordo com a demanda histórica de necessidades e memória de cálculo.</w:t>
      </w:r>
    </w:p>
    <w:p>
      <w:pPr>
        <w:pStyle w:val="Normal"/>
        <w:spacing w:lineRule="auto" w:line="240" w:before="240" w:after="0"/>
        <w:rPr/>
      </w:pP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c) 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  <w:u w:val="single"/>
        </w:rPr>
        <w:t>Dotação Orçamentária:</w:t>
      </w:r>
    </w:p>
    <w:p>
      <w:pPr>
        <w:pStyle w:val="Normal"/>
        <w:numPr>
          <w:ilvl w:val="0"/>
          <w:numId w:val="1"/>
        </w:numPr>
        <w:spacing w:lineRule="auto" w:line="240" w:before="0" w:after="0"/>
        <w:rPr/>
      </w:pP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PTRES: 171460 – FONTE: 1000000000 – ND: 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>33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9030 PI: </w:t>
      </w:r>
      <w:r>
        <w:rPr>
          <w:rFonts w:eastAsia="Times New Roman" w:cs="Calibri" w:ascii="Arial" w:hAnsi="Arial"/>
          <w:b w:val="false"/>
          <w:bCs w:val="false"/>
          <w:color w:val="000000"/>
          <w:kern w:val="0"/>
          <w:sz w:val="20"/>
          <w:szCs w:val="20"/>
          <w:lang w:val="pt-BR" w:eastAsia="zh-CN" w:bidi="ar-SA"/>
        </w:rPr>
        <w:t>I3DAFUNADOM</w:t>
      </w:r>
    </w:p>
    <w:p>
      <w:pPr>
        <w:pStyle w:val="Normal"/>
        <w:spacing w:lineRule="auto" w:line="240" w:before="0" w:after="0"/>
        <w:rPr/>
      </w:pP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>NC: 00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>6703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 – UGR: 16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>0073</w:t>
      </w:r>
    </w:p>
    <w:p>
      <w:pPr>
        <w:pStyle w:val="Normal"/>
        <w:spacing w:lineRule="auto" w:line="240" w:before="240" w:after="0"/>
        <w:rPr/>
      </w:pP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d) 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  <w:u w:val="single"/>
        </w:rPr>
        <w:t>Itens: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 Conforme relação anexa.</w:t>
      </w:r>
    </w:p>
    <w:p>
      <w:pPr>
        <w:pStyle w:val="Normal"/>
        <w:spacing w:lineRule="auto" w:line="240" w:before="240" w:after="0"/>
        <w:rPr/>
      </w:pP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e) 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  <w:u w:val="single"/>
        </w:rPr>
        <w:t>MODALIDADE: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 DISPENSA LICITAÇÃO TRADICIONAL</w:t>
      </w:r>
    </w:p>
    <w:p>
      <w:pPr>
        <w:pStyle w:val="Normal"/>
        <w:spacing w:lineRule="auto" w:line="240" w:before="240" w:after="0"/>
        <w:rPr>
          <w:rFonts w:ascii="Arial" w:hAnsi="Arial" w:eastAsia="Times New Roman"/>
          <w:b w:val="false"/>
          <w:b w:val="false"/>
          <w:bCs w:val="false"/>
          <w:color w:val="000000"/>
          <w:sz w:val="20"/>
          <w:szCs w:val="20"/>
        </w:rPr>
      </w:pP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f) 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  <w:u w:val="single"/>
        </w:rPr>
        <w:t>MODALIDADE DE EMPENHO: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 xml:space="preserve"> GLOBAL</w:t>
      </w:r>
    </w:p>
    <w:p>
      <w:pPr>
        <w:pStyle w:val="Normal"/>
        <w:spacing w:lineRule="auto" w:line="240" w:before="240" w:after="0"/>
        <w:jc w:val="center"/>
        <w:rPr>
          <w:rFonts w:ascii="Arial" w:hAnsi="Arial" w:eastAsia="Times New Roman"/>
          <w:color w:val="000000"/>
          <w:sz w:val="20"/>
          <w:szCs w:val="20"/>
        </w:rPr>
      </w:pPr>
      <w:r>
        <w:rPr>
          <w:rFonts w:eastAsia="Times New Roman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240" w:after="0"/>
        <w:rPr>
          <w:rFonts w:ascii="Arial" w:hAnsi="Arial" w:eastAsia="Times New Roman"/>
          <w:color w:val="000000"/>
          <w:sz w:val="20"/>
          <w:szCs w:val="20"/>
        </w:rPr>
      </w:pPr>
      <w:r>
        <w:rPr>
          <w:rFonts w:eastAsia="Times New Roman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240" w:after="0"/>
        <w:jc w:val="center"/>
        <w:rPr>
          <w:rFonts w:ascii="Arial" w:hAnsi="Arial" w:eastAsia="Times New Roman"/>
          <w:color w:val="000000"/>
          <w:sz w:val="20"/>
          <w:szCs w:val="20"/>
        </w:rPr>
      </w:pPr>
      <w:r>
        <w:rPr>
          <w:rFonts w:eastAsia="Times New Roman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240" w:after="0"/>
        <w:jc w:val="center"/>
        <w:rPr>
          <w:rFonts w:ascii="Arial" w:hAnsi="Arial" w:eastAsia="Times New Roman"/>
          <w:color w:val="000000"/>
          <w:sz w:val="20"/>
          <w:szCs w:val="20"/>
        </w:rPr>
      </w:pPr>
      <w:r>
        <w:rPr>
          <w:rFonts w:eastAsia="Times New Roman" w:ascii="Arial" w:hAnsi="Arial"/>
          <w:color w:val="000000"/>
          <w:sz w:val="20"/>
          <w:szCs w:val="20"/>
        </w:rPr>
        <w:t>HENRIQUE CAVALCANTE DE LIMA – 1º Ten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color w:val="000000"/>
          <w:sz w:val="20"/>
          <w:szCs w:val="20"/>
        </w:rPr>
      </w:pPr>
      <w:r>
        <w:rPr>
          <w:rFonts w:eastAsia="Times New Roman" w:ascii="Arial" w:hAnsi="Arial"/>
          <w:color w:val="000000"/>
          <w:sz w:val="20"/>
          <w:szCs w:val="20"/>
        </w:rPr>
        <w:t>Encarregado do Setor de Material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color w:val="000000"/>
          <w:sz w:val="20"/>
          <w:szCs w:val="20"/>
        </w:rPr>
      </w:pPr>
      <w:r>
        <w:rPr>
          <w:rFonts w:eastAsia="Times New Roman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/>
          <w:b/>
          <w:color w:val="000000"/>
          <w:sz w:val="20"/>
          <w:szCs w:val="20"/>
        </w:rPr>
      </w:pPr>
      <w:r>
        <w:rPr>
          <w:rFonts w:eastAsia="Times New Roman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/>
          <w:b/>
          <w:color w:val="000000"/>
        </w:rPr>
      </w:pPr>
      <w:r>
        <w:rPr>
          <w:rFonts w:eastAsia="Times New Roman"/>
          <w:b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/>
          <w:b/>
          <w:color w:val="000000"/>
        </w:rPr>
      </w:pPr>
      <w:r>
        <w:rPr>
          <w:rFonts w:eastAsia="Times New Roman"/>
          <w:b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/>
          <w:b/>
          <w:color w:val="000000"/>
          <w:sz w:val="20"/>
          <w:szCs w:val="20"/>
        </w:rPr>
      </w:pPr>
      <w:r>
        <w:rPr>
          <w:rFonts w:eastAsia="Times New Roman" w:ascii="Arial" w:hAnsi="Arial"/>
          <w:b/>
          <w:color w:val="000000"/>
          <w:sz w:val="20"/>
          <w:szCs w:val="20"/>
        </w:rPr>
        <w:t>DESPACHO DO FISCAL ADMINISTRATIVO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/>
          <w:b/>
          <w:color w:val="000000"/>
          <w:sz w:val="20"/>
          <w:szCs w:val="20"/>
        </w:rPr>
      </w:pPr>
      <w:r>
        <w:rPr>
          <w:rFonts w:eastAsia="Times New Roman" w:ascii="Arial" w:hAnsi="Arial"/>
          <w:b/>
          <w:color w:val="000000"/>
          <w:sz w:val="20"/>
          <w:szCs w:val="20"/>
        </w:rPr>
      </w:r>
    </w:p>
    <w:p>
      <w:pPr>
        <w:pStyle w:val="Normal"/>
        <w:spacing w:lineRule="auto" w:line="240" w:before="240" w:after="0"/>
        <w:rPr/>
      </w:pPr>
      <w:r>
        <w:rPr>
          <w:rFonts w:eastAsia="Times New Roman" w:ascii="Arial" w:hAnsi="Arial"/>
          <w:b/>
          <w:color w:val="000000"/>
          <w:sz w:val="20"/>
          <w:szCs w:val="20"/>
        </w:rPr>
        <w:tab/>
      </w:r>
      <w:r>
        <w:rPr>
          <w:rFonts w:eastAsia="Times New Roman" w:ascii="Arial" w:hAnsi="Arial"/>
          <w:color w:val="000000"/>
          <w:sz w:val="20"/>
          <w:szCs w:val="20"/>
        </w:rPr>
        <w:t>1. Ratifico a presente requisição.</w:t>
      </w:r>
    </w:p>
    <w:p>
      <w:pPr>
        <w:pStyle w:val="Normal"/>
        <w:spacing w:lineRule="auto" w:line="240" w:before="0" w:after="0"/>
        <w:rPr>
          <w:rFonts w:ascii="Arial" w:hAnsi="Arial" w:eastAsia="Times New Roman"/>
          <w:color w:val="000000"/>
          <w:sz w:val="20"/>
          <w:szCs w:val="20"/>
        </w:rPr>
      </w:pPr>
      <w:r>
        <w:rPr>
          <w:rFonts w:eastAsia="Times New Roman" w:ascii="Arial" w:hAnsi="Arial"/>
          <w:color w:val="000000"/>
          <w:sz w:val="20"/>
          <w:szCs w:val="20"/>
        </w:rPr>
        <w:tab/>
        <w:t>2. O Encarregado da Seção de Aquisições e Contratos tome as providências cabíveis de acordo com as normas em vigor.</w:t>
      </w:r>
    </w:p>
    <w:p>
      <w:pPr>
        <w:pStyle w:val="Normal"/>
        <w:spacing w:lineRule="auto" w:line="240" w:before="0" w:after="0"/>
        <w:rPr>
          <w:rFonts w:ascii="Arial" w:hAnsi="Arial" w:eastAsia="Times New Roman"/>
          <w:color w:val="000000"/>
          <w:sz w:val="20"/>
          <w:szCs w:val="20"/>
        </w:rPr>
      </w:pPr>
      <w:r>
        <w:rPr>
          <w:rFonts w:eastAsia="Times New Roman" w:ascii="Arial" w:hAnsi="Arial"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ascii="Arial" w:hAnsi="Arial"/>
          <w:bCs/>
          <w:color w:val="000000"/>
          <w:sz w:val="20"/>
          <w:szCs w:val="20"/>
        </w:rPr>
        <w:t>Bagé, RS, 2</w:t>
      </w:r>
      <w:bookmarkStart w:id="0" w:name="_GoBack"/>
      <w:bookmarkEnd w:id="0"/>
      <w:r>
        <w:rPr>
          <w:rFonts w:eastAsia="Times New Roman" w:cs="Calibri" w:ascii="Arial" w:hAnsi="Arial"/>
          <w:bCs/>
          <w:color w:val="000000"/>
          <w:kern w:val="0"/>
          <w:sz w:val="20"/>
          <w:szCs w:val="20"/>
          <w:lang w:val="pt-BR" w:eastAsia="zh-CN" w:bidi="ar-SA"/>
        </w:rPr>
        <w:t>7 de Maio</w:t>
      </w:r>
      <w:r>
        <w:rPr>
          <w:rFonts w:eastAsia="Times New Roman" w:ascii="Arial" w:hAnsi="Arial"/>
          <w:bCs/>
          <w:color w:val="000000"/>
          <w:sz w:val="20"/>
          <w:szCs w:val="20"/>
        </w:rPr>
        <w:t xml:space="preserve"> de 2024.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  <w:t xml:space="preserve">LUNELER PAIVA ELIAS  – CAP 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  <w:t>Fiscal Administrativo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  <w:t>DESPACHO DO OD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/>
          <w:b/>
          <w:bCs/>
          <w:color w:val="000000"/>
          <w:sz w:val="20"/>
          <w:szCs w:val="20"/>
        </w:rPr>
      </w:pPr>
      <w:r>
        <w:rPr>
          <w:rFonts w:eastAsia="Times New Roman" w:ascii="Arial" w:hAnsi="Arial"/>
          <w:b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  <w:t>1. Autorizo o início dos procedimentos licitatórios e autorizo e dispenso licitação nos termos da lei 14.133 de junho de 21.</w:t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  <w:t>2. Autorizo o Setor de aquisição que adote as providências cabíveis para a autuação do processo, segundo as normas em vigor, e a prestação do serviço, conforme pesquisa de preços anexa, junto ao fornecedor</w:t>
      </w:r>
      <w:r>
        <w:rPr>
          <w:rFonts w:eastAsia="Times New Roman" w:ascii="Arial" w:hAnsi="Arial"/>
          <w:b/>
          <w:bCs/>
          <w:color w:val="000000"/>
          <w:sz w:val="20"/>
          <w:szCs w:val="20"/>
        </w:rPr>
        <w:t xml:space="preserve"> </w:t>
      </w:r>
      <w:r>
        <w:rPr>
          <w:rFonts w:eastAsia="Times New Roman"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>Heckler, Catto &amp; Heckler LTDA</w:t>
      </w:r>
      <w:r>
        <w:rPr>
          <w:rFonts w:eastAsia="Times New Roman" w:ascii="Arial" w:hAnsi="Arial"/>
          <w:b/>
          <w:bCs/>
          <w:i w:val="false"/>
          <w:caps/>
          <w:color w:val="000000"/>
          <w:spacing w:val="0"/>
          <w:sz w:val="20"/>
          <w:szCs w:val="20"/>
        </w:rPr>
        <w:t>,</w:t>
      </w:r>
      <w:r>
        <w:rPr>
          <w:rFonts w:eastAsia="Times New Roman" w:ascii="Arial" w:hAnsi="Arial"/>
          <w:color w:val="000000"/>
          <w:sz w:val="20"/>
          <w:szCs w:val="20"/>
        </w:rPr>
        <w:t xml:space="preserve"> CNPJ: </w:t>
      </w:r>
      <w:r>
        <w:rPr>
          <w:rFonts w:eastAsia="Times New Roman" w:ascii="Arial" w:hAnsi="Arial"/>
          <w:b/>
          <w:bCs/>
          <w:i w:val="false"/>
          <w:caps w:val="false"/>
          <w:smallCaps w:val="false"/>
          <w:color w:val="000000"/>
          <w:spacing w:val="0"/>
          <w:sz w:val="20"/>
          <w:szCs w:val="20"/>
        </w:rPr>
        <w:t xml:space="preserve">19.570.484/0001-32 </w:t>
      </w:r>
      <w:r>
        <w:rPr>
          <w:rFonts w:eastAsia="Times New Roman" w:ascii="Arial" w:hAnsi="Arial"/>
          <w:b/>
          <w:bCs/>
          <w:color w:val="000000"/>
          <w:sz w:val="20"/>
          <w:szCs w:val="20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  <w:t>3. Para fins de uso na lei 14.133/21, empregar os recursos do</w:t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  <w:t xml:space="preserve">PTRES </w:t>
      </w:r>
      <w:r>
        <w:rPr>
          <w:rFonts w:eastAsia="Times New Roman" w:ascii="Arial" w:hAnsi="Arial"/>
          <w:b w:val="false"/>
          <w:bCs w:val="false"/>
          <w:color w:val="000000"/>
          <w:sz w:val="20"/>
          <w:szCs w:val="20"/>
        </w:rPr>
        <w:t>171460</w:t>
      </w:r>
      <w:r>
        <w:rPr>
          <w:rFonts w:eastAsia="Times New Roman" w:ascii="Arial" w:hAnsi="Arial"/>
          <w:bCs/>
          <w:color w:val="000000"/>
          <w:sz w:val="20"/>
          <w:szCs w:val="20"/>
        </w:rPr>
        <w:t>, Natureza da Despesa 339030 da UG 160361</w:t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  <w:t>4. Publique-se.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  <w:t>Bagé, RS, 2</w:t>
      </w:r>
      <w:r>
        <w:rPr>
          <w:rFonts w:eastAsia="Times New Roman" w:ascii="Arial" w:hAnsi="Arial"/>
          <w:bCs/>
          <w:color w:val="000000"/>
          <w:sz w:val="20"/>
          <w:szCs w:val="20"/>
        </w:rPr>
        <w:t xml:space="preserve">7 </w:t>
      </w:r>
      <w:r>
        <w:rPr>
          <w:rFonts w:eastAsia="Times New Roman" w:ascii="Arial" w:hAnsi="Arial"/>
          <w:bCs/>
          <w:color w:val="000000"/>
          <w:sz w:val="20"/>
          <w:szCs w:val="20"/>
        </w:rPr>
        <w:t xml:space="preserve">de </w:t>
      </w:r>
      <w:r>
        <w:rPr>
          <w:rFonts w:eastAsia="Times New Roman" w:ascii="Arial" w:hAnsi="Arial"/>
          <w:bCs/>
          <w:color w:val="000000"/>
          <w:sz w:val="20"/>
          <w:szCs w:val="20"/>
        </w:rPr>
        <w:t>Maio</w:t>
      </w:r>
      <w:r>
        <w:rPr>
          <w:rFonts w:eastAsia="Times New Roman" w:ascii="Arial" w:hAnsi="Arial"/>
          <w:bCs/>
          <w:color w:val="000000"/>
          <w:sz w:val="20"/>
          <w:szCs w:val="20"/>
        </w:rPr>
        <w:t xml:space="preserve"> de 2024.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  <w:t>MARCELO DA SILVA MÜLLER –Ten Cel</w:t>
      </w:r>
    </w:p>
    <w:p>
      <w:pPr>
        <w:pStyle w:val="Normal"/>
        <w:spacing w:lineRule="auto" w:line="240" w:before="0" w:after="0"/>
        <w:jc w:val="center"/>
        <w:rPr>
          <w:rFonts w:ascii="Arial" w:hAnsi="Arial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  <w:t>Ordenador de despesa</w:t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  <w:sz w:val="20"/>
          <w:szCs w:val="20"/>
        </w:rPr>
      </w:pPr>
      <w:r>
        <w:rPr>
          <w:rFonts w:eastAsia="Times New Roman" w:ascii="Arial" w:hAnsi="Arial"/>
          <w:bCs/>
          <w:color w:val="000000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eastAsia="Times New Roman"/>
          <w:bCs/>
          <w:color w:val="000000"/>
        </w:rPr>
      </w:pPr>
      <w:r>
        <w:rPr>
          <w:rFonts w:eastAsia="Times New Roman" w:ascii="Arial" w:hAnsi="Arial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rPr>
          <w:rFonts w:eastAsia="Times New Roman"/>
          <w:bCs/>
          <w:color w:val="000000"/>
        </w:rPr>
      </w:pPr>
      <w:r>
        <w:rPr>
          <w:rFonts w:eastAsia="Times New Roman"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eastAsia="Times New Roman"/>
          <w:b/>
          <w:bCs/>
          <w:color w:val="000000"/>
        </w:rPr>
        <w:t>RELAÇÃO DE ITENS Nº 1</w:t>
      </w:r>
      <w:r>
        <w:rPr>
          <w:rFonts w:eastAsia="Times New Roman"/>
          <w:b/>
          <w:bCs/>
          <w:color w:val="000000"/>
        </w:rPr>
        <w:t>21</w:t>
      </w:r>
      <w:r>
        <w:rPr>
          <w:rFonts w:eastAsia="Times New Roman" w:cs="Calibri"/>
          <w:b/>
          <w:bCs/>
          <w:color w:val="000000"/>
          <w:kern w:val="0"/>
          <w:sz w:val="22"/>
          <w:szCs w:val="22"/>
          <w:lang w:val="pt-BR" w:eastAsia="zh-CN" w:bidi="ar-SA"/>
        </w:rPr>
        <w:t>/2024</w:t>
      </w:r>
      <w:r>
        <w:rPr>
          <w:rFonts w:eastAsia="Times New Roman"/>
          <w:b/>
          <w:bCs/>
          <w:color w:val="000000"/>
        </w:rPr>
        <w:t xml:space="preserve"> – ALMOX</w:t>
      </w:r>
    </w:p>
    <w:p>
      <w:pPr>
        <w:pStyle w:val="Normal"/>
        <w:spacing w:lineRule="auto" w:line="240" w:before="0" w:after="0"/>
        <w:jc w:val="center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19"/>
          <w:szCs w:val="19"/>
        </w:rPr>
      </w:pPr>
      <w:r>
        <w:rPr>
          <w:rFonts w:cs="Arial" w:ascii="Arial" w:hAnsi="Arial"/>
          <w:b/>
          <w:bCs/>
          <w:sz w:val="19"/>
          <w:szCs w:val="19"/>
        </w:rPr>
        <w:t xml:space="preserve">30 – Material de </w:t>
      </w:r>
      <w:r>
        <w:rPr>
          <w:rFonts w:eastAsia="Calibri" w:cs="Arial" w:ascii="Arial" w:hAnsi="Arial"/>
          <w:b/>
          <w:bCs/>
          <w:color w:val="auto"/>
          <w:kern w:val="0"/>
          <w:sz w:val="19"/>
          <w:szCs w:val="19"/>
          <w:lang w:val="pt-BR" w:eastAsia="zh-CN" w:bidi="ar-SA"/>
        </w:rPr>
        <w:t>Consumo</w:t>
      </w:r>
    </w:p>
    <w:p>
      <w:pPr>
        <w:pStyle w:val="Normal"/>
        <w:spacing w:lineRule="auto" w:line="240" w:before="0" w:after="0"/>
        <w:jc w:val="center"/>
        <w:rPr>
          <w:rFonts w:ascii="Arial" w:hAnsi="Arial" w:cs="Arial"/>
          <w:b/>
          <w:b/>
          <w:bCs/>
          <w:sz w:val="19"/>
          <w:szCs w:val="19"/>
        </w:rPr>
      </w:pPr>
      <w:r>
        <w:rPr>
          <w:rFonts w:cs="Arial" w:ascii="Arial" w:hAnsi="Arial"/>
          <w:b/>
          <w:bCs/>
          <w:sz w:val="19"/>
          <w:szCs w:val="19"/>
        </w:rPr>
      </w:r>
    </w:p>
    <w:tbl>
      <w:tblPr>
        <w:tblW w:w="10200" w:type="dxa"/>
        <w:jc w:val="left"/>
        <w:tblInd w:w="-431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8"/>
        <w:gridCol w:w="596"/>
        <w:gridCol w:w="570"/>
        <w:gridCol w:w="616"/>
        <w:gridCol w:w="882"/>
        <w:gridCol w:w="3934"/>
        <w:gridCol w:w="1306"/>
        <w:gridCol w:w="1526"/>
      </w:tblGrid>
      <w:tr>
        <w:trPr>
          <w:trHeight w:val="463" w:hRule="atLeast"/>
        </w:trPr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7F7F7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Ord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7F7F7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Item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7F7F7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SI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7F7F7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Qtde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7F7F7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Unid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7F7F7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Descrição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7F7F7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Vlr Unit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7F7F7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Vlr Total</w:t>
            </w:r>
          </w:p>
        </w:tc>
      </w:tr>
      <w:tr>
        <w:trPr>
          <w:trHeight w:val="463" w:hRule="atLeast"/>
        </w:trPr>
        <w:tc>
          <w:tcPr>
            <w:tcW w:w="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1</w:t>
            </w:r>
          </w:p>
        </w:tc>
        <w:tc>
          <w:tcPr>
            <w:tcW w:w="5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-</w:t>
            </w:r>
          </w:p>
        </w:tc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2</w:t>
            </w: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6</w:t>
            </w:r>
          </w:p>
        </w:tc>
        <w:tc>
          <w:tcPr>
            <w:tcW w:w="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12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unid</w:t>
            </w:r>
          </w:p>
        </w:tc>
        <w:tc>
          <w:tcPr>
            <w:tcW w:w="39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lineRule="auto" w:line="240" w:before="0" w:after="120"/>
              <w:ind w:left="0" w:right="0" w:hanging="0"/>
              <w:contextualSpacing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Refletor 500W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 xml:space="preserve">R$ </w:t>
            </w: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>289,00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0"/>
                <w:szCs w:val="20"/>
              </w:rPr>
              <w:t>R$ 3.468</w:t>
            </w:r>
          </w:p>
        </w:tc>
      </w:tr>
      <w:tr>
        <w:trPr>
          <w:trHeight w:val="463" w:hRule="atLeast"/>
        </w:trPr>
        <w:tc>
          <w:tcPr>
            <w:tcW w:w="7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2</w:t>
            </w:r>
          </w:p>
        </w:tc>
        <w:tc>
          <w:tcPr>
            <w:tcW w:w="5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-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26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1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kern w:val="0"/>
                <w:sz w:val="22"/>
                <w:szCs w:val="22"/>
                <w:lang w:val="pt-BR" w:eastAsia="zh-CN" w:bidi="ar-SA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pt-BR" w:eastAsia="zh-CN" w:bidi="ar-SA"/>
              </w:rPr>
              <w:t>Rolo 100  m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lineRule="auto" w:line="240" w:before="0" w:after="120"/>
              <w:ind w:left="0" w:right="0" w:hanging="0"/>
              <w:contextualSpacing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Cabo PP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 xml:space="preserve">R$ </w:t>
            </w: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>8,99</w:t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b/>
                <w:b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</w:rPr>
              <w:t>R$ 8</w:t>
            </w:r>
            <w:r>
              <w:rPr>
                <w:rFonts w:eastAsia="DejaVu Sans" w:cs="Times New Roman" w:ascii="Arial" w:hAnsi="Arial"/>
                <w:b/>
                <w:bCs/>
                <w:i w:val="false"/>
                <w:caps w:val="false"/>
                <w:smallCaps w:val="false"/>
                <w:color w:val="000000"/>
                <w:spacing w:val="0"/>
                <w:kern w:val="2"/>
                <w:sz w:val="20"/>
                <w:szCs w:val="20"/>
              </w:rPr>
              <w:t>99,00</w:t>
            </w:r>
          </w:p>
        </w:tc>
      </w:tr>
      <w:tr>
        <w:trPr>
          <w:trHeight w:val="463" w:hRule="atLeast"/>
        </w:trPr>
        <w:tc>
          <w:tcPr>
            <w:tcW w:w="7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3</w:t>
            </w:r>
          </w:p>
        </w:tc>
        <w:tc>
          <w:tcPr>
            <w:tcW w:w="5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-</w:t>
            </w:r>
          </w:p>
        </w:tc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 xml:space="preserve">24 </w:t>
            </w:r>
          </w:p>
        </w:tc>
        <w:tc>
          <w:tcPr>
            <w:tcW w:w="61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1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Calibri" w:hAnsi="Calibri" w:eastAsia="Times New Roman" w:cs="Calibri"/>
                <w:b/>
                <w:b/>
                <w:bCs/>
                <w:color w:val="000000"/>
                <w:kern w:val="0"/>
                <w:sz w:val="22"/>
                <w:szCs w:val="22"/>
                <w:lang w:val="pt-BR" w:eastAsia="zh-CN" w:bidi="ar-SA"/>
              </w:rPr>
            </w:pPr>
            <w:r>
              <w:rPr>
                <w:rFonts w:eastAsia="Times New Roman" w:cs="Calibri"/>
                <w:b/>
                <w:bCs/>
                <w:color w:val="000000"/>
                <w:kern w:val="0"/>
                <w:sz w:val="22"/>
                <w:szCs w:val="22"/>
                <w:lang w:val="pt-BR" w:eastAsia="zh-CN" w:bidi="ar-SA"/>
              </w:rPr>
              <w:t>Pacote 1kg</w:t>
            </w:r>
          </w:p>
        </w:tc>
        <w:tc>
          <w:tcPr>
            <w:tcW w:w="39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ListParagraph"/>
              <w:widowControl w:val="false"/>
              <w:spacing w:lineRule="auto" w:line="240" w:before="0" w:after="120"/>
              <w:ind w:left="0" w:right="0" w:hanging="0"/>
              <w:contextualSpacing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Massa de Vidro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 xml:space="preserve">R$ </w:t>
            </w:r>
            <w:r>
              <w:rPr>
                <w:rFonts w:eastAsia="DejaVu Sans" w:cs="Times New Roman" w:ascii="Arial" w:hAnsi="Arial"/>
                <w:color w:val="000000"/>
                <w:kern w:val="2"/>
                <w:sz w:val="20"/>
                <w:szCs w:val="20"/>
              </w:rPr>
              <w:t>27,50</w:t>
            </w:r>
          </w:p>
        </w:tc>
        <w:tc>
          <w:tcPr>
            <w:tcW w:w="15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0"/>
                <w:szCs w:val="20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0"/>
                <w:szCs w:val="20"/>
              </w:rPr>
              <w:t xml:space="preserve">R$ </w:t>
            </w: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0"/>
                <w:szCs w:val="20"/>
              </w:rPr>
              <w:t>275,00</w:t>
            </w:r>
          </w:p>
        </w:tc>
      </w:tr>
      <w:tr>
        <w:trPr>
          <w:trHeight w:val="517" w:hRule="atLeast"/>
        </w:trPr>
        <w:tc>
          <w:tcPr>
            <w:tcW w:w="867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7F7F7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</w:pPr>
            <w:r>
              <w:rPr>
                <w:rFonts w:eastAsia="Times New Roman"/>
                <w:b/>
                <w:bCs/>
                <w:color w:val="000000"/>
                <w:kern w:val="0"/>
                <w:sz w:val="22"/>
                <w:szCs w:val="22"/>
                <w:lang w:val="pt-BR" w:bidi="ar-SA"/>
              </w:rPr>
              <w:t>Valor total</w:t>
            </w:r>
          </w:p>
        </w:tc>
        <w:tc>
          <w:tcPr>
            <w:tcW w:w="1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7F7F7F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Arial" w:hAnsi="Arial" w:eastAsia="DejaVu Sans" w:cs="Times New Roman"/>
                <w:b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</w:pP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R$ 4.642,</w:t>
            </w:r>
            <w:r>
              <w:rPr>
                <w:rFonts w:eastAsia="DejaVu Sans" w:cs="Times New Roman" w:ascii="Arial" w:hAnsi="Arial"/>
                <w:b/>
                <w:bCs/>
                <w:color w:val="000000"/>
                <w:kern w:val="2"/>
                <w:sz w:val="24"/>
                <w:szCs w:val="24"/>
                <w:lang w:val="pt-BR" w:eastAsia="pt-BR" w:bidi="ar-SA"/>
              </w:rPr>
              <w:t>00</w:t>
            </w:r>
          </w:p>
        </w:tc>
      </w:tr>
    </w:tbl>
    <w:p>
      <w:pPr>
        <w:pStyle w:val="Normal"/>
        <w:spacing w:lineRule="auto" w:line="240" w:before="0" w:after="0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Recomendações do Fiscal Administrativo à SALC:</w:t>
      </w:r>
    </w:p>
    <w:p>
      <w:pPr>
        <w:pStyle w:val="Normal"/>
        <w:spacing w:lineRule="auto" w:line="240" w:before="0" w:after="0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eastAsia="Times New Roman"/>
          <w:color w:val="000000"/>
          <w:u w:val="single"/>
        </w:rPr>
        <w:t>Em caso de erro simples e sanável</w:t>
      </w:r>
      <w:r>
        <w:rPr>
          <w:rFonts w:eastAsia="Times New Roman"/>
          <w:color w:val="000000"/>
        </w:rPr>
        <w:t xml:space="preserve">, em respeito ao Princípio do Formalismo Moderado e da Supremacia do Interesse Público – vide Acórdão Acórdãos 357/2015-TCU, 1112/2021-TCU e jurisprudência geral –, realize as devidas correções registrando-as a caneta no escopo da requisição, rubricando em local próximo ao erro e executando a contratação. Para fins desta recomendação considera-se </w:t>
      </w:r>
      <w:r>
        <w:rPr>
          <w:rFonts w:eastAsia="Times New Roman"/>
          <w:b/>
          <w:bCs/>
          <w:color w:val="000000"/>
        </w:rPr>
        <w:t>erro simples e sanáve</w:t>
      </w:r>
      <w:r>
        <w:rPr>
          <w:rFonts w:eastAsia="Times New Roman"/>
          <w:color w:val="000000"/>
        </w:rPr>
        <w:t>l na requisição: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 Erro de indicação de SI;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 Erro na numeração ordinal da tabela acima;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 Erro de indicação da ND quando o objeto for de fácil identificação e classificação;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 Erro de indicação de apenas um elemento da dotação orçamentária (NC);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</w:r>
    </w:p>
    <w:p>
      <w:pPr>
        <w:pStyle w:val="Normal"/>
        <w:spacing w:lineRule="auto" w:line="240" w:before="0" w:after="0"/>
        <w:ind w:left="0" w:right="0" w:firstLine="567"/>
        <w:jc w:val="both"/>
        <w:rPr/>
      </w:pPr>
      <w:r>
        <w:rPr>
          <w:rFonts w:eastAsia="Times New Roman"/>
          <w:color w:val="000000"/>
          <w:u w:val="single"/>
        </w:rPr>
        <w:t>Em caso de detecção de erro grosseiro e insanável</w:t>
      </w:r>
      <w:r>
        <w:rPr>
          <w:rFonts w:eastAsia="Times New Roman"/>
          <w:color w:val="000000"/>
        </w:rPr>
        <w:t xml:space="preserve">, não executar a contratação. Para fins desta recomendação considera-se </w:t>
      </w:r>
      <w:r>
        <w:rPr>
          <w:rFonts w:eastAsia="Times New Roman"/>
          <w:b/>
          <w:bCs/>
          <w:color w:val="000000"/>
        </w:rPr>
        <w:t>erro grosseiro e insanável</w:t>
      </w:r>
      <w:r>
        <w:rPr>
          <w:rFonts w:eastAsia="Times New Roman"/>
          <w:color w:val="000000"/>
        </w:rPr>
        <w:t xml:space="preserve"> na requisição: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 Erro de cálculo dos valores da contratação;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 Erro na quantidade a ser contratada;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 Erro que impossibilite a identificação da dotação orçamentária;</w:t>
      </w:r>
    </w:p>
    <w:p>
      <w:pPr>
        <w:pStyle w:val="Normal"/>
        <w:spacing w:lineRule="auto" w:line="240" w:before="0" w:after="0"/>
        <w:ind w:left="0" w:right="0" w:firstLine="567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 Erro na modalidade de licitação;</w:t>
      </w:r>
    </w:p>
    <w:p>
      <w:pPr>
        <w:pStyle w:val="Normal"/>
        <w:spacing w:lineRule="auto" w:line="240" w:before="0" w:after="0"/>
        <w:ind w:left="0" w:right="0" w:firstLine="567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- Erro de identificação (nome e CNPJ) do fornecedor.</w:t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  <w:t>Visto do Fisc. Adm:_______________</w:t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Normal"/>
        <w:spacing w:lineRule="auto" w:line="240" w:before="0" w:after="0"/>
        <w:jc w:val="right"/>
        <w:rPr>
          <w:rFonts w:eastAsia="Times New Roman"/>
          <w:b/>
          <w:b/>
          <w:bCs/>
          <w:color w:val="000000"/>
        </w:rPr>
      </w:pPr>
      <w:r>
        <w:rPr>
          <w:rFonts w:eastAsia="Times New Roman"/>
          <w:b/>
          <w:bCs/>
          <w:color w:val="000000"/>
        </w:rPr>
      </w:r>
    </w:p>
    <w:p>
      <w:pPr>
        <w:pStyle w:val="LOnormal"/>
        <w:spacing w:lineRule="auto" w:line="240" w:before="0" w:after="0"/>
        <w:jc w:val="center"/>
        <w:rPr/>
      </w:pPr>
      <w:r>
        <w:rPr/>
      </w:r>
    </w:p>
    <w:sectPr>
      <w:headerReference w:type="default" r:id="rId3"/>
      <w:footerReference w:type="default" r:id="rId4"/>
      <w:type w:val="nextPage"/>
      <w:pgSz w:w="11906" w:h="16838"/>
      <w:pgMar w:left="1701" w:right="1701" w:header="708" w:top="1417" w:footer="1417" w:bottom="1969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tabs>
        <w:tab w:val="clear" w:pos="4252"/>
        <w:tab w:val="clear" w:pos="8504"/>
        <w:tab w:val="left" w:pos="2865" w:leader="none"/>
      </w:tabs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4.%5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5.%6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6.%7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7.%8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8.%9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 w:val="22"/>
        <w:szCs w:val="22"/>
        <w:lang w:val="pt-BR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character" w:styleId="DefaultParagraphFont">
    <w:name w:val="Default Paragraph Font"/>
    <w:qFormat/>
    <w:rPr/>
  </w:style>
  <w:style w:type="character" w:styleId="CabealhoChar">
    <w:name w:val="Cabeçalho Char"/>
    <w:basedOn w:val="DefaultParagraphFont"/>
    <w:qFormat/>
    <w:rPr>
      <w:rFonts w:ascii="Calibri" w:hAnsi="Calibri" w:eastAsia="Calibri" w:cs="Calibri"/>
      <w:lang w:eastAsia="zh-CN"/>
    </w:rPr>
  </w:style>
  <w:style w:type="character" w:styleId="RodapChar">
    <w:name w:val="Rodapé Char"/>
    <w:basedOn w:val="DefaultParagraphFont"/>
    <w:qFormat/>
    <w:rPr>
      <w:rFonts w:ascii="Calibri" w:hAnsi="Calibri" w:eastAsia="Calibri" w:cs="Calibri"/>
      <w:lang w:eastAsia="zh-CN"/>
    </w:rPr>
  </w:style>
  <w:style w:type="character" w:styleId="TextodebaloChar">
    <w:name w:val="Texto de balão Char"/>
    <w:basedOn w:val="DefaultParagraphFont"/>
    <w:qFormat/>
    <w:rPr>
      <w:rFonts w:ascii="Tahoma" w:hAnsi="Tahoma" w:eastAsia="Calibri" w:cs="Tahoma"/>
      <w:sz w:val="16"/>
      <w:szCs w:val="16"/>
      <w:lang w:eastAsia="zh-CN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Onormal">
    <w:name w:val="LO-normal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kern w:val="0"/>
      <w:sz w:val="22"/>
      <w:szCs w:val="22"/>
      <w:lang w:val="pt-BR" w:eastAsia="zh-CN" w:bidi="ar-SA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qFormat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ontedodatabela">
    <w:name w:val="Conteúdo da tabela"/>
    <w:basedOn w:val="Normal"/>
    <w:qFormat/>
    <w:pPr>
      <w:widowControl w:val="false"/>
      <w:suppressLineNumbers/>
    </w:pPr>
    <w:rPr/>
  </w:style>
  <w:style w:type="paragraph" w:styleId="ListParagraph">
    <w:name w:val="List Paragraph"/>
    <w:basedOn w:val="Normal"/>
    <w:qFormat/>
    <w:pPr>
      <w:spacing w:before="0" w:after="200"/>
      <w:ind w:left="720" w:right="0" w:hanging="0"/>
      <w:contextualSpacing/>
    </w:pPr>
    <w:rPr/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gif"/><Relationship Id="rId3" Type="http://schemas.openxmlformats.org/officeDocument/2006/relationships/header" Target="header1.xml"/><Relationship Id="rId4" Type="http://schemas.openxmlformats.org/officeDocument/2006/relationships/footer" Target="foot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2620</TotalTime>
  <Application>LibreOffice/7.0.4.2$Windows_X86_64 LibreOffice_project/dcf040e67528d9187c66b2379df5ea4407429775</Application>
  <AppVersion>15.0000</AppVersion>
  <Pages>4</Pages>
  <Words>595</Words>
  <Characters>3115</Characters>
  <CharactersWithSpaces>3642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2024-04-10T18:45:00Z</dcterms:created>
  <dc:creator>Rafael</dc:creator>
  <dc:description/>
  <dc:language>pt-BR</dc:language>
  <cp:lastModifiedBy/>
  <cp:lastPrinted>2024-05-27T17:03:14Z</cp:lastPrinted>
  <dcterms:modified xsi:type="dcterms:W3CDTF">2024-05-27T17:03:25Z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